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00" w:rsidRDefault="00850100"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bookmarkStart w:id="0" w:name="_Toc388526341"/>
    </w:p>
    <w:p w:rsidR="0072103D" w:rsidRPr="00604C05" w:rsidRDefault="00DF1091"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r w:rsidRPr="00DF1091">
        <w:rPr>
          <w:rFonts w:ascii="Calibri" w:eastAsia="Calibri" w:hAnsi="Calibri"/>
          <w:noProof/>
          <w:sz w:val="22"/>
          <w:szCs w:val="22"/>
          <w:lang w:eastAsia="en-US"/>
        </w:rPr>
        <w:drawing>
          <wp:inline distT="0" distB="0" distL="0" distR="0" wp14:anchorId="7180A5CC" wp14:editId="6F656A0F">
            <wp:extent cx="6921500" cy="132944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Pergj.Har.Kon.Bren.Fin.Publik.PNG"/>
                    <pic:cNvPicPr/>
                  </pic:nvPicPr>
                  <pic:blipFill>
                    <a:blip r:embed="rId8">
                      <a:extLst>
                        <a:ext uri="{28A0092B-C50C-407E-A947-70E740481C1C}">
                          <a14:useLocalDpi xmlns:a14="http://schemas.microsoft.com/office/drawing/2010/main" val="0"/>
                        </a:ext>
                      </a:extLst>
                    </a:blip>
                    <a:stretch>
                      <a:fillRect/>
                    </a:stretch>
                  </pic:blipFill>
                  <pic:spPr>
                    <a:xfrm>
                      <a:off x="0" y="0"/>
                      <a:ext cx="6921500" cy="1329446"/>
                    </a:xfrm>
                    <a:prstGeom prst="rect">
                      <a:avLst/>
                    </a:prstGeom>
                  </pic:spPr>
                </pic:pic>
              </a:graphicData>
            </a:graphic>
          </wp:inline>
        </w:drawing>
      </w: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DB05C0" w:rsidRPr="00604C05" w:rsidRDefault="00DB05C0" w:rsidP="00DB05C0">
      <w:pPr>
        <w:widowControl w:val="0"/>
        <w:overflowPunct w:val="0"/>
        <w:autoSpaceDE w:val="0"/>
        <w:autoSpaceDN w:val="0"/>
        <w:adjustRightInd w:val="0"/>
        <w:spacing w:line="346" w:lineRule="auto"/>
        <w:jc w:val="center"/>
        <w:rPr>
          <w:rFonts w:ascii="Cambria" w:eastAsia="Times New Roman" w:hAnsi="Cambria"/>
          <w:sz w:val="36"/>
          <w:szCs w:val="36"/>
          <w:lang w:val="sq-AL" w:eastAsia="en-US"/>
        </w:rPr>
      </w:pPr>
      <w:r w:rsidRPr="00604C05">
        <w:rPr>
          <w:rFonts w:ascii="Cambria" w:eastAsia="Times New Roman" w:hAnsi="Cambria" w:cs="Arial"/>
          <w:b/>
          <w:bCs/>
          <w:color w:val="0A4492"/>
          <w:sz w:val="36"/>
          <w:szCs w:val="36"/>
          <w:lang w:val="sq-AL" w:eastAsia="en-US"/>
        </w:rPr>
        <w:t>Raport mbi Funksionimin e Sistemit të Kontrollit të Brendshëm Financiar Publik në Njësitë e Qeverisje</w:t>
      </w:r>
      <w:r w:rsidR="002D098E" w:rsidRPr="00604C05">
        <w:rPr>
          <w:rFonts w:ascii="Cambria" w:eastAsia="Times New Roman" w:hAnsi="Cambria" w:cs="Arial"/>
          <w:b/>
          <w:bCs/>
          <w:color w:val="0A4492"/>
          <w:sz w:val="36"/>
          <w:szCs w:val="36"/>
          <w:lang w:val="sq-AL" w:eastAsia="en-US"/>
        </w:rPr>
        <w:t>s së Përgjithshme për vitin 2018</w:t>
      </w: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326" w:lineRule="exact"/>
        <w:jc w:val="both"/>
        <w:rPr>
          <w:rFonts w:eastAsia="Times New Roman"/>
          <w:lang w:val="sq-AL" w:eastAsia="en-US"/>
        </w:rPr>
      </w:pPr>
    </w:p>
    <w:p w:rsidR="00DB05C0" w:rsidRPr="00604C05" w:rsidRDefault="00DB05C0" w:rsidP="00DB05C0">
      <w:pPr>
        <w:widowControl w:val="0"/>
        <w:autoSpaceDE w:val="0"/>
        <w:autoSpaceDN w:val="0"/>
        <w:adjustRightInd w:val="0"/>
        <w:ind w:left="7700"/>
        <w:jc w:val="both"/>
        <w:rPr>
          <w:rFonts w:ascii="Cambria" w:eastAsia="Times New Roman" w:hAnsi="Cambria"/>
          <w:i/>
          <w:lang w:val="sq-AL" w:eastAsia="en-US"/>
        </w:rPr>
      </w:pPr>
      <w:r w:rsidRPr="00604C05">
        <w:rPr>
          <w:rFonts w:ascii="Cambria" w:eastAsia="Times New Roman" w:hAnsi="Cambria" w:cs="Arial"/>
          <w:i/>
          <w:color w:val="F20310"/>
          <w:lang w:val="sq-AL" w:eastAsia="en-US"/>
        </w:rPr>
        <w:t>Ky raport është përgatitur nga:</w:t>
      </w:r>
    </w:p>
    <w:p w:rsidR="00DB05C0" w:rsidRPr="00604C05" w:rsidRDefault="00DB05C0" w:rsidP="00DB05C0">
      <w:pPr>
        <w:widowControl w:val="0"/>
        <w:autoSpaceDE w:val="0"/>
        <w:autoSpaceDN w:val="0"/>
        <w:adjustRightInd w:val="0"/>
        <w:spacing w:line="90" w:lineRule="exact"/>
        <w:jc w:val="both"/>
        <w:rPr>
          <w:rFonts w:ascii="Cambria" w:eastAsia="Times New Roman" w:hAnsi="Cambria"/>
          <w:i/>
          <w:lang w:val="sq-AL" w:eastAsia="en-US"/>
        </w:rPr>
      </w:pPr>
    </w:p>
    <w:p w:rsidR="00DB05C0" w:rsidRPr="00604C05" w:rsidRDefault="00DB05C0" w:rsidP="00C76114">
      <w:pPr>
        <w:widowControl w:val="0"/>
        <w:autoSpaceDE w:val="0"/>
        <w:autoSpaceDN w:val="0"/>
        <w:adjustRightInd w:val="0"/>
        <w:ind w:left="1820"/>
        <w:jc w:val="both"/>
        <w:rPr>
          <w:rFonts w:ascii="Cambria" w:eastAsia="Times New Roman" w:hAnsi="Cambria"/>
          <w:lang w:val="sq-AL" w:eastAsia="en-US"/>
        </w:rPr>
      </w:pPr>
      <w:r w:rsidRPr="00604C05">
        <w:rPr>
          <w:rFonts w:ascii="Cambria" w:eastAsia="Times New Roman" w:hAnsi="Cambria" w:cs="Arial"/>
          <w:b/>
          <w:bCs/>
          <w:i/>
          <w:color w:val="F20310"/>
          <w:lang w:val="sq-AL" w:eastAsia="en-US"/>
        </w:rPr>
        <w:t>Drejtoria e Përgjithshme e Harmonizimit të Kontrollit të Brendshëm Financiar Publik</w:t>
      </w:r>
      <w:r w:rsidR="00EF6461" w:rsidRPr="00604C05">
        <w:rPr>
          <w:rFonts w:ascii="Cambria" w:eastAsia="Times New Roman" w:hAnsi="Cambria" w:cs="Arial"/>
          <w:b/>
          <w:bCs/>
          <w:i/>
          <w:color w:val="F20310"/>
          <w:lang w:val="sq-AL" w:eastAsia="en-US"/>
        </w:rPr>
        <w:t xml:space="preserve"> pran</w:t>
      </w:r>
      <w:r w:rsidR="00F408F8" w:rsidRPr="00604C05">
        <w:rPr>
          <w:rFonts w:ascii="Cambria" w:eastAsia="Times New Roman" w:hAnsi="Cambria" w:cs="Arial"/>
          <w:b/>
          <w:bCs/>
          <w:i/>
          <w:color w:val="F20310"/>
          <w:lang w:val="sq-AL" w:eastAsia="en-US"/>
        </w:rPr>
        <w:t>ë</w:t>
      </w:r>
      <w:r w:rsidR="00EF6461" w:rsidRPr="00604C05">
        <w:rPr>
          <w:rFonts w:ascii="Cambria" w:eastAsia="Times New Roman" w:hAnsi="Cambria" w:cs="Arial"/>
          <w:b/>
          <w:bCs/>
          <w:i/>
          <w:color w:val="F20310"/>
          <w:lang w:val="sq-AL" w:eastAsia="en-US"/>
        </w:rPr>
        <w:t xml:space="preserve"> Ministris</w:t>
      </w:r>
      <w:r w:rsidR="00F408F8" w:rsidRPr="00604C05">
        <w:rPr>
          <w:rFonts w:ascii="Cambria" w:eastAsia="Times New Roman" w:hAnsi="Cambria" w:cs="Arial"/>
          <w:b/>
          <w:bCs/>
          <w:i/>
          <w:color w:val="F20310"/>
          <w:lang w:val="sq-AL" w:eastAsia="en-US"/>
        </w:rPr>
        <w:t>ë</w:t>
      </w:r>
      <w:r w:rsidR="00EF6461" w:rsidRPr="00604C05">
        <w:rPr>
          <w:rFonts w:ascii="Cambria" w:eastAsia="Times New Roman" w:hAnsi="Cambria" w:cs="Arial"/>
          <w:b/>
          <w:bCs/>
          <w:i/>
          <w:color w:val="F20310"/>
          <w:lang w:val="sq-AL" w:eastAsia="en-US"/>
        </w:rPr>
        <w:t xml:space="preserve"> s</w:t>
      </w:r>
      <w:r w:rsidR="00F408F8" w:rsidRPr="00604C05">
        <w:rPr>
          <w:rFonts w:ascii="Cambria" w:eastAsia="Times New Roman" w:hAnsi="Cambria" w:cs="Arial"/>
          <w:b/>
          <w:bCs/>
          <w:i/>
          <w:color w:val="F20310"/>
          <w:lang w:val="sq-AL" w:eastAsia="en-US"/>
        </w:rPr>
        <w:t>ë</w:t>
      </w:r>
      <w:r w:rsidR="00EF6461" w:rsidRPr="00604C05">
        <w:rPr>
          <w:rFonts w:ascii="Cambria" w:eastAsia="Times New Roman" w:hAnsi="Cambria" w:cs="Arial"/>
          <w:b/>
          <w:bCs/>
          <w:i/>
          <w:color w:val="F20310"/>
          <w:lang w:val="sq-AL" w:eastAsia="en-US"/>
        </w:rPr>
        <w:t xml:space="preserve"> Financave</w:t>
      </w:r>
      <w:r w:rsidR="00B61765" w:rsidRPr="00604C05">
        <w:rPr>
          <w:rFonts w:ascii="Cambria" w:eastAsia="Times New Roman" w:hAnsi="Cambria" w:cs="Arial"/>
          <w:b/>
          <w:bCs/>
          <w:i/>
          <w:color w:val="F20310"/>
          <w:lang w:val="sq-AL" w:eastAsia="en-US"/>
        </w:rPr>
        <w:t xml:space="preserve"> dhe Ekonomis</w:t>
      </w:r>
      <w:r w:rsidR="004E5AEC" w:rsidRPr="00604C05">
        <w:rPr>
          <w:rFonts w:ascii="Cambria" w:eastAsia="Times New Roman" w:hAnsi="Cambria" w:cs="Arial"/>
          <w:b/>
          <w:bCs/>
          <w:i/>
          <w:color w:val="F20310"/>
          <w:lang w:val="sq-AL" w:eastAsia="en-US"/>
        </w:rPr>
        <w:t>ë</w:t>
      </w:r>
    </w:p>
    <w:p w:rsidR="00C76114" w:rsidRPr="00604C05" w:rsidRDefault="00C76114" w:rsidP="00DB05C0">
      <w:pPr>
        <w:widowControl w:val="0"/>
        <w:autoSpaceDE w:val="0"/>
        <w:autoSpaceDN w:val="0"/>
        <w:adjustRightInd w:val="0"/>
        <w:jc w:val="both"/>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F915EE">
      <w:pPr>
        <w:tabs>
          <w:tab w:val="left" w:pos="3840"/>
        </w:tabs>
        <w:rPr>
          <w:rFonts w:ascii="Cambria" w:hAnsi="Cambria"/>
          <w:b/>
          <w:lang w:val="sq-AL"/>
        </w:rPr>
      </w:pPr>
    </w:p>
    <w:p w:rsidR="00C76114" w:rsidRPr="00485A40" w:rsidRDefault="002D098E" w:rsidP="00C76114">
      <w:pPr>
        <w:tabs>
          <w:tab w:val="left" w:pos="3840"/>
        </w:tabs>
        <w:jc w:val="center"/>
        <w:rPr>
          <w:rFonts w:ascii="Cambria" w:hAnsi="Cambria"/>
          <w:b/>
          <w:lang w:val="sq-AL"/>
        </w:rPr>
      </w:pPr>
      <w:r w:rsidRPr="00485A40">
        <w:rPr>
          <w:rFonts w:ascii="Cambria" w:hAnsi="Cambria"/>
          <w:b/>
          <w:lang w:val="sq-AL"/>
        </w:rPr>
        <w:t>Tiranë, Maj 2019</w:t>
      </w:r>
    </w:p>
    <w:p w:rsidR="00DB05C0" w:rsidRPr="00485A40" w:rsidRDefault="00DB05C0" w:rsidP="00C76114">
      <w:pPr>
        <w:rPr>
          <w:rFonts w:eastAsia="Times New Roman"/>
          <w:lang w:val="sq-AL" w:eastAsia="en-US"/>
        </w:rPr>
        <w:sectPr w:rsidR="00DB05C0" w:rsidRPr="00485A40" w:rsidSect="00AF2FCF">
          <w:footerReference w:type="first" r:id="rId9"/>
          <w:type w:val="continuous"/>
          <w:pgSz w:w="12240" w:h="17198"/>
          <w:pgMar w:top="990" w:right="780" w:bottom="706" w:left="560" w:header="720" w:footer="720" w:gutter="0"/>
          <w:pgNumType w:start="0"/>
          <w:cols w:space="620" w:equalWidth="0">
            <w:col w:w="10900" w:space="1200"/>
          </w:cols>
          <w:noEndnote/>
        </w:sectPr>
      </w:pPr>
    </w:p>
    <w:p w:rsidR="00E126A8" w:rsidRPr="00074F0C" w:rsidRDefault="00074F0C">
      <w:pPr>
        <w:pStyle w:val="TOC1"/>
        <w:tabs>
          <w:tab w:val="right" w:leader="dot" w:pos="9062"/>
        </w:tabs>
        <w:rPr>
          <w:rFonts w:asciiTheme="majorHAnsi" w:hAnsiTheme="majorHAnsi"/>
          <w:sz w:val="24"/>
          <w:szCs w:val="24"/>
          <w:lang w:val="sq-AL"/>
        </w:rPr>
      </w:pPr>
      <w:bookmarkStart w:id="1" w:name="_Toc420488137"/>
      <w:r>
        <w:rPr>
          <w:rFonts w:asciiTheme="majorHAnsi" w:hAnsiTheme="majorHAnsi"/>
          <w:sz w:val="24"/>
          <w:szCs w:val="24"/>
          <w:lang w:val="sq-AL"/>
        </w:rPr>
        <w:t>Përmbajtja</w:t>
      </w:r>
    </w:p>
    <w:p w:rsidR="00C30DB5" w:rsidRPr="00C2223F" w:rsidRDefault="00E76EFF">
      <w:pPr>
        <w:pStyle w:val="TOC1"/>
        <w:tabs>
          <w:tab w:val="right" w:leader="dot" w:pos="9062"/>
        </w:tabs>
        <w:rPr>
          <w:rFonts w:asciiTheme="majorHAnsi" w:eastAsiaTheme="minorEastAsia" w:hAnsiTheme="majorHAnsi" w:cstheme="minorBidi"/>
          <w:b w:val="0"/>
          <w:bCs w:val="0"/>
          <w:caps w:val="0"/>
          <w:noProof/>
          <w:sz w:val="22"/>
          <w:szCs w:val="22"/>
          <w:lang w:eastAsia="en-US"/>
        </w:rPr>
      </w:pPr>
      <w:r w:rsidRPr="00C2223F">
        <w:rPr>
          <w:rFonts w:asciiTheme="majorHAnsi" w:hAnsiTheme="majorHAnsi"/>
          <w:sz w:val="22"/>
          <w:szCs w:val="22"/>
          <w:lang w:val="sq-AL"/>
        </w:rPr>
        <w:fldChar w:fldCharType="begin"/>
      </w:r>
      <w:r w:rsidRPr="00C2223F">
        <w:rPr>
          <w:rFonts w:asciiTheme="majorHAnsi" w:hAnsiTheme="majorHAnsi"/>
          <w:sz w:val="22"/>
          <w:szCs w:val="22"/>
          <w:lang w:val="sq-AL"/>
        </w:rPr>
        <w:instrText xml:space="preserve"> TOC \o "1-3" \h \z \u </w:instrText>
      </w:r>
      <w:r w:rsidRPr="00C2223F">
        <w:rPr>
          <w:rFonts w:asciiTheme="majorHAnsi" w:hAnsiTheme="majorHAnsi"/>
          <w:sz w:val="22"/>
          <w:szCs w:val="22"/>
          <w:lang w:val="sq-AL"/>
        </w:rPr>
        <w:fldChar w:fldCharType="separate"/>
      </w:r>
      <w:hyperlink w:anchor="_Toc9082361" w:history="1">
        <w:r w:rsidR="00C30DB5" w:rsidRPr="00C2223F">
          <w:rPr>
            <w:rStyle w:val="Hyperlink"/>
            <w:rFonts w:asciiTheme="majorHAnsi" w:hAnsiTheme="majorHAnsi"/>
            <w:noProof/>
            <w:sz w:val="22"/>
            <w:szCs w:val="22"/>
            <w:lang w:val="sq-AL"/>
          </w:rPr>
          <w:t>Lista e shkurtimeve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_Toc9082361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2</w:t>
        </w:r>
        <w:r w:rsidR="00C30DB5" w:rsidRPr="00C2223F">
          <w:rPr>
            <w:rFonts w:asciiTheme="majorHAnsi" w:hAnsiTheme="majorHAnsi"/>
            <w:noProof/>
            <w:webHidden/>
            <w:sz w:val="22"/>
            <w:szCs w:val="22"/>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2" w:history="1">
        <w:r w:rsidR="00C30DB5" w:rsidRPr="00C2223F">
          <w:rPr>
            <w:rStyle w:val="Hyperlink"/>
            <w:rFonts w:asciiTheme="majorHAnsi" w:hAnsiTheme="majorHAnsi"/>
            <w:noProof/>
            <w:sz w:val="22"/>
            <w:szCs w:val="22"/>
            <w:lang w:val="sq-AL"/>
          </w:rPr>
          <w:t>Lista e tabelave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_Toc9082362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w:t>
        </w:r>
        <w:r w:rsidR="00C30DB5" w:rsidRPr="00C2223F">
          <w:rPr>
            <w:rFonts w:asciiTheme="majorHAnsi" w:hAnsiTheme="majorHAnsi"/>
            <w:noProof/>
            <w:webHidden/>
            <w:sz w:val="22"/>
            <w:szCs w:val="22"/>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3" w:history="1">
        <w:r w:rsidR="00C30DB5" w:rsidRPr="00C2223F">
          <w:rPr>
            <w:rStyle w:val="Hyperlink"/>
            <w:rFonts w:asciiTheme="majorHAnsi" w:hAnsiTheme="majorHAnsi"/>
            <w:noProof/>
            <w:sz w:val="22"/>
            <w:szCs w:val="22"/>
            <w:lang w:val="sq-AL"/>
          </w:rPr>
          <w:t>Lista e grafikëve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_Toc9082363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w:t>
        </w:r>
        <w:r w:rsidR="00C30DB5" w:rsidRPr="00C2223F">
          <w:rPr>
            <w:rFonts w:asciiTheme="majorHAnsi" w:hAnsiTheme="majorHAnsi"/>
            <w:noProof/>
            <w:webHidden/>
            <w:sz w:val="22"/>
            <w:szCs w:val="22"/>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4" w:history="1">
        <w:r w:rsidR="00C30DB5" w:rsidRPr="00C2223F">
          <w:rPr>
            <w:rStyle w:val="Hyperlink"/>
            <w:rFonts w:asciiTheme="majorHAnsi" w:hAnsiTheme="majorHAnsi"/>
            <w:noProof/>
            <w:sz w:val="22"/>
            <w:szCs w:val="22"/>
          </w:rPr>
          <w:t>PËRMBLEDHJE EKZEKUTIVE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_Toc9082364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1</w:t>
        </w:r>
        <w:r w:rsidR="00C30DB5" w:rsidRPr="00C2223F">
          <w:rPr>
            <w:rFonts w:asciiTheme="majorHAnsi" w:hAnsiTheme="majorHAnsi"/>
            <w:noProof/>
            <w:webHidden/>
            <w:sz w:val="22"/>
            <w:szCs w:val="22"/>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6" w:history="1">
        <w:r w:rsidR="00C30DB5" w:rsidRPr="00C2223F">
          <w:rPr>
            <w:rStyle w:val="Hyperlink"/>
            <w:rFonts w:asciiTheme="majorHAnsi" w:hAnsiTheme="majorHAnsi"/>
            <w:noProof/>
            <w:sz w:val="22"/>
            <w:szCs w:val="22"/>
          </w:rPr>
          <w:t>KAPITULLI I- VLERËSIMI I MONITORIMIT TË PERFORMANCËS SË NJËSIVE TË QEVERISJES SË PËRGJITHSHME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_Toc9082366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6</w:t>
        </w:r>
        <w:r w:rsidR="00C30DB5" w:rsidRPr="00C2223F">
          <w:rPr>
            <w:rFonts w:asciiTheme="majorHAnsi" w:hAnsiTheme="majorHAnsi"/>
            <w:noProof/>
            <w:webHidden/>
            <w:sz w:val="22"/>
            <w:szCs w:val="22"/>
          </w:rPr>
          <w:fldChar w:fldCharType="end"/>
        </w:r>
      </w:hyperlink>
    </w:p>
    <w:p w:rsidR="00C30DB5" w:rsidRPr="00C2223F" w:rsidRDefault="00C52EB8">
      <w:pPr>
        <w:pStyle w:val="TOC2"/>
        <w:rPr>
          <w:rFonts w:asciiTheme="majorHAnsi" w:eastAsiaTheme="minorEastAsia" w:hAnsiTheme="majorHAnsi" w:cstheme="minorBidi"/>
          <w:b w:val="0"/>
          <w:smallCaps w:val="0"/>
          <w:lang w:eastAsia="en-US"/>
        </w:rPr>
      </w:pPr>
      <w:hyperlink w:anchor="_Toc9082367" w:history="1">
        <w:r w:rsidR="00C30DB5" w:rsidRPr="00C2223F">
          <w:rPr>
            <w:rStyle w:val="Hyperlink"/>
            <w:rFonts w:asciiTheme="majorHAnsi" w:hAnsiTheme="majorHAnsi"/>
            <w:lang w:val="sq-AL"/>
          </w:rPr>
          <w:t>1.1 Analiza për treguesit e performancës:</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_Toc9082367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12</w:t>
        </w:r>
        <w:r w:rsidR="00C30DB5" w:rsidRPr="00C2223F">
          <w:rPr>
            <w:rFonts w:asciiTheme="majorHAnsi" w:hAnsiTheme="majorHAnsi"/>
            <w:webHidden/>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8" w:history="1">
        <w:r w:rsidR="00C30DB5" w:rsidRPr="00C2223F">
          <w:rPr>
            <w:rStyle w:val="Hyperlink"/>
            <w:rFonts w:asciiTheme="majorHAnsi" w:hAnsiTheme="majorHAnsi"/>
            <w:noProof/>
            <w:sz w:val="22"/>
            <w:szCs w:val="22"/>
          </w:rPr>
          <w:t>KAPITULLI II- MENAXHIMI fINANCIAR DHE KONTROLLI</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_Toc9082368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16</w:t>
        </w:r>
        <w:r w:rsidR="00C30DB5" w:rsidRPr="00C2223F">
          <w:rPr>
            <w:rFonts w:asciiTheme="majorHAnsi" w:hAnsiTheme="majorHAnsi"/>
            <w:noProof/>
            <w:webHidden/>
            <w:sz w:val="22"/>
            <w:szCs w:val="22"/>
          </w:rPr>
          <w:fldChar w:fldCharType="end"/>
        </w:r>
      </w:hyperlink>
    </w:p>
    <w:p w:rsidR="00C30DB5" w:rsidRPr="00C2223F" w:rsidRDefault="00C52EB8">
      <w:pPr>
        <w:pStyle w:val="TOC2"/>
        <w:rPr>
          <w:rFonts w:asciiTheme="majorHAnsi" w:eastAsiaTheme="minorEastAsia" w:hAnsiTheme="majorHAnsi" w:cstheme="minorBidi"/>
          <w:b w:val="0"/>
          <w:smallCaps w:val="0"/>
          <w:lang w:eastAsia="en-US"/>
        </w:rPr>
      </w:pPr>
      <w:hyperlink w:anchor="_Toc9082369" w:history="1">
        <w:r w:rsidR="00C30DB5" w:rsidRPr="00C2223F">
          <w:rPr>
            <w:rStyle w:val="Hyperlink"/>
            <w:rFonts w:asciiTheme="majorHAnsi" w:hAnsiTheme="majorHAnsi"/>
          </w:rPr>
          <w:t>2.1 Analiza e sistemit sipas 17 parimeve të MFK  bazuar në vetëvlerësimin e njësive publike</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_Toc9082369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17</w:t>
        </w:r>
        <w:r w:rsidR="00C30DB5" w:rsidRPr="00C2223F">
          <w:rPr>
            <w:rFonts w:asciiTheme="majorHAnsi" w:hAnsiTheme="majorHAnsi"/>
            <w:webHidden/>
          </w:rPr>
          <w:fldChar w:fldCharType="end"/>
        </w:r>
      </w:hyperlink>
    </w:p>
    <w:p w:rsidR="00C30DB5" w:rsidRPr="00C2223F" w:rsidRDefault="00C52EB8">
      <w:pPr>
        <w:pStyle w:val="TOC2"/>
        <w:rPr>
          <w:rFonts w:asciiTheme="majorHAnsi" w:eastAsiaTheme="minorEastAsia" w:hAnsiTheme="majorHAnsi" w:cstheme="minorBidi"/>
          <w:b w:val="0"/>
          <w:smallCaps w:val="0"/>
          <w:lang w:eastAsia="en-US"/>
        </w:rPr>
      </w:pPr>
      <w:hyperlink w:anchor="_Toc9082370" w:history="1">
        <w:r w:rsidR="00C30DB5" w:rsidRPr="00C2223F">
          <w:rPr>
            <w:rStyle w:val="Hyperlink"/>
            <w:rFonts w:asciiTheme="majorHAnsi" w:eastAsia="Calibri" w:hAnsiTheme="majorHAnsi"/>
            <w:lang w:val="sq-AL" w:eastAsia="en-US"/>
          </w:rPr>
          <w:t>2.2 Vlerësimi i sistemit të kontrollit të brendshëm nga Auditimi i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_Toc9082370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24</w:t>
        </w:r>
        <w:r w:rsidR="00C30DB5" w:rsidRPr="00C2223F">
          <w:rPr>
            <w:rFonts w:asciiTheme="majorHAnsi" w:hAnsiTheme="majorHAnsi"/>
            <w:webHidden/>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1" w:history="1">
        <w:r w:rsidR="00C30DB5" w:rsidRPr="00C2223F">
          <w:rPr>
            <w:rStyle w:val="Hyperlink"/>
            <w:rFonts w:asciiTheme="majorHAnsi" w:hAnsiTheme="majorHAnsi"/>
            <w:noProof/>
            <w:sz w:val="22"/>
            <w:szCs w:val="22"/>
          </w:rPr>
          <w:t>Kapitulli III- REKOMANDIME PËR ZHVILLIMIN E MËTEJSHËM TË SISTEMIT TË KONTROLLIT TË BRENDSHËM</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_Toc9082371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34</w:t>
        </w:r>
        <w:r w:rsidR="00C30DB5" w:rsidRPr="00C2223F">
          <w:rPr>
            <w:rFonts w:asciiTheme="majorHAnsi" w:hAnsiTheme="majorHAnsi"/>
            <w:noProof/>
            <w:webHidden/>
            <w:sz w:val="22"/>
            <w:szCs w:val="22"/>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2" w:history="1">
        <w:r w:rsidR="00C30DB5" w:rsidRPr="00C2223F">
          <w:rPr>
            <w:rStyle w:val="Hyperlink"/>
            <w:rFonts w:asciiTheme="majorHAnsi" w:hAnsiTheme="majorHAnsi"/>
            <w:noProof/>
            <w:sz w:val="22"/>
            <w:szCs w:val="22"/>
          </w:rPr>
          <w:t>KAPITULLI Iv. Vlerësimi NË VEND i ZBATUESHMËRISË SË STANDARDEVE TË KONTROLLIT TË BRENDSHËM DHE AUDITIMIT</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_Toc9082372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36</w:t>
        </w:r>
        <w:r w:rsidR="00C30DB5" w:rsidRPr="00C2223F">
          <w:rPr>
            <w:rFonts w:asciiTheme="majorHAnsi" w:hAnsiTheme="majorHAnsi"/>
            <w:noProof/>
            <w:webHidden/>
            <w:sz w:val="22"/>
            <w:szCs w:val="22"/>
          </w:rPr>
          <w:fldChar w:fldCharType="end"/>
        </w:r>
      </w:hyperlink>
    </w:p>
    <w:p w:rsidR="00C30DB5" w:rsidRPr="00C2223F" w:rsidRDefault="00C52EB8">
      <w:pPr>
        <w:pStyle w:val="TOC2"/>
        <w:rPr>
          <w:rFonts w:asciiTheme="majorHAnsi" w:eastAsiaTheme="minorEastAsia" w:hAnsiTheme="majorHAnsi" w:cstheme="minorBidi"/>
          <w:b w:val="0"/>
          <w:smallCaps w:val="0"/>
          <w:lang w:eastAsia="en-US"/>
        </w:rPr>
      </w:pPr>
      <w:hyperlink w:anchor="_Toc9082373" w:history="1">
        <w:r w:rsidR="00C30DB5" w:rsidRPr="00C2223F">
          <w:rPr>
            <w:rStyle w:val="Hyperlink"/>
            <w:rFonts w:asciiTheme="majorHAnsi" w:hAnsiTheme="majorHAnsi"/>
          </w:rPr>
          <w:t>4.1 Vlerësimi i besueshmërisë së pyetësorëve të vetëvlerësimit të MFK-së për 5 institucionet e monitoruara</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_Toc9082373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36</w:t>
        </w:r>
        <w:r w:rsidR="00C30DB5" w:rsidRPr="00C2223F">
          <w:rPr>
            <w:rFonts w:asciiTheme="majorHAnsi" w:hAnsiTheme="majorHAnsi"/>
            <w:webHidden/>
          </w:rPr>
          <w:fldChar w:fldCharType="end"/>
        </w:r>
      </w:hyperlink>
    </w:p>
    <w:p w:rsidR="00C30DB5" w:rsidRPr="00C2223F" w:rsidRDefault="00C52EB8">
      <w:pPr>
        <w:pStyle w:val="TOC2"/>
        <w:rPr>
          <w:rFonts w:asciiTheme="majorHAnsi" w:eastAsiaTheme="minorEastAsia" w:hAnsiTheme="majorHAnsi" w:cstheme="minorBidi"/>
          <w:b w:val="0"/>
          <w:smallCaps w:val="0"/>
          <w:lang w:eastAsia="en-US"/>
        </w:rPr>
      </w:pPr>
      <w:hyperlink w:anchor="_Toc9082374" w:history="1">
        <w:r w:rsidR="00C30DB5" w:rsidRPr="00C2223F">
          <w:rPr>
            <w:rStyle w:val="Hyperlink"/>
            <w:rFonts w:asciiTheme="majorHAnsi" w:eastAsia="Calibri" w:hAnsiTheme="majorHAnsi"/>
          </w:rPr>
          <w:t xml:space="preserve">4.2 Vlerësimi i jashtëm i cilësisë së </w:t>
        </w:r>
        <w:r w:rsidR="00A715CE" w:rsidRPr="00A715CE">
          <w:rPr>
            <w:rStyle w:val="Hyperlink"/>
            <w:rFonts w:asciiTheme="majorHAnsi" w:eastAsia="Calibri" w:hAnsiTheme="majorHAnsi"/>
            <w:sz w:val="20"/>
            <w:szCs w:val="20"/>
          </w:rPr>
          <w:t>10</w:t>
        </w:r>
        <w:r w:rsidR="00A715CE">
          <w:rPr>
            <w:rStyle w:val="Hyperlink"/>
            <w:rFonts w:asciiTheme="majorHAnsi" w:eastAsia="Calibri" w:hAnsiTheme="majorHAnsi"/>
          </w:rPr>
          <w:t xml:space="preserve"> </w:t>
        </w:r>
        <w:r w:rsidR="00C30DB5" w:rsidRPr="00C2223F">
          <w:rPr>
            <w:rStyle w:val="Hyperlink"/>
            <w:rFonts w:asciiTheme="majorHAnsi" w:eastAsia="Calibri" w:hAnsiTheme="majorHAnsi"/>
          </w:rPr>
          <w:t>njësive të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_Toc9082374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37</w:t>
        </w:r>
        <w:r w:rsidR="00C30DB5" w:rsidRPr="00C2223F">
          <w:rPr>
            <w:rFonts w:asciiTheme="majorHAnsi" w:hAnsiTheme="majorHAnsi"/>
            <w:webHidden/>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5" w:history="1">
        <w:r w:rsidR="00C30DB5" w:rsidRPr="00C2223F">
          <w:rPr>
            <w:rStyle w:val="Hyperlink"/>
            <w:rFonts w:asciiTheme="majorHAnsi" w:hAnsiTheme="majorHAnsi"/>
            <w:noProof/>
            <w:sz w:val="22"/>
            <w:szCs w:val="22"/>
          </w:rPr>
          <w:t>Kapitulli V- MBËSHTETJA E MFE-së PËR ZHVILLIMIN E SISTEMEVE TË KONTROLLIT TË BRENDSHËM</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_Toc9082375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41</w:t>
        </w:r>
        <w:r w:rsidR="00C30DB5" w:rsidRPr="00C2223F">
          <w:rPr>
            <w:rFonts w:asciiTheme="majorHAnsi" w:hAnsiTheme="majorHAnsi"/>
            <w:noProof/>
            <w:webHidden/>
            <w:sz w:val="22"/>
            <w:szCs w:val="22"/>
          </w:rPr>
          <w:fldChar w:fldCharType="end"/>
        </w:r>
      </w:hyperlink>
    </w:p>
    <w:p w:rsidR="00C30DB5" w:rsidRPr="00C2223F" w:rsidRDefault="00C52EB8">
      <w:pPr>
        <w:pStyle w:val="TOC2"/>
        <w:rPr>
          <w:rFonts w:asciiTheme="majorHAnsi" w:eastAsiaTheme="minorEastAsia" w:hAnsiTheme="majorHAnsi" w:cstheme="minorBidi"/>
          <w:b w:val="0"/>
          <w:smallCaps w:val="0"/>
          <w:lang w:eastAsia="en-US"/>
        </w:rPr>
      </w:pPr>
      <w:hyperlink w:anchor="_Toc9082376" w:history="1">
        <w:r w:rsidR="00C30DB5" w:rsidRPr="00C2223F">
          <w:rPr>
            <w:rStyle w:val="Hyperlink"/>
            <w:rFonts w:asciiTheme="majorHAnsi" w:eastAsia="Calibri" w:hAnsiTheme="majorHAnsi"/>
            <w:lang w:val="sq-AL" w:eastAsia="en-US"/>
          </w:rPr>
          <w:t xml:space="preserve">5.1 </w:t>
        </w:r>
        <w:r w:rsidR="00C30DB5" w:rsidRPr="00C2223F">
          <w:rPr>
            <w:rStyle w:val="Hyperlink"/>
            <w:rFonts w:asciiTheme="majorHAnsi" w:hAnsiTheme="majorHAnsi"/>
            <w:lang w:val="en-GB" w:eastAsia="en-US"/>
          </w:rPr>
          <w:t>Mbështetja e MFE-së për zhvillimin e menaxhimit financiar dhe kontrollit</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_Toc9082376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41</w:t>
        </w:r>
        <w:r w:rsidR="00C30DB5" w:rsidRPr="00C2223F">
          <w:rPr>
            <w:rFonts w:asciiTheme="majorHAnsi" w:hAnsiTheme="majorHAnsi"/>
            <w:webHidden/>
          </w:rPr>
          <w:fldChar w:fldCharType="end"/>
        </w:r>
      </w:hyperlink>
    </w:p>
    <w:p w:rsidR="00C30DB5" w:rsidRPr="00C2223F" w:rsidRDefault="00C52EB8">
      <w:pPr>
        <w:pStyle w:val="TOC2"/>
        <w:rPr>
          <w:rFonts w:asciiTheme="majorHAnsi" w:eastAsiaTheme="minorEastAsia" w:hAnsiTheme="majorHAnsi" w:cstheme="minorBidi"/>
          <w:b w:val="0"/>
          <w:smallCaps w:val="0"/>
          <w:lang w:eastAsia="en-US"/>
        </w:rPr>
      </w:pPr>
      <w:hyperlink w:anchor="_Toc9082377" w:history="1">
        <w:r w:rsidR="00C30DB5" w:rsidRPr="00C2223F">
          <w:rPr>
            <w:rStyle w:val="Hyperlink"/>
            <w:rFonts w:asciiTheme="majorHAnsi" w:hAnsiTheme="majorHAnsi"/>
            <w:lang w:val="en-GB" w:eastAsia="en-US"/>
          </w:rPr>
          <w:t>5.2 Mbështetja e MFE-së për zhvillimin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_Toc9082377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43</w:t>
        </w:r>
        <w:r w:rsidR="00C30DB5" w:rsidRPr="00C2223F">
          <w:rPr>
            <w:rFonts w:asciiTheme="majorHAnsi" w:hAnsiTheme="majorHAnsi"/>
            <w:webHidden/>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8" w:history="1">
        <w:r w:rsidR="00C30DB5" w:rsidRPr="00C2223F">
          <w:rPr>
            <w:rStyle w:val="Hyperlink"/>
            <w:rFonts w:asciiTheme="majorHAnsi" w:hAnsiTheme="majorHAnsi"/>
            <w:noProof/>
            <w:sz w:val="22"/>
            <w:szCs w:val="22"/>
          </w:rPr>
          <w:t>ANEKSI I. VLERËSIMI I SISTEMIT TË MFK-së NË NJËSITË SHPENZUESE ME BUXHET TË MADH</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_Toc9082378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47</w:t>
        </w:r>
        <w:r w:rsidR="00C30DB5" w:rsidRPr="00C2223F">
          <w:rPr>
            <w:rFonts w:asciiTheme="majorHAnsi" w:hAnsiTheme="majorHAnsi"/>
            <w:noProof/>
            <w:webHidden/>
            <w:sz w:val="22"/>
            <w:szCs w:val="22"/>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9" w:history="1">
        <w:r w:rsidR="00C30DB5" w:rsidRPr="00C2223F">
          <w:rPr>
            <w:rStyle w:val="Hyperlink"/>
            <w:rFonts w:asciiTheme="majorHAnsi" w:hAnsiTheme="majorHAnsi"/>
            <w:noProof/>
            <w:sz w:val="22"/>
            <w:szCs w:val="22"/>
          </w:rPr>
          <w:t>ANEKSI II - Veprimtaria e Auditimit të Brendshëm</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_Toc9082379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51</w:t>
        </w:r>
        <w:r w:rsidR="00C30DB5" w:rsidRPr="00C2223F">
          <w:rPr>
            <w:rFonts w:asciiTheme="majorHAnsi" w:hAnsiTheme="majorHAnsi"/>
            <w:noProof/>
            <w:webHidden/>
            <w:sz w:val="22"/>
            <w:szCs w:val="22"/>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0" w:history="1">
        <w:r w:rsidR="00C30DB5" w:rsidRPr="00C2223F">
          <w:rPr>
            <w:rStyle w:val="Hyperlink"/>
            <w:rFonts w:asciiTheme="majorHAnsi" w:hAnsiTheme="majorHAnsi"/>
          </w:rPr>
          <w:t>1. Strukturat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_Toc9082380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51</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1" w:history="1">
        <w:r w:rsidR="00C30DB5" w:rsidRPr="00C2223F">
          <w:rPr>
            <w:rStyle w:val="Hyperlink"/>
            <w:rFonts w:asciiTheme="majorHAnsi" w:hAnsiTheme="majorHAnsi"/>
          </w:rPr>
          <w:t xml:space="preserve">2. </w:t>
        </w:r>
        <w:r w:rsidR="00C30DB5" w:rsidRPr="00C2223F">
          <w:rPr>
            <w:rStyle w:val="Hyperlink"/>
            <w:rFonts w:asciiTheme="majorHAnsi" w:eastAsia="Calibri" w:hAnsiTheme="majorHAnsi"/>
          </w:rPr>
          <w:t>Realizimi i angazhimeve të auditimit</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_Toc9082381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53</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2" w:history="1">
        <w:r w:rsidR="00C30DB5" w:rsidRPr="00C2223F">
          <w:rPr>
            <w:rStyle w:val="Hyperlink"/>
            <w:rFonts w:asciiTheme="majorHAnsi" w:hAnsiTheme="majorHAnsi"/>
          </w:rPr>
          <w:t>3. Gjetjet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_Toc9082382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54</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3" w:history="1">
        <w:r w:rsidR="00C30DB5" w:rsidRPr="00C2223F">
          <w:rPr>
            <w:rStyle w:val="Hyperlink"/>
            <w:rFonts w:asciiTheme="majorHAnsi" w:hAnsiTheme="majorHAnsi"/>
          </w:rPr>
          <w:t>4. Rekomandimet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_Toc9082383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55</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4" w:history="1">
        <w:r w:rsidR="00C30DB5" w:rsidRPr="00C2223F">
          <w:rPr>
            <w:rStyle w:val="Hyperlink"/>
            <w:rFonts w:asciiTheme="majorHAnsi" w:eastAsia="Calibri" w:hAnsiTheme="majorHAnsi"/>
            <w:lang w:val="sq-AL" w:eastAsia="en-US"/>
          </w:rPr>
          <w:t>5. Realizimi i planit vjetor të angazhimeve</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_Toc9082384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56</w:t>
        </w:r>
        <w:r w:rsidR="00C30DB5" w:rsidRPr="00C2223F">
          <w:rPr>
            <w:rFonts w:asciiTheme="majorHAnsi" w:hAnsiTheme="majorHAnsi"/>
            <w:webHidden/>
          </w:rPr>
          <w:fldChar w:fldCharType="end"/>
        </w:r>
      </w:hyperlink>
    </w:p>
    <w:p w:rsidR="00C30DB5" w:rsidRPr="00C2223F" w:rsidRDefault="00C52EB8">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85" w:history="1">
        <w:r w:rsidR="00C30DB5" w:rsidRPr="00C2223F">
          <w:rPr>
            <w:rStyle w:val="Hyperlink"/>
            <w:rFonts w:asciiTheme="majorHAnsi" w:hAnsiTheme="majorHAnsi"/>
            <w:noProof/>
            <w:sz w:val="22"/>
            <w:szCs w:val="22"/>
          </w:rPr>
          <w:t>ANEKSI III. PYETËSORI I VETËVLERËSIMIT TË NJAB</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_Toc9082385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58</w:t>
        </w:r>
        <w:r w:rsidR="00C30DB5" w:rsidRPr="00C2223F">
          <w:rPr>
            <w:rFonts w:asciiTheme="majorHAnsi" w:hAnsiTheme="majorHAnsi"/>
            <w:noProof/>
            <w:webHidden/>
            <w:sz w:val="22"/>
            <w:szCs w:val="22"/>
          </w:rPr>
          <w:fldChar w:fldCharType="end"/>
        </w:r>
      </w:hyperlink>
    </w:p>
    <w:p w:rsidR="00E76EFF" w:rsidRPr="00C2223F" w:rsidRDefault="00E76EFF">
      <w:pPr>
        <w:rPr>
          <w:rFonts w:asciiTheme="majorHAnsi" w:hAnsiTheme="majorHAnsi"/>
          <w:sz w:val="22"/>
          <w:szCs w:val="22"/>
          <w:lang w:val="sq-AL"/>
        </w:rPr>
      </w:pPr>
      <w:r w:rsidRPr="00C2223F">
        <w:rPr>
          <w:rFonts w:asciiTheme="majorHAnsi" w:hAnsiTheme="majorHAnsi"/>
          <w:b/>
          <w:bCs/>
          <w:noProof/>
          <w:sz w:val="22"/>
          <w:szCs w:val="22"/>
          <w:lang w:val="sq-AL"/>
        </w:rPr>
        <w:fldChar w:fldCharType="end"/>
      </w:r>
    </w:p>
    <w:p w:rsidR="00C76114" w:rsidRPr="00C2223F" w:rsidRDefault="00C76114" w:rsidP="003D4530">
      <w:pPr>
        <w:rPr>
          <w:rFonts w:asciiTheme="majorHAnsi" w:hAnsiTheme="majorHAnsi"/>
          <w:sz w:val="22"/>
          <w:szCs w:val="22"/>
          <w:lang w:val="sq-AL" w:eastAsia="en-US"/>
        </w:rPr>
      </w:pPr>
    </w:p>
    <w:p w:rsidR="00C76114" w:rsidRPr="00127214" w:rsidRDefault="00C76114" w:rsidP="003D4530">
      <w:pPr>
        <w:rPr>
          <w:rFonts w:asciiTheme="majorHAnsi" w:hAnsiTheme="majorHAnsi"/>
          <w:lang w:val="sq-AL" w:eastAsia="en-US"/>
        </w:rPr>
      </w:pPr>
    </w:p>
    <w:p w:rsidR="00C76114" w:rsidRPr="00604C05" w:rsidRDefault="00C76114" w:rsidP="003D4530">
      <w:pPr>
        <w:rPr>
          <w:lang w:val="sq-AL" w:eastAsia="en-US"/>
        </w:rPr>
      </w:pPr>
    </w:p>
    <w:p w:rsidR="00622988" w:rsidRPr="00604C05" w:rsidRDefault="00622988" w:rsidP="00265FA9">
      <w:pPr>
        <w:pStyle w:val="Heading1"/>
        <w:rPr>
          <w:lang w:val="sq-AL"/>
        </w:rPr>
      </w:pPr>
      <w:bookmarkStart w:id="2" w:name="_Toc451511560"/>
    </w:p>
    <w:p w:rsidR="00622988" w:rsidRDefault="00622988" w:rsidP="00265FA9">
      <w:pPr>
        <w:pStyle w:val="Heading1"/>
        <w:rPr>
          <w:lang w:val="sq-AL"/>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FE0B8D" w:rsidRPr="00604C05" w:rsidRDefault="00A81B2B" w:rsidP="00265FA9">
      <w:pPr>
        <w:pStyle w:val="Heading1"/>
        <w:rPr>
          <w:lang w:val="sq-AL"/>
        </w:rPr>
      </w:pPr>
      <w:bookmarkStart w:id="3" w:name="_Toc9082361"/>
      <w:r w:rsidRPr="00604C05">
        <w:rPr>
          <w:lang w:val="sq-AL"/>
        </w:rPr>
        <w:t>Lista e shkurtimeve</w:t>
      </w:r>
      <w:bookmarkEnd w:id="2"/>
      <w:bookmarkEnd w:id="3"/>
    </w:p>
    <w:p w:rsidR="00FD5AE4" w:rsidRPr="00604C05" w:rsidRDefault="00FD5AE4" w:rsidP="00FD5AE4">
      <w:pPr>
        <w:rPr>
          <w:lang w:val="sq-AL" w:eastAsia="en-US"/>
        </w:rPr>
      </w:pPr>
    </w:p>
    <w:p w:rsidR="006E4B41" w:rsidRPr="00604C05" w:rsidRDefault="006E4B41" w:rsidP="00FD5AE4">
      <w:pPr>
        <w:tabs>
          <w:tab w:val="left" w:pos="709"/>
        </w:tabs>
        <w:jc w:val="both"/>
        <w:rPr>
          <w:rFonts w:ascii="Cambria" w:hAnsi="Cambria"/>
          <w:b/>
          <w:lang w:val="sq-AL"/>
        </w:rPr>
      </w:pP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AB</w:t>
      </w:r>
      <w:r w:rsidRPr="00604C05">
        <w:rPr>
          <w:rFonts w:ascii="Cambria" w:eastAsia="Batang" w:hAnsi="Cambria"/>
          <w:bCs/>
          <w:kern w:val="28"/>
          <w:lang w:val="sq-AL"/>
        </w:rPr>
        <w:tab/>
      </w:r>
      <w:r w:rsidRPr="00604C05">
        <w:rPr>
          <w:rFonts w:ascii="Cambria" w:eastAsia="Batang" w:hAnsi="Cambria"/>
          <w:bCs/>
          <w:kern w:val="28"/>
          <w:lang w:val="sq-AL"/>
        </w:rPr>
        <w:tab/>
      </w:r>
      <w:r w:rsidRPr="00604C05">
        <w:rPr>
          <w:rFonts w:ascii="Cambria" w:eastAsia="Batang" w:hAnsi="Cambria"/>
          <w:bCs/>
          <w:kern w:val="28"/>
          <w:lang w:val="sq-AL"/>
        </w:rPr>
        <w:tab/>
        <w:t>Audit</w:t>
      </w:r>
      <w:r w:rsidR="00D75928" w:rsidRPr="00604C05">
        <w:rPr>
          <w:rFonts w:ascii="Cambria" w:eastAsia="Batang" w:hAnsi="Cambria"/>
          <w:bCs/>
          <w:kern w:val="28"/>
          <w:lang w:val="sq-AL"/>
        </w:rPr>
        <w:t>imi</w:t>
      </w:r>
      <w:r w:rsidRPr="00604C05">
        <w:rPr>
          <w:rFonts w:ascii="Cambria" w:eastAsia="Batang" w:hAnsi="Cambria"/>
          <w:bCs/>
          <w:kern w:val="28"/>
          <w:lang w:val="sq-AL"/>
        </w:rPr>
        <w:t xml:space="preserve"> i Brendshëm </w:t>
      </w:r>
    </w:p>
    <w:p w:rsidR="00E56E0A" w:rsidRPr="00604C05" w:rsidRDefault="00E56E0A"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ASPA</w:t>
      </w:r>
      <w:r w:rsidRPr="00604C05">
        <w:rPr>
          <w:rFonts w:ascii="Cambria" w:eastAsia="Batang" w:hAnsi="Cambria"/>
          <w:b/>
          <w:bCs/>
          <w:kern w:val="28"/>
          <w:lang w:val="sq-AL"/>
        </w:rPr>
        <w:tab/>
      </w:r>
      <w:r w:rsidRPr="00604C05">
        <w:rPr>
          <w:rFonts w:ascii="Cambria" w:eastAsia="Batang" w:hAnsi="Cambria"/>
          <w:b/>
          <w:bCs/>
          <w:kern w:val="28"/>
          <w:lang w:val="sq-AL"/>
        </w:rPr>
        <w:tab/>
      </w:r>
      <w:r w:rsidRPr="00604C05">
        <w:rPr>
          <w:rFonts w:ascii="Cambria" w:eastAsia="Batang" w:hAnsi="Cambria"/>
          <w:bCs/>
          <w:kern w:val="28"/>
          <w:lang w:val="sq-AL"/>
        </w:rPr>
        <w:t>Shkolla Shqiptare e Administrat</w:t>
      </w:r>
      <w:r w:rsidR="00F408F8" w:rsidRPr="00604C05">
        <w:rPr>
          <w:rFonts w:ascii="Cambria" w:eastAsia="Batang" w:hAnsi="Cambria"/>
          <w:bCs/>
          <w:kern w:val="28"/>
          <w:lang w:val="sq-AL"/>
        </w:rPr>
        <w:t>ë</w:t>
      </w:r>
      <w:r w:rsidRPr="00604C05">
        <w:rPr>
          <w:rFonts w:ascii="Cambria" w:eastAsia="Batang" w:hAnsi="Cambria"/>
          <w:bCs/>
          <w:kern w:val="28"/>
          <w:lang w:val="sq-AL"/>
        </w:rPr>
        <w:t>s Publike</w:t>
      </w:r>
    </w:p>
    <w:p w:rsidR="00B012BA" w:rsidRPr="00604C05" w:rsidRDefault="00B012BA"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BE</w:t>
      </w:r>
      <w:r w:rsidRPr="00604C05">
        <w:rPr>
          <w:rFonts w:ascii="Cambria" w:eastAsia="Batang" w:hAnsi="Cambria"/>
          <w:b/>
          <w:bCs/>
          <w:kern w:val="28"/>
          <w:lang w:val="sq-AL"/>
        </w:rPr>
        <w:tab/>
      </w:r>
      <w:r w:rsidRPr="00604C05">
        <w:rPr>
          <w:rFonts w:ascii="Cambria" w:eastAsia="Batang" w:hAnsi="Cambria"/>
          <w:b/>
          <w:bCs/>
          <w:kern w:val="28"/>
          <w:lang w:val="sq-AL"/>
        </w:rPr>
        <w:tab/>
      </w:r>
      <w:r w:rsidRPr="00604C05">
        <w:rPr>
          <w:rFonts w:ascii="Cambria" w:eastAsia="Batang" w:hAnsi="Cambria"/>
          <w:b/>
          <w:bCs/>
          <w:kern w:val="28"/>
          <w:lang w:val="sq-AL"/>
        </w:rPr>
        <w:tab/>
      </w:r>
      <w:r w:rsidRPr="00604C05">
        <w:rPr>
          <w:rFonts w:ascii="Cambria" w:eastAsia="Batang" w:hAnsi="Cambria"/>
          <w:bCs/>
          <w:kern w:val="28"/>
          <w:lang w:val="sq-AL"/>
        </w:rPr>
        <w:t>Bashkimi Europian</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bCs/>
          <w:kern w:val="28"/>
          <w:lang w:val="sq-AL"/>
        </w:rPr>
        <w:t>KBFP</w:t>
      </w:r>
      <w:r w:rsidR="006E4B41" w:rsidRPr="00604C05">
        <w:rPr>
          <w:rFonts w:ascii="Cambria" w:eastAsia="Batang" w:hAnsi="Cambria"/>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Kontrolli i Brendshëm Financiar Publik</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KB</w:t>
      </w:r>
      <w:r w:rsidR="006E4B41" w:rsidRPr="00604C05">
        <w:rPr>
          <w:rFonts w:ascii="Cambria" w:eastAsia="Batang" w:hAnsi="Cambria"/>
          <w:b/>
          <w:bCs/>
          <w:kern w:val="28"/>
          <w:lang w:val="sq-AL"/>
        </w:rPr>
        <w:tab/>
      </w:r>
      <w:r w:rsidR="006E4B41" w:rsidRPr="00604C05">
        <w:rPr>
          <w:rFonts w:ascii="Cambria" w:eastAsia="Batang" w:hAnsi="Cambria"/>
          <w:b/>
          <w:bCs/>
          <w:kern w:val="28"/>
          <w:lang w:val="sq-AL"/>
        </w:rPr>
        <w:tab/>
      </w:r>
      <w:r w:rsidR="006E4B41" w:rsidRPr="00604C05">
        <w:rPr>
          <w:rFonts w:ascii="Cambria" w:eastAsia="Batang" w:hAnsi="Cambria"/>
          <w:b/>
          <w:bCs/>
          <w:kern w:val="28"/>
          <w:lang w:val="sq-AL"/>
        </w:rPr>
        <w:tab/>
      </w:r>
      <w:r w:rsidRPr="00604C05">
        <w:rPr>
          <w:rFonts w:ascii="Cambria" w:eastAsia="Batang" w:hAnsi="Cambria"/>
          <w:bCs/>
          <w:kern w:val="28"/>
          <w:lang w:val="sq-AL"/>
        </w:rPr>
        <w:t>Kontrolli i Brendshëm</w:t>
      </w:r>
    </w:p>
    <w:p w:rsidR="00FD5AE4"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KLSH</w:t>
      </w:r>
      <w:r w:rsidR="006E4B41" w:rsidRPr="00604C05">
        <w:rPr>
          <w:rFonts w:ascii="Cambria" w:eastAsia="Batang" w:hAnsi="Cambria"/>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 xml:space="preserve">Kontrolli i Lartë </w:t>
      </w:r>
      <w:r w:rsidR="000F665B" w:rsidRPr="00604C05">
        <w:rPr>
          <w:rFonts w:ascii="Cambria" w:eastAsia="Batang" w:hAnsi="Cambria"/>
          <w:bCs/>
          <w:kern w:val="28"/>
          <w:lang w:val="sq-AL"/>
        </w:rPr>
        <w:t>i</w:t>
      </w:r>
      <w:r w:rsidRPr="00604C05">
        <w:rPr>
          <w:rFonts w:ascii="Cambria" w:eastAsia="Batang" w:hAnsi="Cambria"/>
          <w:bCs/>
          <w:kern w:val="28"/>
          <w:lang w:val="sq-AL"/>
        </w:rPr>
        <w:t xml:space="preserve"> Shtetit</w:t>
      </w:r>
    </w:p>
    <w:p w:rsidR="00E96AA3" w:rsidRPr="00604C05" w:rsidRDefault="00E96AA3"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 xml:space="preserve">MFE  </w:t>
      </w:r>
      <w:r w:rsidRPr="00604C05">
        <w:rPr>
          <w:rFonts w:ascii="Cambria" w:eastAsia="Batang" w:hAnsi="Cambria"/>
          <w:bCs/>
          <w:kern w:val="28"/>
          <w:lang w:val="sq-AL"/>
        </w:rPr>
        <w:t xml:space="preserve">                       Ministria e Financave dhe Ekonomis</w:t>
      </w:r>
      <w:r w:rsidR="0046012F" w:rsidRPr="00604C05">
        <w:rPr>
          <w:rFonts w:ascii="Cambria" w:eastAsia="Batang" w:hAnsi="Cambria"/>
          <w:bCs/>
          <w:kern w:val="28"/>
          <w:lang w:val="sq-AL"/>
        </w:rPr>
        <w:t>ë</w:t>
      </w:r>
      <w:r w:rsidRPr="00604C05">
        <w:rPr>
          <w:rFonts w:ascii="Cambria" w:eastAsia="Batang" w:hAnsi="Cambria"/>
          <w:bCs/>
          <w:kern w:val="28"/>
          <w:lang w:val="sq-AL"/>
        </w:rPr>
        <w:t xml:space="preserve"> </w:t>
      </w:r>
    </w:p>
    <w:p w:rsidR="006E4B41" w:rsidRPr="00604C05" w:rsidRDefault="00FD5AE4"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 xml:space="preserve">MFK                        </w:t>
      </w:r>
      <w:r w:rsidRPr="00604C05">
        <w:rPr>
          <w:rFonts w:ascii="Cambria" w:eastAsia="Batang" w:hAnsi="Cambria"/>
          <w:bCs/>
          <w:kern w:val="28"/>
          <w:lang w:val="sq-AL"/>
        </w:rPr>
        <w:t>Menaxhimi Financiar dhe Kontrolli</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kern w:val="28"/>
          <w:lang w:val="sq-AL"/>
        </w:rPr>
        <w:t>NA</w:t>
      </w:r>
      <w:r w:rsidR="006E4B41" w:rsidRPr="00604C05">
        <w:rPr>
          <w:rFonts w:ascii="Cambria" w:eastAsia="Batang" w:hAnsi="Cambria"/>
          <w:b/>
          <w:kern w:val="28"/>
          <w:lang w:val="sq-AL"/>
        </w:rPr>
        <w:tab/>
      </w:r>
      <w:r w:rsidR="006E4B41" w:rsidRPr="00604C05">
        <w:rPr>
          <w:rFonts w:ascii="Cambria" w:eastAsia="Batang" w:hAnsi="Cambria"/>
          <w:b/>
          <w:kern w:val="28"/>
          <w:lang w:val="sq-AL"/>
        </w:rPr>
        <w:tab/>
      </w:r>
      <w:r w:rsidR="006E4B41" w:rsidRPr="00604C05">
        <w:rPr>
          <w:rFonts w:ascii="Cambria" w:eastAsia="Batang" w:hAnsi="Cambria"/>
          <w:b/>
          <w:kern w:val="28"/>
          <w:lang w:val="sq-AL"/>
        </w:rPr>
        <w:tab/>
      </w:r>
      <w:r w:rsidRPr="00604C05">
        <w:rPr>
          <w:rFonts w:ascii="Cambria" w:eastAsia="Batang" w:hAnsi="Cambria"/>
          <w:kern w:val="28"/>
          <w:lang w:val="sq-AL"/>
        </w:rPr>
        <w:t>Nëpunës Autorizues</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
          <w:kern w:val="28"/>
          <w:lang w:val="sq-AL"/>
        </w:rPr>
      </w:pPr>
      <w:r w:rsidRPr="00604C05">
        <w:rPr>
          <w:rFonts w:ascii="Cambria" w:eastAsia="Batang" w:hAnsi="Cambria"/>
          <w:b/>
          <w:kern w:val="28"/>
          <w:lang w:val="sq-AL"/>
        </w:rPr>
        <w:t>NPA</w:t>
      </w:r>
      <w:r w:rsidR="006E4B41" w:rsidRPr="00604C05">
        <w:rPr>
          <w:rFonts w:ascii="Cambria" w:eastAsia="Batang" w:hAnsi="Cambria"/>
          <w:b/>
          <w:kern w:val="28"/>
          <w:lang w:val="sq-AL"/>
        </w:rPr>
        <w:tab/>
      </w:r>
      <w:r w:rsidR="006E4B41" w:rsidRPr="00604C05">
        <w:rPr>
          <w:rFonts w:ascii="Cambria" w:eastAsia="Batang" w:hAnsi="Cambria"/>
          <w:b/>
          <w:kern w:val="28"/>
          <w:lang w:val="sq-AL"/>
        </w:rPr>
        <w:tab/>
      </w:r>
      <w:r w:rsidRPr="00604C05">
        <w:rPr>
          <w:rFonts w:ascii="Cambria" w:eastAsia="Batang" w:hAnsi="Cambria"/>
          <w:kern w:val="28"/>
          <w:lang w:val="sq-AL"/>
        </w:rPr>
        <w:t>Nëpunës i Parë Autorizues</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kern w:val="28"/>
          <w:lang w:val="sq-AL"/>
        </w:rPr>
        <w:t>NZ</w:t>
      </w:r>
      <w:r w:rsidRPr="00604C05">
        <w:rPr>
          <w:rFonts w:ascii="Cambria" w:eastAsia="Batang" w:hAnsi="Cambria"/>
          <w:b/>
          <w:kern w:val="28"/>
          <w:lang w:val="sq-AL"/>
        </w:rPr>
        <w:tab/>
      </w:r>
      <w:r w:rsidRPr="00604C05">
        <w:rPr>
          <w:rFonts w:ascii="Cambria" w:eastAsia="Batang" w:hAnsi="Cambria"/>
          <w:b/>
          <w:kern w:val="28"/>
          <w:lang w:val="sq-AL"/>
        </w:rPr>
        <w:tab/>
      </w:r>
      <w:r w:rsidRPr="00604C05">
        <w:rPr>
          <w:rFonts w:ascii="Cambria" w:eastAsia="Batang" w:hAnsi="Cambria"/>
          <w:kern w:val="28"/>
          <w:lang w:val="sq-AL"/>
        </w:rPr>
        <w:t xml:space="preserve">             Nëpunës Zbatues</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kern w:val="28"/>
          <w:lang w:val="sq-AL"/>
        </w:rPr>
        <w:t>D</w:t>
      </w:r>
      <w:r w:rsidR="006E4B41" w:rsidRPr="00604C05">
        <w:rPr>
          <w:rFonts w:ascii="Cambria" w:eastAsia="Batang" w:hAnsi="Cambria"/>
          <w:b/>
          <w:kern w:val="28"/>
          <w:lang w:val="sq-AL"/>
        </w:rPr>
        <w:t>H/AB</w:t>
      </w:r>
      <w:r w:rsidRPr="00604C05">
        <w:rPr>
          <w:rFonts w:ascii="Cambria" w:eastAsia="Batang" w:hAnsi="Cambria"/>
          <w:kern w:val="28"/>
          <w:lang w:val="sq-AL"/>
        </w:rPr>
        <w:tab/>
        <w:t xml:space="preserve">             Drejtoria e Harmonizimit për Auditimin e Brendshëm</w:t>
      </w:r>
    </w:p>
    <w:p w:rsidR="006E4B41" w:rsidRPr="00604C05" w:rsidRDefault="00FD5AE4" w:rsidP="00E375C2">
      <w:pPr>
        <w:widowControl w:val="0"/>
        <w:overflowPunct w:val="0"/>
        <w:autoSpaceDE w:val="0"/>
        <w:autoSpaceDN w:val="0"/>
        <w:adjustRightInd w:val="0"/>
        <w:spacing w:line="360" w:lineRule="auto"/>
        <w:ind w:left="2124" w:hanging="1764"/>
        <w:jc w:val="both"/>
        <w:rPr>
          <w:rFonts w:ascii="Cambria" w:eastAsia="Batang" w:hAnsi="Cambria"/>
          <w:kern w:val="28"/>
          <w:lang w:val="sq-AL"/>
        </w:rPr>
      </w:pPr>
      <w:r w:rsidRPr="00604C05">
        <w:rPr>
          <w:rFonts w:ascii="Cambria" w:eastAsia="Batang" w:hAnsi="Cambria"/>
          <w:b/>
          <w:kern w:val="28"/>
          <w:lang w:val="sq-AL"/>
        </w:rPr>
        <w:t>DH/MFK</w:t>
      </w:r>
      <w:r w:rsidR="00E375C2">
        <w:rPr>
          <w:rFonts w:ascii="Cambria" w:eastAsia="Batang" w:hAnsi="Cambria"/>
          <w:b/>
          <w:kern w:val="28"/>
          <w:lang w:val="sq-AL"/>
        </w:rPr>
        <w:t>K</w:t>
      </w:r>
      <w:r w:rsidR="006E4B41" w:rsidRPr="00604C05">
        <w:rPr>
          <w:rFonts w:ascii="Cambria" w:eastAsia="Batang" w:hAnsi="Cambria"/>
          <w:kern w:val="28"/>
          <w:lang w:val="sq-AL"/>
        </w:rPr>
        <w:tab/>
      </w:r>
      <w:r w:rsidRPr="00604C05">
        <w:rPr>
          <w:rFonts w:ascii="Cambria" w:eastAsia="Batang" w:hAnsi="Cambria"/>
          <w:kern w:val="28"/>
          <w:lang w:val="sq-AL"/>
        </w:rPr>
        <w:t>Drejtoria e Harmonizim</w:t>
      </w:r>
      <w:r w:rsidR="00E375C2">
        <w:rPr>
          <w:rFonts w:ascii="Cambria" w:eastAsia="Batang" w:hAnsi="Cambria"/>
          <w:kern w:val="28"/>
          <w:lang w:val="sq-AL"/>
        </w:rPr>
        <w:t xml:space="preserve">it për Menaxhimin Financiar, </w:t>
      </w:r>
      <w:r w:rsidRPr="00604C05">
        <w:rPr>
          <w:rFonts w:ascii="Cambria" w:eastAsia="Batang" w:hAnsi="Cambria"/>
          <w:kern w:val="28"/>
          <w:lang w:val="sq-AL"/>
        </w:rPr>
        <w:t>Kontrollin</w:t>
      </w:r>
      <w:r w:rsidR="00E375C2">
        <w:rPr>
          <w:rFonts w:ascii="Cambria" w:eastAsia="Batang" w:hAnsi="Cambria"/>
          <w:kern w:val="28"/>
          <w:lang w:val="sq-AL"/>
        </w:rPr>
        <w:t xml:space="preserve"> dhe Kontabilitetin</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NJQP</w:t>
      </w:r>
      <w:r w:rsidR="006E4B41" w:rsidRPr="00604C05">
        <w:rPr>
          <w:rFonts w:ascii="Cambria" w:eastAsia="Batang" w:hAnsi="Cambria"/>
          <w:b/>
          <w:bCs/>
          <w:kern w:val="28"/>
          <w:lang w:val="sq-AL"/>
        </w:rPr>
        <w:tab/>
      </w:r>
      <w:r w:rsidR="006E4B41" w:rsidRPr="00604C05">
        <w:rPr>
          <w:rFonts w:ascii="Cambria" w:eastAsia="Batang" w:hAnsi="Cambria"/>
          <w:b/>
          <w:bCs/>
          <w:kern w:val="28"/>
          <w:lang w:val="sq-AL"/>
        </w:rPr>
        <w:tab/>
      </w:r>
      <w:r w:rsidRPr="00604C05">
        <w:rPr>
          <w:rFonts w:ascii="Cambria" w:eastAsia="Batang" w:hAnsi="Cambria"/>
          <w:bCs/>
          <w:kern w:val="28"/>
          <w:lang w:val="sq-AL"/>
        </w:rPr>
        <w:t>Njësi e Qeverisjes së Përgjithshme</w:t>
      </w:r>
    </w:p>
    <w:p w:rsidR="00FD5AE4" w:rsidRPr="00604C05" w:rsidRDefault="00FD5AE4"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NJQQ</w:t>
      </w:r>
      <w:r w:rsidR="006E4B41" w:rsidRPr="00604C05">
        <w:rPr>
          <w:rFonts w:ascii="Cambria" w:eastAsia="Batang" w:hAnsi="Cambria"/>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Njësi e Qeverisjes Qendrore</w:t>
      </w:r>
    </w:p>
    <w:p w:rsidR="00FD5AE4" w:rsidRPr="00604C05" w:rsidRDefault="00FD5AE4"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NJQV</w:t>
      </w:r>
      <w:r w:rsidR="006E4B41" w:rsidRPr="00604C05">
        <w:rPr>
          <w:rFonts w:ascii="Cambria" w:eastAsia="Batang" w:hAnsi="Cambria"/>
          <w:b/>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Njësi e Qeverisjes Vendore</w:t>
      </w:r>
    </w:p>
    <w:p w:rsidR="006E4B41" w:rsidRPr="00604C05" w:rsidRDefault="00FD5AE4" w:rsidP="00FD5AE4">
      <w:pPr>
        <w:widowControl w:val="0"/>
        <w:overflowPunct w:val="0"/>
        <w:autoSpaceDE w:val="0"/>
        <w:autoSpaceDN w:val="0"/>
        <w:adjustRightInd w:val="0"/>
        <w:spacing w:line="360" w:lineRule="auto"/>
        <w:ind w:left="360"/>
        <w:jc w:val="both"/>
        <w:rPr>
          <w:rFonts w:ascii="Cambria" w:hAnsi="Cambria"/>
          <w:bCs/>
          <w:lang w:val="sq-AL"/>
        </w:rPr>
      </w:pPr>
      <w:r w:rsidRPr="00604C05">
        <w:rPr>
          <w:rFonts w:ascii="Cambria" w:hAnsi="Cambria"/>
          <w:b/>
          <w:bCs/>
          <w:lang w:val="sq-AL"/>
        </w:rPr>
        <w:t>GMS</w:t>
      </w:r>
      <w:r w:rsidR="006E4B41" w:rsidRPr="00604C05">
        <w:rPr>
          <w:rFonts w:ascii="Cambria" w:hAnsi="Cambria"/>
          <w:bCs/>
          <w:lang w:val="sq-AL"/>
        </w:rPr>
        <w:tab/>
      </w:r>
      <w:r w:rsidR="006E4B41" w:rsidRPr="00604C05">
        <w:rPr>
          <w:rFonts w:ascii="Cambria" w:hAnsi="Cambria"/>
          <w:bCs/>
          <w:lang w:val="sq-AL"/>
        </w:rPr>
        <w:tab/>
      </w:r>
      <w:r w:rsidRPr="00604C05">
        <w:rPr>
          <w:rFonts w:ascii="Cambria" w:hAnsi="Cambria"/>
          <w:bCs/>
          <w:lang w:val="sq-AL"/>
        </w:rPr>
        <w:t>Grupi për Menaxhimin Strategjik</w:t>
      </w:r>
    </w:p>
    <w:p w:rsidR="006E4B41" w:rsidRPr="00604C05" w:rsidRDefault="00FD5AE4" w:rsidP="006E4B41">
      <w:pPr>
        <w:spacing w:line="360" w:lineRule="auto"/>
        <w:ind w:left="360"/>
        <w:jc w:val="both"/>
        <w:rPr>
          <w:rFonts w:ascii="Cambria" w:hAnsi="Cambria"/>
          <w:lang w:val="sq-AL"/>
        </w:rPr>
      </w:pPr>
      <w:r w:rsidRPr="00604C05">
        <w:rPr>
          <w:rFonts w:ascii="Cambria" w:hAnsi="Cambria"/>
          <w:b/>
          <w:lang w:val="sq-AL"/>
        </w:rPr>
        <w:t>RSH</w:t>
      </w:r>
      <w:r w:rsidR="006E4B41" w:rsidRPr="00604C05">
        <w:rPr>
          <w:rFonts w:ascii="Cambria" w:hAnsi="Cambria"/>
          <w:b/>
          <w:lang w:val="sq-AL"/>
        </w:rPr>
        <w:tab/>
      </w:r>
      <w:r w:rsidR="00A1037F" w:rsidRPr="00604C05">
        <w:rPr>
          <w:rFonts w:ascii="Cambria" w:hAnsi="Cambria"/>
          <w:b/>
          <w:lang w:val="sq-AL"/>
        </w:rPr>
        <w:t xml:space="preserve">             </w:t>
      </w:r>
      <w:r w:rsidRPr="00604C05">
        <w:rPr>
          <w:rFonts w:ascii="Cambria" w:hAnsi="Cambria"/>
          <w:b/>
          <w:lang w:val="sq-AL"/>
        </w:rPr>
        <w:t xml:space="preserve"> </w:t>
      </w:r>
      <w:r w:rsidRPr="00604C05">
        <w:rPr>
          <w:rFonts w:ascii="Cambria" w:hAnsi="Cambria"/>
          <w:lang w:val="sq-AL"/>
        </w:rPr>
        <w:t>Republika e</w:t>
      </w:r>
      <w:r w:rsidR="006E4B41" w:rsidRPr="00604C05">
        <w:rPr>
          <w:rFonts w:ascii="Cambria" w:hAnsi="Cambria"/>
          <w:lang w:val="sq-AL"/>
        </w:rPr>
        <w:t xml:space="preserve"> </w:t>
      </w:r>
      <w:r w:rsidRPr="00604C05">
        <w:rPr>
          <w:rFonts w:ascii="Cambria" w:hAnsi="Cambria"/>
          <w:lang w:val="sq-AL"/>
        </w:rPr>
        <w:t>Shqipërisë</w:t>
      </w:r>
    </w:p>
    <w:p w:rsidR="00A81B2B" w:rsidRPr="00604C05" w:rsidRDefault="00A81B2B" w:rsidP="00A81B2B">
      <w:pPr>
        <w:spacing w:after="200"/>
        <w:rPr>
          <w:rFonts w:ascii="Cambria" w:eastAsia="Calibri" w:hAnsi="Cambria"/>
          <w:b/>
          <w:lang w:val="sq-AL" w:eastAsia="en-US"/>
        </w:rPr>
      </w:pPr>
    </w:p>
    <w:p w:rsidR="006E4B41" w:rsidRPr="00604C05" w:rsidRDefault="006E4B41" w:rsidP="00780107">
      <w:pPr>
        <w:spacing w:after="200"/>
        <w:jc w:val="center"/>
        <w:rPr>
          <w:rFonts w:ascii="Cambria" w:eastAsia="Calibri" w:hAnsi="Cambria"/>
          <w:b/>
          <w:lang w:val="sq-AL" w:eastAsia="en-US"/>
        </w:rPr>
      </w:pPr>
    </w:p>
    <w:p w:rsidR="006E4B41" w:rsidRPr="00604C05" w:rsidRDefault="006E4B41" w:rsidP="00780107">
      <w:pPr>
        <w:spacing w:after="200"/>
        <w:jc w:val="center"/>
        <w:rPr>
          <w:rFonts w:ascii="Cambria" w:eastAsia="Calibri" w:hAnsi="Cambria"/>
          <w:b/>
          <w:lang w:val="sq-AL" w:eastAsia="en-US"/>
        </w:rPr>
      </w:pPr>
    </w:p>
    <w:p w:rsidR="00DB05C0" w:rsidRPr="00604C05" w:rsidRDefault="00DB05C0" w:rsidP="00780107">
      <w:pPr>
        <w:spacing w:after="200"/>
        <w:jc w:val="center"/>
        <w:rPr>
          <w:rFonts w:ascii="Cambria" w:eastAsia="Calibri" w:hAnsi="Cambria"/>
          <w:b/>
          <w:lang w:val="sq-AL" w:eastAsia="en-US"/>
        </w:rPr>
      </w:pPr>
    </w:p>
    <w:p w:rsidR="00DB05C0" w:rsidRPr="00604C05" w:rsidRDefault="00DB05C0" w:rsidP="00780107">
      <w:pPr>
        <w:spacing w:after="200"/>
        <w:jc w:val="center"/>
        <w:rPr>
          <w:rFonts w:ascii="Cambria" w:eastAsia="Calibri" w:hAnsi="Cambria"/>
          <w:b/>
          <w:lang w:val="sq-AL" w:eastAsia="en-US"/>
        </w:rPr>
      </w:pPr>
    </w:p>
    <w:p w:rsidR="00FD5AE4" w:rsidRDefault="00FD5AE4"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Pr="00604C05" w:rsidRDefault="00C2223F" w:rsidP="00780107">
      <w:pPr>
        <w:spacing w:after="200"/>
        <w:jc w:val="center"/>
        <w:rPr>
          <w:rFonts w:ascii="Cambria" w:eastAsia="Calibri" w:hAnsi="Cambria"/>
          <w:b/>
          <w:lang w:val="sq-AL" w:eastAsia="en-US"/>
        </w:rPr>
      </w:pPr>
    </w:p>
    <w:p w:rsidR="00DC6B71" w:rsidRPr="00C30DB5" w:rsidRDefault="00FD5AE4" w:rsidP="00DC6B71">
      <w:pPr>
        <w:pStyle w:val="Heading1"/>
        <w:rPr>
          <w:lang w:val="sq-AL"/>
        </w:rPr>
      </w:pPr>
      <w:bookmarkStart w:id="4" w:name="_Toc451511561"/>
      <w:bookmarkStart w:id="5" w:name="_Toc9082362"/>
      <w:r w:rsidRPr="00C30DB5">
        <w:rPr>
          <w:lang w:val="sq-AL"/>
        </w:rPr>
        <w:t>Lista e tabelave</w:t>
      </w:r>
      <w:bookmarkEnd w:id="4"/>
      <w:bookmarkEnd w:id="5"/>
    </w:p>
    <w:p w:rsidR="00C30DB5" w:rsidRPr="00C30DB5" w:rsidRDefault="00DC6B71">
      <w:pPr>
        <w:pStyle w:val="TableofFigures"/>
        <w:tabs>
          <w:tab w:val="right" w:leader="dot" w:pos="9062"/>
        </w:tabs>
        <w:rPr>
          <w:rFonts w:asciiTheme="minorHAnsi" w:eastAsiaTheme="minorEastAsia" w:hAnsiTheme="minorHAnsi" w:cstheme="minorBidi"/>
          <w:smallCaps w:val="0"/>
          <w:noProof/>
          <w:sz w:val="22"/>
          <w:szCs w:val="22"/>
          <w:lang w:eastAsia="en-US"/>
        </w:rPr>
      </w:pPr>
      <w:r w:rsidRPr="00C30DB5">
        <w:rPr>
          <w:rFonts w:ascii="Cambria" w:hAnsi="Cambria"/>
          <w:lang w:val="sq-AL"/>
        </w:rPr>
        <w:fldChar w:fldCharType="begin"/>
      </w:r>
      <w:r w:rsidRPr="00C30DB5">
        <w:rPr>
          <w:rFonts w:ascii="Cambria" w:hAnsi="Cambria"/>
          <w:lang w:val="sq-AL"/>
        </w:rPr>
        <w:instrText xml:space="preserve"> TOC \h \z \c "Tabela" </w:instrText>
      </w:r>
      <w:r w:rsidRPr="00C30DB5">
        <w:rPr>
          <w:rFonts w:ascii="Cambria" w:hAnsi="Cambria"/>
          <w:lang w:val="sq-AL"/>
        </w:rPr>
        <w:fldChar w:fldCharType="separate"/>
      </w:r>
      <w:hyperlink w:anchor="_Toc9082398" w:history="1">
        <w:r w:rsidR="00C30DB5" w:rsidRPr="00C30DB5">
          <w:rPr>
            <w:rStyle w:val="Hyperlink"/>
            <w:rFonts w:ascii="Cambria" w:hAnsi="Cambria"/>
            <w:i/>
            <w:noProof/>
            <w:lang w:val="sq-AL"/>
          </w:rPr>
          <w:t>Tabela 1. Indikatorët dhe burimet e të dhënave sipas Drejtorive në Ministrinë e Financave dhe Ekonomisë</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_Toc9082398 \h </w:instrText>
        </w:r>
        <w:r w:rsidR="00C30DB5" w:rsidRPr="00C30DB5">
          <w:rPr>
            <w:noProof/>
            <w:webHidden/>
          </w:rPr>
        </w:r>
        <w:r w:rsidR="00C30DB5" w:rsidRPr="00C30DB5">
          <w:rPr>
            <w:noProof/>
            <w:webHidden/>
          </w:rPr>
          <w:fldChar w:fldCharType="separate"/>
        </w:r>
        <w:r w:rsidR="00036EC4">
          <w:rPr>
            <w:noProof/>
            <w:webHidden/>
          </w:rPr>
          <w:t>6</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399" w:history="1">
        <w:r w:rsidR="00C30DB5" w:rsidRPr="00C30DB5">
          <w:rPr>
            <w:rStyle w:val="Hyperlink"/>
            <w:rFonts w:ascii="Cambria" w:hAnsi="Cambria"/>
            <w:i/>
            <w:noProof/>
            <w:lang w:val="sq-AL"/>
          </w:rPr>
          <w:t>Tabela 2. Rankimi i Ministrive të Linjës sipas indikatorëve të performancës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_Toc9082399 \h </w:instrText>
        </w:r>
        <w:r w:rsidR="00C30DB5" w:rsidRPr="00C30DB5">
          <w:rPr>
            <w:noProof/>
            <w:webHidden/>
          </w:rPr>
        </w:r>
        <w:r w:rsidR="00C30DB5" w:rsidRPr="00C30DB5">
          <w:rPr>
            <w:noProof/>
            <w:webHidden/>
          </w:rPr>
          <w:fldChar w:fldCharType="separate"/>
        </w:r>
        <w:r w:rsidR="00036EC4">
          <w:rPr>
            <w:noProof/>
            <w:webHidden/>
          </w:rPr>
          <w:t>7</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0" w:history="1">
        <w:r w:rsidR="00C30DB5" w:rsidRPr="00C30DB5">
          <w:rPr>
            <w:rStyle w:val="Hyperlink"/>
            <w:rFonts w:ascii="Cambria" w:hAnsi="Cambria"/>
            <w:i/>
            <w:noProof/>
            <w:lang w:val="sq-AL"/>
          </w:rPr>
          <w:t>Tabela 3. Rankimi i njësive shpenzuese me buxhet të madh sipas treguesve të performancës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_Toc9082400 \h </w:instrText>
        </w:r>
        <w:r w:rsidR="00C30DB5" w:rsidRPr="00C30DB5">
          <w:rPr>
            <w:noProof/>
            <w:webHidden/>
          </w:rPr>
        </w:r>
        <w:r w:rsidR="00C30DB5" w:rsidRPr="00C30DB5">
          <w:rPr>
            <w:noProof/>
            <w:webHidden/>
          </w:rPr>
          <w:fldChar w:fldCharType="separate"/>
        </w:r>
        <w:r w:rsidR="00036EC4">
          <w:rPr>
            <w:noProof/>
            <w:webHidden/>
          </w:rPr>
          <w:t>8</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1" w:history="1">
        <w:r w:rsidR="00C30DB5" w:rsidRPr="00C30DB5">
          <w:rPr>
            <w:rStyle w:val="Hyperlink"/>
            <w:rFonts w:ascii="Cambria" w:hAnsi="Cambria"/>
            <w:i/>
            <w:noProof/>
            <w:lang w:val="sq-AL"/>
          </w:rPr>
          <w:t>Tabela 4. Rankimi i Bashkive kryesore qendër qarku, sipas indikatorëve të performances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_Toc9082401 \h </w:instrText>
        </w:r>
        <w:r w:rsidR="00C30DB5" w:rsidRPr="00C30DB5">
          <w:rPr>
            <w:noProof/>
            <w:webHidden/>
          </w:rPr>
        </w:r>
        <w:r w:rsidR="00C30DB5" w:rsidRPr="00C30DB5">
          <w:rPr>
            <w:noProof/>
            <w:webHidden/>
          </w:rPr>
          <w:fldChar w:fldCharType="separate"/>
        </w:r>
        <w:r w:rsidR="00036EC4">
          <w:rPr>
            <w:noProof/>
            <w:webHidden/>
          </w:rPr>
          <w:t>8</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2" w:history="1">
        <w:r w:rsidR="00C30DB5" w:rsidRPr="00C30DB5">
          <w:rPr>
            <w:rStyle w:val="Hyperlink"/>
            <w:rFonts w:ascii="Cambria" w:hAnsi="Cambria"/>
            <w:i/>
            <w:noProof/>
            <w:lang w:val="sq-AL"/>
          </w:rPr>
          <w:t>Tabela 5. Rankimi i Bashkive të tjera që kanë njësi auditimi, sipas indikatorëve të performances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_Toc9082402 \h </w:instrText>
        </w:r>
        <w:r w:rsidR="00C30DB5" w:rsidRPr="00C30DB5">
          <w:rPr>
            <w:noProof/>
            <w:webHidden/>
          </w:rPr>
        </w:r>
        <w:r w:rsidR="00C30DB5" w:rsidRPr="00C30DB5">
          <w:rPr>
            <w:noProof/>
            <w:webHidden/>
          </w:rPr>
          <w:fldChar w:fldCharType="separate"/>
        </w:r>
        <w:r w:rsidR="00036EC4">
          <w:rPr>
            <w:noProof/>
            <w:webHidden/>
          </w:rPr>
          <w:t>9</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3" w:history="1">
        <w:r w:rsidR="00C30DB5" w:rsidRPr="00C30DB5">
          <w:rPr>
            <w:rStyle w:val="Hyperlink"/>
            <w:rFonts w:ascii="Cambria" w:hAnsi="Cambria"/>
            <w:i/>
            <w:noProof/>
            <w:lang w:val="sq-AL"/>
          </w:rPr>
          <w:t>Tabela 6. Rankimi i Bashkive që nuk kanë njësi auditimi, sipas indikatorëve të performances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_Toc9082403 \h </w:instrText>
        </w:r>
        <w:r w:rsidR="00C30DB5" w:rsidRPr="00C30DB5">
          <w:rPr>
            <w:noProof/>
            <w:webHidden/>
          </w:rPr>
        </w:r>
        <w:r w:rsidR="00C30DB5" w:rsidRPr="00C30DB5">
          <w:rPr>
            <w:noProof/>
            <w:webHidden/>
          </w:rPr>
          <w:fldChar w:fldCharType="separate"/>
        </w:r>
        <w:r w:rsidR="00036EC4">
          <w:rPr>
            <w:noProof/>
            <w:webHidden/>
          </w:rPr>
          <w:t>10</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4" w:history="1">
        <w:r w:rsidR="00C30DB5" w:rsidRPr="00C30DB5">
          <w:rPr>
            <w:rStyle w:val="Hyperlink"/>
            <w:rFonts w:ascii="Cambria" w:hAnsi="Cambria"/>
            <w:i/>
            <w:noProof/>
            <w:lang w:val="sq-AL"/>
          </w:rPr>
          <w:t>Tabela 7. Rankimi i institucioneve të pavarura sipas indikatorëve të performancës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_Toc9082404 \h </w:instrText>
        </w:r>
        <w:r w:rsidR="00C30DB5" w:rsidRPr="00C30DB5">
          <w:rPr>
            <w:noProof/>
            <w:webHidden/>
          </w:rPr>
        </w:r>
        <w:r w:rsidR="00C30DB5" w:rsidRPr="00C30DB5">
          <w:rPr>
            <w:noProof/>
            <w:webHidden/>
          </w:rPr>
          <w:fldChar w:fldCharType="separate"/>
        </w:r>
        <w:r w:rsidR="00036EC4">
          <w:rPr>
            <w:noProof/>
            <w:webHidden/>
          </w:rPr>
          <w:t>10</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5" w:history="1">
        <w:r w:rsidR="00C30DB5" w:rsidRPr="00C30DB5">
          <w:rPr>
            <w:rStyle w:val="Hyperlink"/>
            <w:rFonts w:ascii="Cambria" w:hAnsi="Cambria"/>
            <w:i/>
            <w:noProof/>
            <w:lang w:val="sq-AL"/>
          </w:rPr>
          <w:t>Tabela 8. Rankimi i Grupit 87, në varësi të Këshillit të Ministrave sipas indikatorëve të performancës</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_Toc9082405 \h </w:instrText>
        </w:r>
        <w:r w:rsidR="00C30DB5" w:rsidRPr="00C30DB5">
          <w:rPr>
            <w:noProof/>
            <w:webHidden/>
          </w:rPr>
        </w:r>
        <w:r w:rsidR="00C30DB5" w:rsidRPr="00C30DB5">
          <w:rPr>
            <w:noProof/>
            <w:webHidden/>
          </w:rPr>
          <w:fldChar w:fldCharType="separate"/>
        </w:r>
        <w:r w:rsidR="00036EC4">
          <w:rPr>
            <w:noProof/>
            <w:webHidden/>
          </w:rPr>
          <w:t>11</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6" w:history="1">
        <w:r w:rsidR="00C30DB5" w:rsidRPr="00C30DB5">
          <w:rPr>
            <w:rStyle w:val="Hyperlink"/>
            <w:rFonts w:ascii="Cambria" w:hAnsi="Cambria"/>
            <w:i/>
            <w:noProof/>
            <w:lang w:val="sq-AL"/>
          </w:rPr>
          <w:t>Tabela 9. Vlerësimi përfundimtar i njësive të auditimit të brendshëm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_Toc9082406 \h </w:instrText>
        </w:r>
        <w:r w:rsidR="00C30DB5" w:rsidRPr="00C30DB5">
          <w:rPr>
            <w:noProof/>
            <w:webHidden/>
          </w:rPr>
        </w:r>
        <w:r w:rsidR="00C30DB5" w:rsidRPr="00C30DB5">
          <w:rPr>
            <w:noProof/>
            <w:webHidden/>
          </w:rPr>
          <w:fldChar w:fldCharType="separate"/>
        </w:r>
        <w:r w:rsidR="00036EC4">
          <w:rPr>
            <w:noProof/>
            <w:webHidden/>
          </w:rPr>
          <w:t>38</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7" w:history="1">
        <w:r w:rsidR="00C30DB5" w:rsidRPr="00C30DB5">
          <w:rPr>
            <w:rStyle w:val="Hyperlink"/>
            <w:rFonts w:ascii="Cambria" w:eastAsia="Times New Roman" w:hAnsi="Cambria"/>
            <w:i/>
            <w:noProof/>
            <w:lang w:val="sq-AL"/>
          </w:rPr>
          <w:t>Tabela 10. Të dhëna për audituesit e brendshëm</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_Toc9082407 \h </w:instrText>
        </w:r>
        <w:r w:rsidR="00C30DB5" w:rsidRPr="00C30DB5">
          <w:rPr>
            <w:noProof/>
            <w:webHidden/>
          </w:rPr>
        </w:r>
        <w:r w:rsidR="00C30DB5" w:rsidRPr="00C30DB5">
          <w:rPr>
            <w:noProof/>
            <w:webHidden/>
          </w:rPr>
          <w:fldChar w:fldCharType="separate"/>
        </w:r>
        <w:r w:rsidR="00036EC4">
          <w:rPr>
            <w:noProof/>
            <w:webHidden/>
          </w:rPr>
          <w:t>51</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8" w:history="1">
        <w:r w:rsidR="00C30DB5" w:rsidRPr="00C30DB5">
          <w:rPr>
            <w:rStyle w:val="Hyperlink"/>
            <w:rFonts w:ascii="Cambria" w:eastAsia="Times New Roman" w:hAnsi="Cambria"/>
            <w:i/>
            <w:noProof/>
            <w:lang w:val="sq-AL"/>
          </w:rPr>
          <w:t>Tabela 11. Gjetjet sipas sistemeve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_Toc9082408 \h </w:instrText>
        </w:r>
        <w:r w:rsidR="00C30DB5" w:rsidRPr="00C30DB5">
          <w:rPr>
            <w:noProof/>
            <w:webHidden/>
          </w:rPr>
        </w:r>
        <w:r w:rsidR="00C30DB5" w:rsidRPr="00C30DB5">
          <w:rPr>
            <w:noProof/>
            <w:webHidden/>
          </w:rPr>
          <w:fldChar w:fldCharType="separate"/>
        </w:r>
        <w:r w:rsidR="00036EC4">
          <w:rPr>
            <w:noProof/>
            <w:webHidden/>
          </w:rPr>
          <w:t>54</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9" w:history="1">
        <w:r w:rsidR="00C30DB5" w:rsidRPr="00C30DB5">
          <w:rPr>
            <w:rStyle w:val="Hyperlink"/>
            <w:rFonts w:ascii="Cambria" w:eastAsia="Times New Roman" w:hAnsi="Cambria"/>
            <w:i/>
            <w:noProof/>
            <w:lang w:val="sq-AL"/>
          </w:rPr>
          <w:t>Tabela 12. Rekomandimet sipas llojit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_Toc9082409 \h </w:instrText>
        </w:r>
        <w:r w:rsidR="00C30DB5" w:rsidRPr="00C30DB5">
          <w:rPr>
            <w:noProof/>
            <w:webHidden/>
          </w:rPr>
        </w:r>
        <w:r w:rsidR="00C30DB5" w:rsidRPr="00C30DB5">
          <w:rPr>
            <w:noProof/>
            <w:webHidden/>
          </w:rPr>
          <w:fldChar w:fldCharType="separate"/>
        </w:r>
        <w:r w:rsidR="00036EC4">
          <w:rPr>
            <w:noProof/>
            <w:webHidden/>
          </w:rPr>
          <w:t>55</w:t>
        </w:r>
        <w:r w:rsidR="00C30DB5" w:rsidRPr="00C30DB5">
          <w:rPr>
            <w:noProof/>
            <w:webHidden/>
          </w:rPr>
          <w:fldChar w:fldCharType="end"/>
        </w:r>
      </w:hyperlink>
    </w:p>
    <w:p w:rsidR="00FD5AE4" w:rsidRPr="00C30DB5" w:rsidRDefault="00DC6B71" w:rsidP="00046972">
      <w:pPr>
        <w:pStyle w:val="Heading1"/>
        <w:rPr>
          <w:sz w:val="20"/>
          <w:szCs w:val="20"/>
          <w:lang w:val="sq-AL"/>
        </w:rPr>
      </w:pPr>
      <w:r w:rsidRPr="00C30DB5">
        <w:rPr>
          <w:sz w:val="20"/>
          <w:szCs w:val="20"/>
          <w:lang w:val="sq-AL"/>
        </w:rPr>
        <w:fldChar w:fldCharType="end"/>
      </w:r>
    </w:p>
    <w:p w:rsidR="00FD5AE4" w:rsidRPr="00C30DB5" w:rsidRDefault="00FD5AE4" w:rsidP="00780107">
      <w:pPr>
        <w:spacing w:after="200"/>
        <w:jc w:val="center"/>
        <w:rPr>
          <w:rFonts w:ascii="Cambria" w:eastAsia="Calibri" w:hAnsi="Cambria"/>
          <w:b/>
          <w:sz w:val="20"/>
          <w:szCs w:val="20"/>
          <w:lang w:val="sq-AL" w:eastAsia="en-US"/>
        </w:rPr>
      </w:pPr>
    </w:p>
    <w:p w:rsidR="00FD5AE4" w:rsidRPr="00C30DB5" w:rsidRDefault="00FD5AE4" w:rsidP="00780107">
      <w:pPr>
        <w:spacing w:after="200"/>
        <w:jc w:val="center"/>
        <w:rPr>
          <w:rFonts w:ascii="Cambria" w:eastAsia="Calibri" w:hAnsi="Cambria"/>
          <w:b/>
          <w:lang w:val="sq-AL" w:eastAsia="en-US"/>
        </w:rPr>
      </w:pPr>
    </w:p>
    <w:p w:rsidR="00FD5AE4" w:rsidRPr="00C30DB5" w:rsidRDefault="00FD5AE4" w:rsidP="00780107">
      <w:pPr>
        <w:spacing w:after="200"/>
        <w:jc w:val="center"/>
        <w:rPr>
          <w:rFonts w:ascii="Cambria" w:eastAsia="Calibri" w:hAnsi="Cambria"/>
          <w:b/>
          <w:lang w:val="sq-AL" w:eastAsia="en-US"/>
        </w:rPr>
      </w:pPr>
    </w:p>
    <w:p w:rsidR="00FD5AE4" w:rsidRPr="00C30DB5" w:rsidRDefault="00617B1A" w:rsidP="00617B1A">
      <w:pPr>
        <w:tabs>
          <w:tab w:val="left" w:pos="5130"/>
        </w:tabs>
        <w:spacing w:after="200"/>
        <w:rPr>
          <w:rFonts w:ascii="Cambria" w:eastAsia="Calibri" w:hAnsi="Cambria"/>
          <w:b/>
          <w:lang w:val="sq-AL" w:eastAsia="en-US"/>
        </w:rPr>
      </w:pPr>
      <w:r w:rsidRPr="00C30DB5">
        <w:rPr>
          <w:rFonts w:ascii="Cambria" w:eastAsia="Calibri" w:hAnsi="Cambria"/>
          <w:b/>
          <w:lang w:val="sq-AL" w:eastAsia="en-US"/>
        </w:rPr>
        <w:tab/>
      </w:r>
    </w:p>
    <w:p w:rsidR="00FD5AE4" w:rsidRPr="00C30DB5" w:rsidRDefault="00FD5AE4" w:rsidP="00780107">
      <w:pPr>
        <w:spacing w:after="200"/>
        <w:jc w:val="center"/>
        <w:rPr>
          <w:rFonts w:ascii="Cambria" w:eastAsia="Calibri" w:hAnsi="Cambria"/>
          <w:b/>
          <w:lang w:val="sq-AL" w:eastAsia="en-US"/>
        </w:rPr>
      </w:pPr>
    </w:p>
    <w:p w:rsidR="00FD5AE4" w:rsidRPr="00C30DB5" w:rsidRDefault="00FD5AE4" w:rsidP="00780107">
      <w:pPr>
        <w:spacing w:after="200"/>
        <w:jc w:val="center"/>
        <w:rPr>
          <w:rFonts w:ascii="Cambria" w:eastAsia="Calibri" w:hAnsi="Cambria"/>
          <w:b/>
          <w:lang w:val="sq-AL" w:eastAsia="en-US"/>
        </w:rPr>
      </w:pPr>
    </w:p>
    <w:p w:rsidR="00DC6B71" w:rsidRPr="00C30DB5" w:rsidRDefault="00DC6B71" w:rsidP="00F92DE2">
      <w:pPr>
        <w:spacing w:after="200"/>
        <w:rPr>
          <w:rFonts w:ascii="Cambria" w:eastAsia="Calibri" w:hAnsi="Cambria"/>
          <w:b/>
          <w:lang w:val="sq-AL" w:eastAsia="en-US"/>
        </w:rPr>
      </w:pPr>
    </w:p>
    <w:p w:rsidR="00FD5AE4" w:rsidRPr="00C30DB5" w:rsidRDefault="00C444B1" w:rsidP="00265FA9">
      <w:pPr>
        <w:pStyle w:val="Heading1"/>
        <w:rPr>
          <w:lang w:val="sq-AL"/>
        </w:rPr>
      </w:pPr>
      <w:bookmarkStart w:id="6" w:name="_Toc451511562"/>
      <w:bookmarkStart w:id="7" w:name="_Toc9082363"/>
      <w:r w:rsidRPr="00C30DB5">
        <w:rPr>
          <w:lang w:val="sq-AL"/>
        </w:rPr>
        <w:t>Lista e grafikëve</w:t>
      </w:r>
      <w:bookmarkEnd w:id="6"/>
      <w:bookmarkEnd w:id="7"/>
    </w:p>
    <w:p w:rsidR="00C30DB5" w:rsidRPr="00C30DB5" w:rsidRDefault="00046972">
      <w:pPr>
        <w:pStyle w:val="TableofFigures"/>
        <w:tabs>
          <w:tab w:val="right" w:leader="dot" w:pos="9062"/>
        </w:tabs>
        <w:rPr>
          <w:rFonts w:asciiTheme="minorHAnsi" w:eastAsiaTheme="minorEastAsia" w:hAnsiTheme="minorHAnsi" w:cstheme="minorBidi"/>
          <w:smallCaps w:val="0"/>
          <w:noProof/>
          <w:sz w:val="22"/>
          <w:szCs w:val="22"/>
          <w:lang w:eastAsia="en-US"/>
        </w:rPr>
      </w:pPr>
      <w:r w:rsidRPr="00C30DB5">
        <w:rPr>
          <w:smallCaps w:val="0"/>
          <w:lang w:val="sq-AL" w:eastAsia="en-US"/>
        </w:rPr>
        <w:fldChar w:fldCharType="begin"/>
      </w:r>
      <w:r w:rsidRPr="00C30DB5">
        <w:rPr>
          <w:smallCaps w:val="0"/>
          <w:lang w:val="sq-AL" w:eastAsia="en-US"/>
        </w:rPr>
        <w:instrText xml:space="preserve"> TOC \h \z \c "Grafiku" </w:instrText>
      </w:r>
      <w:r w:rsidRPr="00C30DB5">
        <w:rPr>
          <w:smallCaps w:val="0"/>
          <w:lang w:val="sq-AL" w:eastAsia="en-US"/>
        </w:rPr>
        <w:fldChar w:fldCharType="separate"/>
      </w:r>
      <w:hyperlink w:anchor="_Toc9082423" w:history="1">
        <w:r w:rsidR="00C30DB5" w:rsidRPr="00C30DB5">
          <w:rPr>
            <w:rStyle w:val="Hyperlink"/>
            <w:rFonts w:ascii="Cambria" w:hAnsi="Cambria"/>
            <w:i/>
            <w:noProof/>
            <w:lang w:val="sq-AL"/>
          </w:rPr>
          <w:t>Grafiku 1. Numri i NJQP-ve që kanë plotësuar pyetësorin e vetëvlerësimit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_Toc9082423 \h </w:instrText>
        </w:r>
        <w:r w:rsidR="00C30DB5" w:rsidRPr="00C30DB5">
          <w:rPr>
            <w:noProof/>
            <w:webHidden/>
          </w:rPr>
        </w:r>
        <w:r w:rsidR="00C30DB5" w:rsidRPr="00C30DB5">
          <w:rPr>
            <w:noProof/>
            <w:webHidden/>
          </w:rPr>
          <w:fldChar w:fldCharType="separate"/>
        </w:r>
        <w:r w:rsidR="00036EC4">
          <w:rPr>
            <w:noProof/>
            <w:webHidden/>
          </w:rPr>
          <w:t>16</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4" w:history="1">
        <w:r w:rsidR="00C30DB5" w:rsidRPr="00C30DB5">
          <w:rPr>
            <w:rStyle w:val="Hyperlink"/>
            <w:rFonts w:ascii="Cambria" w:eastAsia="Times New Roman" w:hAnsi="Cambria"/>
            <w:i/>
            <w:noProof/>
            <w:lang w:val="sq-AL"/>
          </w:rPr>
          <w:t>Grafiku 2. Vitet e eksperiencës si AB</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_Toc9082424 \h </w:instrText>
        </w:r>
        <w:r w:rsidR="00C30DB5" w:rsidRPr="00C30DB5">
          <w:rPr>
            <w:noProof/>
            <w:webHidden/>
          </w:rPr>
        </w:r>
        <w:r w:rsidR="00C30DB5" w:rsidRPr="00C30DB5">
          <w:rPr>
            <w:noProof/>
            <w:webHidden/>
          </w:rPr>
          <w:fldChar w:fldCharType="separate"/>
        </w:r>
        <w:r w:rsidR="00036EC4">
          <w:rPr>
            <w:noProof/>
            <w:webHidden/>
          </w:rPr>
          <w:t>52</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5" w:history="1">
        <w:r w:rsidR="00C30DB5" w:rsidRPr="00C30DB5">
          <w:rPr>
            <w:rStyle w:val="Hyperlink"/>
            <w:rFonts w:ascii="Cambria" w:eastAsia="Times New Roman" w:hAnsi="Cambria"/>
            <w:i/>
            <w:noProof/>
            <w:lang w:val="sq-AL"/>
          </w:rPr>
          <w:t>Grafiku 3. Profili i edukimit të AB</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_Toc9082425 \h </w:instrText>
        </w:r>
        <w:r w:rsidR="00C30DB5" w:rsidRPr="00C30DB5">
          <w:rPr>
            <w:noProof/>
            <w:webHidden/>
          </w:rPr>
        </w:r>
        <w:r w:rsidR="00C30DB5" w:rsidRPr="00C30DB5">
          <w:rPr>
            <w:noProof/>
            <w:webHidden/>
          </w:rPr>
          <w:fldChar w:fldCharType="separate"/>
        </w:r>
        <w:r w:rsidR="00036EC4">
          <w:rPr>
            <w:noProof/>
            <w:webHidden/>
          </w:rPr>
          <w:t>52</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6" w:history="1">
        <w:r w:rsidR="00C30DB5" w:rsidRPr="00C30DB5">
          <w:rPr>
            <w:rStyle w:val="Hyperlink"/>
            <w:rFonts w:ascii="Cambria" w:eastAsia="Times New Roman" w:hAnsi="Cambria"/>
            <w:i/>
            <w:noProof/>
            <w:lang w:val="sq-AL"/>
          </w:rPr>
          <w:t>Grafiku 4. Realizimi i angazhimeve të auditimit, të ndara sipas llojit</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_Toc9082426 \h </w:instrText>
        </w:r>
        <w:r w:rsidR="00C30DB5" w:rsidRPr="00C30DB5">
          <w:rPr>
            <w:noProof/>
            <w:webHidden/>
          </w:rPr>
        </w:r>
        <w:r w:rsidR="00C30DB5" w:rsidRPr="00C30DB5">
          <w:rPr>
            <w:noProof/>
            <w:webHidden/>
          </w:rPr>
          <w:fldChar w:fldCharType="separate"/>
        </w:r>
        <w:r w:rsidR="00036EC4">
          <w:rPr>
            <w:noProof/>
            <w:webHidden/>
          </w:rPr>
          <w:t>53</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7" w:history="1">
        <w:r w:rsidR="00C30DB5" w:rsidRPr="00C30DB5">
          <w:rPr>
            <w:rStyle w:val="Hyperlink"/>
            <w:rFonts w:ascii="Cambria" w:eastAsia="Times New Roman" w:hAnsi="Cambria"/>
            <w:i/>
            <w:noProof/>
            <w:lang w:val="sq-AL"/>
          </w:rPr>
          <w:t>Grafiku 5. Niveli i zbatimit të rekomandimeve në vite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_Toc9082427 \h </w:instrText>
        </w:r>
        <w:r w:rsidR="00C30DB5" w:rsidRPr="00C30DB5">
          <w:rPr>
            <w:noProof/>
            <w:webHidden/>
          </w:rPr>
        </w:r>
        <w:r w:rsidR="00C30DB5" w:rsidRPr="00C30DB5">
          <w:rPr>
            <w:noProof/>
            <w:webHidden/>
          </w:rPr>
          <w:fldChar w:fldCharType="separate"/>
        </w:r>
        <w:r w:rsidR="00036EC4">
          <w:rPr>
            <w:noProof/>
            <w:webHidden/>
          </w:rPr>
          <w:t>55</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8" w:history="1">
        <w:r w:rsidR="00C30DB5" w:rsidRPr="00C30DB5">
          <w:rPr>
            <w:rStyle w:val="Hyperlink"/>
            <w:rFonts w:ascii="Cambria" w:eastAsia="Calibri" w:hAnsi="Cambria"/>
            <w:i/>
            <w:noProof/>
            <w:lang w:val="sq-AL" w:eastAsia="en-US"/>
          </w:rPr>
          <w:t>Grafiku 6. Funksionimi i NJAB sipas akteve ligjore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_Toc9082428 \h </w:instrText>
        </w:r>
        <w:r w:rsidR="00C30DB5" w:rsidRPr="00C30DB5">
          <w:rPr>
            <w:noProof/>
            <w:webHidden/>
          </w:rPr>
        </w:r>
        <w:r w:rsidR="00C30DB5" w:rsidRPr="00C30DB5">
          <w:rPr>
            <w:noProof/>
            <w:webHidden/>
          </w:rPr>
          <w:fldChar w:fldCharType="separate"/>
        </w:r>
        <w:r w:rsidR="00036EC4">
          <w:rPr>
            <w:noProof/>
            <w:webHidden/>
          </w:rPr>
          <w:t>58</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9" w:history="1">
        <w:r w:rsidR="00C30DB5" w:rsidRPr="00C30DB5">
          <w:rPr>
            <w:rStyle w:val="Hyperlink"/>
            <w:rFonts w:ascii="Cambria" w:eastAsia="Calibri" w:hAnsi="Cambria"/>
            <w:i/>
            <w:noProof/>
            <w:lang w:val="sq-AL" w:eastAsia="en-US"/>
          </w:rPr>
          <w:t>Grafiku 7. Identifikimi, vlerësimi dhe menaxhimi i risqeve nga NJAB</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_Toc9082429 \h </w:instrText>
        </w:r>
        <w:r w:rsidR="00C30DB5" w:rsidRPr="00C30DB5">
          <w:rPr>
            <w:noProof/>
            <w:webHidden/>
          </w:rPr>
        </w:r>
        <w:r w:rsidR="00C30DB5" w:rsidRPr="00C30DB5">
          <w:rPr>
            <w:noProof/>
            <w:webHidden/>
          </w:rPr>
          <w:fldChar w:fldCharType="separate"/>
        </w:r>
        <w:r w:rsidR="00036EC4">
          <w:rPr>
            <w:noProof/>
            <w:webHidden/>
          </w:rPr>
          <w:t>59</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30" w:history="1">
        <w:r w:rsidR="00C30DB5" w:rsidRPr="00C30DB5">
          <w:rPr>
            <w:rStyle w:val="Hyperlink"/>
            <w:rFonts w:ascii="Cambria" w:eastAsia="Calibri" w:hAnsi="Cambria"/>
            <w:i/>
            <w:noProof/>
            <w:lang w:val="sq-AL"/>
          </w:rPr>
          <w:t>Grafiku 8. Identifikimi dhe vlerësimi i kontrolleve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_Toc9082430 \h </w:instrText>
        </w:r>
        <w:r w:rsidR="00C30DB5" w:rsidRPr="00C30DB5">
          <w:rPr>
            <w:noProof/>
            <w:webHidden/>
          </w:rPr>
        </w:r>
        <w:r w:rsidR="00C30DB5" w:rsidRPr="00C30DB5">
          <w:rPr>
            <w:noProof/>
            <w:webHidden/>
          </w:rPr>
          <w:fldChar w:fldCharType="separate"/>
        </w:r>
        <w:r w:rsidR="00036EC4">
          <w:rPr>
            <w:noProof/>
            <w:webHidden/>
          </w:rPr>
          <w:t>59</w:t>
        </w:r>
        <w:r w:rsidR="00C30DB5" w:rsidRPr="00C30DB5">
          <w:rPr>
            <w:noProof/>
            <w:webHidden/>
          </w:rPr>
          <w:fldChar w:fldCharType="end"/>
        </w:r>
      </w:hyperlink>
    </w:p>
    <w:p w:rsidR="00C30DB5" w:rsidRPr="00C30DB5" w:rsidRDefault="00C52EB8">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31" w:history="1">
        <w:r w:rsidR="00C30DB5" w:rsidRPr="00C30DB5">
          <w:rPr>
            <w:rStyle w:val="Hyperlink"/>
            <w:rFonts w:ascii="Cambria" w:eastAsia="Calibri" w:hAnsi="Cambria"/>
            <w:i/>
            <w:noProof/>
            <w:lang w:val="sq-AL"/>
          </w:rPr>
          <w:t>Grafiku 9. Vlerësimi i brendshëm i cilësisë së veprimtarisë audituese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_Toc9082431 \h </w:instrText>
        </w:r>
        <w:r w:rsidR="00C30DB5" w:rsidRPr="00C30DB5">
          <w:rPr>
            <w:noProof/>
            <w:webHidden/>
          </w:rPr>
        </w:r>
        <w:r w:rsidR="00C30DB5" w:rsidRPr="00C30DB5">
          <w:rPr>
            <w:noProof/>
            <w:webHidden/>
          </w:rPr>
          <w:fldChar w:fldCharType="separate"/>
        </w:r>
        <w:r w:rsidR="00036EC4">
          <w:rPr>
            <w:noProof/>
            <w:webHidden/>
          </w:rPr>
          <w:t>60</w:t>
        </w:r>
        <w:r w:rsidR="00C30DB5" w:rsidRPr="00C30DB5">
          <w:rPr>
            <w:noProof/>
            <w:webHidden/>
          </w:rPr>
          <w:fldChar w:fldCharType="end"/>
        </w:r>
      </w:hyperlink>
    </w:p>
    <w:p w:rsidR="00C444B1" w:rsidRPr="00604C05" w:rsidRDefault="00046972" w:rsidP="00C444B1">
      <w:pPr>
        <w:rPr>
          <w:lang w:val="sq-AL" w:eastAsia="en-US"/>
        </w:rPr>
      </w:pPr>
      <w:r w:rsidRPr="00C30DB5">
        <w:rPr>
          <w:rFonts w:ascii="Calibri" w:hAnsi="Calibri" w:cs="Calibri"/>
          <w:smallCaps/>
          <w:sz w:val="20"/>
          <w:szCs w:val="20"/>
          <w:lang w:val="sq-AL" w:eastAsia="en-US"/>
        </w:rPr>
        <w:fldChar w:fldCharType="end"/>
      </w:r>
    </w:p>
    <w:p w:rsidR="00FD5AE4" w:rsidRDefault="00FD5AE4" w:rsidP="00F92DE2">
      <w:pPr>
        <w:spacing w:after="200"/>
        <w:rPr>
          <w:rFonts w:ascii="Cambria" w:eastAsia="Calibri" w:hAnsi="Cambria"/>
          <w:b/>
          <w:lang w:val="sq-AL" w:eastAsia="en-US"/>
        </w:rPr>
      </w:pPr>
    </w:p>
    <w:p w:rsidR="0029581D" w:rsidRDefault="0029581D" w:rsidP="00F92DE2">
      <w:pPr>
        <w:spacing w:after="200"/>
        <w:rPr>
          <w:rFonts w:ascii="Cambria" w:eastAsia="Calibri" w:hAnsi="Cambria"/>
          <w:b/>
          <w:lang w:val="sq-AL" w:eastAsia="en-US"/>
        </w:rPr>
      </w:pPr>
    </w:p>
    <w:p w:rsidR="0029581D" w:rsidRDefault="0029581D" w:rsidP="00F92DE2">
      <w:pPr>
        <w:spacing w:after="200"/>
        <w:rPr>
          <w:rFonts w:ascii="Cambria" w:eastAsia="Calibri" w:hAnsi="Cambria"/>
          <w:b/>
          <w:lang w:val="sq-AL" w:eastAsia="en-US"/>
        </w:rPr>
      </w:pPr>
    </w:p>
    <w:p w:rsidR="00C30DB5" w:rsidRDefault="00C30DB5" w:rsidP="00DF1091">
      <w:pPr>
        <w:pStyle w:val="Heading1"/>
      </w:pPr>
      <w:bookmarkStart w:id="8" w:name="_Toc451510071"/>
      <w:bookmarkStart w:id="9" w:name="_Toc451511563"/>
      <w:bookmarkStart w:id="10" w:name="_Toc9082364"/>
    </w:p>
    <w:p w:rsidR="00C30DB5" w:rsidRDefault="00C30DB5" w:rsidP="00DF1091">
      <w:pPr>
        <w:pStyle w:val="Heading1"/>
      </w:pPr>
    </w:p>
    <w:p w:rsidR="00C30DB5" w:rsidRDefault="00C30DB5" w:rsidP="00DF1091">
      <w:pPr>
        <w:pStyle w:val="Heading1"/>
      </w:pPr>
    </w:p>
    <w:p w:rsidR="00C30DB5" w:rsidRDefault="00C30DB5" w:rsidP="00DF1091">
      <w:pPr>
        <w:pStyle w:val="Heading1"/>
      </w:pPr>
    </w:p>
    <w:p w:rsidR="00C30DB5" w:rsidRDefault="00C30DB5" w:rsidP="00DF1091">
      <w:pPr>
        <w:pStyle w:val="Heading1"/>
        <w:sectPr w:rsidR="00C30DB5" w:rsidSect="002267C7">
          <w:footerReference w:type="default" r:id="rId10"/>
          <w:pgSz w:w="11900" w:h="16840"/>
          <w:pgMar w:top="900" w:right="1411" w:bottom="1350" w:left="1417" w:header="706" w:footer="706" w:gutter="0"/>
          <w:pgNumType w:start="1"/>
          <w:cols w:space="708"/>
          <w:titlePg/>
          <w:docGrid w:linePitch="360"/>
        </w:sectPr>
      </w:pPr>
    </w:p>
    <w:p w:rsidR="00306774" w:rsidRPr="00DF1091" w:rsidRDefault="00780107" w:rsidP="00DF1091">
      <w:pPr>
        <w:pStyle w:val="Heading1"/>
      </w:pPr>
      <w:r w:rsidRPr="00DF1091">
        <w:t>PËRMBLEDHJE EKZEKUTIVE</w:t>
      </w:r>
      <w:bookmarkEnd w:id="8"/>
      <w:bookmarkEnd w:id="9"/>
      <w:bookmarkEnd w:id="10"/>
    </w:p>
    <w:bookmarkEnd w:id="0"/>
    <w:bookmarkEnd w:id="1"/>
    <w:p w:rsidR="0081341B" w:rsidRPr="0081341B" w:rsidRDefault="0081341B" w:rsidP="0081341B">
      <w:pPr>
        <w:spacing w:after="160" w:line="259" w:lineRule="auto"/>
        <w:jc w:val="both"/>
        <w:rPr>
          <w:rFonts w:asciiTheme="majorHAnsi" w:eastAsia="Calibri" w:hAnsiTheme="majorHAnsi"/>
          <w:sz w:val="22"/>
          <w:szCs w:val="22"/>
          <w:lang w:val="sq-AL" w:eastAsia="en-US"/>
        </w:rPr>
      </w:pPr>
      <w:r w:rsidRPr="0081341B">
        <w:rPr>
          <w:rFonts w:asciiTheme="majorHAnsi" w:eastAsia="Calibri" w:hAnsiTheme="majorHAnsi"/>
          <w:sz w:val="22"/>
          <w:szCs w:val="22"/>
          <w:lang w:val="sq-AL" w:eastAsia="en-US"/>
        </w:rPr>
        <w:t>Raporti Vjetor mbi Funksionimin e Sistemit të Kontrollit të Brendshëm Financiar Publik në Njësitë e Qeverisjes së Përgjithshme është përgatitur në bazë të raporteve individuale vjetore të njësive të qeverisjes së përgjithshme mbi përshtatshmërinë dhe funksionimin e sistemit të menaxhimit financiar dhe kontrollit dhe auditimit të brendshëm gjatë vitit 2018.</w:t>
      </w:r>
    </w:p>
    <w:p w:rsidR="0081341B" w:rsidRPr="0081341B" w:rsidRDefault="0081341B" w:rsidP="0048331A">
      <w:pPr>
        <w:spacing w:after="160"/>
        <w:jc w:val="both"/>
        <w:rPr>
          <w:rFonts w:asciiTheme="majorHAnsi" w:eastAsia="Calibri" w:hAnsiTheme="majorHAnsi"/>
          <w:sz w:val="22"/>
          <w:szCs w:val="22"/>
          <w:lang w:val="sq-AL" w:eastAsia="en-US"/>
        </w:rPr>
      </w:pPr>
      <w:r w:rsidRPr="0081341B">
        <w:rPr>
          <w:rFonts w:asciiTheme="majorHAnsi" w:eastAsia="Calibri" w:hAnsiTheme="majorHAnsi"/>
          <w:sz w:val="22"/>
          <w:szCs w:val="22"/>
          <w:lang w:val="sq-AL" w:eastAsia="en-US"/>
        </w:rPr>
        <w:t>Qëllimi i këtij raporti është ofrimi i informacionit mbi aktivitetet dhe rezultatet e arritura nga përfituesit e fondeve publike gjatë procesit të ngritjes, zhvillimit dhe forcimit të sistemit të menaxhimit financiar dhe kontrollit dhe funksionit të auditimit të brendshëm. Gjithashtu</w:t>
      </w:r>
      <w:r w:rsidR="00DF1091">
        <w:rPr>
          <w:rFonts w:asciiTheme="majorHAnsi" w:eastAsia="Calibri" w:hAnsiTheme="majorHAnsi"/>
          <w:sz w:val="22"/>
          <w:szCs w:val="22"/>
          <w:lang w:val="sq-AL" w:eastAsia="en-US"/>
        </w:rPr>
        <w:t>,</w:t>
      </w:r>
      <w:r w:rsidRPr="0081341B">
        <w:rPr>
          <w:rFonts w:asciiTheme="majorHAnsi" w:eastAsia="Calibri" w:hAnsiTheme="majorHAnsi"/>
          <w:sz w:val="22"/>
          <w:szCs w:val="22"/>
          <w:lang w:val="sq-AL" w:eastAsia="en-US"/>
        </w:rPr>
        <w:t xml:space="preserve"> në raport, paraqiten pikat e forta dhe të dobëta të sistemit si dhe rekomandimet në kuadër të zhvillimit dhe përmirësimit të mëtejshëm të tij. Ai merr në konsideratë objektivat e parashikuara në shtyllën pesë të Strategjisë së Menaxhimit të Financave Publike 2014-2020, mbi reformat në fushën e kontrollit të brendshëm. Ky dokument strategjik artikulon angazhimin e qeverisë mbi zbatimin e një sërë reformash të koordinuara në fushën e Menaxhimit të Financave Publike, të cilat kanë për qëllim rritjen e llogaridhënies dhe sigurimin e menaxhimit të shëndoshë financiar dhe qeverisjen e mirë, duke përmirësuar efikasitetin dhe efektivitetin në menaxhimin e fondeve publike në Republikën e Shqipërisë. </w:t>
      </w:r>
    </w:p>
    <w:p w:rsidR="00054506" w:rsidRDefault="0081341B" w:rsidP="00FF5CDB">
      <w:pPr>
        <w:jc w:val="both"/>
        <w:rPr>
          <w:rFonts w:asciiTheme="majorHAnsi" w:eastAsia="Calibri" w:hAnsiTheme="majorHAnsi"/>
          <w:sz w:val="22"/>
          <w:szCs w:val="22"/>
          <w:lang w:val="sq-AL" w:eastAsia="en-US"/>
        </w:rPr>
      </w:pPr>
      <w:r w:rsidRPr="00FF5CDB">
        <w:rPr>
          <w:rFonts w:asciiTheme="majorHAnsi" w:eastAsia="Calibri" w:hAnsiTheme="majorHAnsi"/>
          <w:sz w:val="22"/>
          <w:szCs w:val="22"/>
          <w:lang w:val="sq-AL" w:eastAsia="en-US"/>
        </w:rPr>
        <w:t xml:space="preserve">Përsa i përket sistemit të menaxhimit financiar dhe kontrollit, si shtylla e parë e Kontrollit të Brendshëm Financiar Publik, evidentohet një rritje </w:t>
      </w:r>
      <w:r w:rsidRPr="008B75DC">
        <w:rPr>
          <w:rFonts w:asciiTheme="majorHAnsi" w:eastAsia="Calibri" w:hAnsiTheme="majorHAnsi"/>
          <w:sz w:val="22"/>
          <w:szCs w:val="22"/>
          <w:lang w:val="sq-AL" w:eastAsia="en-US"/>
        </w:rPr>
        <w:t xml:space="preserve">ndërgjegjësimi </w:t>
      </w:r>
      <w:r w:rsidR="00F3505F" w:rsidRPr="008B75DC">
        <w:rPr>
          <w:rFonts w:asciiTheme="majorHAnsi" w:eastAsia="Calibri" w:hAnsiTheme="majorHAnsi"/>
          <w:sz w:val="22"/>
          <w:szCs w:val="22"/>
          <w:lang w:val="sq-AL" w:eastAsia="en-US"/>
        </w:rPr>
        <w:t>e</w:t>
      </w:r>
      <w:r w:rsidRPr="008B75DC">
        <w:rPr>
          <w:rFonts w:asciiTheme="majorHAnsi" w:eastAsia="Calibri" w:hAnsiTheme="majorHAnsi"/>
          <w:sz w:val="22"/>
          <w:szCs w:val="22"/>
          <w:lang w:val="sq-AL" w:eastAsia="en-US"/>
        </w:rPr>
        <w:t xml:space="preserve"> njësive</w:t>
      </w:r>
      <w:r w:rsidRPr="00FF5CDB">
        <w:rPr>
          <w:rFonts w:asciiTheme="majorHAnsi" w:eastAsia="Calibri" w:hAnsiTheme="majorHAnsi"/>
          <w:sz w:val="22"/>
          <w:szCs w:val="22"/>
          <w:lang w:val="sq-AL" w:eastAsia="en-US"/>
        </w:rPr>
        <w:t xml:space="preserve"> të qeverisjes së përgjithshme në lidhje me rëndësinë e implementimit të instrumentave të kontrollit të berndshëm. Nga 149 njësi publike, të cila</w:t>
      </w:r>
      <w:r w:rsidR="00FF5CDB" w:rsidRPr="00FF5CDB">
        <w:rPr>
          <w:rFonts w:asciiTheme="majorHAnsi" w:eastAsia="Calibri" w:hAnsiTheme="majorHAnsi"/>
          <w:sz w:val="22"/>
          <w:szCs w:val="22"/>
          <w:lang w:val="sq-AL" w:eastAsia="en-US"/>
        </w:rPr>
        <w:t>ve i’u është dërguar për plotësim</w:t>
      </w:r>
      <w:r w:rsidRPr="00FF5CDB">
        <w:rPr>
          <w:rFonts w:asciiTheme="majorHAnsi" w:eastAsia="Calibri" w:hAnsiTheme="majorHAnsi"/>
          <w:sz w:val="22"/>
          <w:szCs w:val="22"/>
          <w:lang w:val="sq-AL" w:eastAsia="en-US"/>
        </w:rPr>
        <w:t xml:space="preserve"> pyetësori</w:t>
      </w:r>
      <w:r w:rsidR="00FF5CDB" w:rsidRPr="00FF5CDB">
        <w:rPr>
          <w:rFonts w:asciiTheme="majorHAnsi" w:eastAsia="Calibri" w:hAnsiTheme="majorHAnsi"/>
          <w:sz w:val="22"/>
          <w:szCs w:val="22"/>
          <w:lang w:val="sq-AL" w:eastAsia="en-US"/>
        </w:rPr>
        <w:t xml:space="preserve"> i</w:t>
      </w:r>
      <w:r w:rsidRPr="00FF5CDB">
        <w:rPr>
          <w:rFonts w:asciiTheme="majorHAnsi" w:eastAsia="Calibri" w:hAnsiTheme="majorHAnsi"/>
          <w:sz w:val="22"/>
          <w:szCs w:val="22"/>
          <w:lang w:val="sq-AL" w:eastAsia="en-US"/>
        </w:rPr>
        <w:t xml:space="preserve"> vetëvlerësimit mbi sistemin e menaxhim</w:t>
      </w:r>
      <w:r w:rsidR="007F1ECA" w:rsidRPr="00FF5CDB">
        <w:rPr>
          <w:rFonts w:asciiTheme="majorHAnsi" w:eastAsia="Calibri" w:hAnsiTheme="majorHAnsi"/>
          <w:sz w:val="22"/>
          <w:szCs w:val="22"/>
          <w:lang w:val="sq-AL" w:eastAsia="en-US"/>
        </w:rPr>
        <w:t>it financiar dhe kontrollit, 96</w:t>
      </w:r>
      <w:r w:rsidRPr="00FF5CDB">
        <w:rPr>
          <w:rFonts w:asciiTheme="majorHAnsi" w:eastAsia="Calibri" w:hAnsiTheme="majorHAnsi"/>
          <w:sz w:val="22"/>
          <w:szCs w:val="22"/>
          <w:lang w:val="sq-AL" w:eastAsia="en-US"/>
        </w:rPr>
        <w:t xml:space="preserve">% prej tyre </w:t>
      </w:r>
      <w:r w:rsidR="009A52A5" w:rsidRPr="00FF5CDB">
        <w:rPr>
          <w:rFonts w:asciiTheme="majorHAnsi" w:eastAsia="Calibri" w:hAnsiTheme="majorHAnsi"/>
          <w:sz w:val="22"/>
          <w:szCs w:val="22"/>
          <w:lang w:val="sq-AL" w:eastAsia="en-US"/>
        </w:rPr>
        <w:t>(</w:t>
      </w:r>
      <w:r w:rsidR="00FF5CDB" w:rsidRPr="00FF5CDB">
        <w:rPr>
          <w:rFonts w:asciiTheme="majorHAnsi" w:eastAsia="Calibri" w:hAnsiTheme="majorHAnsi"/>
          <w:sz w:val="22"/>
          <w:szCs w:val="22"/>
          <w:lang w:val="sq-AL" w:eastAsia="en-US"/>
        </w:rPr>
        <w:t>143 prej tyre</w:t>
      </w:r>
      <w:r w:rsidR="009A52A5" w:rsidRPr="00FF5CDB">
        <w:rPr>
          <w:rFonts w:asciiTheme="majorHAnsi" w:eastAsia="Calibri" w:hAnsiTheme="majorHAnsi"/>
          <w:sz w:val="22"/>
          <w:szCs w:val="22"/>
          <w:lang w:val="sq-AL" w:eastAsia="en-US"/>
        </w:rPr>
        <w:t xml:space="preserve">) </w:t>
      </w:r>
      <w:r w:rsidRPr="00FF5CDB">
        <w:rPr>
          <w:rFonts w:asciiTheme="majorHAnsi" w:eastAsia="Calibri" w:hAnsiTheme="majorHAnsi"/>
          <w:sz w:val="22"/>
          <w:szCs w:val="22"/>
          <w:lang w:val="sq-AL" w:eastAsia="en-US"/>
        </w:rPr>
        <w:t xml:space="preserve">kanë raportuar pranë Ministrisë së Financave dhe Ekonomisë. </w:t>
      </w:r>
      <w:r w:rsidR="00FF5CDB" w:rsidRPr="00FF5CDB">
        <w:rPr>
          <w:rFonts w:asciiTheme="majorHAnsi" w:eastAsia="Calibri" w:hAnsiTheme="majorHAnsi"/>
          <w:sz w:val="22"/>
          <w:szCs w:val="22"/>
          <w:lang w:val="sq-AL" w:eastAsia="en-US"/>
        </w:rPr>
        <w:t>Vl</w:t>
      </w:r>
      <w:r w:rsidR="0048331A">
        <w:rPr>
          <w:rFonts w:asciiTheme="majorHAnsi" w:eastAsia="Calibri" w:hAnsiTheme="majorHAnsi"/>
          <w:sz w:val="22"/>
          <w:szCs w:val="22"/>
          <w:lang w:val="sq-AL" w:eastAsia="en-US"/>
        </w:rPr>
        <w:t>e</w:t>
      </w:r>
      <w:r w:rsidR="00FF5CDB" w:rsidRPr="00FF5CDB">
        <w:rPr>
          <w:rFonts w:asciiTheme="majorHAnsi" w:eastAsia="Calibri" w:hAnsiTheme="majorHAnsi"/>
          <w:sz w:val="22"/>
          <w:szCs w:val="22"/>
          <w:lang w:val="sq-AL" w:eastAsia="en-US"/>
        </w:rPr>
        <w:t xml:space="preserve">n të theksojmë se, </w:t>
      </w:r>
      <w:r w:rsidR="00FF5CDB" w:rsidRPr="0048331A">
        <w:rPr>
          <w:rFonts w:asciiTheme="majorHAnsi" w:eastAsia="Calibri" w:hAnsiTheme="majorHAnsi"/>
          <w:sz w:val="22"/>
          <w:szCs w:val="22"/>
          <w:lang w:val="sq-AL" w:eastAsia="en-US"/>
        </w:rPr>
        <w:t xml:space="preserve">në vijim të procesit të rëndësishëm të implementimit të sistemit të kontrollit të brendshëm në njësitë publike si dhe në kuadër të rekomandimeve të vazhdueshme të organizmave ndërkombëtare, </w:t>
      </w:r>
      <w:r w:rsidR="00FF5CDB" w:rsidRPr="00FF5CDB">
        <w:rPr>
          <w:rFonts w:asciiTheme="majorHAnsi" w:eastAsia="Calibri" w:hAnsiTheme="majorHAnsi"/>
          <w:sz w:val="22"/>
          <w:szCs w:val="22"/>
          <w:lang w:val="sq-AL" w:eastAsia="en-US"/>
        </w:rPr>
        <w:t>në grupin e institucioneve të analizuar, janë përfshirë dhe 15 institu</w:t>
      </w:r>
      <w:r w:rsidR="00BC789D">
        <w:rPr>
          <w:rFonts w:asciiTheme="majorHAnsi" w:eastAsia="Calibri" w:hAnsiTheme="majorHAnsi"/>
          <w:sz w:val="22"/>
          <w:szCs w:val="22"/>
          <w:lang w:val="sq-AL" w:eastAsia="en-US"/>
        </w:rPr>
        <w:t>cione varësie më buxhet të madh</w:t>
      </w:r>
      <w:r w:rsidR="00FF5CDB" w:rsidRPr="0048331A">
        <w:rPr>
          <w:rFonts w:asciiTheme="majorHAnsi" w:eastAsia="Calibri" w:hAnsiTheme="majorHAnsi"/>
          <w:sz w:val="22"/>
          <w:szCs w:val="22"/>
          <w:lang w:val="sq-AL" w:eastAsia="en-US"/>
        </w:rPr>
        <w:t xml:space="preserve">, me qëllim sigurimin e një pamje më të qartë të progresit. </w:t>
      </w:r>
      <w:r w:rsidRPr="0081341B">
        <w:rPr>
          <w:rFonts w:asciiTheme="majorHAnsi" w:eastAsia="Calibri" w:hAnsiTheme="majorHAnsi"/>
          <w:sz w:val="22"/>
          <w:szCs w:val="22"/>
          <w:lang w:val="sq-AL" w:eastAsia="en-US"/>
        </w:rPr>
        <w:t>Pjesa më e madhe e institucioneve kanë respektuar afatin kohor të dërgimit të raportit vjetor dhe deklaratës së cilësisë si dhe i kanë paraqitur ato në formatin e duhur. Gjithashtu, pyetësorët e vetëvlerësimit, në përgjithësi, kanë pasqyruar një informacion të plotë, gjithëpërfshirës në lidhje me statusin e implementimit si dhe të arsyetuar me evidenca mbështetëse konkrete, duke evidentuar faktin se përfituesit e fondeve publike janë më të informuar dhe kuptojnë më mirë sistemet e kontrollit të brendshëm. Në bazë të analizës së pyetësorëve të vetëvlerësimit si dhe të monitorimeve të vazhdueshmë të stafit të DH/MFKK-së, sistemet e kontrollit të brendshëm në njësitë e qeverisjes së përgjithshme vlerësohen pje</w:t>
      </w:r>
      <w:r w:rsidR="007F1ECA">
        <w:rPr>
          <w:rFonts w:asciiTheme="majorHAnsi" w:eastAsia="Calibri" w:hAnsiTheme="majorHAnsi"/>
          <w:sz w:val="22"/>
          <w:szCs w:val="22"/>
          <w:lang w:val="sq-AL" w:eastAsia="en-US"/>
        </w:rPr>
        <w:t>s</w:t>
      </w:r>
      <w:r w:rsidRPr="0081341B">
        <w:rPr>
          <w:rFonts w:asciiTheme="majorHAnsi" w:eastAsia="Calibri" w:hAnsiTheme="majorHAnsi"/>
          <w:sz w:val="22"/>
          <w:szCs w:val="22"/>
          <w:lang w:val="sq-AL" w:eastAsia="en-US"/>
        </w:rPr>
        <w:t>ërisht efektiv, bazuar në 17 parimet e modelit COSO.</w:t>
      </w:r>
    </w:p>
    <w:p w:rsidR="0063078F" w:rsidRPr="00A1745F" w:rsidRDefault="0063078F" w:rsidP="00FF5CDB">
      <w:pPr>
        <w:jc w:val="both"/>
        <w:rPr>
          <w:rFonts w:asciiTheme="majorHAnsi" w:eastAsia="Calibri" w:hAnsiTheme="majorHAnsi"/>
          <w:sz w:val="12"/>
          <w:szCs w:val="12"/>
          <w:lang w:val="sq-AL" w:eastAsia="en-US"/>
        </w:rPr>
      </w:pPr>
    </w:p>
    <w:p w:rsidR="00BF7EA4" w:rsidRPr="00F46CFF" w:rsidRDefault="00F1723B" w:rsidP="00BF7EA4">
      <w:pPr>
        <w:jc w:val="both"/>
        <w:rPr>
          <w:rFonts w:asciiTheme="majorHAnsi" w:eastAsia="Calibri" w:hAnsiTheme="majorHAnsi"/>
          <w:sz w:val="22"/>
          <w:szCs w:val="22"/>
          <w:lang w:val="sq-AL" w:eastAsia="en-US"/>
        </w:rPr>
      </w:pPr>
      <w:r w:rsidRPr="00EB56DF">
        <w:rPr>
          <w:rFonts w:asciiTheme="majorHAnsi" w:eastAsia="Calibri" w:hAnsiTheme="majorHAnsi"/>
          <w:sz w:val="22"/>
          <w:szCs w:val="22"/>
          <w:lang w:val="sq-AL" w:eastAsia="en-US"/>
        </w:rPr>
        <w:t xml:space="preserve">Veprimtaria e auditimit të brendshëm në sektorin publik </w:t>
      </w:r>
      <w:r>
        <w:rPr>
          <w:rFonts w:asciiTheme="majorHAnsi" w:eastAsia="Calibri" w:hAnsiTheme="majorHAnsi"/>
          <w:sz w:val="22"/>
          <w:szCs w:val="22"/>
          <w:lang w:val="sq-AL" w:eastAsia="en-US"/>
        </w:rPr>
        <w:t>ë</w:t>
      </w:r>
      <w:r w:rsidRPr="00EB56DF">
        <w:rPr>
          <w:rFonts w:asciiTheme="majorHAnsi" w:eastAsia="Calibri" w:hAnsiTheme="majorHAnsi"/>
          <w:sz w:val="22"/>
          <w:szCs w:val="22"/>
          <w:lang w:val="sq-AL" w:eastAsia="en-US"/>
        </w:rPr>
        <w:t>sht</w:t>
      </w:r>
      <w:r>
        <w:rPr>
          <w:rFonts w:asciiTheme="majorHAnsi" w:eastAsia="Calibri" w:hAnsiTheme="majorHAnsi"/>
          <w:sz w:val="22"/>
          <w:szCs w:val="22"/>
          <w:lang w:val="sq-AL" w:eastAsia="en-US"/>
        </w:rPr>
        <w:t>ë</w:t>
      </w:r>
      <w:r w:rsidRPr="00EB56DF">
        <w:rPr>
          <w:rFonts w:asciiTheme="majorHAnsi" w:eastAsia="Calibri" w:hAnsiTheme="majorHAnsi"/>
          <w:sz w:val="22"/>
          <w:szCs w:val="22"/>
          <w:lang w:val="sq-AL" w:eastAsia="en-US"/>
        </w:rPr>
        <w:t xml:space="preserve"> analizuar bazuar në konsolidimin e të dhënave të raporteve vjetore të veprimtarisë së njësive të auditimit të brendshëm (NJAB)</w:t>
      </w:r>
      <w:r>
        <w:rPr>
          <w:rFonts w:asciiTheme="majorHAnsi" w:eastAsia="Calibri" w:hAnsiTheme="majorHAnsi"/>
          <w:sz w:val="22"/>
          <w:szCs w:val="22"/>
          <w:lang w:val="sq-AL" w:eastAsia="en-US"/>
        </w:rPr>
        <w:t>,</w:t>
      </w:r>
      <w:r w:rsidRPr="00EB56DF">
        <w:rPr>
          <w:rFonts w:asciiTheme="majorHAnsi" w:eastAsia="Calibri" w:hAnsiTheme="majorHAnsi"/>
          <w:sz w:val="22"/>
          <w:szCs w:val="22"/>
          <w:lang w:val="sq-AL" w:eastAsia="en-US"/>
        </w:rPr>
        <w:t xml:space="preserve"> që funksionojnë në sektorin publik.</w:t>
      </w:r>
      <w:r w:rsidRPr="00F46CFF">
        <w:rPr>
          <w:rFonts w:asciiTheme="majorHAnsi" w:eastAsia="Calibri" w:hAnsiTheme="majorHAnsi"/>
          <w:sz w:val="22"/>
          <w:szCs w:val="22"/>
          <w:lang w:val="sq-AL" w:eastAsia="en-US"/>
        </w:rPr>
        <w:t xml:space="preserve"> </w:t>
      </w:r>
      <w:r>
        <w:rPr>
          <w:rFonts w:asciiTheme="majorHAnsi" w:eastAsia="Calibri" w:hAnsiTheme="majorHAnsi"/>
          <w:sz w:val="22"/>
          <w:szCs w:val="22"/>
          <w:lang w:val="sq-AL" w:eastAsia="en-US"/>
        </w:rPr>
        <w:t>G</w:t>
      </w:r>
      <w:r w:rsidRPr="00F46CFF">
        <w:rPr>
          <w:rFonts w:asciiTheme="majorHAnsi" w:eastAsia="Calibri" w:hAnsiTheme="majorHAnsi"/>
          <w:sz w:val="22"/>
          <w:szCs w:val="22"/>
          <w:lang w:val="sq-AL" w:eastAsia="en-US"/>
        </w:rPr>
        <w:t>jatë vitit 2018</w:t>
      </w:r>
      <w:r>
        <w:rPr>
          <w:rFonts w:asciiTheme="majorHAnsi" w:eastAsia="Calibri" w:hAnsiTheme="majorHAnsi"/>
          <w:sz w:val="22"/>
          <w:szCs w:val="22"/>
          <w:lang w:val="sq-AL" w:eastAsia="en-US"/>
        </w:rPr>
        <w:t xml:space="preserve"> </w:t>
      </w:r>
      <w:r w:rsidRPr="00F46CFF">
        <w:rPr>
          <w:rFonts w:asciiTheme="majorHAnsi" w:eastAsia="Calibri" w:hAnsiTheme="majorHAnsi"/>
          <w:sz w:val="22"/>
          <w:szCs w:val="22"/>
          <w:lang w:val="sq-AL" w:eastAsia="en-US"/>
        </w:rPr>
        <w:t>kanë funksionuar 127 njësi të auditimit të brendshëm, të cilat kryejnë shërbimin e tyre në njësitë e qeverisjes së përgjithshme. Gjatë këtij viti</w:t>
      </w:r>
      <w:r>
        <w:rPr>
          <w:rFonts w:asciiTheme="majorHAnsi" w:eastAsia="Calibri" w:hAnsiTheme="majorHAnsi"/>
          <w:sz w:val="22"/>
          <w:szCs w:val="22"/>
          <w:lang w:val="sq-AL" w:eastAsia="en-US"/>
        </w:rPr>
        <w:t>,</w:t>
      </w:r>
      <w:r w:rsidRPr="00F46CFF">
        <w:rPr>
          <w:rFonts w:asciiTheme="majorHAnsi" w:eastAsia="Calibri" w:hAnsiTheme="majorHAnsi"/>
          <w:sz w:val="22"/>
          <w:szCs w:val="22"/>
          <w:lang w:val="sq-AL" w:eastAsia="en-US"/>
        </w:rPr>
        <w:t xml:space="preserve"> vihet re një rritje e numrit të NJAB (8 njësi më shumë se në vitin 2017)</w:t>
      </w:r>
      <w:r>
        <w:rPr>
          <w:rFonts w:asciiTheme="majorHAnsi" w:eastAsia="Calibri" w:hAnsiTheme="majorHAnsi"/>
          <w:sz w:val="22"/>
          <w:szCs w:val="22"/>
          <w:lang w:val="sq-AL" w:eastAsia="en-US"/>
        </w:rPr>
        <w:t xml:space="preserve"> dhe e</w:t>
      </w:r>
      <w:r w:rsidRPr="00F46CFF">
        <w:rPr>
          <w:rFonts w:asciiTheme="majorHAnsi" w:eastAsia="Calibri" w:hAnsiTheme="majorHAnsi"/>
          <w:sz w:val="22"/>
          <w:szCs w:val="22"/>
          <w:lang w:val="sq-AL" w:eastAsia="en-US"/>
        </w:rPr>
        <w:t xml:space="preserve">videntohet se shërbimi i auditimit të brendshëm nuk shtrihet në të gjitha njësitë e qeverisjes së përgjithshme, </w:t>
      </w:r>
      <w:r>
        <w:rPr>
          <w:rFonts w:asciiTheme="majorHAnsi" w:eastAsia="Calibri" w:hAnsiTheme="majorHAnsi"/>
          <w:sz w:val="22"/>
          <w:szCs w:val="22"/>
          <w:lang w:val="sq-AL" w:eastAsia="en-US"/>
        </w:rPr>
        <w:t xml:space="preserve"> </w:t>
      </w:r>
      <w:r w:rsidRPr="00F46CFF">
        <w:rPr>
          <w:rFonts w:asciiTheme="majorHAnsi" w:eastAsia="Calibri" w:hAnsiTheme="majorHAnsi"/>
          <w:sz w:val="22"/>
          <w:szCs w:val="22"/>
          <w:lang w:val="sq-AL" w:eastAsia="en-US"/>
        </w:rPr>
        <w:t>konkretisht në 35 njësi publike nuk realizohet shërbimi i auditimit të brendshëm (7 bashki, 13 institucione të pavarura dhe 15 njësi të tjera publike) me asnjë nga format e përcaktuara me kuadrin rregullator. Ndërkohë, realizimi i planit vjetor të angazhimeve të auditimit të brendshëm është në masën 99% (planifikuar 1,240</w:t>
      </w:r>
      <w:r>
        <w:rPr>
          <w:rFonts w:asciiTheme="majorHAnsi" w:eastAsia="Calibri" w:hAnsiTheme="majorHAnsi"/>
          <w:sz w:val="22"/>
          <w:szCs w:val="22"/>
          <w:lang w:val="sq-AL" w:eastAsia="en-US"/>
        </w:rPr>
        <w:t xml:space="preserve"> dhe </w:t>
      </w:r>
      <w:r w:rsidRPr="00F46CFF">
        <w:rPr>
          <w:rFonts w:asciiTheme="majorHAnsi" w:eastAsia="Calibri" w:hAnsiTheme="majorHAnsi"/>
          <w:sz w:val="22"/>
          <w:szCs w:val="22"/>
          <w:lang w:val="sq-AL" w:eastAsia="en-US"/>
        </w:rPr>
        <w:t>realizuar 1,232 angazhime auditimi). Audituesit e brendshëm, gjatë realizimit të veprimtarisë së tyre, kanë evidentuar problematika të ndryshme në të gjith</w:t>
      </w:r>
      <w:r>
        <w:rPr>
          <w:rFonts w:asciiTheme="majorHAnsi" w:eastAsia="Calibri" w:hAnsiTheme="majorHAnsi"/>
          <w:sz w:val="22"/>
          <w:szCs w:val="22"/>
          <w:lang w:val="sq-AL" w:eastAsia="en-US"/>
        </w:rPr>
        <w:t>ë</w:t>
      </w:r>
      <w:r w:rsidRPr="00F46CFF">
        <w:rPr>
          <w:rFonts w:asciiTheme="majorHAnsi" w:eastAsia="Calibri" w:hAnsiTheme="majorHAnsi"/>
          <w:sz w:val="22"/>
          <w:szCs w:val="22"/>
          <w:lang w:val="sq-AL" w:eastAsia="en-US"/>
        </w:rPr>
        <w:t xml:space="preserve"> sistem</w:t>
      </w:r>
      <w:r>
        <w:rPr>
          <w:rFonts w:asciiTheme="majorHAnsi" w:eastAsia="Calibri" w:hAnsiTheme="majorHAnsi"/>
          <w:sz w:val="22"/>
          <w:szCs w:val="22"/>
          <w:lang w:val="sq-AL" w:eastAsia="en-US"/>
        </w:rPr>
        <w:t>in</w:t>
      </w:r>
      <w:r w:rsidRPr="00F46CFF">
        <w:rPr>
          <w:rFonts w:asciiTheme="majorHAnsi" w:eastAsia="Calibri" w:hAnsiTheme="majorHAnsi"/>
          <w:sz w:val="22"/>
          <w:szCs w:val="22"/>
          <w:lang w:val="sq-AL" w:eastAsia="en-US"/>
        </w:rPr>
        <w:t xml:space="preserve"> e kontrollit të brendshëm, kanë dhënë opinionet dhe rekomandimet përkatëse për përmirësimin e funksionimit të sistem</w:t>
      </w:r>
      <w:r>
        <w:rPr>
          <w:rFonts w:asciiTheme="majorHAnsi" w:eastAsia="Calibri" w:hAnsiTheme="majorHAnsi"/>
          <w:sz w:val="22"/>
          <w:szCs w:val="22"/>
          <w:lang w:val="sq-AL" w:eastAsia="en-US"/>
        </w:rPr>
        <w:t>it</w:t>
      </w:r>
      <w:r w:rsidRPr="00F46CFF">
        <w:rPr>
          <w:rFonts w:asciiTheme="majorHAnsi" w:eastAsia="Calibri" w:hAnsiTheme="majorHAnsi"/>
          <w:sz w:val="22"/>
          <w:szCs w:val="22"/>
          <w:lang w:val="sq-AL" w:eastAsia="en-US"/>
        </w:rPr>
        <w:t>, për mirëmenaxhimin e fondeve publike dhe përdorimin e</w:t>
      </w:r>
      <w:r>
        <w:rPr>
          <w:rFonts w:asciiTheme="majorHAnsi" w:eastAsia="Calibri" w:hAnsiTheme="majorHAnsi"/>
          <w:sz w:val="22"/>
          <w:szCs w:val="22"/>
          <w:lang w:val="sq-AL" w:eastAsia="en-US"/>
        </w:rPr>
        <w:t xml:space="preserve"> tyre me ekonomi, efiç</w:t>
      </w:r>
      <w:r w:rsidRPr="00F46CFF">
        <w:rPr>
          <w:rFonts w:asciiTheme="majorHAnsi" w:eastAsia="Calibri" w:hAnsiTheme="majorHAnsi"/>
          <w:sz w:val="22"/>
          <w:szCs w:val="22"/>
          <w:lang w:val="sq-AL" w:eastAsia="en-US"/>
        </w:rPr>
        <w:t>encë dhe efektivitet. Gjithashtu, konstatohet se gjetjet me dëm ekonomik, për vitin 2018, kanë një ulje të konsiderueshme krahasuar me gjetjet e vitit të mëparshëm, gjë e cila është ndikuar nga fryma gjithnjë e në rritje e menaxhimit për të luftuar korrupsionin, nga rritja e aftësisë profesionale të audituesve të brendshëm</w:t>
      </w:r>
      <w:r>
        <w:rPr>
          <w:rFonts w:asciiTheme="majorHAnsi" w:eastAsia="Calibri" w:hAnsiTheme="majorHAnsi"/>
          <w:sz w:val="22"/>
          <w:szCs w:val="22"/>
          <w:lang w:val="sq-AL" w:eastAsia="en-US"/>
        </w:rPr>
        <w:t>,</w:t>
      </w:r>
      <w:r w:rsidRPr="00F46CFF">
        <w:rPr>
          <w:rFonts w:asciiTheme="majorHAnsi" w:eastAsia="Calibri" w:hAnsiTheme="majorHAnsi"/>
          <w:sz w:val="22"/>
          <w:szCs w:val="22"/>
          <w:lang w:val="sq-AL" w:eastAsia="en-US"/>
        </w:rPr>
        <w:t xml:space="preserve"> si dhe nga thellimi i njohurive në fushat specifike ku ata operojnë</w:t>
      </w:r>
      <w:r w:rsidR="00BF7EA4" w:rsidRPr="00F46CFF">
        <w:rPr>
          <w:rFonts w:asciiTheme="majorHAnsi" w:eastAsia="Calibri" w:hAnsiTheme="majorHAnsi"/>
          <w:sz w:val="22"/>
          <w:szCs w:val="22"/>
          <w:lang w:val="sq-AL" w:eastAsia="en-US"/>
        </w:rPr>
        <w:t>.</w:t>
      </w:r>
    </w:p>
    <w:p w:rsidR="0063078F" w:rsidRPr="00160812" w:rsidRDefault="0063078F" w:rsidP="0063078F">
      <w:pPr>
        <w:jc w:val="both"/>
        <w:rPr>
          <w:rFonts w:ascii="Cambria" w:eastAsia="Calibri" w:hAnsi="Cambria"/>
          <w:sz w:val="12"/>
          <w:szCs w:val="12"/>
          <w:lang w:val="sq-AL" w:eastAsia="en-US"/>
        </w:rPr>
      </w:pPr>
    </w:p>
    <w:p w:rsidR="00163451" w:rsidRDefault="00163451" w:rsidP="0081341B">
      <w:pPr>
        <w:spacing w:after="200"/>
        <w:jc w:val="both"/>
        <w:rPr>
          <w:rFonts w:asciiTheme="majorHAnsi" w:eastAsia="Calibri" w:hAnsiTheme="majorHAnsi"/>
          <w:sz w:val="22"/>
          <w:szCs w:val="22"/>
          <w:lang w:val="sq-AL" w:eastAsia="en-US"/>
        </w:rPr>
      </w:pPr>
    </w:p>
    <w:p w:rsidR="0081341B" w:rsidRPr="00160BEC" w:rsidRDefault="0081341B" w:rsidP="0081341B">
      <w:pPr>
        <w:spacing w:after="200"/>
        <w:jc w:val="both"/>
        <w:rPr>
          <w:rFonts w:asciiTheme="majorHAnsi" w:eastAsia="Calibri" w:hAnsiTheme="majorHAnsi"/>
          <w:sz w:val="22"/>
          <w:szCs w:val="22"/>
          <w:lang w:val="sq-AL" w:eastAsia="en-US"/>
        </w:rPr>
      </w:pPr>
      <w:r w:rsidRPr="00F46CFF">
        <w:rPr>
          <w:rFonts w:asciiTheme="majorHAnsi" w:eastAsia="Calibri" w:hAnsiTheme="majorHAnsi"/>
          <w:sz w:val="22"/>
          <w:szCs w:val="22"/>
          <w:lang w:val="sq-AL" w:eastAsia="en-US"/>
        </w:rPr>
        <w:t xml:space="preserve">Zhvillimet kryesore në fushën e </w:t>
      </w:r>
      <w:r w:rsidR="00054506" w:rsidRPr="00F46CFF">
        <w:rPr>
          <w:rFonts w:asciiTheme="majorHAnsi" w:eastAsia="Calibri" w:hAnsiTheme="majorHAnsi"/>
          <w:sz w:val="22"/>
          <w:szCs w:val="22"/>
          <w:lang w:val="sq-AL" w:eastAsia="en-US"/>
        </w:rPr>
        <w:t>kontrollit të brendshëm</w:t>
      </w:r>
      <w:r w:rsidRPr="0081341B">
        <w:rPr>
          <w:rFonts w:asciiTheme="majorHAnsi" w:eastAsia="Calibri" w:hAnsiTheme="majorHAnsi"/>
          <w:sz w:val="22"/>
          <w:szCs w:val="22"/>
          <w:lang w:val="sq-AL" w:eastAsia="en-US"/>
        </w:rPr>
        <w:t xml:space="preserve"> për vitin 2018</w:t>
      </w:r>
      <w:r w:rsidR="007F1ECA">
        <w:rPr>
          <w:rFonts w:asciiTheme="majorHAnsi" w:eastAsia="Calibri" w:hAnsiTheme="majorHAnsi"/>
          <w:sz w:val="22"/>
          <w:szCs w:val="22"/>
          <w:lang w:val="sq-AL" w:eastAsia="en-US"/>
        </w:rPr>
        <w:t>,</w:t>
      </w:r>
      <w:r w:rsidRPr="0081341B">
        <w:rPr>
          <w:rFonts w:asciiTheme="majorHAnsi" w:eastAsia="Calibri" w:hAnsiTheme="majorHAnsi"/>
          <w:sz w:val="22"/>
          <w:szCs w:val="22"/>
          <w:lang w:val="sq-AL" w:eastAsia="en-US"/>
        </w:rPr>
        <w:t xml:space="preserve"> paraqiten si më </w:t>
      </w:r>
      <w:r w:rsidRPr="00160BEC">
        <w:rPr>
          <w:rFonts w:asciiTheme="majorHAnsi" w:eastAsia="Calibri" w:hAnsiTheme="majorHAnsi"/>
          <w:sz w:val="22"/>
          <w:szCs w:val="22"/>
          <w:lang w:val="sq-AL" w:eastAsia="en-US"/>
        </w:rPr>
        <w:t>poshtë:</w:t>
      </w:r>
    </w:p>
    <w:p w:rsidR="0081341B" w:rsidRPr="00EC5A2F"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160BEC">
        <w:rPr>
          <w:rFonts w:asciiTheme="majorHAnsi" w:eastAsia="Calibri" w:hAnsiTheme="majorHAnsi"/>
          <w:sz w:val="22"/>
          <w:szCs w:val="22"/>
          <w:lang w:val="sq-AL" w:eastAsia="en-US" w:bidi="en-US"/>
        </w:rPr>
        <w:t xml:space="preserve">Nga 149 njësi të qeverisjes së përgjithshme, të cilat </w:t>
      </w:r>
      <w:r w:rsidR="00160BEC" w:rsidRPr="00160BEC">
        <w:rPr>
          <w:rFonts w:asciiTheme="majorHAnsi" w:eastAsia="Calibri" w:hAnsiTheme="majorHAnsi"/>
          <w:sz w:val="22"/>
          <w:szCs w:val="22"/>
          <w:lang w:val="sq-AL" w:eastAsia="en-US" w:bidi="en-US"/>
        </w:rPr>
        <w:t xml:space="preserve">janë marrë në analizë, </w:t>
      </w:r>
      <w:r w:rsidRPr="00160BEC">
        <w:rPr>
          <w:rFonts w:asciiTheme="majorHAnsi" w:eastAsia="Calibri" w:hAnsiTheme="majorHAnsi"/>
          <w:sz w:val="22"/>
          <w:szCs w:val="22"/>
          <w:lang w:val="sq-AL" w:eastAsia="en-US" w:bidi="en-US"/>
        </w:rPr>
        <w:t>vetëm 12</w:t>
      </w:r>
      <w:r w:rsidR="003E5146">
        <w:rPr>
          <w:rFonts w:asciiTheme="majorHAnsi" w:eastAsia="Calibri" w:hAnsiTheme="majorHAnsi"/>
          <w:sz w:val="22"/>
          <w:szCs w:val="22"/>
          <w:lang w:val="sq-AL" w:eastAsia="en-US" w:bidi="en-US"/>
        </w:rPr>
        <w:t>1</w:t>
      </w:r>
      <w:r w:rsidRPr="00160BEC">
        <w:rPr>
          <w:rFonts w:asciiTheme="majorHAnsi" w:eastAsia="Calibri" w:hAnsiTheme="majorHAnsi"/>
          <w:sz w:val="22"/>
          <w:szCs w:val="22"/>
          <w:lang w:val="sq-AL" w:eastAsia="en-US" w:bidi="en-US"/>
        </w:rPr>
        <w:t xml:space="preserve"> prej tyre e kanë </w:t>
      </w:r>
      <w:r w:rsidR="00160BEC" w:rsidRPr="00160BEC">
        <w:rPr>
          <w:rFonts w:asciiTheme="majorHAnsi" w:eastAsia="Calibri" w:hAnsiTheme="majorHAnsi"/>
          <w:sz w:val="22"/>
          <w:szCs w:val="22"/>
          <w:lang w:val="sq-AL" w:eastAsia="en-US" w:bidi="en-US"/>
        </w:rPr>
        <w:t>paraqitur planin e zhvillimit të menaxhimit financiar dhe kontrollit pranë DH/MFKK-së</w:t>
      </w:r>
      <w:r w:rsidRPr="00160BEC">
        <w:rPr>
          <w:rFonts w:asciiTheme="majorHAnsi" w:eastAsia="Calibri" w:hAnsiTheme="majorHAnsi"/>
          <w:sz w:val="22"/>
          <w:szCs w:val="22"/>
          <w:lang w:val="sq-AL" w:eastAsia="en-US" w:bidi="en-US"/>
        </w:rPr>
        <w:t xml:space="preserve">, pavarësisht se evidentohet që një pjesë e aktiviteteve të parashikuara janë të fokusuara në përmirësimin e performancës financiare </w:t>
      </w:r>
      <w:r w:rsidRPr="00160BEC">
        <w:rPr>
          <w:rFonts w:ascii="Cambria" w:eastAsia="Times New Roman" w:hAnsi="Cambria"/>
          <w:sz w:val="22"/>
          <w:szCs w:val="22"/>
          <w:lang w:val="sq-AL" w:eastAsia="x-none" w:bidi="en-US"/>
        </w:rPr>
        <w:t xml:space="preserve">apo të çështjeve teknike të njësisë dhe një pjesë e vogël e tyre është fokusuar në ndërmarrjen e </w:t>
      </w:r>
      <w:r w:rsidRPr="00EC5A2F">
        <w:rPr>
          <w:rFonts w:ascii="Cambria" w:eastAsia="Times New Roman" w:hAnsi="Cambria"/>
          <w:sz w:val="22"/>
          <w:szCs w:val="22"/>
          <w:lang w:val="sq-AL" w:eastAsia="x-none" w:bidi="en-US"/>
        </w:rPr>
        <w:t xml:space="preserve">aktiviteteve për ngritjen dhe zhvillimin e sistemeve efektive të kontrollit të brendshëm. </w:t>
      </w:r>
    </w:p>
    <w:p w:rsidR="0081341B" w:rsidRPr="00EC5A2F"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C5A2F">
        <w:rPr>
          <w:rFonts w:ascii="Cambria" w:eastAsia="Times New Roman" w:hAnsi="Cambria"/>
          <w:sz w:val="22"/>
          <w:szCs w:val="22"/>
          <w:lang w:val="sq-AL" w:eastAsia="x-none" w:bidi="en-US"/>
        </w:rPr>
        <w:t>Nga analiza e 1</w:t>
      </w:r>
      <w:r w:rsidR="00160BEC" w:rsidRPr="00EC5A2F">
        <w:rPr>
          <w:rFonts w:ascii="Cambria" w:eastAsia="Times New Roman" w:hAnsi="Cambria"/>
          <w:sz w:val="22"/>
          <w:szCs w:val="22"/>
          <w:lang w:val="sq-AL" w:eastAsia="x-none" w:bidi="en-US"/>
        </w:rPr>
        <w:t>43</w:t>
      </w:r>
      <w:r w:rsidRPr="00EC5A2F">
        <w:rPr>
          <w:rFonts w:ascii="Cambria" w:eastAsia="Times New Roman" w:hAnsi="Cambria"/>
          <w:sz w:val="22"/>
          <w:szCs w:val="22"/>
          <w:lang w:val="sq-AL" w:eastAsia="x-none" w:bidi="en-US"/>
        </w:rPr>
        <w:t xml:space="preserve"> pyetësorëve të vetëvlerësimit të njësive të sektorit publik, rezulton se në përgjithësi, institucionet kanë pasqyruar një informacion të plotë, gjithëpërfshirës në lidhje me statusin e implementimit si dhe të arsyetuar me evidenca mbështetëse konkrete, duke u karakterizuar nga</w:t>
      </w:r>
      <w:r w:rsidR="007F1ECA" w:rsidRPr="00EC5A2F">
        <w:rPr>
          <w:rFonts w:ascii="Cambria" w:eastAsia="Times New Roman" w:hAnsi="Cambria"/>
          <w:sz w:val="22"/>
          <w:szCs w:val="22"/>
          <w:lang w:val="sq-AL" w:eastAsia="x-none" w:bidi="en-US"/>
        </w:rPr>
        <w:t xml:space="preserve"> një nivel efektiviteti prej 7</w:t>
      </w:r>
      <w:r w:rsidR="00160BEC" w:rsidRPr="00EC5A2F">
        <w:rPr>
          <w:rFonts w:ascii="Cambria" w:eastAsia="Times New Roman" w:hAnsi="Cambria"/>
          <w:sz w:val="22"/>
          <w:szCs w:val="22"/>
          <w:lang w:val="sq-AL" w:eastAsia="x-none" w:bidi="en-US"/>
        </w:rPr>
        <w:t>2</w:t>
      </w:r>
      <w:r w:rsidRPr="00EC5A2F">
        <w:rPr>
          <w:rFonts w:ascii="Cambria" w:eastAsia="Times New Roman" w:hAnsi="Cambria"/>
          <w:sz w:val="22"/>
          <w:szCs w:val="22"/>
          <w:lang w:val="sq-AL" w:eastAsia="x-none" w:bidi="en-US"/>
        </w:rPr>
        <w:t>%</w:t>
      </w:r>
      <w:r w:rsidR="009A52A5" w:rsidRPr="00EC5A2F">
        <w:rPr>
          <w:rFonts w:ascii="Cambria" w:eastAsia="Times New Roman" w:hAnsi="Cambria"/>
          <w:sz w:val="22"/>
          <w:szCs w:val="22"/>
          <w:lang w:val="sq-AL" w:eastAsia="x-none" w:bidi="en-US"/>
        </w:rPr>
        <w:t xml:space="preserve"> (</w:t>
      </w:r>
      <w:r w:rsidR="00160BEC" w:rsidRPr="00EC5A2F">
        <w:rPr>
          <w:rFonts w:ascii="Cambria" w:eastAsia="Times New Roman" w:hAnsi="Cambria"/>
          <w:sz w:val="22"/>
          <w:szCs w:val="22"/>
          <w:lang w:val="sq-AL" w:eastAsia="x-none" w:bidi="en-US"/>
        </w:rPr>
        <w:t xml:space="preserve">ky tregues </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sht</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 xml:space="preserve"> p</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rcaktuar nga mesatarja e efektivitetit t</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 xml:space="preserve"> tr</w:t>
      </w:r>
      <w:r w:rsidR="00104CBC" w:rsidRPr="00EC5A2F">
        <w:rPr>
          <w:rFonts w:ascii="Cambria" w:eastAsia="Times New Roman" w:hAnsi="Cambria"/>
          <w:sz w:val="22"/>
          <w:szCs w:val="22"/>
          <w:lang w:val="sq-AL" w:eastAsia="x-none" w:bidi="en-US"/>
        </w:rPr>
        <w:t>eguesit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performanc</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MFKK-</w:t>
      </w:r>
      <w:r w:rsidR="00160BEC" w:rsidRPr="00EC5A2F">
        <w:rPr>
          <w:rFonts w:ascii="Cambria" w:eastAsia="Times New Roman" w:hAnsi="Cambria"/>
          <w:sz w:val="22"/>
          <w:szCs w:val="22"/>
          <w:lang w:val="sq-AL" w:eastAsia="x-none" w:bidi="en-US"/>
        </w:rPr>
        <w:t>s</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 xml:space="preserve"> “</w:t>
      </w:r>
      <w:r w:rsidR="00104CBC" w:rsidRPr="00EC5A2F">
        <w:rPr>
          <w:rFonts w:ascii="Cambria" w:eastAsia="Times New Roman" w:hAnsi="Cambria"/>
          <w:sz w:val="22"/>
          <w:szCs w:val="22"/>
          <w:lang w:val="sq-AL" w:eastAsia="x-none" w:bidi="en-US"/>
        </w:rPr>
        <w:t>Gjithëpërfshirja dhe rregullsia e raportimit vjetor mbi sis</w:t>
      </w:r>
      <w:r w:rsidR="00EA4312">
        <w:rPr>
          <w:rFonts w:ascii="Cambria" w:eastAsia="Times New Roman" w:hAnsi="Cambria"/>
          <w:sz w:val="22"/>
          <w:szCs w:val="22"/>
          <w:lang w:val="sq-AL" w:eastAsia="x-none" w:bidi="en-US"/>
        </w:rPr>
        <w:t>temin e kontrollit të brendshëm”</w:t>
      </w:r>
      <w:r w:rsidR="00104CBC" w:rsidRPr="00EC5A2F">
        <w:rPr>
          <w:rFonts w:ascii="Cambria" w:eastAsia="Times New Roman" w:hAnsi="Cambria"/>
          <w:sz w:val="22"/>
          <w:szCs w:val="22"/>
          <w:lang w:val="sq-AL" w:eastAsia="x-none" w:bidi="en-US"/>
        </w:rPr>
        <w:t xml:space="preserve"> p</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r ministrit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e linj</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 nj</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sit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e vet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qeverisjes vendore, institucionet e pavarura</w:t>
      </w:r>
      <w:r w:rsidR="00EC5A2F">
        <w:rPr>
          <w:rFonts w:ascii="Cambria" w:eastAsia="Times New Roman" w:hAnsi="Cambria"/>
          <w:sz w:val="22"/>
          <w:szCs w:val="22"/>
          <w:lang w:val="sq-AL" w:eastAsia="x-none" w:bidi="en-US"/>
        </w:rPr>
        <w:t>,</w:t>
      </w:r>
      <w:r w:rsidR="00104CBC" w:rsidRPr="00EC5A2F">
        <w:rPr>
          <w:rFonts w:ascii="Cambria" w:eastAsia="Times New Roman" w:hAnsi="Cambria"/>
          <w:sz w:val="22"/>
          <w:szCs w:val="22"/>
          <w:lang w:val="sq-AL" w:eastAsia="x-none" w:bidi="en-US"/>
        </w:rPr>
        <w:t xml:space="preserve"> Grupit 87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Kryeministris</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dhe nj</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sive shpenzues</w:t>
      </w:r>
      <w:r w:rsidR="00EC5A2F">
        <w:rPr>
          <w:rFonts w:ascii="Cambria" w:eastAsia="Times New Roman" w:hAnsi="Cambria"/>
          <w:sz w:val="22"/>
          <w:szCs w:val="22"/>
          <w:lang w:val="sq-AL" w:eastAsia="x-none" w:bidi="en-US"/>
        </w:rPr>
        <w:t>e</w:t>
      </w:r>
      <w:r w:rsidR="00104CBC" w:rsidRPr="00EC5A2F">
        <w:rPr>
          <w:rFonts w:ascii="Cambria" w:eastAsia="Times New Roman" w:hAnsi="Cambria"/>
          <w:sz w:val="22"/>
          <w:szCs w:val="22"/>
          <w:lang w:val="sq-AL" w:eastAsia="x-none" w:bidi="en-US"/>
        </w:rPr>
        <w:t xml:space="preserve"> me buxhet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madh)</w:t>
      </w:r>
      <w:r w:rsidRPr="00EC5A2F">
        <w:rPr>
          <w:rFonts w:ascii="Cambria" w:eastAsia="Times New Roman" w:hAnsi="Cambria"/>
          <w:sz w:val="22"/>
          <w:szCs w:val="22"/>
          <w:lang w:val="sq-AL" w:eastAsia="x-none" w:bidi="en-US"/>
        </w:rPr>
        <w:t>. Gjithsesi, theksojmë se për shkak të ndryshimeve të pyetësorit të vetëvlerësimit këtë vit</w:t>
      </w:r>
      <w:r w:rsidR="00EC5A2F" w:rsidRPr="00EC5A2F">
        <w:rPr>
          <w:rFonts w:ascii="Cambria" w:eastAsia="Times New Roman" w:hAnsi="Cambria"/>
          <w:sz w:val="22"/>
          <w:szCs w:val="22"/>
          <w:lang w:val="sq-AL" w:eastAsia="x-none" w:bidi="en-US"/>
        </w:rPr>
        <w:t xml:space="preserve"> dhe pavarësisht realizimit të 4 seancave sqaruese trajnimi në lidhje me pyetësorin (me 130 pjesëmarrës)</w:t>
      </w:r>
      <w:r w:rsidR="009A52A5" w:rsidRPr="00EC5A2F">
        <w:rPr>
          <w:rFonts w:ascii="Cambria" w:eastAsia="Times New Roman" w:hAnsi="Cambria"/>
          <w:sz w:val="22"/>
          <w:szCs w:val="22"/>
          <w:lang w:val="sq-AL" w:eastAsia="x-none" w:bidi="en-US"/>
        </w:rPr>
        <w:t xml:space="preserve">, </w:t>
      </w:r>
      <w:r w:rsidRPr="00EC5A2F">
        <w:rPr>
          <w:rFonts w:ascii="Cambria" w:eastAsia="Times New Roman" w:hAnsi="Cambria"/>
          <w:sz w:val="22"/>
          <w:szCs w:val="22"/>
          <w:lang w:val="sq-AL" w:eastAsia="x-none" w:bidi="en-US"/>
        </w:rPr>
        <w:t xml:space="preserve">ende ka nevojë për një ndërgjegjësim më të lartë të institucioneve në lidhje me mënyrën dhe rëndësinë e plotësimit të tij, në kuadër të paraqitjes së situatës reale të sistemit të kontrollit të brendshëm në njësitë publike. </w:t>
      </w:r>
    </w:p>
    <w:p w:rsidR="0081341B" w:rsidRPr="00EC5A2F" w:rsidRDefault="007F1ECA"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C5A2F">
        <w:rPr>
          <w:rFonts w:ascii="Cambria" w:eastAsia="Times New Roman" w:hAnsi="Cambria"/>
          <w:sz w:val="22"/>
          <w:szCs w:val="22"/>
          <w:lang w:val="sq-AL" w:eastAsia="x-none" w:bidi="en-US"/>
        </w:rPr>
        <w:t>Gjatë analizimit të pyetësorëve</w:t>
      </w:r>
      <w:r w:rsidR="0081341B" w:rsidRPr="00EC5A2F">
        <w:rPr>
          <w:rFonts w:ascii="Cambria" w:eastAsia="Times New Roman" w:hAnsi="Cambria"/>
          <w:sz w:val="22"/>
          <w:szCs w:val="22"/>
          <w:lang w:val="sq-AL" w:eastAsia="x-none" w:bidi="en-US"/>
        </w:rPr>
        <w:t xml:space="preserve"> si dhe gjatë monitorimeve të vazhdueshme të stafit të DH/MFKK-së mbi vlerësimin e sistemeve të kontrollit të brendshëm për vitin 2018, u vu re se institucionet</w:t>
      </w:r>
      <w:r w:rsidR="00BB70F1" w:rsidRPr="00EC5A2F">
        <w:rPr>
          <w:rFonts w:ascii="Cambria" w:eastAsia="Times New Roman" w:hAnsi="Cambria"/>
          <w:sz w:val="22"/>
          <w:szCs w:val="22"/>
          <w:lang w:val="sq-AL" w:eastAsia="x-none" w:bidi="en-US"/>
        </w:rPr>
        <w:t xml:space="preserve"> kan</w:t>
      </w:r>
      <w:r w:rsidR="00EC5A2F" w:rsidRPr="00EC5A2F">
        <w:rPr>
          <w:rFonts w:ascii="Cambria" w:eastAsia="Times New Roman" w:hAnsi="Cambria"/>
          <w:sz w:val="22"/>
          <w:szCs w:val="22"/>
          <w:lang w:val="sq-AL" w:eastAsia="x-none" w:bidi="en-US"/>
        </w:rPr>
        <w:t>ë</w:t>
      </w:r>
      <w:r w:rsidR="00BB70F1" w:rsidRPr="00EC5A2F">
        <w:rPr>
          <w:rFonts w:ascii="Cambria" w:eastAsia="Times New Roman" w:hAnsi="Cambria"/>
          <w:sz w:val="22"/>
          <w:szCs w:val="22"/>
          <w:lang w:val="sq-AL" w:eastAsia="x-none" w:bidi="en-US"/>
        </w:rPr>
        <w:t xml:space="preserve"> krijuar kushtet e p</w:t>
      </w:r>
      <w:r w:rsidR="00EC5A2F" w:rsidRPr="00EC5A2F">
        <w:rPr>
          <w:rFonts w:ascii="Cambria" w:eastAsia="Times New Roman" w:hAnsi="Cambria"/>
          <w:sz w:val="22"/>
          <w:szCs w:val="22"/>
          <w:lang w:val="sq-AL" w:eastAsia="x-none" w:bidi="en-US"/>
        </w:rPr>
        <w:t>ë</w:t>
      </w:r>
      <w:r w:rsidR="00BB70F1" w:rsidRPr="00EC5A2F">
        <w:rPr>
          <w:rFonts w:ascii="Cambria" w:eastAsia="Times New Roman" w:hAnsi="Cambria"/>
          <w:sz w:val="22"/>
          <w:szCs w:val="22"/>
          <w:lang w:val="sq-AL" w:eastAsia="x-none" w:bidi="en-US"/>
        </w:rPr>
        <w:t>rshtatshme p</w:t>
      </w:r>
      <w:r w:rsidR="00EC5A2F" w:rsidRPr="00EC5A2F">
        <w:rPr>
          <w:rFonts w:ascii="Cambria" w:eastAsia="Times New Roman" w:hAnsi="Cambria"/>
          <w:sz w:val="22"/>
          <w:szCs w:val="22"/>
          <w:lang w:val="sq-AL" w:eastAsia="x-none" w:bidi="en-US"/>
        </w:rPr>
        <w:t>ë</w:t>
      </w:r>
      <w:r w:rsidR="00BB70F1" w:rsidRPr="00EC5A2F">
        <w:rPr>
          <w:rFonts w:ascii="Cambria" w:eastAsia="Times New Roman" w:hAnsi="Cambria"/>
          <w:sz w:val="22"/>
          <w:szCs w:val="22"/>
          <w:lang w:val="sq-AL" w:eastAsia="x-none" w:bidi="en-US"/>
        </w:rPr>
        <w:t>r</w:t>
      </w:r>
      <w:r w:rsidR="0081341B" w:rsidRPr="00EC5A2F">
        <w:rPr>
          <w:rFonts w:ascii="Cambria" w:eastAsia="Times New Roman" w:hAnsi="Cambria"/>
          <w:sz w:val="22"/>
          <w:szCs w:val="22"/>
          <w:lang w:val="sq-AL" w:eastAsia="x-none" w:bidi="en-US"/>
        </w:rPr>
        <w:t xml:space="preserve"> një mjedis kontrolli efektiv me të gjithë elementët përbërës të tij (struktura organizative të miratuara, rregullore të brendshme, sistem të politikave të burimeve njerëzore, etj), por ende shfaqen problematika në disa elementë të sistemit të MFK-së, si: në procesin e menaxhimit të riskut, përcaktimin e saktë dhe të dokumentuar të rrjedhës së proceseve të punës, mungesës së procedurave të shkruara në lidhje me mënyrën e raportimit</w:t>
      </w:r>
      <w:r w:rsidRPr="00EC5A2F">
        <w:rPr>
          <w:rFonts w:ascii="Cambria" w:eastAsia="Times New Roman" w:hAnsi="Cambria"/>
          <w:sz w:val="22"/>
          <w:szCs w:val="22"/>
          <w:lang w:val="sq-AL" w:eastAsia="x-none" w:bidi="en-US"/>
        </w:rPr>
        <w:t xml:space="preserve"> brenda</w:t>
      </w:r>
      <w:r w:rsidR="0081341B" w:rsidRPr="00EC5A2F">
        <w:rPr>
          <w:rFonts w:ascii="Cambria" w:eastAsia="Times New Roman" w:hAnsi="Cambria"/>
          <w:sz w:val="22"/>
          <w:szCs w:val="22"/>
          <w:lang w:val="sq-AL" w:eastAsia="x-none" w:bidi="en-US"/>
        </w:rPr>
        <w:t xml:space="preserve"> institucionit si dhe me njësitë e varësisë, etj. </w:t>
      </w:r>
    </w:p>
    <w:p w:rsidR="00EC5A2F" w:rsidRPr="00EE3A30" w:rsidRDefault="00EC5A2F"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E3A30">
        <w:rPr>
          <w:rFonts w:ascii="Cambria" w:eastAsia="Times New Roman" w:hAnsi="Cambria"/>
          <w:sz w:val="22"/>
          <w:szCs w:val="22"/>
          <w:lang w:val="sq-AL" w:eastAsia="x-none" w:bidi="en-US"/>
        </w:rPr>
        <w:t>Pjesa më e madhe e institucioneve nuk ka të përcaktuara mekanizma të mirëorganizuar dhe funksionalë të procesit të menaxhimit të riskut, efekt që pasqyrohet edhe në rezultatet e treguesve të performancës së buxhetit dhe thesarit, duke shfaqur mangësi gjatë lidhjes dhe zbatimit të kontratave, parashikimit të likuiditeteve që çojnë në tejkalimin e planit mujor të arkës si edhe rritjen e nivelit të detyrimeve të prapambetura.</w:t>
      </w:r>
    </w:p>
    <w:p w:rsidR="00EE3A30" w:rsidRPr="00EE3A30" w:rsidRDefault="00BB70F1" w:rsidP="00F46CFF">
      <w:pPr>
        <w:numPr>
          <w:ilvl w:val="0"/>
          <w:numId w:val="5"/>
        </w:numPr>
        <w:spacing w:after="200" w:line="276" w:lineRule="auto"/>
        <w:contextualSpacing/>
        <w:jc w:val="both"/>
        <w:rPr>
          <w:rFonts w:ascii="Cambria" w:eastAsia="Calibri" w:hAnsi="Cambria"/>
          <w:sz w:val="22"/>
          <w:szCs w:val="22"/>
          <w:lang w:val="sq-AL" w:eastAsia="en-US"/>
        </w:rPr>
      </w:pPr>
      <w:r w:rsidRPr="00EE3A30">
        <w:rPr>
          <w:rFonts w:ascii="Cambria" w:eastAsia="Times New Roman" w:hAnsi="Cambria"/>
          <w:sz w:val="22"/>
          <w:szCs w:val="22"/>
          <w:lang w:val="sq-AL" w:eastAsia="x-none" w:bidi="en-US"/>
        </w:rPr>
        <w:t xml:space="preserve">Vihet re se, në shumicën e rasteve, rregullorja e brendshme nuk është e përditësuar dhe në përputhje me ndryshimet e fundit strukturore të institucionit. Mungesa e një rregulloreje të përditësuar çon në mospërcaktimin e qartë të përgjegjësive dhe funksioneve brenda institucionit, linjave të raportimit, ndarjen e detyrave si dhe delegimin. </w:t>
      </w:r>
    </w:p>
    <w:p w:rsidR="00EE3A30" w:rsidRPr="00EE3A30" w:rsidRDefault="0081341B" w:rsidP="00F46CFF">
      <w:pPr>
        <w:numPr>
          <w:ilvl w:val="0"/>
          <w:numId w:val="5"/>
        </w:numPr>
        <w:spacing w:after="200" w:line="276" w:lineRule="auto"/>
        <w:contextualSpacing/>
        <w:jc w:val="both"/>
        <w:rPr>
          <w:rFonts w:ascii="Cambria" w:eastAsia="Calibri" w:hAnsi="Cambria"/>
          <w:sz w:val="22"/>
          <w:szCs w:val="22"/>
          <w:lang w:val="sq-AL" w:eastAsia="en-US"/>
        </w:rPr>
      </w:pPr>
      <w:r w:rsidRPr="00EE3A30">
        <w:rPr>
          <w:rFonts w:ascii="Cambria" w:eastAsia="Times New Roman" w:hAnsi="Cambria"/>
          <w:sz w:val="22"/>
          <w:szCs w:val="22"/>
          <w:lang w:val="sq-AL" w:eastAsia="x-none" w:bidi="en-US"/>
        </w:rPr>
        <w:t>Në vitin 2018, janë trajnuar 140 persona, nëpërmjet trajnimeve apo seminareve të organizuar në kuadër të rritjes së kapaciteteve dhe ndërgjegjësimit të administratës publike, mbi rolin dhe rëndësinë e zbatimit të MFK-së</w:t>
      </w:r>
      <w:r w:rsidR="00EE3A30" w:rsidRPr="00EE3A30">
        <w:rPr>
          <w:rFonts w:ascii="Cambria" w:eastAsia="Times New Roman" w:hAnsi="Cambria"/>
          <w:sz w:val="22"/>
          <w:szCs w:val="22"/>
          <w:lang w:val="sq-AL" w:eastAsia="x-none" w:bidi="en-US"/>
        </w:rPr>
        <w:t xml:space="preserve">. Gjithashtu, </w:t>
      </w:r>
      <w:r w:rsidR="00EE3A30" w:rsidRPr="00EE3A30">
        <w:rPr>
          <w:rFonts w:eastAsia="Calibri"/>
          <w:lang w:val="sq-AL" w:eastAsia="en-US"/>
        </w:rPr>
        <w:t>320 a</w:t>
      </w:r>
      <w:r w:rsidR="00EE3A30" w:rsidRPr="00EE3A30">
        <w:rPr>
          <w:rFonts w:ascii="Cambria" w:eastAsia="Calibri" w:hAnsi="Cambria"/>
          <w:sz w:val="22"/>
          <w:szCs w:val="22"/>
          <w:lang w:val="sq-AL" w:eastAsia="en-US"/>
        </w:rPr>
        <w:t>uditues të brendshëm të certifikuar në detyrë kanë ndjekur trajnimin e vijueshëm profesional, të organizuar nga Ministria e Financave dhe Ekonomisë, ose e shprehur në përqindje 100% e audituesve të brendshëm që e kanë këtë detyrim ligjor. Tematikat e trajtuara në këtë program trajnimi lidhur me kontrollin e brendshëm kanë ndikuar pozitivisht në fokusimin e auditimeve për vlerësimin e këtyre sistemeve në njësitë publike.</w:t>
      </w:r>
    </w:p>
    <w:p w:rsidR="0081341B" w:rsidRPr="001C3414"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E3A30">
        <w:rPr>
          <w:rFonts w:ascii="Cambria" w:eastAsia="Times New Roman" w:hAnsi="Cambria"/>
          <w:sz w:val="22"/>
          <w:szCs w:val="22"/>
          <w:lang w:val="sq-AL" w:eastAsia="x-none" w:bidi="en-US"/>
        </w:rPr>
        <w:t xml:space="preserve">Niveli i lartë menaxherial dhe punonjësit e konsiderojnë sistemin e MFK-së të lidhur vetëm me proceset financiare, gjë që pengon ngritjen dhe zhvillimin e duhur dhe </w:t>
      </w:r>
      <w:r w:rsidR="005F5836">
        <w:rPr>
          <w:rFonts w:ascii="Cambria" w:eastAsia="Times New Roman" w:hAnsi="Cambria"/>
          <w:sz w:val="22"/>
          <w:szCs w:val="22"/>
          <w:lang w:val="sq-AL" w:eastAsia="x-none" w:bidi="en-US"/>
        </w:rPr>
        <w:t>gjithëpërfshirës të sistemit.</w:t>
      </w:r>
    </w:p>
    <w:p w:rsidR="0081341B" w:rsidRPr="001C3414"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1C3414">
        <w:rPr>
          <w:rFonts w:ascii="Cambria" w:eastAsia="Times New Roman" w:hAnsi="Cambria"/>
          <w:sz w:val="22"/>
          <w:szCs w:val="22"/>
          <w:lang w:val="sq-AL" w:eastAsia="x-none" w:bidi="en-US"/>
        </w:rPr>
        <w:t>Kontrollet e brendshme nuk shihen si të përfshira në aktivitetet e përgjithshme të njësisë publike dhe si një detyri</w:t>
      </w:r>
      <w:r w:rsidR="00A9132B">
        <w:rPr>
          <w:rFonts w:ascii="Cambria" w:eastAsia="Times New Roman" w:hAnsi="Cambria"/>
          <w:sz w:val="22"/>
          <w:szCs w:val="22"/>
          <w:lang w:val="sq-AL" w:eastAsia="x-none" w:bidi="en-US"/>
        </w:rPr>
        <w:t>m për të gjithë punonjësit, por</w:t>
      </w:r>
      <w:r w:rsidRPr="001C3414">
        <w:rPr>
          <w:rFonts w:ascii="Cambria" w:eastAsia="Times New Roman" w:hAnsi="Cambria"/>
          <w:sz w:val="22"/>
          <w:szCs w:val="22"/>
          <w:lang w:val="sq-AL" w:eastAsia="x-none" w:bidi="en-US"/>
        </w:rPr>
        <w:t xml:space="preserve"> përkundrazi, sistemi i MFK-së perceptohet si një aktivitet i ri dhe shtesë që duhet të ndër</w:t>
      </w:r>
      <w:r w:rsidR="005F5836">
        <w:rPr>
          <w:rFonts w:ascii="Cambria" w:eastAsia="Times New Roman" w:hAnsi="Cambria"/>
          <w:sz w:val="22"/>
          <w:szCs w:val="22"/>
          <w:lang w:val="sq-AL" w:eastAsia="x-none" w:bidi="en-US"/>
        </w:rPr>
        <w:t>merret nga një person i caktuar.</w:t>
      </w:r>
    </w:p>
    <w:p w:rsidR="0081341B" w:rsidRPr="001C3414"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1C3414">
        <w:rPr>
          <w:rFonts w:ascii="Cambria" w:eastAsia="Times New Roman" w:hAnsi="Cambria"/>
          <w:sz w:val="22"/>
          <w:szCs w:val="22"/>
          <w:lang w:val="sq-AL" w:eastAsia="x-none" w:bidi="en-US"/>
        </w:rPr>
        <w:t>Ka mungesë të procedura</w:t>
      </w:r>
      <w:r w:rsidR="00B92C57">
        <w:rPr>
          <w:rFonts w:ascii="Cambria" w:eastAsia="Times New Roman" w:hAnsi="Cambria"/>
          <w:sz w:val="22"/>
          <w:szCs w:val="22"/>
          <w:lang w:val="sq-AL" w:eastAsia="x-none" w:bidi="en-US"/>
        </w:rPr>
        <w:t>ve</w:t>
      </w:r>
      <w:r w:rsidRPr="001C3414">
        <w:rPr>
          <w:rFonts w:ascii="Cambria" w:eastAsia="Times New Roman" w:hAnsi="Cambria"/>
          <w:sz w:val="22"/>
          <w:szCs w:val="22"/>
          <w:lang w:val="sq-AL" w:eastAsia="x-none" w:bidi="en-US"/>
        </w:rPr>
        <w:t xml:space="preserve"> të shkruara në lidhje me procesin e identifikimit të risqeve, kryesisht të risqeve që kanë të bëjnë me korrupsioni</w:t>
      </w:r>
      <w:r w:rsidR="007F1ECA" w:rsidRPr="001C3414">
        <w:rPr>
          <w:rFonts w:ascii="Cambria" w:eastAsia="Times New Roman" w:hAnsi="Cambria"/>
          <w:sz w:val="22"/>
          <w:szCs w:val="22"/>
          <w:lang w:val="sq-AL" w:eastAsia="x-none" w:bidi="en-US"/>
        </w:rPr>
        <w:t>n</w:t>
      </w:r>
      <w:r w:rsidRPr="001C3414">
        <w:rPr>
          <w:rFonts w:ascii="Cambria" w:eastAsia="Times New Roman" w:hAnsi="Cambria"/>
          <w:sz w:val="22"/>
          <w:szCs w:val="22"/>
          <w:lang w:val="sq-AL" w:eastAsia="x-none" w:bidi="en-US"/>
        </w:rPr>
        <w:t xml:space="preserve"> apo mashtrimin, gjë që bën që menaxhimi të mos jetë i angazhuar në trajtimin e tyre, dhe r</w:t>
      </w:r>
      <w:r w:rsidR="007F1ECA" w:rsidRPr="001C3414">
        <w:rPr>
          <w:rFonts w:ascii="Cambria" w:eastAsia="Times New Roman" w:hAnsi="Cambria"/>
          <w:sz w:val="22"/>
          <w:szCs w:val="22"/>
          <w:lang w:val="sq-AL" w:eastAsia="x-none" w:bidi="en-US"/>
        </w:rPr>
        <w:t>rjedhimisht, kontrollet e brend</w:t>
      </w:r>
      <w:r w:rsidRPr="001C3414">
        <w:rPr>
          <w:rFonts w:ascii="Cambria" w:eastAsia="Times New Roman" w:hAnsi="Cambria"/>
          <w:sz w:val="22"/>
          <w:szCs w:val="22"/>
          <w:lang w:val="sq-AL" w:eastAsia="x-none" w:bidi="en-US"/>
        </w:rPr>
        <w:t>s</w:t>
      </w:r>
      <w:r w:rsidR="007F1ECA" w:rsidRPr="001C3414">
        <w:rPr>
          <w:rFonts w:ascii="Cambria" w:eastAsia="Times New Roman" w:hAnsi="Cambria"/>
          <w:sz w:val="22"/>
          <w:szCs w:val="22"/>
          <w:lang w:val="sq-AL" w:eastAsia="x-none" w:bidi="en-US"/>
        </w:rPr>
        <w:t>h</w:t>
      </w:r>
      <w:r w:rsidRPr="001C3414">
        <w:rPr>
          <w:rFonts w:ascii="Cambria" w:eastAsia="Times New Roman" w:hAnsi="Cambria"/>
          <w:sz w:val="22"/>
          <w:szCs w:val="22"/>
          <w:lang w:val="sq-AL" w:eastAsia="x-none" w:bidi="en-US"/>
        </w:rPr>
        <w:t>me në proceset e ndryshme të pu</w:t>
      </w:r>
      <w:r w:rsidR="00214D27">
        <w:rPr>
          <w:rFonts w:ascii="Cambria" w:eastAsia="Times New Roman" w:hAnsi="Cambria"/>
          <w:sz w:val="22"/>
          <w:szCs w:val="22"/>
          <w:lang w:val="sq-AL" w:eastAsia="x-none" w:bidi="en-US"/>
        </w:rPr>
        <w:t>nës nuk janë të bazuara në risk.</w:t>
      </w:r>
    </w:p>
    <w:p w:rsidR="0081341B"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BD1853">
        <w:rPr>
          <w:rFonts w:ascii="Cambria" w:eastAsia="Times New Roman" w:hAnsi="Cambria"/>
          <w:sz w:val="22"/>
          <w:szCs w:val="22"/>
          <w:lang w:val="sq-AL" w:eastAsia="x-none" w:bidi="en-US"/>
        </w:rPr>
        <w:t>Ekziston një mungesë e konsiderueshme e koordinimit dhe komunikimit në lidhje me arritjen e objektivave dhe treguesve të performancës midis institucioneve eprore dhe njësive të tyre të varësi</w:t>
      </w:r>
      <w:r w:rsidR="007F1ECA">
        <w:rPr>
          <w:rFonts w:ascii="Cambria" w:eastAsia="Times New Roman" w:hAnsi="Cambria"/>
          <w:sz w:val="22"/>
          <w:szCs w:val="22"/>
          <w:lang w:val="sq-AL" w:eastAsia="x-none" w:bidi="en-US"/>
        </w:rPr>
        <w:t>së</w:t>
      </w:r>
      <w:r w:rsidRPr="00BD1853">
        <w:rPr>
          <w:rFonts w:ascii="Cambria" w:eastAsia="Times New Roman" w:hAnsi="Cambria"/>
          <w:sz w:val="22"/>
          <w:szCs w:val="22"/>
          <w:lang w:val="sq-AL" w:eastAsia="x-none" w:bidi="en-US"/>
        </w:rPr>
        <w:t>, gjë e cila mund të përmirësohet nëpërmjet organizimit të trajnimeve të përbashkëta të këtyre njësive publike, për të siguruar një informacion sa më të konsoliduar dhe gjithëpërfshirës.</w:t>
      </w:r>
    </w:p>
    <w:p w:rsidR="00DC729F" w:rsidRDefault="00A81A7A" w:rsidP="00F46CFF">
      <w:pPr>
        <w:numPr>
          <w:ilvl w:val="0"/>
          <w:numId w:val="5"/>
        </w:numPr>
        <w:spacing w:after="200" w:line="276" w:lineRule="auto"/>
        <w:contextualSpacing/>
        <w:jc w:val="both"/>
        <w:rPr>
          <w:rFonts w:ascii="Cambria" w:eastAsia="Times New Roman" w:hAnsi="Cambria"/>
          <w:sz w:val="22"/>
          <w:szCs w:val="22"/>
          <w:lang w:val="sq-AL" w:eastAsia="x-none" w:bidi="en-US"/>
        </w:rPr>
      </w:pPr>
      <w:r>
        <w:rPr>
          <w:rFonts w:ascii="Cambria" w:eastAsia="Times New Roman" w:hAnsi="Cambria"/>
          <w:sz w:val="22"/>
          <w:szCs w:val="22"/>
          <w:lang w:val="sq-AL" w:eastAsia="x-none" w:bidi="en-US"/>
        </w:rPr>
        <w:t xml:space="preserve">Në vijim të miratimit të akteve nënligjore, në kuadër të </w:t>
      </w:r>
      <w:r w:rsidR="00DC729F" w:rsidRPr="0081341B">
        <w:rPr>
          <w:rFonts w:ascii="Cambria" w:eastAsia="Times New Roman" w:hAnsi="Cambria"/>
          <w:sz w:val="22"/>
          <w:szCs w:val="22"/>
          <w:lang w:val="sq-AL" w:eastAsia="x-none" w:bidi="en-US"/>
        </w:rPr>
        <w:t>përmirësimi</w:t>
      </w:r>
      <w:r>
        <w:rPr>
          <w:rFonts w:ascii="Cambria" w:eastAsia="Times New Roman" w:hAnsi="Cambria"/>
          <w:sz w:val="22"/>
          <w:szCs w:val="22"/>
          <w:lang w:val="sq-AL" w:eastAsia="x-none" w:bidi="en-US"/>
        </w:rPr>
        <w:t>t të</w:t>
      </w:r>
      <w:r w:rsidR="00DC729F" w:rsidRPr="0081341B">
        <w:rPr>
          <w:rFonts w:ascii="Cambria" w:eastAsia="Times New Roman" w:hAnsi="Cambria"/>
          <w:sz w:val="22"/>
          <w:szCs w:val="22"/>
          <w:lang w:val="sq-AL" w:eastAsia="x-none" w:bidi="en-US"/>
        </w:rPr>
        <w:t xml:space="preserve"> fushës së raportimit financiar dhe kontabilitetit në sektorin publik</w:t>
      </w:r>
      <w:r>
        <w:rPr>
          <w:rFonts w:ascii="Cambria" w:eastAsia="Times New Roman" w:hAnsi="Cambria"/>
          <w:sz w:val="22"/>
          <w:szCs w:val="22"/>
          <w:lang w:val="sq-AL" w:eastAsia="x-none" w:bidi="en-US"/>
        </w:rPr>
        <w:t>,</w:t>
      </w:r>
      <w:r w:rsidR="00DC729F" w:rsidRPr="0081341B">
        <w:rPr>
          <w:rFonts w:ascii="Cambria" w:eastAsia="Times New Roman" w:hAnsi="Cambria"/>
          <w:sz w:val="22"/>
          <w:szCs w:val="22"/>
          <w:lang w:val="sq-AL" w:eastAsia="x-none" w:bidi="en-US"/>
        </w:rPr>
        <w:t xml:space="preserve"> </w:t>
      </w:r>
      <w:r w:rsidR="005D13AE">
        <w:rPr>
          <w:rFonts w:ascii="Cambria" w:eastAsia="Times New Roman" w:hAnsi="Cambria"/>
          <w:sz w:val="22"/>
          <w:szCs w:val="22"/>
          <w:lang w:val="sq-AL" w:eastAsia="x-none" w:bidi="en-US"/>
        </w:rPr>
        <w:t xml:space="preserve">si </w:t>
      </w:r>
      <w:r>
        <w:rPr>
          <w:rFonts w:ascii="Cambria" w:eastAsia="Times New Roman" w:hAnsi="Cambria"/>
          <w:sz w:val="22"/>
          <w:szCs w:val="22"/>
          <w:lang w:val="sq-AL" w:eastAsia="x-none" w:bidi="en-US"/>
        </w:rPr>
        <w:t>dhe p</w:t>
      </w:r>
      <w:r w:rsidR="00DC729F" w:rsidRPr="0081341B">
        <w:rPr>
          <w:rFonts w:ascii="Cambria" w:eastAsia="Times New Roman" w:hAnsi="Cambria"/>
          <w:sz w:val="22"/>
          <w:szCs w:val="22"/>
          <w:lang w:val="sq-AL" w:eastAsia="x-none" w:bidi="en-US"/>
        </w:rPr>
        <w:t xml:space="preserve">avarësisht vështirësive në zbatimin e këtyre akteve, nga analiza e  institucioneve </w:t>
      </w:r>
      <w:r>
        <w:rPr>
          <w:rFonts w:ascii="Cambria" w:eastAsia="Times New Roman" w:hAnsi="Cambria"/>
          <w:sz w:val="22"/>
          <w:szCs w:val="22"/>
          <w:lang w:val="sq-AL" w:eastAsia="x-none" w:bidi="en-US"/>
        </w:rPr>
        <w:t>që</w:t>
      </w:r>
      <w:r w:rsidR="00DC729F" w:rsidRPr="0081341B">
        <w:rPr>
          <w:rFonts w:ascii="Cambria" w:eastAsia="Times New Roman" w:hAnsi="Cambria"/>
          <w:sz w:val="22"/>
          <w:szCs w:val="22"/>
          <w:lang w:val="sq-AL" w:eastAsia="x-none" w:bidi="en-US"/>
        </w:rPr>
        <w:t xml:space="preserve"> kanë paraqitur pasqyrat financiare pranë strukturës përk</w:t>
      </w:r>
      <w:r w:rsidR="00DC729F">
        <w:rPr>
          <w:rFonts w:ascii="Cambria" w:eastAsia="Times New Roman" w:hAnsi="Cambria"/>
          <w:sz w:val="22"/>
          <w:szCs w:val="22"/>
          <w:lang w:val="sq-AL" w:eastAsia="x-none" w:bidi="en-US"/>
        </w:rPr>
        <w:t xml:space="preserve">atëse në MFE, </w:t>
      </w:r>
      <w:r>
        <w:rPr>
          <w:rFonts w:ascii="Cambria" w:eastAsia="Times New Roman" w:hAnsi="Cambria"/>
          <w:sz w:val="22"/>
          <w:szCs w:val="22"/>
          <w:lang w:val="sq-AL" w:eastAsia="x-none" w:bidi="en-US"/>
        </w:rPr>
        <w:t>pjesa më e madhe</w:t>
      </w:r>
      <w:r w:rsidR="00DC729F" w:rsidRPr="0081341B">
        <w:rPr>
          <w:rFonts w:ascii="Cambria" w:eastAsia="Times New Roman" w:hAnsi="Cambria"/>
          <w:sz w:val="22"/>
          <w:szCs w:val="22"/>
          <w:lang w:val="sq-AL" w:eastAsia="x-none" w:bidi="en-US"/>
        </w:rPr>
        <w:t xml:space="preserve"> </w:t>
      </w:r>
      <w:r w:rsidR="005D13AE">
        <w:rPr>
          <w:rFonts w:ascii="Cambria" w:eastAsia="Times New Roman" w:hAnsi="Cambria"/>
          <w:sz w:val="22"/>
          <w:szCs w:val="22"/>
          <w:lang w:val="sq-AL" w:eastAsia="x-none" w:bidi="en-US"/>
        </w:rPr>
        <w:t>e</w:t>
      </w:r>
      <w:r w:rsidR="005D13AE" w:rsidRPr="0081341B">
        <w:rPr>
          <w:rFonts w:ascii="Cambria" w:eastAsia="Times New Roman" w:hAnsi="Cambria"/>
          <w:sz w:val="22"/>
          <w:szCs w:val="22"/>
          <w:lang w:val="sq-AL" w:eastAsia="x-none" w:bidi="en-US"/>
        </w:rPr>
        <w:t xml:space="preserve"> </w:t>
      </w:r>
      <w:r w:rsidR="00DC729F" w:rsidRPr="0081341B">
        <w:rPr>
          <w:rFonts w:ascii="Cambria" w:eastAsia="Times New Roman" w:hAnsi="Cambria"/>
          <w:sz w:val="22"/>
          <w:szCs w:val="22"/>
          <w:lang w:val="sq-AL" w:eastAsia="x-none" w:bidi="en-US"/>
        </w:rPr>
        <w:t>tyre i kanë plotësuar ato në kohën e duhur dhe me formatin e duhur.</w:t>
      </w:r>
      <w:r w:rsidR="00DC729F">
        <w:rPr>
          <w:rFonts w:ascii="Cambria" w:eastAsia="Times New Roman" w:hAnsi="Cambria"/>
          <w:sz w:val="22"/>
          <w:szCs w:val="22"/>
          <w:lang w:val="sq-AL" w:eastAsia="x-none" w:bidi="en-US"/>
        </w:rPr>
        <w:t xml:space="preserve"> </w:t>
      </w:r>
    </w:p>
    <w:p w:rsidR="00A00A1B" w:rsidRDefault="005D13AE" w:rsidP="00F46CFF">
      <w:pPr>
        <w:numPr>
          <w:ilvl w:val="0"/>
          <w:numId w:val="5"/>
        </w:numPr>
        <w:spacing w:after="200" w:line="276" w:lineRule="auto"/>
        <w:contextualSpacing/>
        <w:jc w:val="both"/>
        <w:rPr>
          <w:rFonts w:ascii="Cambria" w:eastAsia="Times New Roman" w:hAnsi="Cambria"/>
          <w:sz w:val="22"/>
          <w:szCs w:val="22"/>
          <w:lang w:val="sq-AL" w:eastAsia="x-none" w:bidi="en-US"/>
        </w:rPr>
      </w:pPr>
      <w:r>
        <w:rPr>
          <w:rFonts w:ascii="Cambria" w:eastAsia="Times New Roman" w:hAnsi="Cambria"/>
          <w:sz w:val="22"/>
          <w:szCs w:val="22"/>
          <w:lang w:val="sq-AL" w:eastAsia="x-none" w:bidi="en-US"/>
        </w:rPr>
        <w:t>L</w:t>
      </w:r>
      <w:r w:rsidR="00BB70F1" w:rsidRPr="00BB70F1">
        <w:rPr>
          <w:rFonts w:ascii="Cambria" w:eastAsia="Times New Roman" w:hAnsi="Cambria"/>
          <w:sz w:val="22"/>
          <w:szCs w:val="22"/>
          <w:lang w:val="sq-AL" w:eastAsia="x-none" w:bidi="en-US"/>
        </w:rPr>
        <w:t>idhur me sistemin e raportimit të shkeljeve të mundshme të rregullave apo rasteve të mashtrimit, theksojmë se në institucione</w:t>
      </w:r>
      <w:r w:rsidR="00A00A1B">
        <w:rPr>
          <w:rFonts w:ascii="Cambria" w:eastAsia="Times New Roman" w:hAnsi="Cambria"/>
          <w:sz w:val="22"/>
          <w:szCs w:val="22"/>
          <w:lang w:val="sq-AL" w:eastAsia="x-none" w:bidi="en-US"/>
        </w:rPr>
        <w:t xml:space="preserve"> ekzistojnë procedurat ligjore dhe strukturat përkatëse të sinjalizimit, por nga mungesa e të dhënave konkrete të rasteve të shkeljeve në lidhje me korrupsionin dhe mashtrimin, evidentohet një nivel i ulët i zbatimit të këtyre procedurave dhe efektivitetit të tyre në institucion. </w:t>
      </w:r>
    </w:p>
    <w:p w:rsidR="00A00A1B" w:rsidRDefault="00D60E14" w:rsidP="00F46CFF">
      <w:pPr>
        <w:numPr>
          <w:ilvl w:val="0"/>
          <w:numId w:val="5"/>
        </w:numPr>
        <w:spacing w:after="200" w:line="276" w:lineRule="auto"/>
        <w:contextualSpacing/>
        <w:jc w:val="both"/>
        <w:rPr>
          <w:rFonts w:ascii="Cambria" w:eastAsia="Times New Roman" w:hAnsi="Cambria"/>
          <w:sz w:val="22"/>
          <w:szCs w:val="22"/>
          <w:lang w:val="sq-AL" w:eastAsia="x-none" w:bidi="en-US"/>
        </w:rPr>
      </w:pPr>
      <w:r>
        <w:rPr>
          <w:rFonts w:ascii="Cambria" w:eastAsia="Times New Roman" w:hAnsi="Cambria"/>
          <w:sz w:val="22"/>
          <w:szCs w:val="22"/>
          <w:lang w:val="sq-AL" w:eastAsia="x-none" w:bidi="en-US"/>
        </w:rPr>
        <w:t>Pavarë</w:t>
      </w:r>
      <w:r w:rsidR="00054506">
        <w:rPr>
          <w:rFonts w:ascii="Cambria" w:eastAsia="Times New Roman" w:hAnsi="Cambria"/>
          <w:sz w:val="22"/>
          <w:szCs w:val="22"/>
          <w:lang w:val="sq-AL" w:eastAsia="x-none" w:bidi="en-US"/>
        </w:rPr>
        <w:t>sisht se në pyetësorët e vetëvlerësimit, institucionet shprehen se kanë regjistër risku dhe e përditësoj</w:t>
      </w:r>
      <w:r>
        <w:rPr>
          <w:rFonts w:ascii="Cambria" w:eastAsia="Times New Roman" w:hAnsi="Cambria"/>
          <w:sz w:val="22"/>
          <w:szCs w:val="22"/>
          <w:lang w:val="sq-AL" w:eastAsia="x-none" w:bidi="en-US"/>
        </w:rPr>
        <w:t>n</w:t>
      </w:r>
      <w:r w:rsidR="00054506">
        <w:rPr>
          <w:rFonts w:ascii="Cambria" w:eastAsia="Times New Roman" w:hAnsi="Cambria"/>
          <w:sz w:val="22"/>
          <w:szCs w:val="22"/>
          <w:lang w:val="sq-AL" w:eastAsia="x-none" w:bidi="en-US"/>
        </w:rPr>
        <w:t>ë atë, a</w:t>
      </w:r>
      <w:r w:rsidR="00054506" w:rsidRPr="00054506">
        <w:rPr>
          <w:rFonts w:ascii="Cambria" w:eastAsia="Times New Roman" w:hAnsi="Cambria"/>
          <w:sz w:val="22"/>
          <w:szCs w:val="22"/>
          <w:lang w:val="sq-AL" w:eastAsia="x-none" w:bidi="en-US"/>
        </w:rPr>
        <w:t xml:space="preserve">udituesit e brendshëm evidentojnë se njësitë publike nuk kanë identifikuar </w:t>
      </w:r>
      <w:r w:rsidR="00054506">
        <w:rPr>
          <w:rFonts w:ascii="Cambria" w:eastAsia="Times New Roman" w:hAnsi="Cambria"/>
          <w:sz w:val="22"/>
          <w:szCs w:val="22"/>
          <w:lang w:val="sq-AL" w:eastAsia="x-none" w:bidi="en-US"/>
        </w:rPr>
        <w:t>aktivet</w:t>
      </w:r>
      <w:r w:rsidR="00054506" w:rsidRPr="00054506">
        <w:rPr>
          <w:rFonts w:ascii="Cambria" w:eastAsia="Times New Roman" w:hAnsi="Cambria"/>
          <w:sz w:val="22"/>
          <w:szCs w:val="22"/>
          <w:lang w:val="sq-AL" w:eastAsia="x-none" w:bidi="en-US"/>
        </w:rPr>
        <w:t xml:space="preserve"> dhe nuk </w:t>
      </w:r>
      <w:r>
        <w:rPr>
          <w:rFonts w:ascii="Cambria" w:eastAsia="Times New Roman" w:hAnsi="Cambria"/>
          <w:sz w:val="22"/>
          <w:szCs w:val="22"/>
          <w:lang w:val="sq-AL" w:eastAsia="x-none" w:bidi="en-US"/>
        </w:rPr>
        <w:t xml:space="preserve">kanë </w:t>
      </w:r>
      <w:r w:rsidR="00054506" w:rsidRPr="00054506">
        <w:rPr>
          <w:rFonts w:ascii="Cambria" w:eastAsia="Times New Roman" w:hAnsi="Cambria"/>
          <w:sz w:val="22"/>
          <w:szCs w:val="22"/>
          <w:lang w:val="sq-AL" w:eastAsia="x-none" w:bidi="en-US"/>
        </w:rPr>
        <w:t>hartuar regjistrin e saktë të tyre, si një faktor i rëndësishëm për mirëadministrim dhe mirëmenaxhim të pronës publike.</w:t>
      </w:r>
    </w:p>
    <w:p w:rsid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Audituesit e brendshëm evidentojnë se faktor kyç për realizimin e përgjegjësive dhe arritjen e objektivave të njësive publike janë plotësimi i vendeve vakante me staf të kualifikuar në përputhje me kriteret ligjore të përcaktuara, përcaktim</w:t>
      </w:r>
      <w:r>
        <w:rPr>
          <w:rFonts w:ascii="Cambria" w:eastAsia="Times New Roman" w:hAnsi="Cambria"/>
          <w:sz w:val="22"/>
          <w:szCs w:val="22"/>
          <w:lang w:val="sq-AL" w:eastAsia="x-none" w:bidi="en-US"/>
        </w:rPr>
        <w:t>i</w:t>
      </w:r>
      <w:r w:rsidRPr="00054506">
        <w:rPr>
          <w:rFonts w:ascii="Cambria" w:eastAsia="Times New Roman" w:hAnsi="Cambria"/>
          <w:sz w:val="22"/>
          <w:szCs w:val="22"/>
          <w:lang w:val="sq-AL" w:eastAsia="x-none" w:bidi="en-US"/>
        </w:rPr>
        <w:t xml:space="preserve"> i qartë i detyrave dhe vlerësim</w:t>
      </w:r>
      <w:r>
        <w:rPr>
          <w:rFonts w:ascii="Cambria" w:eastAsia="Times New Roman" w:hAnsi="Cambria"/>
          <w:sz w:val="22"/>
          <w:szCs w:val="22"/>
          <w:lang w:val="sq-AL" w:eastAsia="x-none" w:bidi="en-US"/>
        </w:rPr>
        <w:t>i</w:t>
      </w:r>
      <w:r w:rsidRPr="00054506">
        <w:rPr>
          <w:rFonts w:ascii="Cambria" w:eastAsia="Times New Roman" w:hAnsi="Cambria"/>
          <w:sz w:val="22"/>
          <w:szCs w:val="22"/>
          <w:lang w:val="sq-AL" w:eastAsia="x-none" w:bidi="en-US"/>
        </w:rPr>
        <w:t xml:space="preserve"> real i performancës së tyre.</w:t>
      </w:r>
    </w:p>
    <w:p w:rsid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Audituesit e brendshëm gjatë angazhimeve kanë vlerësuar me risk të lartë sistemin e prokurimeve, blerjeve dhe investimeve, sistemin e administrimit të aseteve, sistemin e koncesioneve, ankandeve dhe administrimit të pronës dhe sistemin e menaxhimit financiar dhe kontrollit.</w:t>
      </w:r>
    </w:p>
    <w:p w:rsidR="00054506" w:rsidRP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Gjetje me dëm ekonomik llogariten në masën 4.332,5 milionë lekë, por krahasuar me vitin e mëparshëm është në nivel më të ulët (7.848,5 milionë lekë viti 2017). Në sistemin e  prokurimeve publike është evidentuar nga audituesit vlera më e madhe e gjetjeve për shkeljet e  konstatuara.</w:t>
      </w:r>
    </w:p>
    <w:p w:rsidR="00054506" w:rsidRP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Niveli i pranimit të rekomandimeve nga subjektet e audituara evidentohet në masën 99,8% dhe niveli i zbatimit të rekomandimeve nga ana e subjekteve të audituara është në masën 57% ose 2% më shumë se niveli i zbatimit të rekomandimeve të vitit 2017.</w:t>
      </w:r>
    </w:p>
    <w:p w:rsid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Njësitë e Auditimit të Brendshëm kanë evidentuar 20 raste të shkeljeve, të cilat kanë nevojë për invesitigim të mëtejshëm në njësi të specializuara si: Drejtoria  e Inspektimit Financiar në Ministrinë e Financave dhe Ekonomisë, prokuroritë e rretheve përkatëse, Agjensia e Prokurimit Publik dhe Drejtoria e Hetimit Tatimor.</w:t>
      </w:r>
    </w:p>
    <w:p w:rsidR="00054506" w:rsidRDefault="00054506" w:rsidP="00054506">
      <w:pPr>
        <w:spacing w:after="200" w:line="276" w:lineRule="auto"/>
        <w:ind w:left="720"/>
        <w:contextualSpacing/>
        <w:jc w:val="both"/>
        <w:rPr>
          <w:rFonts w:ascii="Cambria" w:eastAsia="Times New Roman" w:hAnsi="Cambria"/>
          <w:sz w:val="22"/>
          <w:szCs w:val="22"/>
          <w:lang w:val="sq-AL" w:eastAsia="x-none" w:bidi="en-US"/>
        </w:rPr>
      </w:pPr>
    </w:p>
    <w:p w:rsidR="0081341B" w:rsidRPr="00BD1853" w:rsidRDefault="0081341B" w:rsidP="0081341B">
      <w:pPr>
        <w:spacing w:after="200"/>
        <w:jc w:val="both"/>
        <w:rPr>
          <w:rFonts w:asciiTheme="majorHAnsi" w:eastAsia="Calibri" w:hAnsiTheme="majorHAnsi"/>
          <w:sz w:val="22"/>
          <w:szCs w:val="22"/>
          <w:lang w:val="sq-AL" w:eastAsia="en-US"/>
        </w:rPr>
      </w:pPr>
      <w:r w:rsidRPr="00BD1853">
        <w:rPr>
          <w:rFonts w:asciiTheme="majorHAnsi" w:eastAsia="Calibri" w:hAnsiTheme="majorHAnsi"/>
          <w:sz w:val="22"/>
          <w:szCs w:val="22"/>
          <w:lang w:val="sq-AL" w:eastAsia="en-US"/>
        </w:rPr>
        <w:t xml:space="preserve">Çështjet për adresim në të ardhmen lidhur me </w:t>
      </w:r>
      <w:r w:rsidR="00054506">
        <w:rPr>
          <w:rFonts w:asciiTheme="majorHAnsi" w:eastAsia="Calibri" w:hAnsiTheme="majorHAnsi"/>
          <w:sz w:val="22"/>
          <w:szCs w:val="22"/>
          <w:lang w:val="sq-AL" w:eastAsia="en-US"/>
        </w:rPr>
        <w:t>kontrollin e brendshëm</w:t>
      </w:r>
      <w:r w:rsidRPr="00BD1853">
        <w:rPr>
          <w:rFonts w:asciiTheme="majorHAnsi" w:eastAsia="Calibri" w:hAnsiTheme="majorHAnsi"/>
          <w:sz w:val="22"/>
          <w:szCs w:val="22"/>
          <w:lang w:val="sq-AL" w:eastAsia="en-US"/>
        </w:rPr>
        <w:t xml:space="preserve"> </w:t>
      </w:r>
      <w:r w:rsidRPr="0081341B">
        <w:rPr>
          <w:rFonts w:asciiTheme="majorHAnsi" w:eastAsia="Calibri" w:hAnsiTheme="majorHAnsi"/>
          <w:sz w:val="22"/>
          <w:szCs w:val="22"/>
          <w:lang w:val="sq-AL" w:eastAsia="en-US"/>
        </w:rPr>
        <w:t>janë si më poshtë vijon</w:t>
      </w:r>
      <w:r w:rsidRPr="00BD1853">
        <w:rPr>
          <w:rFonts w:asciiTheme="majorHAnsi" w:eastAsia="Calibri" w:hAnsiTheme="majorHAnsi"/>
          <w:sz w:val="22"/>
          <w:szCs w:val="22"/>
          <w:lang w:val="sq-AL" w:eastAsia="en-US"/>
        </w:rPr>
        <w:t>:</w:t>
      </w:r>
    </w:p>
    <w:p w:rsidR="0081341B" w:rsidRPr="0081341B"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 xml:space="preserve">Zhvillimi i planifikimit strategjik, sidomos në kuadër të koordinimit të planifikimit strategjik dhe atij operacional, lidhjes së objektivave strategjike dhe programeve, </w:t>
      </w:r>
      <w:r w:rsidR="004E7030">
        <w:rPr>
          <w:rFonts w:asciiTheme="majorHAnsi" w:eastAsia="Calibri" w:hAnsiTheme="majorHAnsi"/>
          <w:sz w:val="22"/>
          <w:szCs w:val="22"/>
          <w:lang w:val="sq-AL" w:eastAsia="en-US" w:bidi="en-US"/>
        </w:rPr>
        <w:t>si dhe të parashikimit të fondeve</w:t>
      </w:r>
      <w:r w:rsidRPr="0081341B">
        <w:rPr>
          <w:rFonts w:asciiTheme="majorHAnsi" w:eastAsia="Calibri" w:hAnsiTheme="majorHAnsi"/>
          <w:sz w:val="22"/>
          <w:szCs w:val="22"/>
          <w:lang w:val="sq-AL" w:eastAsia="en-US" w:bidi="en-US"/>
        </w:rPr>
        <w:t xml:space="preserve"> të nevojshme fina</w:t>
      </w:r>
      <w:r w:rsidR="001F2610">
        <w:rPr>
          <w:rFonts w:asciiTheme="majorHAnsi" w:eastAsia="Calibri" w:hAnsiTheme="majorHAnsi"/>
          <w:sz w:val="22"/>
          <w:szCs w:val="22"/>
          <w:lang w:val="sq-AL" w:eastAsia="en-US" w:bidi="en-US"/>
        </w:rPr>
        <w:t>nciare për implementimin e tyre.</w:t>
      </w:r>
    </w:p>
    <w:p w:rsidR="0081341B" w:rsidRPr="0081341B"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Zhvillimi</w:t>
      </w:r>
      <w:r w:rsidR="004E7030">
        <w:rPr>
          <w:rFonts w:asciiTheme="majorHAnsi" w:eastAsia="Calibri" w:hAnsiTheme="majorHAnsi"/>
          <w:sz w:val="22"/>
          <w:szCs w:val="22"/>
          <w:lang w:val="sq-AL" w:eastAsia="en-US" w:bidi="en-US"/>
        </w:rPr>
        <w:t xml:space="preserve"> i</w:t>
      </w:r>
      <w:r w:rsidRPr="0081341B">
        <w:rPr>
          <w:rFonts w:asciiTheme="majorHAnsi" w:eastAsia="Calibri" w:hAnsiTheme="majorHAnsi"/>
          <w:sz w:val="22"/>
          <w:szCs w:val="22"/>
          <w:lang w:val="sq-AL" w:eastAsia="en-US" w:bidi="en-US"/>
        </w:rPr>
        <w:t xml:space="preserve"> konceptit të </w:t>
      </w:r>
      <w:r w:rsidR="004E7030">
        <w:rPr>
          <w:rFonts w:asciiTheme="majorHAnsi" w:eastAsia="Calibri" w:hAnsiTheme="majorHAnsi"/>
          <w:sz w:val="22"/>
          <w:szCs w:val="22"/>
          <w:lang w:val="sq-AL" w:eastAsia="en-US" w:bidi="en-US"/>
        </w:rPr>
        <w:t>përgjegjshmërisë</w:t>
      </w:r>
      <w:r w:rsidRPr="0081341B">
        <w:rPr>
          <w:rFonts w:asciiTheme="majorHAnsi" w:eastAsia="Calibri" w:hAnsiTheme="majorHAnsi"/>
          <w:sz w:val="22"/>
          <w:szCs w:val="22"/>
          <w:lang w:val="sq-AL" w:eastAsia="en-US" w:bidi="en-US"/>
        </w:rPr>
        <w:t xml:space="preserve"> menaxheriale dhe krijimi i parakushteve me qëllim </w:t>
      </w:r>
      <w:r w:rsidR="004E7030">
        <w:rPr>
          <w:rFonts w:asciiTheme="majorHAnsi" w:eastAsia="Calibri" w:hAnsiTheme="majorHAnsi"/>
          <w:sz w:val="22"/>
          <w:szCs w:val="22"/>
          <w:lang w:val="sq-AL" w:eastAsia="en-US" w:bidi="en-US"/>
        </w:rPr>
        <w:t>përcaktimin</w:t>
      </w:r>
      <w:r w:rsidRPr="0081341B">
        <w:rPr>
          <w:rFonts w:asciiTheme="majorHAnsi" w:eastAsia="Calibri" w:hAnsiTheme="majorHAnsi"/>
          <w:sz w:val="22"/>
          <w:szCs w:val="22"/>
          <w:lang w:val="sq-AL" w:eastAsia="en-US" w:bidi="en-US"/>
        </w:rPr>
        <w:t xml:space="preserve"> e autoriteteve dhe përgjegjësive të qarta për përdorimin dhe menaxhimin e fondev</w:t>
      </w:r>
      <w:r w:rsidR="001F2610">
        <w:rPr>
          <w:rFonts w:asciiTheme="majorHAnsi" w:eastAsia="Calibri" w:hAnsiTheme="majorHAnsi"/>
          <w:sz w:val="22"/>
          <w:szCs w:val="22"/>
          <w:lang w:val="sq-AL" w:eastAsia="en-US" w:bidi="en-US"/>
        </w:rPr>
        <w:t>e buxhetore në mënyrë objektive.</w:t>
      </w:r>
      <w:r w:rsidRPr="0081341B">
        <w:rPr>
          <w:rFonts w:asciiTheme="majorHAnsi" w:eastAsia="Calibri" w:hAnsiTheme="majorHAnsi"/>
          <w:sz w:val="22"/>
          <w:szCs w:val="22"/>
          <w:lang w:val="sq-AL" w:eastAsia="en-US" w:bidi="en-US"/>
        </w:rPr>
        <w:t xml:space="preserve"> </w:t>
      </w:r>
    </w:p>
    <w:p w:rsidR="0081341B" w:rsidRPr="00BD1853"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Zhvillimi dhe përmirësimi i mekanizmave të kontrollit, veçanërisht në proceset e ciklit të buxhetit, duke përfshirë proceset e planifikimit, programimit, dhe ekzekutimit të</w:t>
      </w:r>
      <w:r w:rsidRPr="0081341B">
        <w:rPr>
          <w:rFonts w:asciiTheme="majorHAnsi" w:eastAsia="Calibri" w:hAnsiTheme="majorHAnsi"/>
          <w:sz w:val="22"/>
          <w:szCs w:val="22"/>
          <w:lang w:val="sq-AL" w:eastAsia="en-US" w:bidi="en-US"/>
        </w:rPr>
        <w:br/>
        <w:t>planeve financiare, si dhe në procesin e prokurimit dhe kontraktimit, duke theksuar kryesisht zhvillimin e kontrolleve ex-ante (për shembull: kryerjen e analizave dhe vlerësimeve të ndikimit të projekteve të propozuara mbi fondet publike, apo përcaktimin e kritereve të qar</w:t>
      </w:r>
      <w:r w:rsidRPr="00BD1853">
        <w:rPr>
          <w:rFonts w:asciiTheme="majorHAnsi" w:eastAsia="Calibri" w:hAnsiTheme="majorHAnsi"/>
          <w:sz w:val="22"/>
          <w:szCs w:val="22"/>
          <w:lang w:val="sq-AL" w:eastAsia="en-US" w:bidi="en-US"/>
        </w:rPr>
        <w:t xml:space="preserve">ta për alokimin e fondeve, etj) dhe </w:t>
      </w:r>
      <w:r w:rsidRPr="0081341B">
        <w:rPr>
          <w:rFonts w:asciiTheme="majorHAnsi" w:eastAsia="Calibri" w:hAnsiTheme="majorHAnsi"/>
          <w:sz w:val="22"/>
          <w:szCs w:val="22"/>
          <w:lang w:val="sq-AL" w:eastAsia="en-US" w:bidi="en-US"/>
        </w:rPr>
        <w:t xml:space="preserve">kontrolleve </w:t>
      </w:r>
      <w:r w:rsidRPr="00BD1853">
        <w:rPr>
          <w:rFonts w:asciiTheme="majorHAnsi" w:eastAsia="Calibri" w:hAnsiTheme="majorHAnsi"/>
          <w:sz w:val="22"/>
          <w:szCs w:val="22"/>
          <w:lang w:val="sq-AL" w:eastAsia="en-US" w:bidi="en-US"/>
        </w:rPr>
        <w:t>ex-post (</w:t>
      </w:r>
      <w:r w:rsidRPr="0081341B">
        <w:rPr>
          <w:rFonts w:asciiTheme="majorHAnsi" w:eastAsia="Calibri" w:hAnsiTheme="majorHAnsi"/>
          <w:sz w:val="22"/>
          <w:szCs w:val="22"/>
          <w:lang w:val="sq-AL" w:eastAsia="en-US" w:bidi="en-US"/>
        </w:rPr>
        <w:t xml:space="preserve">si </w:t>
      </w:r>
      <w:r w:rsidRPr="00BD1853">
        <w:rPr>
          <w:rFonts w:asciiTheme="majorHAnsi" w:eastAsia="Calibri" w:hAnsiTheme="majorHAnsi"/>
          <w:sz w:val="22"/>
          <w:szCs w:val="22"/>
          <w:lang w:val="sq-AL" w:eastAsia="en-US" w:bidi="en-US"/>
        </w:rPr>
        <w:t>kontrolle në vend, etj.)</w:t>
      </w:r>
      <w:r w:rsidR="001F2610">
        <w:rPr>
          <w:rFonts w:asciiTheme="majorHAnsi" w:eastAsia="Calibri" w:hAnsiTheme="majorHAnsi"/>
          <w:sz w:val="22"/>
          <w:szCs w:val="22"/>
          <w:lang w:val="sq-AL" w:eastAsia="en-US" w:bidi="en-US"/>
        </w:rPr>
        <w:t>.</w:t>
      </w:r>
    </w:p>
    <w:p w:rsidR="0081341B"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 xml:space="preserve">Krijimi i </w:t>
      </w:r>
      <w:r w:rsidRPr="00BD1853">
        <w:rPr>
          <w:rFonts w:asciiTheme="majorHAnsi" w:eastAsia="Calibri" w:hAnsiTheme="majorHAnsi"/>
          <w:sz w:val="22"/>
          <w:szCs w:val="22"/>
          <w:lang w:val="sq-AL" w:eastAsia="en-US" w:bidi="en-US"/>
        </w:rPr>
        <w:t>regjistrave dhe sistemeve të raportimit, veçanërisht të sistemeve të kontabilitetit, për të siguruar informacion të detajuar mbi kostot, të ardhurat, të drejtat, detyrimet dhe rezultatet e arritura, si dhe për planifikimin dhe ekzekutimin më të mirë të buxhetit, kontrollin e kostove dhe të detyrimeve të prapambetura, përcaktimin e kursimeve të mundshme dhe krijimin e racionalizimit dhe ef</w:t>
      </w:r>
      <w:r w:rsidR="001F2610">
        <w:rPr>
          <w:rFonts w:asciiTheme="majorHAnsi" w:eastAsia="Calibri" w:hAnsiTheme="majorHAnsi"/>
          <w:sz w:val="22"/>
          <w:szCs w:val="22"/>
          <w:lang w:val="sq-AL" w:eastAsia="en-US" w:bidi="en-US"/>
        </w:rPr>
        <w:t>ikasitetit të nevojshëm në punë.</w:t>
      </w:r>
    </w:p>
    <w:p w:rsidR="002C5DE8" w:rsidRPr="002C5DE8" w:rsidRDefault="002C5DE8"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Pr>
          <w:rFonts w:asciiTheme="majorHAnsi" w:eastAsia="Calibri" w:hAnsiTheme="majorHAnsi"/>
          <w:sz w:val="22"/>
          <w:szCs w:val="22"/>
          <w:lang w:val="sq-AL" w:eastAsia="en-US" w:bidi="en-US"/>
        </w:rPr>
        <w:t>Implementimi me sukses i reformës së kontabilitetit të sektorit</w:t>
      </w:r>
      <w:r w:rsidRPr="002C5DE8">
        <w:rPr>
          <w:rFonts w:asciiTheme="majorHAnsi" w:eastAsia="Calibri" w:hAnsiTheme="majorHAnsi"/>
          <w:sz w:val="22"/>
          <w:szCs w:val="22"/>
          <w:lang w:val="sq-AL" w:eastAsia="en-US" w:bidi="en-US"/>
        </w:rPr>
        <w:t xml:space="preserve"> publik, </w:t>
      </w:r>
      <w:r>
        <w:rPr>
          <w:rFonts w:asciiTheme="majorHAnsi" w:eastAsia="Calibri" w:hAnsiTheme="majorHAnsi"/>
          <w:sz w:val="22"/>
          <w:szCs w:val="22"/>
          <w:lang w:val="sq-AL" w:eastAsia="en-US" w:bidi="en-US"/>
        </w:rPr>
        <w:t>n</w:t>
      </w:r>
      <w:r w:rsidR="004E7030">
        <w:rPr>
          <w:rFonts w:asciiTheme="majorHAnsi" w:eastAsia="Calibri" w:hAnsiTheme="majorHAnsi"/>
          <w:sz w:val="22"/>
          <w:szCs w:val="22"/>
          <w:lang w:val="sq-AL" w:eastAsia="en-US" w:bidi="en-US"/>
        </w:rPr>
        <w:t>ë</w:t>
      </w:r>
      <w:r>
        <w:rPr>
          <w:rFonts w:asciiTheme="majorHAnsi" w:eastAsia="Calibri" w:hAnsiTheme="majorHAnsi"/>
          <w:sz w:val="22"/>
          <w:szCs w:val="22"/>
          <w:lang w:val="sq-AL" w:eastAsia="en-US" w:bidi="en-US"/>
        </w:rPr>
        <w:t>përmjet përmirësimit të bazës rregullatore në fushën e kontabilitetit të sektori</w:t>
      </w:r>
      <w:r w:rsidR="004E7030">
        <w:rPr>
          <w:rFonts w:asciiTheme="majorHAnsi" w:eastAsia="Calibri" w:hAnsiTheme="majorHAnsi"/>
          <w:sz w:val="22"/>
          <w:szCs w:val="22"/>
          <w:lang w:val="sq-AL" w:eastAsia="en-US" w:bidi="en-US"/>
        </w:rPr>
        <w:t>t</w:t>
      </w:r>
      <w:r>
        <w:rPr>
          <w:rFonts w:asciiTheme="majorHAnsi" w:eastAsia="Calibri" w:hAnsiTheme="majorHAnsi"/>
          <w:sz w:val="22"/>
          <w:szCs w:val="22"/>
          <w:lang w:val="sq-AL" w:eastAsia="en-US" w:bidi="en-US"/>
        </w:rPr>
        <w:t xml:space="preserve"> publik, në përputhje me </w:t>
      </w:r>
      <w:r w:rsidR="004E7030">
        <w:rPr>
          <w:rFonts w:asciiTheme="majorHAnsi" w:eastAsia="Calibri" w:hAnsiTheme="majorHAnsi"/>
          <w:sz w:val="22"/>
          <w:szCs w:val="22"/>
          <w:lang w:val="sq-AL" w:eastAsia="en-US" w:bidi="en-US"/>
        </w:rPr>
        <w:t>Standardet Ndërkombëtare të Kont</w:t>
      </w:r>
      <w:r>
        <w:rPr>
          <w:rFonts w:asciiTheme="majorHAnsi" w:eastAsia="Calibri" w:hAnsiTheme="majorHAnsi"/>
          <w:sz w:val="22"/>
          <w:szCs w:val="22"/>
          <w:lang w:val="sq-AL" w:eastAsia="en-US" w:bidi="en-US"/>
        </w:rPr>
        <w:t>abilit</w:t>
      </w:r>
      <w:r w:rsidR="001F2610">
        <w:rPr>
          <w:rFonts w:asciiTheme="majorHAnsi" w:eastAsia="Calibri" w:hAnsiTheme="majorHAnsi"/>
          <w:sz w:val="22"/>
          <w:szCs w:val="22"/>
          <w:lang w:val="sq-AL" w:eastAsia="en-US" w:bidi="en-US"/>
        </w:rPr>
        <w:t>etit të Sektorit Publik (IPSAS).</w:t>
      </w:r>
    </w:p>
    <w:p w:rsidR="006E424D" w:rsidRPr="006E424D" w:rsidRDefault="002C5DE8"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bookmarkStart w:id="11" w:name="_Toc451510072"/>
      <w:bookmarkStart w:id="12" w:name="_Toc451510232"/>
      <w:bookmarkStart w:id="13" w:name="_Toc451510391"/>
      <w:bookmarkStart w:id="14" w:name="_Toc451510698"/>
      <w:bookmarkStart w:id="15" w:name="_Toc451511472"/>
      <w:bookmarkStart w:id="16" w:name="_Toc451511564"/>
      <w:bookmarkStart w:id="17" w:name="_Toc481679772"/>
      <w:bookmarkStart w:id="18" w:name="_Toc483404855"/>
      <w:bookmarkStart w:id="19" w:name="_Toc483821550"/>
      <w:bookmarkStart w:id="20" w:name="_Toc514413736"/>
      <w:r w:rsidRPr="006E424D">
        <w:rPr>
          <w:rFonts w:asciiTheme="majorHAnsi" w:eastAsia="Calibri" w:hAnsiTheme="majorHAnsi"/>
          <w:sz w:val="22"/>
          <w:szCs w:val="22"/>
          <w:lang w:val="sq-AL" w:eastAsia="en-US" w:bidi="en-US"/>
        </w:rPr>
        <w:t xml:space="preserve">Miratimi i një dokumenti politikash mbi Zhvillimin e Mëtejshëm të Kontrollit të Brendshëm Financiar Publik në Shqipëri, për periudhën 2020-2024, i cili do të përcaktojë të gjitha prioritetet, objektivat, aktivitetet, arritjet, sfidat, treguesit e performancës dhe planet e veprimit të vendit tonë në fushën e kontrollit të brendshëm publik për periudhën.       </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 xml:space="preserve">Angazhimi i audituesve të brendshëm në vlerësimin e proceseve të vendimmarrjes, vendimeve strategjike dhe operacionale, mbikëqyrjen e menaxhimit të riskut, promovimin e etikës dhe vlerave të përshtatshme brenda organizatës, sigurimin e menaxhimit efektiv organizativ të performancës dhe llogaridhënies. </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Njësitë e auditimit të bre</w:t>
      </w:r>
      <w:r w:rsidR="001C2425">
        <w:rPr>
          <w:rFonts w:asciiTheme="majorHAnsi" w:eastAsia="Calibri" w:hAnsiTheme="majorHAnsi"/>
          <w:sz w:val="22"/>
          <w:szCs w:val="22"/>
          <w:lang w:val="sq-AL" w:eastAsia="en-US" w:bidi="en-US"/>
        </w:rPr>
        <w:t>n</w:t>
      </w:r>
      <w:r w:rsidRPr="006E424D">
        <w:rPr>
          <w:rFonts w:asciiTheme="majorHAnsi" w:eastAsia="Calibri" w:hAnsiTheme="majorHAnsi"/>
          <w:sz w:val="22"/>
          <w:szCs w:val="22"/>
          <w:lang w:val="sq-AL" w:eastAsia="en-US" w:bidi="en-US"/>
        </w:rPr>
        <w:t xml:space="preserve">dshëm duhet të monitorojnë në vazhdimësi nivelin e zbatimit dhe cilësinë e rekomandimeve të dhëna, me qëllim që realizimi i shërbimit të auditimit të shihet si vlerë e shtuar nga titullarët e njësive publike dhe të gjithë grupet e interesit. </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Komunikimi me njësitë publike dhe monitorimi i vazhdueshëm i tyre për realizimin e  shërbimit të auditimit të brendshëm në të gjitha njësitë e qeverisjes së përgjithshme.</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Realizimi i vlerësimeve të jashtme të cilësisë së veprimtarisë së auditimit të brendshëm në sektorin publik, për monitorimin e përputhjes së kësaj veprimta</w:t>
      </w:r>
      <w:r w:rsidR="001C2425">
        <w:rPr>
          <w:rFonts w:asciiTheme="majorHAnsi" w:eastAsia="Calibri" w:hAnsiTheme="majorHAnsi"/>
          <w:sz w:val="22"/>
          <w:szCs w:val="22"/>
          <w:lang w:val="sq-AL" w:eastAsia="en-US" w:bidi="en-US"/>
        </w:rPr>
        <w:t>rie me standardet ndërkombëtare</w:t>
      </w:r>
      <w:r w:rsidRPr="006E424D">
        <w:rPr>
          <w:rFonts w:asciiTheme="majorHAnsi" w:eastAsia="Calibri" w:hAnsiTheme="majorHAnsi"/>
          <w:sz w:val="22"/>
          <w:szCs w:val="22"/>
          <w:lang w:val="sq-AL" w:eastAsia="en-US" w:bidi="en-US"/>
        </w:rPr>
        <w:t xml:space="preserve"> të pranuara.  </w:t>
      </w:r>
    </w:p>
    <w:p w:rsidR="002C5DE8"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Bashkëpunimi me institucione të tjera kombëtare dhe ndërkombëtare për të menaxhuar  programe sa më cilësore të trajnimit të vijueshëm profesional duke përfshirë në program tema që zhvillojnë kapacitetet profesionale të audituesve të brendshëm.</w:t>
      </w:r>
    </w:p>
    <w:p w:rsidR="00457382" w:rsidRDefault="0081341B" w:rsidP="00DB7961">
      <w:pPr>
        <w:keepNext/>
        <w:shd w:val="clear" w:color="auto" w:fill="FFFFFF"/>
        <w:tabs>
          <w:tab w:val="left" w:pos="1275"/>
        </w:tabs>
        <w:spacing w:before="240"/>
        <w:jc w:val="both"/>
        <w:outlineLvl w:val="1"/>
        <w:rPr>
          <w:rFonts w:ascii="Cambria" w:hAnsi="Cambria" w:cs="Arial"/>
          <w:bCs/>
          <w:iCs/>
          <w:color w:val="000000"/>
          <w:sz w:val="22"/>
          <w:szCs w:val="22"/>
          <w:lang w:val="sq-AL"/>
        </w:rPr>
      </w:pPr>
      <w:bookmarkStart w:id="21" w:name="_Toc8412097"/>
      <w:bookmarkStart w:id="22" w:name="_Toc8412210"/>
      <w:bookmarkStart w:id="23" w:name="_Toc8412496"/>
      <w:bookmarkStart w:id="24" w:name="_Toc8662021"/>
      <w:bookmarkStart w:id="25" w:name="_Toc8662138"/>
      <w:bookmarkStart w:id="26" w:name="_Toc8741493"/>
      <w:bookmarkStart w:id="27" w:name="_Toc8990809"/>
      <w:bookmarkStart w:id="28" w:name="_Toc9082365"/>
      <w:r w:rsidRPr="00006C09">
        <w:rPr>
          <w:rFonts w:ascii="Cambria" w:eastAsia="Calibri" w:hAnsi="Cambria"/>
          <w:sz w:val="22"/>
          <w:szCs w:val="22"/>
          <w:lang w:val="sq-AL" w:eastAsia="en-US"/>
        </w:rPr>
        <w:t xml:space="preserve">Në vija të përgjithshme, raporti përbëhet nga 5 kapituj kryesorë. Kapitulli i parë i raportit fokusohet në </w:t>
      </w:r>
      <w:r w:rsidRPr="00006C09">
        <w:rPr>
          <w:rFonts w:ascii="Cambria" w:hAnsi="Cambria" w:cs="Arial"/>
          <w:bCs/>
          <w:iCs/>
          <w:color w:val="000000"/>
          <w:sz w:val="22"/>
          <w:szCs w:val="22"/>
          <w:lang w:val="sq-AL"/>
        </w:rPr>
        <w:t>rezultatet nga vlerësimi i monitorimit të performancës së njësive publike. Në kapitullin e dytë trajtohet vlerësimi i sistemeve të Menaxhimit Financiar dhe Kontrollit në njësitë publike, bazuar në analizën e pyetësorëve të vetëvlerësimit</w:t>
      </w:r>
      <w:r w:rsidR="003D0D98" w:rsidRPr="00006C09">
        <w:rPr>
          <w:rFonts w:ascii="Cambria" w:hAnsi="Cambria" w:cs="Arial"/>
          <w:bCs/>
          <w:iCs/>
          <w:color w:val="000000"/>
          <w:sz w:val="22"/>
          <w:szCs w:val="22"/>
          <w:lang w:val="sq-AL"/>
        </w:rPr>
        <w:t xml:space="preser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MFK-s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sipas 17 parimeve si dhe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konkluzionet e dala nga auditimet e brendshme</w:t>
      </w:r>
      <w:r w:rsidRPr="00006C09">
        <w:rPr>
          <w:rFonts w:ascii="Cambria" w:hAnsi="Cambria" w:cs="Arial"/>
          <w:bCs/>
          <w:iCs/>
          <w:color w:val="000000"/>
          <w:sz w:val="22"/>
          <w:szCs w:val="22"/>
          <w:lang w:val="sq-AL"/>
        </w:rPr>
        <w:t xml:space="preserve">.  Kapitulli i tretë pasqyron </w:t>
      </w:r>
      <w:r w:rsidR="003D0D98" w:rsidRPr="00006C09">
        <w:rPr>
          <w:rFonts w:ascii="Cambria" w:hAnsi="Cambria" w:cs="Arial"/>
          <w:bCs/>
          <w:iCs/>
          <w:color w:val="000000"/>
          <w:sz w:val="22"/>
          <w:szCs w:val="22"/>
          <w:lang w:val="sq-AL"/>
        </w:rPr>
        <w:t>rekomandimet e nxjerra nga DH/KBFP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vijim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rezultateve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gjeneruar</w:t>
      </w:r>
      <w:r w:rsidR="00006C09">
        <w:rPr>
          <w:rFonts w:ascii="Cambria" w:hAnsi="Cambria" w:cs="Arial"/>
          <w:bCs/>
          <w:iCs/>
          <w:color w:val="000000"/>
          <w:sz w:val="22"/>
          <w:szCs w:val="22"/>
          <w:lang w:val="sq-AL"/>
        </w:rPr>
        <w:t>a</w:t>
      </w:r>
      <w:r w:rsidR="003D0D98" w:rsidRPr="00006C09">
        <w:rPr>
          <w:rFonts w:ascii="Cambria" w:hAnsi="Cambria" w:cs="Arial"/>
          <w:bCs/>
          <w:iCs/>
          <w:color w:val="000000"/>
          <w:sz w:val="22"/>
          <w:szCs w:val="22"/>
          <w:lang w:val="sq-AL"/>
        </w:rPr>
        <w:t xml:space="preserve"> nga analiza gjith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rfshir</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se e sistemit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kontrollit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m. Kapitulli 4 paraqet gjetjet e evidentuara nga monitorimi n</w:t>
      </w:r>
      <w:r w:rsidR="00006C09">
        <w:rPr>
          <w:rFonts w:ascii="Cambria" w:hAnsi="Cambria" w:cs="Arial"/>
          <w:bCs/>
          <w:iCs/>
          <w:color w:val="000000"/>
          <w:sz w:val="22"/>
          <w:szCs w:val="22"/>
          <w:lang w:val="sq-AL"/>
        </w:rPr>
        <w:t>ë vend i zbatueshmë</w:t>
      </w:r>
      <w:r w:rsidR="003D0D98" w:rsidRPr="00006C09">
        <w:rPr>
          <w:rFonts w:ascii="Cambria" w:hAnsi="Cambria" w:cs="Arial"/>
          <w:bCs/>
          <w:iCs/>
          <w:color w:val="000000"/>
          <w:sz w:val="22"/>
          <w:szCs w:val="22"/>
          <w:lang w:val="sq-AL"/>
        </w:rPr>
        <w:t>ris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standardeve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kontrollit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m dhe AB. Nd</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rsa,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kapitullin 5 pasqyrohen aktivitetet e nd</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rmarra nga DH/KBFP,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kuad</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mb</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shtetjes 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nj</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sive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qeverisjes 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rgjithshme 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 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rmir</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simin e sistemit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kontrollit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m. </w:t>
      </w:r>
    </w:p>
    <w:p w:rsidR="00265983" w:rsidRDefault="003D0D98" w:rsidP="00DB7961">
      <w:pPr>
        <w:keepNext/>
        <w:shd w:val="clear" w:color="auto" w:fill="FFFFFF"/>
        <w:tabs>
          <w:tab w:val="left" w:pos="1275"/>
        </w:tabs>
        <w:spacing w:before="240"/>
        <w:jc w:val="both"/>
        <w:outlineLvl w:val="1"/>
        <w:rPr>
          <w:rFonts w:ascii="Cambria" w:hAnsi="Cambria" w:cs="Arial"/>
          <w:bCs/>
          <w:iCs/>
          <w:color w:val="000000"/>
          <w:sz w:val="22"/>
          <w:szCs w:val="22"/>
          <w:lang w:val="sq-AL"/>
        </w:rPr>
      </w:pPr>
      <w:r w:rsidRPr="00006C09">
        <w:rPr>
          <w:rFonts w:ascii="Cambria" w:hAnsi="Cambria" w:cs="Arial"/>
          <w:bCs/>
          <w:iCs/>
          <w:color w:val="000000"/>
          <w:sz w:val="22"/>
          <w:szCs w:val="22"/>
          <w:lang w:val="sq-AL"/>
        </w:rPr>
        <w:t>Analiza e detajuar e veprimtaris</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s</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auditimit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m, rezultatet e evidentuara nga analiza e pyet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sorit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vet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vler</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simit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AB dhe analiza e detajuar e performanc</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 s</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nj</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sive shpenzuese me buxhet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madh jan</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pasqyruar n</w:t>
      </w:r>
      <w:r w:rsidR="00006C09">
        <w:rPr>
          <w:rFonts w:ascii="Cambria" w:hAnsi="Cambria" w:cs="Arial"/>
          <w:bCs/>
          <w:iCs/>
          <w:color w:val="000000"/>
          <w:sz w:val="22"/>
          <w:szCs w:val="22"/>
          <w:lang w:val="sq-AL"/>
        </w:rPr>
        <w:t>ë</w:t>
      </w:r>
      <w:r w:rsidR="00B048DE">
        <w:rPr>
          <w:rFonts w:ascii="Cambria" w:hAnsi="Cambria" w:cs="Arial"/>
          <w:bCs/>
          <w:iCs/>
          <w:color w:val="000000"/>
          <w:sz w:val="22"/>
          <w:szCs w:val="22"/>
          <w:lang w:val="sq-AL"/>
        </w:rPr>
        <w:t xml:space="preserve"> seks</w:t>
      </w:r>
      <w:r w:rsidRPr="00006C09">
        <w:rPr>
          <w:rFonts w:ascii="Cambria" w:hAnsi="Cambria" w:cs="Arial"/>
          <w:bCs/>
          <w:iCs/>
          <w:color w:val="000000"/>
          <w:sz w:val="22"/>
          <w:szCs w:val="22"/>
          <w:lang w:val="sq-AL"/>
        </w:rPr>
        <w:t>ionin e anekseve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k</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tij raporti.</w:t>
      </w:r>
      <w:bookmarkStart w:id="29" w:name="_Toc451510076"/>
      <w:bookmarkStart w:id="30" w:name="_Toc451511568"/>
      <w:bookmarkStart w:id="31" w:name="_Toc42048814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3D0D98" w:rsidRPr="00DB7961" w:rsidRDefault="003D0D98" w:rsidP="00DB7961">
      <w:pPr>
        <w:keepNext/>
        <w:shd w:val="clear" w:color="auto" w:fill="FFFFFF"/>
        <w:tabs>
          <w:tab w:val="left" w:pos="1275"/>
        </w:tabs>
        <w:spacing w:before="240"/>
        <w:jc w:val="both"/>
        <w:outlineLvl w:val="1"/>
        <w:rPr>
          <w:rFonts w:ascii="Cambria" w:hAnsi="Cambria" w:cs="Arial"/>
          <w:bCs/>
          <w:iCs/>
          <w:color w:val="000000"/>
          <w:sz w:val="22"/>
          <w:szCs w:val="22"/>
          <w:lang w:val="sq-AL"/>
        </w:rPr>
        <w:sectPr w:rsidR="003D0D98" w:rsidRPr="00DB7961" w:rsidSect="002267C7">
          <w:pgSz w:w="11900" w:h="16840"/>
          <w:pgMar w:top="900" w:right="1411" w:bottom="1350" w:left="1417" w:header="706" w:footer="706" w:gutter="0"/>
          <w:pgNumType w:start="1"/>
          <w:cols w:space="708"/>
          <w:titlePg/>
          <w:docGrid w:linePitch="360"/>
        </w:sectPr>
      </w:pPr>
    </w:p>
    <w:p w:rsidR="005F627C" w:rsidRPr="00525E5E" w:rsidRDefault="00926D04" w:rsidP="00525E5E">
      <w:pPr>
        <w:pStyle w:val="Heading1"/>
      </w:pPr>
      <w:bookmarkStart w:id="32" w:name="_Toc9082366"/>
      <w:r w:rsidRPr="00525E5E">
        <w:t>KAPITULLI I- VLERËSIMI I MONITORIMI</w:t>
      </w:r>
      <w:r w:rsidR="007E52B0" w:rsidRPr="00525E5E">
        <w:t xml:space="preserve">T TË PERFORMANCËS SË NJËSIVE TË </w:t>
      </w:r>
      <w:r w:rsidRPr="00525E5E">
        <w:t>QEVERISJES SË PËRGJITHSHME</w:t>
      </w:r>
      <w:bookmarkEnd w:id="29"/>
      <w:bookmarkEnd w:id="30"/>
      <w:bookmarkEnd w:id="32"/>
    </w:p>
    <w:p w:rsidR="006607C6" w:rsidRPr="00604C05" w:rsidRDefault="006607C6" w:rsidP="00926D04">
      <w:pPr>
        <w:jc w:val="both"/>
        <w:rPr>
          <w:rFonts w:ascii="Cambria" w:hAnsi="Cambria"/>
          <w:sz w:val="22"/>
          <w:szCs w:val="22"/>
          <w:lang w:val="sq-AL"/>
        </w:rPr>
      </w:pPr>
    </w:p>
    <w:p w:rsidR="00B56CA5" w:rsidRPr="00604C05" w:rsidRDefault="00B56CA5" w:rsidP="00B56CA5">
      <w:pPr>
        <w:jc w:val="both"/>
        <w:rPr>
          <w:rFonts w:ascii="Cambria" w:hAnsi="Cambria"/>
          <w:sz w:val="22"/>
          <w:szCs w:val="22"/>
          <w:lang w:val="sq-AL"/>
        </w:rPr>
      </w:pPr>
      <w:bookmarkStart w:id="33" w:name="_Toc481688432"/>
      <w:r w:rsidRPr="00604C05">
        <w:rPr>
          <w:rFonts w:ascii="Cambria" w:hAnsi="Cambria"/>
          <w:sz w:val="22"/>
          <w:szCs w:val="22"/>
          <w:lang w:val="sq-AL"/>
        </w:rPr>
        <w:t>Gjatë vitit 2018, Drejtoria e Përgjithshme e Harmonizimit të Kontrollit të Brendshëm Financiar Publik në bashkëpunim me Drejtorinë e Përgjithshme të Buxhetit dhe Drejtorinë e Përgjithshme të Thesarit është angazhuar në rishikimin dhe përmirësimin e Metododologjisë për Monitorimin e Performancës së Sistemeve të Kontrollit të Brendshëm në Njësitë Publike, e cila është miratuar nëpërmjet Urdhrit nr. 117, datë 01.04.2019 “Për miratimin e metodologjisë për monitorimin e performancës së sistemit të kontrollit të brendshëm të njësive publike”.</w:t>
      </w:r>
    </w:p>
    <w:p w:rsidR="00B56CA5" w:rsidRPr="00604C05" w:rsidRDefault="00B56CA5" w:rsidP="00B56CA5">
      <w:pPr>
        <w:jc w:val="both"/>
        <w:rPr>
          <w:rFonts w:ascii="Cambria" w:hAnsi="Cambria"/>
          <w:sz w:val="22"/>
          <w:szCs w:val="22"/>
          <w:lang w:val="sq-AL"/>
        </w:rPr>
      </w:pPr>
      <w:r w:rsidRPr="00604C05">
        <w:rPr>
          <w:rFonts w:ascii="Cambria" w:hAnsi="Cambria"/>
          <w:sz w:val="22"/>
          <w:szCs w:val="22"/>
          <w:lang w:val="sq-AL"/>
        </w:rPr>
        <w:t>Qëllimi i</w:t>
      </w:r>
      <w:r w:rsidR="00830A98">
        <w:rPr>
          <w:rFonts w:ascii="Cambria" w:hAnsi="Cambria"/>
          <w:sz w:val="22"/>
          <w:szCs w:val="22"/>
          <w:lang w:val="sq-AL"/>
        </w:rPr>
        <w:t xml:space="preserve"> këtij dokumenti të rëndësishëm</w:t>
      </w:r>
      <w:r w:rsidRPr="00604C05">
        <w:rPr>
          <w:rFonts w:ascii="Cambria" w:hAnsi="Cambria"/>
          <w:sz w:val="22"/>
          <w:szCs w:val="22"/>
          <w:lang w:val="sq-AL"/>
        </w:rPr>
        <w:t xml:space="preserve"> është përshkrimi i metodologjisë standarde</w:t>
      </w:r>
      <w:r w:rsidR="00830A98">
        <w:rPr>
          <w:rFonts w:ascii="Cambria" w:hAnsi="Cambria"/>
          <w:sz w:val="22"/>
          <w:szCs w:val="22"/>
          <w:lang w:val="sq-AL"/>
        </w:rPr>
        <w:t>,</w:t>
      </w:r>
      <w:r w:rsidRPr="00604C05">
        <w:rPr>
          <w:rFonts w:ascii="Cambria" w:hAnsi="Cambria"/>
          <w:sz w:val="22"/>
          <w:szCs w:val="22"/>
          <w:lang w:val="sq-AL"/>
        </w:rPr>
        <w:t xml:space="preserve"> që ndjek Ministria e Financave dhe Ekonomisë në kuadër të monitorimit të sistemit të kontrollit të brendshëm të njësive publike mbi bazë performance. Rishikimi dhe përmirësimi i kësaj metodologjie, vjen si nevojë për të analizuar, vlerësuar dhe monitoruar me detaje sistemin e kontrollit të brendshëm të njësive publike mbi bazë performance, si dhe për të adresuar problematikat gjatë zbatimit të saj.</w:t>
      </w:r>
    </w:p>
    <w:p w:rsidR="00B56CA5" w:rsidRPr="00604C05" w:rsidRDefault="00B56CA5" w:rsidP="00B56CA5">
      <w:pPr>
        <w:jc w:val="both"/>
        <w:rPr>
          <w:rFonts w:ascii="Cambria" w:hAnsi="Cambria"/>
          <w:sz w:val="22"/>
          <w:szCs w:val="22"/>
          <w:lang w:val="sq-AL"/>
        </w:rPr>
      </w:pPr>
    </w:p>
    <w:p w:rsidR="00B56CA5" w:rsidRPr="00604C05" w:rsidRDefault="00B56CA5" w:rsidP="00B56CA5">
      <w:pPr>
        <w:jc w:val="both"/>
        <w:rPr>
          <w:rFonts w:ascii="Cambria" w:hAnsi="Cambria"/>
          <w:sz w:val="22"/>
          <w:szCs w:val="22"/>
          <w:lang w:val="sq-AL"/>
        </w:rPr>
      </w:pPr>
      <w:r w:rsidRPr="00604C05">
        <w:rPr>
          <w:rFonts w:ascii="Cambria" w:hAnsi="Cambria"/>
          <w:sz w:val="22"/>
          <w:szCs w:val="22"/>
          <w:lang w:val="sq-AL"/>
        </w:rPr>
        <w:t>Kjo metododologji dinamike, në përmirësim të vazhdueshëm që prej vitit 2013, bazohet në tregues të kombinuar</w:t>
      </w:r>
      <w:r w:rsidR="00122CD3">
        <w:rPr>
          <w:rFonts w:ascii="Cambria" w:hAnsi="Cambria"/>
          <w:sz w:val="22"/>
          <w:szCs w:val="22"/>
          <w:lang w:val="sq-AL"/>
        </w:rPr>
        <w:t>,</w:t>
      </w:r>
      <w:r w:rsidRPr="00604C05">
        <w:rPr>
          <w:rFonts w:ascii="Cambria" w:hAnsi="Cambria"/>
          <w:sz w:val="22"/>
          <w:szCs w:val="22"/>
          <w:lang w:val="sq-AL"/>
        </w:rPr>
        <w:t xml:space="preserve"> që ndihmojnë për të krijuar opinionin mbi performancën e sistemeve të kontrollit të brendshëm në njësitë e sektorit publik. Më konkretisht, në ndryshim nga metodologjia ekzistuese, janë rishikuar dhe shtuar tregues të rinj performance</w:t>
      </w:r>
      <w:r w:rsidR="009A3230">
        <w:rPr>
          <w:rFonts w:ascii="Cambria" w:hAnsi="Cambria"/>
          <w:sz w:val="22"/>
          <w:szCs w:val="22"/>
          <w:lang w:val="sq-AL"/>
        </w:rPr>
        <w:t>,</w:t>
      </w:r>
      <w:r w:rsidRPr="00604C05">
        <w:rPr>
          <w:rFonts w:ascii="Cambria" w:hAnsi="Cambria"/>
          <w:sz w:val="22"/>
          <w:szCs w:val="22"/>
          <w:lang w:val="sq-AL"/>
        </w:rPr>
        <w:t xml:space="preserve"> të cilët janë përgjegjës për vlerësimin e performancës së instit</w:t>
      </w:r>
      <w:r w:rsidR="009A3230">
        <w:rPr>
          <w:rFonts w:ascii="Cambria" w:hAnsi="Cambria"/>
          <w:sz w:val="22"/>
          <w:szCs w:val="22"/>
          <w:lang w:val="sq-AL"/>
        </w:rPr>
        <w:t>ucioneve në fushat më sensitive,</w:t>
      </w:r>
      <w:r w:rsidRPr="00604C05">
        <w:rPr>
          <w:rFonts w:ascii="Cambria" w:hAnsi="Cambria"/>
          <w:sz w:val="22"/>
          <w:szCs w:val="22"/>
          <w:lang w:val="sq-AL"/>
        </w:rPr>
        <w:t xml:space="preserve"> si prokurimet apo parandalimi i krijimit të detyrimeve të prapambetura. Treguesit janë ndarë në dy grupe që i korrespondojnë përkatësisht planifikimit, zbatimit dhe ekzekutimit të buxhetit dhe treguesit për implementimin e sistemeve të kontrollit të brendshëm</w:t>
      </w:r>
      <w:r w:rsidR="009A3230">
        <w:rPr>
          <w:rFonts w:ascii="Cambria" w:hAnsi="Cambria"/>
          <w:sz w:val="22"/>
          <w:szCs w:val="22"/>
          <w:lang w:val="sq-AL"/>
        </w:rPr>
        <w:t>,</w:t>
      </w:r>
      <w:r w:rsidRPr="00604C05">
        <w:rPr>
          <w:rFonts w:ascii="Cambria" w:hAnsi="Cambria"/>
          <w:sz w:val="22"/>
          <w:szCs w:val="22"/>
          <w:lang w:val="sq-AL"/>
        </w:rPr>
        <w:t xml:space="preserve"> për të cilët ka ndryshuar edhe mënyra e pikëzimit dhe matjes së tyre. Këta tregues masin dhe analizojnë në mënyrë reale ndikimin, efektet, rezultatet dhe përfundimet e procesit të vlerësimit të performancës dhe paraqesin me transparencë realitetin e sistemeve të kontrollit për të gjitha njësitë e qeverisjes së përgjithshme. </w:t>
      </w:r>
    </w:p>
    <w:p w:rsidR="00B56CA5" w:rsidRPr="00604C05" w:rsidRDefault="00B56CA5" w:rsidP="00B56CA5">
      <w:pPr>
        <w:jc w:val="both"/>
        <w:rPr>
          <w:rFonts w:ascii="Cambria" w:hAnsi="Cambria"/>
          <w:sz w:val="22"/>
          <w:szCs w:val="22"/>
          <w:lang w:val="sq-AL"/>
        </w:rPr>
      </w:pPr>
      <w:r w:rsidRPr="00604C05">
        <w:rPr>
          <w:rFonts w:ascii="Cambria" w:hAnsi="Cambria"/>
          <w:sz w:val="22"/>
          <w:szCs w:val="22"/>
          <w:lang w:val="sq-AL"/>
        </w:rPr>
        <w:t xml:space="preserve">Konkretisht, metodologjia përmban 18 tregues performance, të cilët klasifikohen si </w:t>
      </w:r>
      <w:r w:rsidRPr="00BC681A">
        <w:rPr>
          <w:rFonts w:ascii="Cambria" w:hAnsi="Cambria"/>
          <w:sz w:val="22"/>
          <w:szCs w:val="22"/>
          <w:lang w:val="sq-AL"/>
        </w:rPr>
        <w:t>më poshtë vijon:</w:t>
      </w:r>
    </w:p>
    <w:p w:rsidR="00B56CA5" w:rsidRPr="00604C05" w:rsidRDefault="00B56CA5" w:rsidP="00B56CA5">
      <w:pPr>
        <w:jc w:val="both"/>
        <w:rPr>
          <w:rFonts w:ascii="Cambria" w:hAnsi="Cambria"/>
          <w:sz w:val="22"/>
          <w:szCs w:val="22"/>
          <w:lang w:val="sq-AL"/>
        </w:rPr>
      </w:pPr>
    </w:p>
    <w:p w:rsidR="00B56CA5" w:rsidRPr="00604C05" w:rsidRDefault="00B56CA5" w:rsidP="00B56CA5">
      <w:pPr>
        <w:pStyle w:val="Caption"/>
        <w:rPr>
          <w:rFonts w:ascii="Cambria" w:hAnsi="Cambria"/>
          <w:b w:val="0"/>
          <w:i/>
          <w:lang w:val="sq-AL"/>
        </w:rPr>
      </w:pPr>
      <w:bookmarkStart w:id="34" w:name="_Toc9082398"/>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1</w:t>
      </w:r>
      <w:r w:rsidRPr="00604C05">
        <w:rPr>
          <w:rFonts w:ascii="Cambria" w:hAnsi="Cambria"/>
          <w:b w:val="0"/>
          <w:i/>
          <w:lang w:val="sq-AL"/>
        </w:rPr>
        <w:fldChar w:fldCharType="end"/>
      </w:r>
      <w:r w:rsidRPr="00604C05">
        <w:rPr>
          <w:rFonts w:ascii="Cambria" w:hAnsi="Cambria"/>
          <w:b w:val="0"/>
          <w:i/>
          <w:lang w:val="sq-AL"/>
        </w:rPr>
        <w:t>. Indikatorët dhe burimet e të dhënave sipas Drejtorive në Ministrinë e Financave dhe Ekonomisë</w:t>
      </w:r>
      <w:bookmarkEnd w:id="34"/>
      <w:r w:rsidRPr="00604C05">
        <w:rPr>
          <w:rFonts w:ascii="Cambria" w:hAnsi="Cambria"/>
          <w:b w:val="0"/>
          <w:i/>
          <w:lang w:val="sq-AL"/>
        </w:rPr>
        <w:t xml:space="preserve"> </w:t>
      </w:r>
    </w:p>
    <w:tbl>
      <w:tblPr>
        <w:tblStyle w:val="ListTable6Colorful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855"/>
        <w:gridCol w:w="1835"/>
        <w:gridCol w:w="2561"/>
      </w:tblGrid>
      <w:tr w:rsidR="00B56CA5" w:rsidRPr="00604C05" w:rsidTr="00B56CA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96" w:type="pct"/>
            <w:tcBorders>
              <w:bottom w:val="none" w:sz="0" w:space="0" w:color="auto"/>
            </w:tcBorders>
            <w:hideMark/>
          </w:tcPr>
          <w:p w:rsidR="00B56CA5" w:rsidRPr="00604C05" w:rsidRDefault="00B56CA5" w:rsidP="00B56CA5">
            <w:pPr>
              <w:spacing w:line="276" w:lineRule="auto"/>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Pergjithshme e Buxhetit</w:t>
            </w:r>
          </w:p>
        </w:tc>
        <w:tc>
          <w:tcPr>
            <w:tcW w:w="1576" w:type="pct"/>
            <w:tcBorders>
              <w:bottom w:val="none" w:sz="0" w:space="0" w:color="auto"/>
            </w:tcBorders>
            <w:hideMark/>
          </w:tcPr>
          <w:p w:rsidR="00B56CA5" w:rsidRPr="00604C05" w:rsidRDefault="00B56CA5" w:rsidP="00B56CA5">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Përgjithshme e Thesarit</w:t>
            </w:r>
          </w:p>
        </w:tc>
        <w:tc>
          <w:tcPr>
            <w:tcW w:w="1013" w:type="pct"/>
            <w:tcBorders>
              <w:bottom w:val="none" w:sz="0" w:space="0" w:color="auto"/>
            </w:tcBorders>
            <w:hideMark/>
          </w:tcPr>
          <w:p w:rsidR="00B56CA5" w:rsidRPr="00604C05" w:rsidRDefault="00B56CA5" w:rsidP="00B56CA5">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Harmonizimit të MFKK</w:t>
            </w:r>
          </w:p>
        </w:tc>
        <w:tc>
          <w:tcPr>
            <w:tcW w:w="1414" w:type="pct"/>
            <w:tcBorders>
              <w:bottom w:val="none" w:sz="0" w:space="0" w:color="auto"/>
            </w:tcBorders>
            <w:hideMark/>
          </w:tcPr>
          <w:p w:rsidR="00B56CA5" w:rsidRPr="00604C05" w:rsidRDefault="00B56CA5" w:rsidP="00B56CA5">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Harmonizimit të AB</w:t>
            </w:r>
          </w:p>
        </w:tc>
      </w:tr>
      <w:tr w:rsidR="00B56CA5" w:rsidRPr="00604C05" w:rsidTr="00B56CA5">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5F0A5D" w:rsidRDefault="00B56CA5" w:rsidP="00B56CA5">
            <w:pPr>
              <w:spacing w:line="276" w:lineRule="auto"/>
              <w:rPr>
                <w:rFonts w:ascii="Arial" w:eastAsia="Times New Roman" w:hAnsi="Arial" w:cs="Arial"/>
                <w:b w:val="0"/>
                <w:sz w:val="36"/>
                <w:szCs w:val="36"/>
                <w:lang w:val="sq-AL" w:eastAsia="en-US"/>
              </w:rPr>
            </w:pPr>
            <w:r w:rsidRPr="005F0A5D">
              <w:rPr>
                <w:rFonts w:ascii="Cambria" w:eastAsia="Times New Roman" w:hAnsi="Cambria" w:cs="Arial"/>
                <w:b w:val="0"/>
                <w:kern w:val="24"/>
                <w:sz w:val="20"/>
                <w:szCs w:val="20"/>
                <w:lang w:val="sq-AL" w:eastAsia="en-US"/>
              </w:rPr>
              <w:t>1. Realizimi i shpenzimeve buxhetore (në %)</w:t>
            </w:r>
          </w:p>
        </w:tc>
        <w:tc>
          <w:tcPr>
            <w:tcW w:w="1576" w:type="pct"/>
            <w:hideMark/>
          </w:tcPr>
          <w:p w:rsidR="00B56CA5" w:rsidRPr="00604C05"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1.Të gjitha faturat janë dërguar në kohë për pagesë pranë degës përkatëse të thesarit</w:t>
            </w:r>
          </w:p>
        </w:tc>
        <w:tc>
          <w:tcPr>
            <w:tcW w:w="1013" w:type="pct"/>
            <w:hideMark/>
          </w:tcPr>
          <w:p w:rsidR="00B56CA5" w:rsidRPr="00604C05"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1.Hartimi me cilësi i Planit të Veprimit të MFK-së dhe paraqitja brenda afateve kohore të përcaktuara</w:t>
            </w:r>
          </w:p>
        </w:tc>
        <w:tc>
          <w:tcPr>
            <w:tcW w:w="1414" w:type="pct"/>
            <w:hideMark/>
          </w:tcPr>
          <w:p w:rsidR="00B56CA5" w:rsidRPr="00604C05"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1.Organizimi i NJAB-ve dhe kapacitetet e AB</w:t>
            </w:r>
          </w:p>
        </w:tc>
      </w:tr>
      <w:tr w:rsidR="00B56CA5" w:rsidRPr="00604C05" w:rsidTr="00B56CA5">
        <w:trPr>
          <w:trHeight w:val="1380"/>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5F0A5D" w:rsidRDefault="00B56CA5" w:rsidP="00B56CA5">
            <w:pPr>
              <w:spacing w:line="276" w:lineRule="auto"/>
              <w:rPr>
                <w:rFonts w:ascii="Arial" w:eastAsia="Times New Roman" w:hAnsi="Arial" w:cs="Arial"/>
                <w:b w:val="0"/>
                <w:sz w:val="36"/>
                <w:szCs w:val="36"/>
                <w:lang w:val="sq-AL" w:eastAsia="en-US"/>
              </w:rPr>
            </w:pPr>
            <w:r w:rsidRPr="005F0A5D">
              <w:rPr>
                <w:rFonts w:ascii="Cambria" w:eastAsia="Times New Roman" w:hAnsi="Cambria" w:cs="Arial"/>
                <w:b w:val="0"/>
                <w:kern w:val="24"/>
                <w:sz w:val="20"/>
                <w:szCs w:val="20"/>
                <w:lang w:val="sq-AL" w:eastAsia="en-US"/>
              </w:rPr>
              <w:t>2.Realizimi i shpenzimeve buxhetore sipas klasifikimit ekonomik (në %)</w:t>
            </w:r>
          </w:p>
        </w:tc>
        <w:tc>
          <w:tcPr>
            <w:tcW w:w="1576" w:type="pct"/>
            <w:hideMark/>
          </w:tcPr>
          <w:p w:rsidR="00B56CA5" w:rsidRPr="00604C05"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2.Faturat e detyrimeve të prapambetura janë dërguar në kohë pranë degës përkatëse të thesarit për regjistrimin në SIFQ  si shpenzime të periudhave të ardhshme (llogaria ekonomike 486)</w:t>
            </w:r>
            <w:r w:rsidRPr="00604C05">
              <w:rPr>
                <w:rStyle w:val="FootnoteReference"/>
                <w:rFonts w:eastAsia="Times New Roman" w:cs="Arial"/>
                <w:kern w:val="24"/>
                <w:lang w:val="sq-AL" w:eastAsia="en-US"/>
              </w:rPr>
              <w:footnoteReference w:id="1"/>
            </w:r>
          </w:p>
        </w:tc>
        <w:tc>
          <w:tcPr>
            <w:tcW w:w="1013" w:type="pct"/>
            <w:hideMark/>
          </w:tcPr>
          <w:p w:rsidR="00B56CA5" w:rsidRPr="00604C05"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2.Gjithëpërfshirja dhe rregullsia e raportimit vjetor mbi sistemin e kontrollit të brendshëm</w:t>
            </w:r>
          </w:p>
        </w:tc>
        <w:tc>
          <w:tcPr>
            <w:tcW w:w="1414" w:type="pct"/>
            <w:hideMark/>
          </w:tcPr>
          <w:p w:rsidR="00B56CA5" w:rsidRPr="00604C05"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2.Cilësia e përgatitjes së planifikimit strategjik dhe vjetor nga NJAB-të</w:t>
            </w:r>
          </w:p>
        </w:tc>
      </w:tr>
      <w:tr w:rsidR="00B56CA5" w:rsidRPr="002267C7" w:rsidTr="00B56CA5">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t> </w:t>
            </w:r>
          </w:p>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t>3. Reduktimi i nivelit të detyrimeve të prapambetura</w:t>
            </w:r>
          </w:p>
        </w:tc>
        <w:tc>
          <w:tcPr>
            <w:tcW w:w="1576"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3.Të gjitha kontratat janë dërguar në kohë pranë degës përkatëse të thesarit</w:t>
            </w:r>
          </w:p>
        </w:tc>
        <w:tc>
          <w:tcPr>
            <w:tcW w:w="1013"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3.Efektiviteti i mekanizmave bazë të përgjegjshmërisë menaxheriale në njësitë e sektorit publik</w:t>
            </w:r>
          </w:p>
        </w:tc>
        <w:tc>
          <w:tcPr>
            <w:tcW w:w="1414"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3.Cilësia e përgatitjes së Raportit vjetor të NJAB-ve</w:t>
            </w:r>
          </w:p>
        </w:tc>
      </w:tr>
      <w:tr w:rsidR="00B56CA5" w:rsidRPr="002267C7" w:rsidTr="00B56CA5">
        <w:trPr>
          <w:trHeight w:val="552"/>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t>4.Realizimi i shpenzimeve kapitale</w:t>
            </w:r>
          </w:p>
        </w:tc>
        <w:tc>
          <w:tcPr>
            <w:tcW w:w="1576"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4.Numri i urdhër prokurimeve të paautorizuara</w:t>
            </w:r>
          </w:p>
        </w:tc>
        <w:tc>
          <w:tcPr>
            <w:tcW w:w="1013"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414"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4.Zbatimi i rekomandimeve të AB-së</w:t>
            </w:r>
          </w:p>
        </w:tc>
      </w:tr>
      <w:tr w:rsidR="00B56CA5" w:rsidRPr="002267C7" w:rsidTr="00B56CA5">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t>5. Investimet kapitale shumëvjeçare janë hedhur në sistem sipas planit kontraktual të disbursimit</w:t>
            </w:r>
          </w:p>
        </w:tc>
        <w:tc>
          <w:tcPr>
            <w:tcW w:w="1576" w:type="pct"/>
            <w:hideMark/>
          </w:tcPr>
          <w:p w:rsidR="00B56CA5" w:rsidRPr="002267C7" w:rsidRDefault="00DC729F"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5.</w:t>
            </w:r>
            <w:r w:rsidR="00B56CA5" w:rsidRPr="002267C7">
              <w:rPr>
                <w:rFonts w:ascii="Cambria" w:eastAsia="Times New Roman" w:hAnsi="Cambria" w:cs="Arial"/>
                <w:kern w:val="24"/>
                <w:sz w:val="20"/>
                <w:szCs w:val="20"/>
                <w:lang w:val="sq-AL" w:eastAsia="en-US"/>
              </w:rPr>
              <w:t>Kufizimi i avancimit të planit mujor të arkës</w:t>
            </w:r>
          </w:p>
        </w:tc>
        <w:tc>
          <w:tcPr>
            <w:tcW w:w="1013"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414"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r>
      <w:tr w:rsidR="00B56CA5" w:rsidRPr="002267C7" w:rsidTr="00B56CA5">
        <w:trPr>
          <w:trHeight w:val="828"/>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576" w:type="pct"/>
            <w:hideMark/>
          </w:tcPr>
          <w:p w:rsidR="00B56CA5" w:rsidRPr="002267C7" w:rsidRDefault="00DC729F" w:rsidP="00B56CA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6</w:t>
            </w:r>
            <w:r w:rsidR="00B56CA5" w:rsidRPr="002267C7">
              <w:rPr>
                <w:rFonts w:ascii="Cambria" w:eastAsia="Times New Roman" w:hAnsi="Cambria" w:cs="Arial"/>
                <w:kern w:val="24"/>
                <w:sz w:val="20"/>
                <w:szCs w:val="20"/>
                <w:lang w:val="sq-AL" w:eastAsia="en-US"/>
              </w:rPr>
              <w:t>.Paraqitja, nënshkrimi dhe respektimi i afatit kohor të dorëzimit të pasqyrave financiare sipas kuadrit ligjor në fuqi</w:t>
            </w:r>
          </w:p>
        </w:tc>
        <w:tc>
          <w:tcPr>
            <w:tcW w:w="1013"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414"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r>
    </w:tbl>
    <w:p w:rsidR="00B56CA5" w:rsidRPr="00604C05" w:rsidRDefault="00B56CA5" w:rsidP="00B56CA5">
      <w:pPr>
        <w:jc w:val="both"/>
        <w:rPr>
          <w:rFonts w:ascii="Cambria" w:hAnsi="Cambria"/>
          <w:sz w:val="22"/>
          <w:szCs w:val="22"/>
          <w:lang w:val="sq-AL"/>
        </w:rPr>
      </w:pPr>
    </w:p>
    <w:p w:rsidR="00B56CA5" w:rsidRDefault="00B56CA5" w:rsidP="00B56CA5">
      <w:pPr>
        <w:jc w:val="both"/>
        <w:rPr>
          <w:rFonts w:ascii="Cambria" w:hAnsi="Cambria"/>
          <w:bCs/>
          <w:sz w:val="22"/>
          <w:szCs w:val="22"/>
          <w:lang w:val="sq-AL" w:eastAsia="en-US"/>
        </w:rPr>
      </w:pPr>
      <w:r w:rsidRPr="00604C05">
        <w:rPr>
          <w:rFonts w:ascii="Cambria" w:hAnsi="Cambria"/>
          <w:color w:val="000000"/>
          <w:sz w:val="22"/>
          <w:szCs w:val="22"/>
          <w:lang w:val="sq-AL"/>
        </w:rPr>
        <w:t>Bazuar në vlerësimet e indikatorëve të mësipërm nga drejtoritë përkatëse, është realizuar</w:t>
      </w:r>
      <w:r w:rsidR="00CE3385" w:rsidRPr="00604C05">
        <w:rPr>
          <w:rFonts w:ascii="Cambria" w:hAnsi="Cambria"/>
          <w:color w:val="000000"/>
          <w:sz w:val="22"/>
          <w:szCs w:val="22"/>
          <w:lang w:val="sq-AL"/>
        </w:rPr>
        <w:t xml:space="preserve"> rankimi i ministrive të linjë</w:t>
      </w:r>
      <w:r w:rsidR="00980449">
        <w:rPr>
          <w:rFonts w:ascii="Cambria" w:hAnsi="Cambria"/>
          <w:color w:val="000000"/>
          <w:sz w:val="22"/>
          <w:szCs w:val="22"/>
          <w:lang w:val="sq-AL"/>
        </w:rPr>
        <w:t>s, bashkive</w:t>
      </w:r>
      <w:r w:rsidR="0090294E">
        <w:rPr>
          <w:rFonts w:ascii="Cambria" w:hAnsi="Cambria"/>
          <w:color w:val="000000"/>
          <w:sz w:val="22"/>
          <w:szCs w:val="22"/>
          <w:lang w:val="sq-AL"/>
        </w:rPr>
        <w:t>,</w:t>
      </w:r>
      <w:r w:rsidR="00980449">
        <w:rPr>
          <w:rFonts w:ascii="Cambria" w:hAnsi="Cambria"/>
          <w:color w:val="000000"/>
          <w:sz w:val="22"/>
          <w:szCs w:val="22"/>
          <w:lang w:val="sq-AL"/>
        </w:rPr>
        <w:t xml:space="preserve"> institucioneve të</w:t>
      </w:r>
      <w:r w:rsidR="00CE3385" w:rsidRPr="00604C05">
        <w:rPr>
          <w:rFonts w:ascii="Cambria" w:hAnsi="Cambria"/>
          <w:color w:val="000000"/>
          <w:sz w:val="22"/>
          <w:szCs w:val="22"/>
          <w:lang w:val="sq-AL"/>
        </w:rPr>
        <w:t xml:space="preserve"> pavarura</w:t>
      </w:r>
      <w:r w:rsidR="0090294E">
        <w:rPr>
          <w:rFonts w:ascii="Cambria" w:hAnsi="Cambria"/>
          <w:color w:val="000000"/>
          <w:sz w:val="22"/>
          <w:szCs w:val="22"/>
          <w:lang w:val="sq-AL"/>
        </w:rPr>
        <w:t xml:space="preserve"> dhe nj</w:t>
      </w:r>
      <w:r w:rsidR="002267C7">
        <w:rPr>
          <w:rFonts w:ascii="Cambria" w:hAnsi="Cambria"/>
          <w:color w:val="000000"/>
          <w:sz w:val="22"/>
          <w:szCs w:val="22"/>
          <w:lang w:val="sq-AL"/>
        </w:rPr>
        <w:t>ë</w:t>
      </w:r>
      <w:r w:rsidR="0090294E">
        <w:rPr>
          <w:rFonts w:ascii="Cambria" w:hAnsi="Cambria"/>
          <w:color w:val="000000"/>
          <w:sz w:val="22"/>
          <w:szCs w:val="22"/>
          <w:lang w:val="sq-AL"/>
        </w:rPr>
        <w:t>sive shpenzuese me buxhet t</w:t>
      </w:r>
      <w:r w:rsidR="002267C7">
        <w:rPr>
          <w:rFonts w:ascii="Cambria" w:hAnsi="Cambria"/>
          <w:color w:val="000000"/>
          <w:sz w:val="22"/>
          <w:szCs w:val="22"/>
          <w:lang w:val="sq-AL"/>
        </w:rPr>
        <w:t>ë</w:t>
      </w:r>
      <w:r w:rsidR="0090294E">
        <w:rPr>
          <w:rFonts w:ascii="Cambria" w:hAnsi="Cambria"/>
          <w:color w:val="000000"/>
          <w:sz w:val="22"/>
          <w:szCs w:val="22"/>
          <w:lang w:val="sq-AL"/>
        </w:rPr>
        <w:t xml:space="preserve"> madh</w:t>
      </w:r>
      <w:r w:rsidR="00CE3385" w:rsidRPr="00604C05">
        <w:rPr>
          <w:rFonts w:ascii="Cambria" w:hAnsi="Cambria"/>
          <w:color w:val="000000"/>
          <w:sz w:val="22"/>
          <w:szCs w:val="22"/>
          <w:lang w:val="sq-AL"/>
        </w:rPr>
        <w:t xml:space="preserve"> </w:t>
      </w:r>
      <w:r w:rsidRPr="00604C05">
        <w:rPr>
          <w:rFonts w:ascii="Cambria" w:hAnsi="Cambria"/>
          <w:bCs/>
          <w:sz w:val="22"/>
          <w:szCs w:val="22"/>
          <w:lang w:val="sq-AL" w:eastAsia="en-US"/>
        </w:rPr>
        <w:t>për vitin 2018, si më poshtë vijon:</w:t>
      </w:r>
    </w:p>
    <w:p w:rsidR="006337FD" w:rsidRPr="0046384A" w:rsidRDefault="006337FD" w:rsidP="0046384A">
      <w:pPr>
        <w:pStyle w:val="NoSpacing"/>
        <w:rPr>
          <w:sz w:val="12"/>
          <w:szCs w:val="12"/>
          <w:lang w:val="sq-AL"/>
        </w:rPr>
      </w:pPr>
    </w:p>
    <w:p w:rsidR="00EC47A5" w:rsidRPr="00604C05" w:rsidRDefault="006337FD" w:rsidP="00F9432E">
      <w:pPr>
        <w:numPr>
          <w:ilvl w:val="0"/>
          <w:numId w:val="2"/>
        </w:numPr>
        <w:spacing w:after="160" w:line="259" w:lineRule="auto"/>
        <w:contextualSpacing/>
        <w:jc w:val="both"/>
        <w:rPr>
          <w:rFonts w:ascii="Cambria" w:hAnsi="Cambria"/>
          <w:bCs/>
          <w:i/>
          <w:sz w:val="20"/>
          <w:szCs w:val="20"/>
          <w:lang w:val="sq-AL" w:eastAsia="en-US"/>
        </w:rPr>
      </w:pPr>
      <w:r>
        <w:rPr>
          <w:rFonts w:ascii="Cambria" w:hAnsi="Cambria"/>
          <w:b/>
          <w:i/>
          <w:color w:val="000000"/>
          <w:sz w:val="22"/>
          <w:szCs w:val="22"/>
          <w:lang w:val="sq-AL"/>
        </w:rPr>
        <w:t>Rankimi i Mini</w:t>
      </w:r>
      <w:r w:rsidR="00903946">
        <w:rPr>
          <w:rFonts w:ascii="Cambria" w:hAnsi="Cambria"/>
          <w:b/>
          <w:i/>
          <w:color w:val="000000"/>
          <w:sz w:val="22"/>
          <w:szCs w:val="22"/>
          <w:lang w:val="sq-AL"/>
        </w:rPr>
        <w:t>s</w:t>
      </w:r>
      <w:r>
        <w:rPr>
          <w:rFonts w:ascii="Cambria" w:hAnsi="Cambria"/>
          <w:b/>
          <w:i/>
          <w:color w:val="000000"/>
          <w:sz w:val="22"/>
          <w:szCs w:val="22"/>
          <w:lang w:val="sq-AL"/>
        </w:rPr>
        <w:t>trive t</w:t>
      </w:r>
      <w:r w:rsidR="002267C7">
        <w:rPr>
          <w:rFonts w:ascii="Cambria" w:hAnsi="Cambria"/>
          <w:b/>
          <w:i/>
          <w:color w:val="000000"/>
          <w:sz w:val="22"/>
          <w:szCs w:val="22"/>
          <w:lang w:val="sq-AL"/>
        </w:rPr>
        <w:t>ë</w:t>
      </w:r>
      <w:r>
        <w:rPr>
          <w:rFonts w:ascii="Cambria" w:hAnsi="Cambria"/>
          <w:b/>
          <w:i/>
          <w:color w:val="000000"/>
          <w:sz w:val="22"/>
          <w:szCs w:val="22"/>
          <w:lang w:val="sq-AL"/>
        </w:rPr>
        <w:t xml:space="preserve"> Linj</w:t>
      </w:r>
      <w:r w:rsidR="002267C7">
        <w:rPr>
          <w:rFonts w:ascii="Cambria" w:hAnsi="Cambria"/>
          <w:b/>
          <w:i/>
          <w:color w:val="000000"/>
          <w:sz w:val="22"/>
          <w:szCs w:val="22"/>
          <w:lang w:val="sq-AL"/>
        </w:rPr>
        <w:t>ë</w:t>
      </w:r>
      <w:r>
        <w:rPr>
          <w:rFonts w:ascii="Cambria" w:hAnsi="Cambria"/>
          <w:b/>
          <w:i/>
          <w:color w:val="000000"/>
          <w:sz w:val="22"/>
          <w:szCs w:val="22"/>
          <w:lang w:val="sq-AL"/>
        </w:rPr>
        <w:t>s</w:t>
      </w:r>
    </w:p>
    <w:p w:rsidR="00B56CA5" w:rsidRPr="00525E5E" w:rsidRDefault="00525E5E" w:rsidP="00525E5E">
      <w:pPr>
        <w:pStyle w:val="Caption"/>
        <w:rPr>
          <w:rFonts w:ascii="Cambria" w:hAnsi="Cambria"/>
          <w:b w:val="0"/>
          <w:i/>
          <w:lang w:val="sq-AL"/>
        </w:rPr>
      </w:pPr>
      <w:bookmarkStart w:id="35" w:name="_Toc9082399"/>
      <w:r w:rsidRPr="00525E5E">
        <w:rPr>
          <w:rFonts w:ascii="Cambria" w:hAnsi="Cambria"/>
          <w:b w:val="0"/>
          <w:i/>
          <w:lang w:val="sq-AL"/>
        </w:rPr>
        <w:t xml:space="preserve">Tabela </w:t>
      </w:r>
      <w:r w:rsidRPr="00525E5E">
        <w:rPr>
          <w:rFonts w:ascii="Cambria" w:hAnsi="Cambria"/>
          <w:b w:val="0"/>
          <w:i/>
          <w:lang w:val="sq-AL"/>
        </w:rPr>
        <w:fldChar w:fldCharType="begin"/>
      </w:r>
      <w:r w:rsidRPr="00525E5E">
        <w:rPr>
          <w:rFonts w:ascii="Cambria" w:hAnsi="Cambria"/>
          <w:b w:val="0"/>
          <w:i/>
          <w:lang w:val="sq-AL"/>
        </w:rPr>
        <w:instrText xml:space="preserve"> SEQ Tabela \* ARABIC </w:instrText>
      </w:r>
      <w:r w:rsidRPr="00525E5E">
        <w:rPr>
          <w:rFonts w:ascii="Cambria" w:hAnsi="Cambria"/>
          <w:b w:val="0"/>
          <w:i/>
          <w:lang w:val="sq-AL"/>
        </w:rPr>
        <w:fldChar w:fldCharType="separate"/>
      </w:r>
      <w:r w:rsidR="00036EC4">
        <w:rPr>
          <w:rFonts w:ascii="Cambria" w:hAnsi="Cambria"/>
          <w:b w:val="0"/>
          <w:i/>
          <w:noProof/>
          <w:lang w:val="sq-AL"/>
        </w:rPr>
        <w:t>2</w:t>
      </w:r>
      <w:r w:rsidRPr="00525E5E">
        <w:rPr>
          <w:rFonts w:ascii="Cambria" w:hAnsi="Cambria"/>
          <w:b w:val="0"/>
          <w:i/>
          <w:lang w:val="sq-AL"/>
        </w:rPr>
        <w:fldChar w:fldCharType="end"/>
      </w:r>
      <w:r w:rsidRPr="00525E5E">
        <w:rPr>
          <w:rFonts w:ascii="Cambria" w:hAnsi="Cambria"/>
          <w:b w:val="0"/>
          <w:i/>
          <w:lang w:val="sq-AL"/>
        </w:rPr>
        <w:t>. Rankimi i Ministrive të Linjës sipas indikatorëve të performancës për vitin 2018</w:t>
      </w:r>
      <w:r w:rsidR="00B56CA5" w:rsidRPr="00525E5E">
        <w:rPr>
          <w:rFonts w:ascii="Cambria" w:hAnsi="Cambria"/>
          <w:b w:val="0"/>
          <w:i/>
          <w:lang w:val="sq-AL"/>
        </w:rPr>
        <w:t>.</w:t>
      </w:r>
      <w:bookmarkEnd w:id="35"/>
      <w:r w:rsidR="00B56CA5" w:rsidRPr="00525E5E">
        <w:rPr>
          <w:rFonts w:ascii="Cambria" w:hAnsi="Cambria"/>
          <w:b w:val="0"/>
          <w:i/>
          <w:lang w:val="sq-AL"/>
        </w:rPr>
        <w:t xml:space="preserve"> </w:t>
      </w:r>
    </w:p>
    <w:tbl>
      <w:tblPr>
        <w:tblW w:w="5000" w:type="pct"/>
        <w:tblBorders>
          <w:top w:val="single" w:sz="8" w:space="0" w:color="000000"/>
          <w:bottom w:val="single" w:sz="8" w:space="0" w:color="000000"/>
        </w:tblBorders>
        <w:tblLook w:val="04A0" w:firstRow="1" w:lastRow="0" w:firstColumn="1" w:lastColumn="0" w:noHBand="0" w:noVBand="1"/>
      </w:tblPr>
      <w:tblGrid>
        <w:gridCol w:w="1670"/>
        <w:gridCol w:w="5750"/>
        <w:gridCol w:w="399"/>
        <w:gridCol w:w="1247"/>
      </w:tblGrid>
      <w:tr w:rsidR="00B56CA5" w:rsidRPr="00604C05" w:rsidTr="00B56CA5">
        <w:trPr>
          <w:trHeight w:val="835"/>
        </w:trPr>
        <w:tc>
          <w:tcPr>
            <w:tcW w:w="921" w:type="pct"/>
            <w:tcBorders>
              <w:top w:val="single" w:sz="8" w:space="0" w:color="000000"/>
              <w:bottom w:val="single" w:sz="8" w:space="0" w:color="000000"/>
            </w:tcBorders>
            <w:shd w:val="clear" w:color="auto" w:fill="auto"/>
            <w:hideMark/>
          </w:tcPr>
          <w:p w:rsidR="00B56CA5" w:rsidRPr="00604C05" w:rsidRDefault="00B56CA5" w:rsidP="00B56CA5">
            <w:pPr>
              <w:rPr>
                <w:rFonts w:ascii="Cambria" w:eastAsia="Times New Roman" w:hAnsi="Cambria"/>
                <w:i/>
                <w:iCs/>
                <w:color w:val="000000"/>
                <w:sz w:val="20"/>
                <w:szCs w:val="20"/>
                <w:lang w:val="sq-AL"/>
              </w:rPr>
            </w:pPr>
            <w:r w:rsidRPr="00604C05">
              <w:rPr>
                <w:rFonts w:ascii="Cambria" w:eastAsia="Times New Roman" w:hAnsi="Cambria"/>
                <w:b/>
                <w:bCs/>
                <w:i/>
                <w:iCs/>
                <w:color w:val="000000"/>
                <w:sz w:val="20"/>
                <w:szCs w:val="20"/>
                <w:lang w:val="sq-AL"/>
              </w:rPr>
              <w:t>Rankimi</w:t>
            </w:r>
          </w:p>
        </w:tc>
        <w:tc>
          <w:tcPr>
            <w:tcW w:w="3171" w:type="pct"/>
            <w:tcBorders>
              <w:top w:val="single" w:sz="8" w:space="0" w:color="000000"/>
              <w:bottom w:val="single" w:sz="8" w:space="0" w:color="000000"/>
            </w:tcBorders>
            <w:shd w:val="clear" w:color="auto" w:fill="auto"/>
            <w:hideMark/>
          </w:tcPr>
          <w:p w:rsidR="00B56CA5" w:rsidRPr="00604C05" w:rsidRDefault="00B56CA5" w:rsidP="00B56CA5">
            <w:pPr>
              <w:rPr>
                <w:rFonts w:ascii="Cambria" w:eastAsia="Times New Roman" w:hAnsi="Cambria"/>
                <w:i/>
                <w:iCs/>
                <w:color w:val="000000"/>
                <w:sz w:val="20"/>
                <w:szCs w:val="20"/>
                <w:lang w:val="sq-AL"/>
              </w:rPr>
            </w:pPr>
            <w:r w:rsidRPr="00604C05">
              <w:rPr>
                <w:rFonts w:ascii="Cambria" w:eastAsia="Times New Roman" w:hAnsi="Cambria"/>
                <w:b/>
                <w:bCs/>
                <w:i/>
                <w:iCs/>
                <w:color w:val="000000"/>
                <w:sz w:val="20"/>
                <w:szCs w:val="20"/>
                <w:lang w:val="sq-AL"/>
              </w:rPr>
              <w:t>Institucioni</w:t>
            </w:r>
          </w:p>
        </w:tc>
        <w:tc>
          <w:tcPr>
            <w:tcW w:w="908" w:type="pct"/>
            <w:gridSpan w:val="2"/>
            <w:tcBorders>
              <w:top w:val="single" w:sz="8" w:space="0" w:color="000000"/>
              <w:bottom w:val="single" w:sz="8" w:space="0" w:color="000000"/>
            </w:tcBorders>
            <w:shd w:val="clear" w:color="auto" w:fill="auto"/>
            <w:hideMark/>
          </w:tcPr>
          <w:p w:rsidR="00B56CA5" w:rsidRPr="00604C05" w:rsidRDefault="00B56CA5" w:rsidP="00B56CA5">
            <w:pPr>
              <w:jc w:val="center"/>
              <w:rPr>
                <w:rFonts w:ascii="Cambria" w:eastAsia="Times New Roman" w:hAnsi="Cambria"/>
                <w:b/>
                <w:bCs/>
                <w:i/>
                <w:iCs/>
                <w:color w:val="000000"/>
                <w:sz w:val="20"/>
                <w:szCs w:val="20"/>
                <w:lang w:val="sq-AL"/>
              </w:rPr>
            </w:pPr>
            <w:r w:rsidRPr="00604C05">
              <w:rPr>
                <w:rFonts w:ascii="Cambria" w:eastAsia="Times New Roman" w:hAnsi="Cambria"/>
                <w:b/>
                <w:bCs/>
                <w:i/>
                <w:iCs/>
                <w:color w:val="000000"/>
                <w:sz w:val="20"/>
                <w:szCs w:val="20"/>
                <w:lang w:val="sq-AL"/>
              </w:rPr>
              <w:t xml:space="preserve">Vlerësimi në pikë për vitin 2018 </w:t>
            </w:r>
          </w:p>
          <w:p w:rsidR="00B56CA5" w:rsidRPr="00604C05" w:rsidRDefault="00B56CA5" w:rsidP="00B56CA5">
            <w:pPr>
              <w:jc w:val="center"/>
              <w:rPr>
                <w:rFonts w:ascii="Cambria" w:eastAsia="Times New Roman" w:hAnsi="Cambria"/>
                <w:i/>
                <w:iCs/>
                <w:color w:val="000000"/>
                <w:sz w:val="20"/>
                <w:szCs w:val="20"/>
                <w:lang w:val="sq-AL"/>
              </w:rPr>
            </w:pPr>
            <w:r w:rsidRPr="00604C05">
              <w:rPr>
                <w:rFonts w:ascii="Cambria" w:eastAsia="Times New Roman" w:hAnsi="Cambria"/>
                <w:b/>
                <w:bCs/>
                <w:i/>
                <w:iCs/>
                <w:color w:val="000000"/>
                <w:sz w:val="20"/>
                <w:szCs w:val="20"/>
                <w:lang w:val="sq-AL"/>
              </w:rPr>
              <w:t>(nga 68 pikë gjithsej)</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bCs/>
                <w:color w:val="000000"/>
                <w:sz w:val="20"/>
                <w:szCs w:val="20"/>
                <w:lang w:val="sq-AL" w:eastAsia="en-US"/>
              </w:rPr>
              <w:t>1</w:t>
            </w:r>
          </w:p>
        </w:tc>
        <w:tc>
          <w:tcPr>
            <w:tcW w:w="3391" w:type="pct"/>
            <w:gridSpan w:val="2"/>
            <w:shd w:val="clear" w:color="auto" w:fill="C0C0C0"/>
            <w:noWrap/>
            <w:hideMark/>
          </w:tcPr>
          <w:p w:rsidR="00B56CA5" w:rsidRPr="00604C05" w:rsidRDefault="002267C7" w:rsidP="00B56CA5">
            <w:pPr>
              <w:rPr>
                <w:rFonts w:asciiTheme="majorHAnsi" w:hAnsiTheme="majorHAnsi"/>
                <w:sz w:val="20"/>
                <w:lang w:val="sq-AL"/>
              </w:rPr>
            </w:pPr>
            <w:r w:rsidRPr="00604C05">
              <w:rPr>
                <w:rFonts w:asciiTheme="majorHAnsi" w:hAnsiTheme="majorHAnsi"/>
                <w:sz w:val="20"/>
                <w:lang w:val="sq-AL"/>
              </w:rPr>
              <w:t>Ministria e Arsimit, Sportit dhe Rinisë</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53</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bCs/>
                <w:color w:val="000000"/>
                <w:sz w:val="20"/>
                <w:szCs w:val="20"/>
                <w:lang w:val="sq-AL" w:eastAsia="en-US"/>
              </w:rPr>
              <w:t>1</w:t>
            </w:r>
          </w:p>
        </w:tc>
        <w:tc>
          <w:tcPr>
            <w:tcW w:w="3391" w:type="pct"/>
            <w:gridSpan w:val="2"/>
            <w:shd w:val="clear" w:color="auto" w:fill="auto"/>
            <w:noWrap/>
            <w:hideMark/>
          </w:tcPr>
          <w:p w:rsidR="00B56CA5" w:rsidRPr="00604C05" w:rsidRDefault="002267C7" w:rsidP="00B56CA5">
            <w:pPr>
              <w:rPr>
                <w:rFonts w:asciiTheme="majorHAnsi" w:hAnsiTheme="majorHAnsi"/>
                <w:sz w:val="20"/>
                <w:lang w:val="sq-AL"/>
              </w:rPr>
            </w:pPr>
            <w:r w:rsidRPr="00604C05">
              <w:rPr>
                <w:rFonts w:asciiTheme="majorHAnsi" w:hAnsiTheme="majorHAnsi"/>
                <w:sz w:val="20"/>
                <w:lang w:val="sq-AL"/>
              </w:rPr>
              <w:t xml:space="preserve">Ministria e Brendshme </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53</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2</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Infrastrukturës dhe Energjisë</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51</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3</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Financave dhe Ekonomisë</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50</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4</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Kulturës</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49</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5</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Mbrojtjes</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48</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6</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Drejtësisë</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45</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6</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Turizmit dhe Mjedisit</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45</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6</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Shëndetësisë dhe Mbrojtjes Sociale</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45</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7</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Bujqësisë dhe Zhvillimit Rural</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43</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8</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për Evropën dhe Punët e Jashtme</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35</w:t>
            </w:r>
          </w:p>
        </w:tc>
      </w:tr>
    </w:tbl>
    <w:p w:rsidR="00CE26AF" w:rsidRDefault="00CE26AF" w:rsidP="00B56CA5">
      <w:pPr>
        <w:jc w:val="both"/>
        <w:rPr>
          <w:rFonts w:ascii="Cambria" w:hAnsi="Cambria"/>
          <w:sz w:val="22"/>
          <w:szCs w:val="22"/>
          <w:lang w:val="sq-AL"/>
        </w:rPr>
      </w:pPr>
      <w:bookmarkStart w:id="36" w:name="_Toc451510077"/>
      <w:bookmarkStart w:id="37" w:name="_Toc451511569"/>
      <w:bookmarkEnd w:id="33"/>
    </w:p>
    <w:p w:rsidR="00903946" w:rsidRDefault="00903946" w:rsidP="00903946">
      <w:pPr>
        <w:numPr>
          <w:ilvl w:val="0"/>
          <w:numId w:val="2"/>
        </w:numPr>
        <w:spacing w:after="160" w:line="259" w:lineRule="auto"/>
        <w:contextualSpacing/>
        <w:jc w:val="both"/>
        <w:rPr>
          <w:rFonts w:ascii="Cambria" w:hAnsi="Cambria"/>
          <w:b/>
          <w:i/>
          <w:color w:val="000000"/>
          <w:sz w:val="22"/>
          <w:szCs w:val="22"/>
          <w:lang w:val="sq-AL"/>
        </w:rPr>
      </w:pPr>
      <w:r w:rsidRPr="00431AA7">
        <w:rPr>
          <w:rFonts w:ascii="Cambria" w:hAnsi="Cambria"/>
          <w:b/>
          <w:i/>
          <w:color w:val="000000"/>
          <w:sz w:val="22"/>
          <w:szCs w:val="22"/>
          <w:lang w:val="sq-AL"/>
        </w:rPr>
        <w:t>Rankimi i nj</w:t>
      </w:r>
      <w:r>
        <w:rPr>
          <w:rFonts w:ascii="Cambria" w:hAnsi="Cambria"/>
          <w:b/>
          <w:i/>
          <w:color w:val="000000"/>
          <w:sz w:val="22"/>
          <w:szCs w:val="22"/>
          <w:lang w:val="sq-AL"/>
        </w:rPr>
        <w:t>ë</w:t>
      </w:r>
      <w:r w:rsidRPr="00431AA7">
        <w:rPr>
          <w:rFonts w:ascii="Cambria" w:hAnsi="Cambria"/>
          <w:b/>
          <w:i/>
          <w:color w:val="000000"/>
          <w:sz w:val="22"/>
          <w:szCs w:val="22"/>
          <w:lang w:val="sq-AL"/>
        </w:rPr>
        <w:t>sive shpenzuese me buxhet t</w:t>
      </w:r>
      <w:r>
        <w:rPr>
          <w:rFonts w:ascii="Cambria" w:hAnsi="Cambria"/>
          <w:b/>
          <w:i/>
          <w:color w:val="000000"/>
          <w:sz w:val="22"/>
          <w:szCs w:val="22"/>
          <w:lang w:val="sq-AL"/>
        </w:rPr>
        <w:t>ë</w:t>
      </w:r>
      <w:r w:rsidRPr="00431AA7">
        <w:rPr>
          <w:rFonts w:ascii="Cambria" w:hAnsi="Cambria"/>
          <w:b/>
          <w:i/>
          <w:color w:val="000000"/>
          <w:sz w:val="22"/>
          <w:szCs w:val="22"/>
          <w:lang w:val="sq-AL"/>
        </w:rPr>
        <w:t xml:space="preserve"> madh</w:t>
      </w:r>
    </w:p>
    <w:p w:rsidR="00903946" w:rsidRPr="00431AA7" w:rsidRDefault="00903946" w:rsidP="00903946">
      <w:pPr>
        <w:spacing w:after="160" w:line="259" w:lineRule="auto"/>
        <w:ind w:left="720"/>
        <w:contextualSpacing/>
        <w:jc w:val="both"/>
        <w:rPr>
          <w:rFonts w:ascii="Cambria" w:hAnsi="Cambria"/>
          <w:b/>
          <w:i/>
          <w:color w:val="000000"/>
          <w:sz w:val="22"/>
          <w:szCs w:val="22"/>
          <w:lang w:val="sq-AL"/>
        </w:rPr>
      </w:pPr>
    </w:p>
    <w:p w:rsidR="00903946" w:rsidRPr="00604C05" w:rsidRDefault="00903946" w:rsidP="00903946">
      <w:pPr>
        <w:jc w:val="both"/>
        <w:rPr>
          <w:rFonts w:ascii="Cambria" w:hAnsi="Cambria"/>
          <w:sz w:val="22"/>
          <w:szCs w:val="22"/>
          <w:lang w:val="sq-AL"/>
        </w:rPr>
      </w:pPr>
      <w:r w:rsidRPr="00604C05">
        <w:rPr>
          <w:rFonts w:ascii="Cambria" w:hAnsi="Cambria"/>
          <w:sz w:val="22"/>
          <w:szCs w:val="22"/>
          <w:lang w:val="sq-AL"/>
        </w:rPr>
        <w:t>Në vijim të procesit të rëndësishëm të implementimit të sistemit të kontrollit të brendshëm në njësitë publike si dhe në kuadër të rekomandimeve të vazhdueshme të organizmave ndërkombëtare, DH/MFKK ka zgjeruar gamën e institucioneve që plotësojnë pyetësorin e vetëvlerësimit të MFK-së, duke përfshirë një grup institucionesh varësie, me qëllim sigurimin e një pamje më të qartë të progresit. Për këtë arsye, janë përzgjedhur 15 institucione publike bazuar në dy kritere:</w:t>
      </w:r>
    </w:p>
    <w:p w:rsidR="00903946" w:rsidRPr="00604C05" w:rsidRDefault="00903946" w:rsidP="00903946">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sa 10% e totalit të buxhetit të grupit; dhe/ose</w:t>
      </w:r>
    </w:p>
    <w:p w:rsidR="00903946" w:rsidRPr="00DB7961" w:rsidRDefault="00903946" w:rsidP="00903946">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1 miliard </w:t>
      </w:r>
      <w:r w:rsidRPr="00DB7961">
        <w:rPr>
          <w:lang w:val="sq-AL"/>
        </w:rPr>
        <w:t>lekë.</w:t>
      </w:r>
    </w:p>
    <w:p w:rsidR="00903946" w:rsidRPr="00F9190B" w:rsidRDefault="00903946" w:rsidP="00903946">
      <w:pPr>
        <w:jc w:val="both"/>
        <w:rPr>
          <w:i/>
          <w:lang w:val="sq-AL"/>
        </w:rPr>
      </w:pPr>
      <w:r w:rsidRPr="00DB7961">
        <w:rPr>
          <w:i/>
          <w:lang w:val="sq-AL"/>
        </w:rPr>
        <w:t>Analiza e detajuar e treguesve të performancës për këto instituci</w:t>
      </w:r>
      <w:r w:rsidR="00265983" w:rsidRPr="00DB7961">
        <w:rPr>
          <w:i/>
          <w:lang w:val="sq-AL"/>
        </w:rPr>
        <w:t>one paraqitet në Aneksin numër 1</w:t>
      </w:r>
      <w:r w:rsidRPr="00DB7961">
        <w:rPr>
          <w:i/>
          <w:lang w:val="sq-AL"/>
        </w:rPr>
        <w:t xml:space="preserve"> të këtij raporti.</w:t>
      </w:r>
      <w:r w:rsidRPr="00F9190B">
        <w:rPr>
          <w:i/>
          <w:lang w:val="sq-AL"/>
        </w:rPr>
        <w:t xml:space="preserve"> </w:t>
      </w:r>
    </w:p>
    <w:p w:rsidR="00903946" w:rsidRPr="003A7D0F" w:rsidRDefault="00903946" w:rsidP="00903946">
      <w:pPr>
        <w:jc w:val="both"/>
        <w:rPr>
          <w:lang w:val="sq-AL"/>
        </w:rPr>
      </w:pPr>
    </w:p>
    <w:p w:rsidR="00903946" w:rsidRPr="00604C05" w:rsidRDefault="00903946" w:rsidP="00903946">
      <w:pPr>
        <w:pStyle w:val="Caption"/>
        <w:rPr>
          <w:rFonts w:ascii="Cambria" w:hAnsi="Cambria"/>
          <w:b w:val="0"/>
          <w:i/>
          <w:sz w:val="22"/>
          <w:szCs w:val="22"/>
          <w:lang w:val="sq-AL"/>
        </w:rPr>
      </w:pPr>
      <w:bookmarkStart w:id="38" w:name="_Toc9082400"/>
      <w:r w:rsidRPr="00497D7F">
        <w:rPr>
          <w:rFonts w:ascii="Cambria" w:hAnsi="Cambria"/>
          <w:b w:val="0"/>
          <w:i/>
          <w:lang w:val="sq-AL"/>
        </w:rPr>
        <w:t xml:space="preserve">Tabela </w:t>
      </w:r>
      <w:r w:rsidRPr="00497D7F">
        <w:rPr>
          <w:rFonts w:ascii="Cambria" w:hAnsi="Cambria"/>
          <w:b w:val="0"/>
          <w:i/>
          <w:lang w:val="sq-AL"/>
        </w:rPr>
        <w:fldChar w:fldCharType="begin"/>
      </w:r>
      <w:r w:rsidRPr="00497D7F">
        <w:rPr>
          <w:rFonts w:ascii="Cambria" w:hAnsi="Cambria"/>
          <w:b w:val="0"/>
          <w:i/>
          <w:lang w:val="sq-AL"/>
        </w:rPr>
        <w:instrText xml:space="preserve"> SEQ Tabela \* ARABIC </w:instrText>
      </w:r>
      <w:r w:rsidRPr="00497D7F">
        <w:rPr>
          <w:rFonts w:ascii="Cambria" w:hAnsi="Cambria"/>
          <w:b w:val="0"/>
          <w:i/>
          <w:lang w:val="sq-AL"/>
        </w:rPr>
        <w:fldChar w:fldCharType="separate"/>
      </w:r>
      <w:r w:rsidR="00036EC4">
        <w:rPr>
          <w:rFonts w:ascii="Cambria" w:hAnsi="Cambria"/>
          <w:b w:val="0"/>
          <w:i/>
          <w:noProof/>
          <w:lang w:val="sq-AL"/>
        </w:rPr>
        <w:t>3</w:t>
      </w:r>
      <w:r w:rsidRPr="00497D7F">
        <w:rPr>
          <w:rFonts w:ascii="Cambria" w:hAnsi="Cambria"/>
          <w:b w:val="0"/>
          <w:i/>
          <w:lang w:val="sq-AL"/>
        </w:rPr>
        <w:fldChar w:fldCharType="end"/>
      </w:r>
      <w:r w:rsidRPr="00497D7F">
        <w:rPr>
          <w:rFonts w:ascii="Cambria" w:hAnsi="Cambria"/>
          <w:b w:val="0"/>
          <w:i/>
          <w:lang w:val="sq-AL"/>
        </w:rPr>
        <w:t>. Rankimi i njësive shpenzuese me buxhet të madh sipas treguesve të performancës për vitin 2018</w:t>
      </w:r>
      <w:bookmarkEnd w:id="38"/>
      <w:r>
        <w:rPr>
          <w:rFonts w:ascii="Cambria" w:hAnsi="Cambria"/>
          <w:b w:val="0"/>
          <w:i/>
          <w:lang w:val="sq-AL"/>
        </w:rPr>
        <w:t xml:space="preserve">   </w:t>
      </w:r>
    </w:p>
    <w:tbl>
      <w:tblPr>
        <w:tblStyle w:val="ListTable6Colorful2"/>
        <w:tblW w:w="5000" w:type="pct"/>
        <w:tblLook w:val="04A0" w:firstRow="1" w:lastRow="0" w:firstColumn="1" w:lastColumn="0" w:noHBand="0" w:noVBand="1"/>
      </w:tblPr>
      <w:tblGrid>
        <w:gridCol w:w="1673"/>
        <w:gridCol w:w="5750"/>
        <w:gridCol w:w="399"/>
        <w:gridCol w:w="1244"/>
      </w:tblGrid>
      <w:tr w:rsidR="00903946" w:rsidRPr="00EE738B" w:rsidTr="00903946">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903946" w:rsidRPr="00EE738B" w:rsidRDefault="00903946" w:rsidP="00903946">
            <w:pPr>
              <w:rPr>
                <w:rFonts w:asciiTheme="majorHAnsi" w:eastAsia="Times New Roman" w:hAnsiTheme="majorHAnsi"/>
                <w:i/>
                <w:iCs/>
                <w:sz w:val="20"/>
                <w:szCs w:val="20"/>
                <w:lang w:val="sq-AL"/>
              </w:rPr>
            </w:pPr>
            <w:r w:rsidRPr="00EE738B">
              <w:rPr>
                <w:rFonts w:asciiTheme="majorHAnsi" w:eastAsia="Times New Roman" w:hAnsiTheme="majorHAnsi"/>
                <w:bCs w:val="0"/>
                <w:i/>
                <w:iCs/>
                <w:sz w:val="20"/>
                <w:szCs w:val="20"/>
                <w:lang w:val="sq-AL"/>
              </w:rPr>
              <w:t>Rankimi</w:t>
            </w:r>
          </w:p>
        </w:tc>
        <w:tc>
          <w:tcPr>
            <w:tcW w:w="3171" w:type="pct"/>
            <w:hideMark/>
          </w:tcPr>
          <w:p w:rsidR="00903946" w:rsidRPr="00EE738B" w:rsidRDefault="00903946" w:rsidP="00903946">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EE738B">
              <w:rPr>
                <w:rFonts w:asciiTheme="majorHAnsi" w:eastAsia="Times New Roman" w:hAnsiTheme="majorHAnsi"/>
                <w:bCs w:val="0"/>
                <w:i/>
                <w:iCs/>
                <w:sz w:val="20"/>
                <w:szCs w:val="20"/>
                <w:lang w:val="sq-AL"/>
              </w:rPr>
              <w:t>Institucioni</w:t>
            </w:r>
          </w:p>
        </w:tc>
        <w:tc>
          <w:tcPr>
            <w:tcW w:w="906" w:type="pct"/>
            <w:gridSpan w:val="2"/>
            <w:hideMark/>
          </w:tcPr>
          <w:p w:rsidR="00903946" w:rsidRPr="00EE738B" w:rsidRDefault="00903946" w:rsidP="0090394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EE738B">
              <w:rPr>
                <w:rFonts w:asciiTheme="majorHAnsi" w:eastAsia="Times New Roman" w:hAnsiTheme="majorHAnsi"/>
                <w:bCs w:val="0"/>
                <w:i/>
                <w:iCs/>
                <w:sz w:val="20"/>
                <w:szCs w:val="20"/>
                <w:lang w:val="sq-AL"/>
              </w:rPr>
              <w:t>Vlerësimi në pikë për vitin 2018 ( nga 64 pikë gjithsej)</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bCs w:val="0"/>
                <w:sz w:val="20"/>
                <w:szCs w:val="20"/>
                <w:lang w:val="sq-AL" w:eastAsia="en-US"/>
              </w:rPr>
              <w:t>1</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Qendra Spitalore Universitare “Nënë Tereza”</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eastAsia="en-GB"/>
              </w:rPr>
            </w:pPr>
            <w:r w:rsidRPr="00604C05">
              <w:rPr>
                <w:rFonts w:asciiTheme="majorHAnsi" w:hAnsiTheme="majorHAnsi" w:cs="Calibri"/>
                <w:sz w:val="20"/>
                <w:szCs w:val="20"/>
                <w:lang w:val="sq-AL"/>
              </w:rPr>
              <w:t>52</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bCs w:val="0"/>
                <w:sz w:val="20"/>
                <w:szCs w:val="20"/>
                <w:lang w:val="sq-AL" w:eastAsia="en-US"/>
              </w:rPr>
              <w:t>2</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Drejtoria e Përgjithshme e Doganave</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48</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3</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 xml:space="preserve">Fondi i Sigurimit të detyrueshëm të Kujdesit Shëndetësor </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46</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4</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 xml:space="preserve">Drejtoria e Përgjithshme e Tatimeve </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45</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4</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Instituti i Sigurimeve Shoqërore</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45</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5</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 xml:space="preserve">Drejtoria e Përgjithshme e Burgjeve </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43</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5</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Autoriteti Rrugor Shqiptar</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43</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6</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Agjencia për Zhvillim Bujqësor dhe Rural</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42</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7</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Spitali Universitar i Traumës</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40</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7</w:t>
            </w:r>
          </w:p>
        </w:tc>
        <w:tc>
          <w:tcPr>
            <w:tcW w:w="3391" w:type="pct"/>
            <w:gridSpan w:val="2"/>
            <w:noWrap/>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Drejtoria e Përgjithshme e Policisë së Shtetit</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40</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8</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Shërbimi Kombëtar i Punësimit</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38</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9</w:t>
            </w:r>
          </w:p>
        </w:tc>
        <w:tc>
          <w:tcPr>
            <w:tcW w:w="3391" w:type="pct"/>
            <w:gridSpan w:val="2"/>
            <w:noWrap/>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Agjencia e Trajtimit të Pronave *</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37</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9</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Autoriteti Kombëtar i Ushqimit</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37</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10</w:t>
            </w:r>
          </w:p>
        </w:tc>
        <w:tc>
          <w:tcPr>
            <w:tcW w:w="3391" w:type="pct"/>
            <w:gridSpan w:val="2"/>
            <w:noWrap/>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Garda e Republikës*</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34</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11</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Agjencia Kombëtare e Ujësjellës Kanalizimeve*</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22</w:t>
            </w:r>
          </w:p>
        </w:tc>
      </w:tr>
    </w:tbl>
    <w:p w:rsidR="00903946" w:rsidRPr="00604C05" w:rsidRDefault="00903946" w:rsidP="00903946">
      <w:pPr>
        <w:rPr>
          <w:rFonts w:ascii="Cambria" w:hAnsi="Cambria"/>
          <w:sz w:val="20"/>
          <w:szCs w:val="20"/>
          <w:lang w:val="sq-AL"/>
        </w:rPr>
      </w:pPr>
      <w:r w:rsidRPr="00604C05">
        <w:rPr>
          <w:rFonts w:ascii="Cambria" w:hAnsi="Cambria"/>
          <w:sz w:val="20"/>
          <w:szCs w:val="20"/>
          <w:lang w:val="sq-AL"/>
        </w:rPr>
        <w:t>*Njësi publike me buxhet të madh të cilat nuk kanë krijuar njësi auditimi të brendshëm</w:t>
      </w:r>
    </w:p>
    <w:p w:rsidR="00A966E5" w:rsidRPr="00604C05" w:rsidRDefault="00A966E5" w:rsidP="000F56E9">
      <w:pPr>
        <w:jc w:val="both"/>
        <w:rPr>
          <w:rFonts w:ascii="Cambria" w:hAnsi="Cambria"/>
          <w:sz w:val="22"/>
          <w:szCs w:val="22"/>
          <w:lang w:val="sq-AL"/>
        </w:rPr>
      </w:pPr>
    </w:p>
    <w:p w:rsidR="00A966E5" w:rsidRPr="00604C05" w:rsidRDefault="00A966E5" w:rsidP="000F56E9">
      <w:pPr>
        <w:numPr>
          <w:ilvl w:val="0"/>
          <w:numId w:val="2"/>
        </w:numPr>
        <w:spacing w:after="160" w:line="259" w:lineRule="auto"/>
        <w:contextualSpacing/>
        <w:jc w:val="both"/>
        <w:rPr>
          <w:rFonts w:ascii="Cambria" w:hAnsi="Cambria"/>
          <w:b/>
          <w:i/>
          <w:color w:val="000000"/>
          <w:sz w:val="22"/>
          <w:szCs w:val="22"/>
          <w:lang w:val="sq-AL"/>
        </w:rPr>
      </w:pPr>
      <w:r w:rsidRPr="00604C05">
        <w:rPr>
          <w:rFonts w:ascii="Cambria" w:hAnsi="Cambria"/>
          <w:b/>
          <w:i/>
          <w:color w:val="000000"/>
          <w:sz w:val="22"/>
          <w:szCs w:val="22"/>
          <w:lang w:val="sq-AL"/>
        </w:rPr>
        <w:t>Rankimi i bashkive që kanë njësi auditimi në strukturë</w:t>
      </w:r>
    </w:p>
    <w:p w:rsidR="00A966E5" w:rsidRPr="00604C05" w:rsidRDefault="00A966E5" w:rsidP="000F56E9">
      <w:pPr>
        <w:jc w:val="both"/>
        <w:rPr>
          <w:rFonts w:ascii="Cambria" w:hAnsi="Cambria"/>
          <w:sz w:val="22"/>
          <w:szCs w:val="22"/>
          <w:lang w:val="sq-AL"/>
        </w:rPr>
      </w:pPr>
    </w:p>
    <w:p w:rsidR="00A966E5" w:rsidRPr="00604C05" w:rsidRDefault="00A966E5" w:rsidP="000F56E9">
      <w:pPr>
        <w:pStyle w:val="Caption"/>
        <w:rPr>
          <w:rFonts w:ascii="Cambria" w:hAnsi="Cambria"/>
          <w:b w:val="0"/>
          <w:i/>
          <w:lang w:val="sq-AL"/>
        </w:rPr>
      </w:pPr>
      <w:bookmarkStart w:id="39" w:name="_Toc8741616"/>
      <w:bookmarkStart w:id="40" w:name="_Toc9082401"/>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4</w:t>
      </w:r>
      <w:r w:rsidRPr="00604C05">
        <w:rPr>
          <w:rFonts w:ascii="Cambria" w:hAnsi="Cambria"/>
          <w:b w:val="0"/>
          <w:i/>
          <w:lang w:val="sq-AL"/>
        </w:rPr>
        <w:fldChar w:fldCharType="end"/>
      </w:r>
      <w:r w:rsidRPr="00604C05">
        <w:rPr>
          <w:rFonts w:ascii="Cambria" w:hAnsi="Cambria"/>
          <w:b w:val="0"/>
          <w:i/>
          <w:lang w:val="sq-AL"/>
        </w:rPr>
        <w:t>. Rankimi i Bashkive kryesore qendër qarku, sipas indikatorëve të performances për vitin 2018</w:t>
      </w:r>
      <w:bookmarkEnd w:id="39"/>
      <w:bookmarkEnd w:id="40"/>
    </w:p>
    <w:tbl>
      <w:tblPr>
        <w:tblStyle w:val="ListTable6Colorful2"/>
        <w:tblW w:w="5000" w:type="pct"/>
        <w:tblLook w:val="04A0" w:firstRow="1" w:lastRow="0" w:firstColumn="1" w:lastColumn="0" w:noHBand="0" w:noVBand="1"/>
      </w:tblPr>
      <w:tblGrid>
        <w:gridCol w:w="1673"/>
        <w:gridCol w:w="5750"/>
        <w:gridCol w:w="399"/>
        <w:gridCol w:w="1244"/>
      </w:tblGrid>
      <w:tr w:rsidR="000F56E9" w:rsidRPr="00604C05" w:rsidTr="00530D31">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0F56E9" w:rsidRPr="00A51E32" w:rsidRDefault="000F56E9" w:rsidP="000F56E9">
            <w:pPr>
              <w:rPr>
                <w:rFonts w:asciiTheme="majorHAnsi" w:eastAsia="Times New Roman" w:hAnsiTheme="majorHAnsi"/>
                <w:i/>
                <w:iCs/>
                <w:sz w:val="20"/>
                <w:szCs w:val="20"/>
                <w:lang w:val="sq-AL"/>
              </w:rPr>
            </w:pPr>
            <w:r w:rsidRPr="00A51E32">
              <w:rPr>
                <w:rFonts w:asciiTheme="majorHAnsi" w:eastAsia="Times New Roman" w:hAnsiTheme="majorHAnsi"/>
                <w:bCs w:val="0"/>
                <w:i/>
                <w:iCs/>
                <w:sz w:val="20"/>
                <w:szCs w:val="20"/>
                <w:lang w:val="sq-AL"/>
              </w:rPr>
              <w:t>Rankimi</w:t>
            </w:r>
          </w:p>
        </w:tc>
        <w:tc>
          <w:tcPr>
            <w:tcW w:w="3171" w:type="pct"/>
            <w:hideMark/>
          </w:tcPr>
          <w:p w:rsidR="000F56E9" w:rsidRPr="00A51E32" w:rsidRDefault="000F56E9" w:rsidP="000F56E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A51E32">
              <w:rPr>
                <w:rFonts w:asciiTheme="majorHAnsi" w:eastAsia="Times New Roman" w:hAnsiTheme="majorHAnsi"/>
                <w:bCs w:val="0"/>
                <w:i/>
                <w:iCs/>
                <w:sz w:val="20"/>
                <w:szCs w:val="20"/>
                <w:lang w:val="sq-AL"/>
              </w:rPr>
              <w:t>Institucioni</w:t>
            </w:r>
          </w:p>
        </w:tc>
        <w:tc>
          <w:tcPr>
            <w:tcW w:w="906" w:type="pct"/>
            <w:gridSpan w:val="2"/>
            <w:hideMark/>
          </w:tcPr>
          <w:p w:rsidR="000F56E9" w:rsidRPr="00A51E32" w:rsidRDefault="000F56E9" w:rsidP="000F56E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A51E32">
              <w:rPr>
                <w:rFonts w:asciiTheme="majorHAnsi" w:eastAsia="Times New Roman" w:hAnsiTheme="majorHAnsi"/>
                <w:bCs w:val="0"/>
                <w:i/>
                <w:iCs/>
                <w:sz w:val="20"/>
                <w:szCs w:val="20"/>
                <w:lang w:val="sq-AL"/>
              </w:rPr>
              <w:t>Vlerësimi në pikë për vitin 2018 (</w:t>
            </w:r>
            <w:r w:rsidRPr="000F56E9">
              <w:rPr>
                <w:rFonts w:asciiTheme="majorHAnsi" w:eastAsia="Times New Roman" w:hAnsiTheme="majorHAnsi"/>
                <w:bCs w:val="0"/>
                <w:i/>
                <w:iCs/>
                <w:sz w:val="20"/>
                <w:szCs w:val="20"/>
                <w:lang w:val="sq-AL"/>
              </w:rPr>
              <w:t>nga 64</w:t>
            </w:r>
            <w:r w:rsidRPr="00A51E32">
              <w:rPr>
                <w:rFonts w:asciiTheme="majorHAnsi" w:eastAsia="Times New Roman" w:hAnsiTheme="majorHAnsi"/>
                <w:bCs w:val="0"/>
                <w:i/>
                <w:iCs/>
                <w:sz w:val="20"/>
                <w:szCs w:val="20"/>
                <w:lang w:val="sq-AL"/>
              </w:rPr>
              <w:t xml:space="preserve"> pikë gjithsej)</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bCs w:val="0"/>
                <w:sz w:val="20"/>
                <w:szCs w:val="20"/>
                <w:lang w:val="sq-AL" w:eastAsia="en-US"/>
              </w:rPr>
              <w:t>1</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Shkod</w:t>
            </w:r>
            <w:r w:rsidRPr="00BA0956">
              <w:rPr>
                <w:rFonts w:asciiTheme="majorHAnsi" w:hAnsiTheme="majorHAnsi"/>
                <w:sz w:val="20"/>
                <w:szCs w:val="20"/>
                <w:lang w:val="sq-AL"/>
              </w:rPr>
              <w:t>ë</w:t>
            </w:r>
            <w:r w:rsidRPr="00BA0956">
              <w:rPr>
                <w:rFonts w:asciiTheme="majorHAnsi" w:hAnsiTheme="majorHAnsi" w:cs="Calibri"/>
                <w:sz w:val="20"/>
                <w:szCs w:val="20"/>
              </w:rPr>
              <w:t>r</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bCs w:val="0"/>
                <w:sz w:val="20"/>
                <w:szCs w:val="20"/>
                <w:lang w:val="sq-AL" w:eastAsia="en-US"/>
              </w:rPr>
              <w:t>2</w:t>
            </w:r>
          </w:p>
        </w:tc>
        <w:tc>
          <w:tcPr>
            <w:tcW w:w="3391" w:type="pct"/>
            <w:gridSpan w:val="2"/>
            <w:noWrap/>
            <w:vAlign w:val="center"/>
            <w:hideMark/>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Korç</w:t>
            </w:r>
            <w:r w:rsidRPr="00BA0956">
              <w:rPr>
                <w:rFonts w:asciiTheme="majorHAnsi" w:hAnsiTheme="majorHAnsi"/>
                <w:sz w:val="20"/>
                <w:szCs w:val="20"/>
                <w:lang w:val="sq-AL"/>
              </w:rPr>
              <w:t>ë</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3</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Lezh</w:t>
            </w:r>
            <w:r w:rsidRPr="00BA0956">
              <w:rPr>
                <w:rFonts w:asciiTheme="majorHAnsi" w:hAnsiTheme="majorHAnsi"/>
                <w:sz w:val="20"/>
                <w:szCs w:val="20"/>
                <w:lang w:val="sq-AL"/>
              </w:rPr>
              <w:t>ë</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44</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4</w:t>
            </w:r>
          </w:p>
        </w:tc>
        <w:tc>
          <w:tcPr>
            <w:tcW w:w="3391" w:type="pct"/>
            <w:gridSpan w:val="2"/>
            <w:noWrap/>
            <w:vAlign w:val="center"/>
            <w:hideMark/>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Kuk</w:t>
            </w:r>
            <w:r w:rsidRPr="00BA0956">
              <w:rPr>
                <w:rFonts w:asciiTheme="majorHAnsi" w:hAnsiTheme="majorHAnsi"/>
                <w:sz w:val="20"/>
                <w:szCs w:val="20"/>
                <w:lang w:val="sq-AL"/>
              </w:rPr>
              <w:t>ë</w:t>
            </w:r>
            <w:r w:rsidRPr="00BA0956">
              <w:rPr>
                <w:rFonts w:asciiTheme="majorHAnsi" w:hAnsiTheme="majorHAnsi" w:cs="Calibri"/>
                <w:sz w:val="20"/>
                <w:szCs w:val="20"/>
              </w:rPr>
              <w:t>s</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5</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Fier</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41</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6</w:t>
            </w:r>
          </w:p>
        </w:tc>
        <w:tc>
          <w:tcPr>
            <w:tcW w:w="3391" w:type="pct"/>
            <w:gridSpan w:val="2"/>
            <w:noWrap/>
            <w:vAlign w:val="center"/>
            <w:hideMark/>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Elbasan</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40</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6</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Tiranë</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40</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7</w:t>
            </w:r>
          </w:p>
        </w:tc>
        <w:tc>
          <w:tcPr>
            <w:tcW w:w="3391" w:type="pct"/>
            <w:gridSpan w:val="2"/>
            <w:noWrap/>
            <w:vAlign w:val="center"/>
            <w:hideMark/>
          </w:tcPr>
          <w:p w:rsidR="000F56E9" w:rsidRPr="00BA0956" w:rsidRDefault="000F56E9" w:rsidP="000F56E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Durr</w:t>
            </w:r>
            <w:r w:rsidRPr="00BA0956">
              <w:rPr>
                <w:rFonts w:asciiTheme="majorHAnsi" w:hAnsiTheme="majorHAnsi"/>
                <w:sz w:val="20"/>
                <w:szCs w:val="20"/>
                <w:lang w:val="sq-AL"/>
              </w:rPr>
              <w:t>ë</w:t>
            </w:r>
            <w:r w:rsidRPr="00BA0956">
              <w:rPr>
                <w:rFonts w:asciiTheme="majorHAnsi" w:hAnsiTheme="majorHAnsi" w:cs="Calibri"/>
                <w:sz w:val="20"/>
                <w:szCs w:val="20"/>
              </w:rPr>
              <w:t>s</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8</w:t>
            </w:r>
          </w:p>
        </w:tc>
        <w:tc>
          <w:tcPr>
            <w:tcW w:w="3391" w:type="pct"/>
            <w:gridSpan w:val="2"/>
            <w:noWrap/>
            <w:vAlign w:val="center"/>
          </w:tcPr>
          <w:p w:rsidR="000F56E9" w:rsidRPr="00BA0956" w:rsidRDefault="000F56E9" w:rsidP="000F56E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Berat</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8</w:t>
            </w:r>
          </w:p>
        </w:tc>
        <w:tc>
          <w:tcPr>
            <w:tcW w:w="3391" w:type="pct"/>
            <w:gridSpan w:val="2"/>
            <w:noWrap/>
            <w:vAlign w:val="center"/>
          </w:tcPr>
          <w:p w:rsidR="000F56E9" w:rsidRPr="00BA0956" w:rsidRDefault="000F56E9" w:rsidP="000F56E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Dib</w:t>
            </w:r>
            <w:r w:rsidRPr="00BA0956">
              <w:rPr>
                <w:rFonts w:asciiTheme="majorHAnsi" w:hAnsiTheme="majorHAnsi"/>
                <w:sz w:val="20"/>
                <w:szCs w:val="20"/>
                <w:lang w:val="sq-AL"/>
              </w:rPr>
              <w:t>ë</w:t>
            </w:r>
            <w:r w:rsidRPr="00BA0956">
              <w:rPr>
                <w:rFonts w:asciiTheme="majorHAnsi" w:hAnsiTheme="majorHAnsi" w:cs="Calibri"/>
                <w:sz w:val="20"/>
                <w:szCs w:val="20"/>
              </w:rPr>
              <w:t>r</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36</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8</w:t>
            </w:r>
          </w:p>
        </w:tc>
        <w:tc>
          <w:tcPr>
            <w:tcW w:w="3391" w:type="pct"/>
            <w:gridSpan w:val="2"/>
            <w:noWrap/>
            <w:vAlign w:val="center"/>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Gjirokast</w:t>
            </w:r>
            <w:r w:rsidRPr="00BA0956">
              <w:rPr>
                <w:rFonts w:asciiTheme="majorHAnsi" w:hAnsiTheme="majorHAnsi"/>
                <w:sz w:val="20"/>
                <w:szCs w:val="20"/>
                <w:lang w:val="sq-AL"/>
              </w:rPr>
              <w:t>ë</w:t>
            </w:r>
            <w:r w:rsidRPr="00BA0956">
              <w:rPr>
                <w:rFonts w:asciiTheme="majorHAnsi" w:hAnsiTheme="majorHAnsi" w:cs="Calibri"/>
                <w:sz w:val="20"/>
                <w:szCs w:val="20"/>
              </w:rPr>
              <w:t>r</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9</w:t>
            </w:r>
          </w:p>
        </w:tc>
        <w:tc>
          <w:tcPr>
            <w:tcW w:w="3391" w:type="pct"/>
            <w:gridSpan w:val="2"/>
            <w:noWrap/>
            <w:vAlign w:val="center"/>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Vlor</w:t>
            </w:r>
            <w:r w:rsidRPr="00BA0956">
              <w:rPr>
                <w:rFonts w:asciiTheme="majorHAnsi" w:hAnsiTheme="majorHAnsi"/>
                <w:sz w:val="20"/>
                <w:szCs w:val="20"/>
                <w:lang w:val="sq-AL"/>
              </w:rPr>
              <w:t>ë</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34</w:t>
            </w:r>
          </w:p>
        </w:tc>
      </w:tr>
    </w:tbl>
    <w:p w:rsidR="00A966E5" w:rsidRPr="00604C05" w:rsidRDefault="00A966E5" w:rsidP="000F56E9">
      <w:pPr>
        <w:rPr>
          <w:lang w:val="sq-AL" w:eastAsia="en-US"/>
        </w:rPr>
      </w:pPr>
    </w:p>
    <w:p w:rsidR="00A966E5" w:rsidRPr="00604C05" w:rsidRDefault="00A966E5" w:rsidP="000F56E9">
      <w:pPr>
        <w:rPr>
          <w:lang w:val="sq-AL" w:eastAsia="en-US"/>
        </w:rPr>
      </w:pPr>
    </w:p>
    <w:p w:rsidR="00A966E5" w:rsidRPr="00604C05" w:rsidRDefault="00A966E5" w:rsidP="000F56E9">
      <w:pPr>
        <w:pStyle w:val="Caption"/>
        <w:rPr>
          <w:rFonts w:ascii="Cambria" w:hAnsi="Cambria"/>
          <w:b w:val="0"/>
          <w:i/>
          <w:lang w:val="sq-AL"/>
        </w:rPr>
      </w:pPr>
      <w:bookmarkStart w:id="41" w:name="_Toc8741617"/>
      <w:bookmarkStart w:id="42" w:name="_Toc9082402"/>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5</w:t>
      </w:r>
      <w:r w:rsidRPr="00604C05">
        <w:rPr>
          <w:rFonts w:ascii="Cambria" w:hAnsi="Cambria"/>
          <w:b w:val="0"/>
          <w:i/>
          <w:lang w:val="sq-AL"/>
        </w:rPr>
        <w:fldChar w:fldCharType="end"/>
      </w:r>
      <w:r w:rsidRPr="00604C05">
        <w:rPr>
          <w:rFonts w:ascii="Cambria" w:hAnsi="Cambria"/>
          <w:b w:val="0"/>
          <w:i/>
          <w:lang w:val="sq-AL"/>
        </w:rPr>
        <w:t>. Rankimi i Bashkive të tjera që kanë njësi auditimi, sipas indikatorëve të performances për vitin 2018</w:t>
      </w:r>
      <w:bookmarkEnd w:id="41"/>
      <w:bookmarkEnd w:id="42"/>
    </w:p>
    <w:tbl>
      <w:tblPr>
        <w:tblStyle w:val="ListTable6Colorful2"/>
        <w:tblW w:w="5000" w:type="pct"/>
        <w:tblLook w:val="04A0" w:firstRow="1" w:lastRow="0" w:firstColumn="1" w:lastColumn="0" w:noHBand="0" w:noVBand="1"/>
      </w:tblPr>
      <w:tblGrid>
        <w:gridCol w:w="1673"/>
        <w:gridCol w:w="5750"/>
        <w:gridCol w:w="399"/>
        <w:gridCol w:w="1244"/>
      </w:tblGrid>
      <w:tr w:rsidR="000F56E9" w:rsidRPr="000F56E9" w:rsidTr="00530D31">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0F56E9" w:rsidRPr="00A51E32" w:rsidRDefault="000F56E9" w:rsidP="000F56E9">
            <w:pPr>
              <w:rPr>
                <w:rFonts w:ascii="Cambria" w:eastAsia="Times New Roman" w:hAnsi="Cambria"/>
                <w:i/>
                <w:iCs/>
                <w:sz w:val="20"/>
                <w:szCs w:val="20"/>
                <w:lang w:val="sq-AL"/>
              </w:rPr>
            </w:pPr>
            <w:r w:rsidRPr="00A51E32">
              <w:rPr>
                <w:rFonts w:ascii="Cambria" w:eastAsia="Times New Roman" w:hAnsi="Cambria"/>
                <w:bCs w:val="0"/>
                <w:i/>
                <w:iCs/>
                <w:sz w:val="20"/>
                <w:szCs w:val="20"/>
                <w:lang w:val="sq-AL"/>
              </w:rPr>
              <w:t>Rankimi</w:t>
            </w:r>
          </w:p>
        </w:tc>
        <w:tc>
          <w:tcPr>
            <w:tcW w:w="3171" w:type="pct"/>
            <w:hideMark/>
          </w:tcPr>
          <w:p w:rsidR="000F56E9" w:rsidRPr="00A51E32" w:rsidRDefault="000F56E9" w:rsidP="000F56E9">
            <w:pP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A51E32">
              <w:rPr>
                <w:rFonts w:ascii="Cambria" w:eastAsia="Times New Roman" w:hAnsi="Cambria"/>
                <w:bCs w:val="0"/>
                <w:i/>
                <w:iCs/>
                <w:sz w:val="20"/>
                <w:szCs w:val="20"/>
                <w:lang w:val="sq-AL"/>
              </w:rPr>
              <w:t>Institucioni</w:t>
            </w:r>
          </w:p>
        </w:tc>
        <w:tc>
          <w:tcPr>
            <w:tcW w:w="906" w:type="pct"/>
            <w:gridSpan w:val="2"/>
            <w:hideMark/>
          </w:tcPr>
          <w:p w:rsidR="000F56E9" w:rsidRPr="000F56E9" w:rsidRDefault="000F56E9" w:rsidP="000F56E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0F56E9">
              <w:rPr>
                <w:rFonts w:ascii="Cambria" w:eastAsia="Times New Roman" w:hAnsi="Cambria"/>
                <w:bCs w:val="0"/>
                <w:i/>
                <w:iCs/>
                <w:sz w:val="20"/>
                <w:szCs w:val="20"/>
                <w:lang w:val="sq-AL"/>
              </w:rPr>
              <w:t>Vlerësimi në pikë për vitin 2018</w:t>
            </w:r>
            <w:r w:rsidRPr="000F56E9">
              <w:rPr>
                <w:rFonts w:asciiTheme="majorHAnsi" w:eastAsia="Times New Roman" w:hAnsiTheme="majorHAnsi"/>
                <w:bCs w:val="0"/>
                <w:i/>
                <w:iCs/>
                <w:sz w:val="20"/>
                <w:szCs w:val="20"/>
                <w:lang w:val="sq-AL"/>
              </w:rPr>
              <w:t xml:space="preserve"> (nga 64 pikë gjithsej)</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bCs w:val="0"/>
                <w:sz w:val="20"/>
                <w:szCs w:val="20"/>
                <w:lang w:val="sq-AL" w:eastAsia="en-US"/>
              </w:rPr>
              <w:t>1</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Këlcyrë*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47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bCs w:val="0"/>
                <w:sz w:val="20"/>
                <w:szCs w:val="20"/>
                <w:lang w:val="sq-AL" w:eastAsia="en-US"/>
              </w:rPr>
              <w:t>1</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Libohovë*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47</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2</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Dropull</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43</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3</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Vau Dejës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42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4</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Lushnjë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41</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5</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Patos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40</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Divjakë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Fushë Arrëz</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Përmet*</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Tropojë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7</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Memaliaj</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38</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7</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Pustec*</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38</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8</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Finiq*</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Bulqizë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Ku</w:t>
            </w:r>
            <w:r>
              <w:rPr>
                <w:rFonts w:cs="Calibri"/>
                <w:sz w:val="20"/>
                <w:szCs w:val="20"/>
              </w:rPr>
              <w:t>ç</w:t>
            </w:r>
            <w:r>
              <w:rPr>
                <w:rFonts w:ascii="Cambria" w:hAnsi="Cambria" w:cs="Calibri"/>
                <w:sz w:val="20"/>
                <w:szCs w:val="20"/>
              </w:rPr>
              <w:t>ovë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Sarandë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Shijak</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10</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Librazhd</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10</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Mirditë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10</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Pogradec</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0</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Roskovec</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0</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Tepelenë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11</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Kamëz</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34</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2</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Cërrik</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33</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2</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Devoll</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33</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12</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Mallakastër</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33</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3</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Krujë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3</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Maliq</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13</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Selenicë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13</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Ura Vajgurore</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3</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Vorë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4</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Himarë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30</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4</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Peqin</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30</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15</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Gramsh</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15</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Kavajë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29</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16</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Prrenjas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28</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17</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Kolonjë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18</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Klos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18</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Skrapar</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Kurbin</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24</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19</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Malësi e Madhe</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24</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Mat</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24</w:t>
            </w:r>
          </w:p>
        </w:tc>
      </w:tr>
    </w:tbl>
    <w:p w:rsidR="00A966E5" w:rsidRDefault="00A966E5" w:rsidP="000F56E9">
      <w:pPr>
        <w:jc w:val="both"/>
        <w:rPr>
          <w:rFonts w:ascii="Cambria" w:hAnsi="Cambria"/>
          <w:sz w:val="18"/>
          <w:szCs w:val="18"/>
          <w:lang w:val="sq-AL" w:eastAsia="en-US"/>
        </w:rPr>
      </w:pPr>
      <w:r w:rsidRPr="00604C05">
        <w:rPr>
          <w:rFonts w:ascii="Cambria" w:hAnsi="Cambria"/>
          <w:sz w:val="18"/>
          <w:szCs w:val="18"/>
          <w:lang w:val="sq-AL" w:eastAsia="en-US"/>
        </w:rPr>
        <w:t>*Bashki që realizojnë shërbimin e auditimit të brendshëm me akt-marrëveshje me njësi auditimi të njësive të tjera publike</w:t>
      </w:r>
    </w:p>
    <w:p w:rsidR="00A966E5" w:rsidRPr="00566584" w:rsidRDefault="00A966E5" w:rsidP="00566584">
      <w:pPr>
        <w:pStyle w:val="NoSpacing"/>
        <w:rPr>
          <w:sz w:val="12"/>
          <w:szCs w:val="12"/>
          <w:lang w:val="sq-AL" w:eastAsia="en-US"/>
        </w:rPr>
      </w:pPr>
    </w:p>
    <w:p w:rsidR="00A966E5" w:rsidRPr="00604C05" w:rsidRDefault="00A966E5" w:rsidP="000F56E9">
      <w:pPr>
        <w:rPr>
          <w:lang w:val="sq-AL" w:eastAsia="en-US"/>
        </w:rPr>
      </w:pPr>
    </w:p>
    <w:p w:rsidR="00A966E5" w:rsidRPr="00431AA7" w:rsidRDefault="00A966E5" w:rsidP="000F56E9">
      <w:pPr>
        <w:numPr>
          <w:ilvl w:val="0"/>
          <w:numId w:val="2"/>
        </w:numPr>
        <w:spacing w:after="160" w:line="259" w:lineRule="auto"/>
        <w:contextualSpacing/>
        <w:jc w:val="both"/>
        <w:rPr>
          <w:rFonts w:ascii="Cambria" w:hAnsi="Cambria"/>
          <w:b/>
          <w:i/>
          <w:color w:val="000000"/>
          <w:sz w:val="22"/>
          <w:szCs w:val="22"/>
          <w:lang w:val="sq-AL"/>
        </w:rPr>
      </w:pPr>
      <w:r w:rsidRPr="00604C05">
        <w:rPr>
          <w:rFonts w:ascii="Cambria" w:hAnsi="Cambria"/>
          <w:b/>
          <w:i/>
          <w:color w:val="000000"/>
          <w:sz w:val="22"/>
          <w:szCs w:val="22"/>
          <w:lang w:val="sq-AL"/>
        </w:rPr>
        <w:t>Rankimi i bashkive që nuk kanë njësi  auditimi në strukturë</w:t>
      </w:r>
    </w:p>
    <w:p w:rsidR="00A966E5" w:rsidRPr="000F56E9" w:rsidRDefault="00A966E5" w:rsidP="000F56E9">
      <w:pPr>
        <w:pStyle w:val="Caption"/>
        <w:rPr>
          <w:rFonts w:ascii="Cambria" w:hAnsi="Cambria"/>
          <w:b w:val="0"/>
          <w:i/>
          <w:lang w:val="sq-AL"/>
        </w:rPr>
      </w:pPr>
      <w:bookmarkStart w:id="43" w:name="_Toc8741618"/>
      <w:bookmarkStart w:id="44" w:name="_Toc9082403"/>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6</w:t>
      </w:r>
      <w:r w:rsidRPr="00604C05">
        <w:rPr>
          <w:rFonts w:ascii="Cambria" w:hAnsi="Cambria"/>
          <w:b w:val="0"/>
          <w:i/>
          <w:lang w:val="sq-AL"/>
        </w:rPr>
        <w:fldChar w:fldCharType="end"/>
      </w:r>
      <w:r w:rsidRPr="00604C05">
        <w:rPr>
          <w:rFonts w:ascii="Cambria" w:hAnsi="Cambria"/>
          <w:b w:val="0"/>
          <w:i/>
          <w:lang w:val="sq-AL"/>
        </w:rPr>
        <w:t xml:space="preserve">. Rankimi i Bashkive që nuk kanë njësi auditimi, sipas indikatorëve të </w:t>
      </w:r>
      <w:r w:rsidRPr="000F56E9">
        <w:rPr>
          <w:rFonts w:ascii="Cambria" w:hAnsi="Cambria"/>
          <w:b w:val="0"/>
          <w:i/>
          <w:lang w:val="sq-AL"/>
        </w:rPr>
        <w:t>performances për vitin 2018</w:t>
      </w:r>
      <w:bookmarkEnd w:id="43"/>
      <w:bookmarkEnd w:id="44"/>
      <w:r w:rsidRPr="000F56E9">
        <w:rPr>
          <w:rFonts w:ascii="Cambria" w:hAnsi="Cambria"/>
          <w:b w:val="0"/>
          <w:i/>
          <w:lang w:val="sq-AL"/>
        </w:rPr>
        <w:t xml:space="preserve"> </w:t>
      </w:r>
    </w:p>
    <w:tbl>
      <w:tblPr>
        <w:tblStyle w:val="ListTable6Colorful2"/>
        <w:tblW w:w="5000" w:type="pct"/>
        <w:tblLook w:val="04A0" w:firstRow="1" w:lastRow="0" w:firstColumn="1" w:lastColumn="0" w:noHBand="0" w:noVBand="1"/>
      </w:tblPr>
      <w:tblGrid>
        <w:gridCol w:w="1673"/>
        <w:gridCol w:w="5750"/>
        <w:gridCol w:w="399"/>
        <w:gridCol w:w="1244"/>
      </w:tblGrid>
      <w:tr w:rsidR="000F56E9" w:rsidRPr="00604C05" w:rsidTr="00530D31">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0F56E9" w:rsidRPr="000F56E9" w:rsidRDefault="000F56E9" w:rsidP="000F56E9">
            <w:pPr>
              <w:rPr>
                <w:rFonts w:ascii="Cambria" w:eastAsia="Times New Roman" w:hAnsi="Cambria"/>
                <w:i/>
                <w:iCs/>
                <w:sz w:val="20"/>
                <w:szCs w:val="20"/>
                <w:lang w:val="sq-AL"/>
              </w:rPr>
            </w:pPr>
            <w:r w:rsidRPr="000F56E9">
              <w:rPr>
                <w:rFonts w:ascii="Cambria" w:eastAsia="Times New Roman" w:hAnsi="Cambria"/>
                <w:bCs w:val="0"/>
                <w:i/>
                <w:iCs/>
                <w:sz w:val="20"/>
                <w:szCs w:val="20"/>
                <w:lang w:val="sq-AL"/>
              </w:rPr>
              <w:t>Rankimi</w:t>
            </w:r>
          </w:p>
        </w:tc>
        <w:tc>
          <w:tcPr>
            <w:tcW w:w="3171" w:type="pct"/>
            <w:hideMark/>
          </w:tcPr>
          <w:p w:rsidR="000F56E9" w:rsidRPr="000F56E9" w:rsidRDefault="000F56E9" w:rsidP="000F56E9">
            <w:pP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0F56E9">
              <w:rPr>
                <w:rFonts w:ascii="Cambria" w:eastAsia="Times New Roman" w:hAnsi="Cambria"/>
                <w:bCs w:val="0"/>
                <w:i/>
                <w:iCs/>
                <w:sz w:val="20"/>
                <w:szCs w:val="20"/>
                <w:lang w:val="sq-AL"/>
              </w:rPr>
              <w:t>Institucioni</w:t>
            </w:r>
          </w:p>
        </w:tc>
        <w:tc>
          <w:tcPr>
            <w:tcW w:w="906" w:type="pct"/>
            <w:gridSpan w:val="2"/>
            <w:hideMark/>
          </w:tcPr>
          <w:p w:rsidR="000F56E9" w:rsidRPr="00A51E32" w:rsidRDefault="000F56E9" w:rsidP="000F56E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0F56E9">
              <w:rPr>
                <w:rFonts w:ascii="Cambria" w:eastAsia="Times New Roman" w:hAnsi="Cambria"/>
                <w:bCs w:val="0"/>
                <w:i/>
                <w:iCs/>
                <w:sz w:val="20"/>
                <w:szCs w:val="20"/>
                <w:lang w:val="sq-AL"/>
              </w:rPr>
              <w:t>Vlerësimi në pikë për vitin 2018 (nga 48 pikë gjithsej)</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bCs w:val="0"/>
                <w:sz w:val="20"/>
                <w:szCs w:val="20"/>
                <w:lang w:val="sq-AL" w:eastAsia="en-US"/>
              </w:rPr>
              <w:t>1</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Has</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bCs w:val="0"/>
                <w:sz w:val="20"/>
                <w:szCs w:val="20"/>
                <w:lang w:val="sq-AL" w:eastAsia="en-US"/>
              </w:rPr>
              <w:t>2</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Pukë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3</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Poliçan</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4</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Belsh</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5</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Konispol</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16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Delvinë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12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Rrogozhinë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12</w:t>
            </w:r>
          </w:p>
        </w:tc>
      </w:tr>
    </w:tbl>
    <w:p w:rsidR="00431AA7" w:rsidRDefault="00431AA7" w:rsidP="000F56E9">
      <w:pPr>
        <w:spacing w:after="160" w:line="259" w:lineRule="auto"/>
        <w:ind w:left="720"/>
        <w:contextualSpacing/>
        <w:jc w:val="both"/>
        <w:rPr>
          <w:rFonts w:ascii="Cambria" w:hAnsi="Cambria"/>
          <w:b/>
          <w:i/>
          <w:color w:val="000000"/>
          <w:sz w:val="22"/>
          <w:szCs w:val="22"/>
          <w:lang w:val="sq-AL"/>
        </w:rPr>
      </w:pPr>
    </w:p>
    <w:p w:rsidR="005857D5" w:rsidRPr="00431AA7" w:rsidRDefault="006337FD" w:rsidP="00F9432E">
      <w:pPr>
        <w:numPr>
          <w:ilvl w:val="0"/>
          <w:numId w:val="2"/>
        </w:numPr>
        <w:spacing w:after="160" w:line="259" w:lineRule="auto"/>
        <w:contextualSpacing/>
        <w:jc w:val="both"/>
        <w:rPr>
          <w:rFonts w:ascii="Cambria" w:hAnsi="Cambria"/>
          <w:b/>
          <w:i/>
          <w:color w:val="000000"/>
          <w:sz w:val="22"/>
          <w:szCs w:val="22"/>
          <w:lang w:val="sq-AL"/>
        </w:rPr>
      </w:pPr>
      <w:r w:rsidRPr="00431AA7">
        <w:rPr>
          <w:rFonts w:ascii="Cambria" w:hAnsi="Cambria"/>
          <w:b/>
          <w:i/>
          <w:color w:val="000000"/>
          <w:sz w:val="22"/>
          <w:szCs w:val="22"/>
          <w:lang w:val="sq-AL"/>
        </w:rPr>
        <w:t>Rankimi i institucioneve t</w:t>
      </w:r>
      <w:r w:rsidR="002267C7">
        <w:rPr>
          <w:rFonts w:ascii="Cambria" w:hAnsi="Cambria"/>
          <w:b/>
          <w:i/>
          <w:color w:val="000000"/>
          <w:sz w:val="22"/>
          <w:szCs w:val="22"/>
          <w:lang w:val="sq-AL"/>
        </w:rPr>
        <w:t>ë</w:t>
      </w:r>
      <w:r w:rsidRPr="00431AA7">
        <w:rPr>
          <w:rFonts w:ascii="Cambria" w:hAnsi="Cambria"/>
          <w:b/>
          <w:i/>
          <w:color w:val="000000"/>
          <w:sz w:val="22"/>
          <w:szCs w:val="22"/>
          <w:lang w:val="sq-AL"/>
        </w:rPr>
        <w:t xml:space="preserve"> pavarura</w:t>
      </w:r>
      <w:r w:rsidR="00431AA7">
        <w:rPr>
          <w:rFonts w:ascii="Cambria" w:hAnsi="Cambria"/>
          <w:b/>
          <w:i/>
          <w:color w:val="000000"/>
          <w:sz w:val="22"/>
          <w:szCs w:val="22"/>
          <w:lang w:val="sq-AL"/>
        </w:rPr>
        <w:t xml:space="preserve"> dhe Grupit 87 në varësi të Kryeministrisë</w:t>
      </w:r>
    </w:p>
    <w:p w:rsidR="003A7D0F" w:rsidRDefault="003A7D0F" w:rsidP="003A7D0F">
      <w:pPr>
        <w:rPr>
          <w:rFonts w:ascii="Cambria" w:eastAsia="Times New Roman" w:hAnsi="Cambria"/>
          <w:i/>
          <w:iCs/>
          <w:color w:val="000000"/>
          <w:sz w:val="20"/>
          <w:szCs w:val="20"/>
          <w:lang w:val="sq-AL"/>
        </w:rPr>
      </w:pPr>
    </w:p>
    <w:p w:rsidR="0042342D" w:rsidRPr="0042342D" w:rsidRDefault="0042342D" w:rsidP="0042342D">
      <w:pPr>
        <w:pStyle w:val="Caption"/>
        <w:rPr>
          <w:rFonts w:ascii="Cambria" w:hAnsi="Cambria"/>
          <w:b w:val="0"/>
          <w:i/>
          <w:lang w:val="sq-AL"/>
        </w:rPr>
      </w:pPr>
      <w:bookmarkStart w:id="45" w:name="_Toc9082404"/>
      <w:bookmarkStart w:id="46" w:name="_Toc8412090"/>
      <w:r w:rsidRPr="0042342D">
        <w:rPr>
          <w:rFonts w:ascii="Cambria" w:hAnsi="Cambria"/>
          <w:b w:val="0"/>
          <w:i/>
          <w:lang w:val="sq-AL"/>
        </w:rPr>
        <w:t xml:space="preserve">Tabela </w:t>
      </w:r>
      <w:r w:rsidRPr="0042342D">
        <w:rPr>
          <w:rFonts w:ascii="Cambria" w:hAnsi="Cambria"/>
          <w:b w:val="0"/>
          <w:i/>
          <w:lang w:val="sq-AL"/>
        </w:rPr>
        <w:fldChar w:fldCharType="begin"/>
      </w:r>
      <w:r w:rsidRPr="0042342D">
        <w:rPr>
          <w:rFonts w:ascii="Cambria" w:hAnsi="Cambria"/>
          <w:b w:val="0"/>
          <w:i/>
          <w:lang w:val="sq-AL"/>
        </w:rPr>
        <w:instrText xml:space="preserve"> SEQ Tabela \* ARABIC </w:instrText>
      </w:r>
      <w:r w:rsidRPr="0042342D">
        <w:rPr>
          <w:rFonts w:ascii="Cambria" w:hAnsi="Cambria"/>
          <w:b w:val="0"/>
          <w:i/>
          <w:lang w:val="sq-AL"/>
        </w:rPr>
        <w:fldChar w:fldCharType="separate"/>
      </w:r>
      <w:r w:rsidR="00036EC4">
        <w:rPr>
          <w:rFonts w:ascii="Cambria" w:hAnsi="Cambria"/>
          <w:b w:val="0"/>
          <w:i/>
          <w:noProof/>
          <w:lang w:val="sq-AL"/>
        </w:rPr>
        <w:t>7</w:t>
      </w:r>
      <w:r w:rsidRPr="0042342D">
        <w:rPr>
          <w:rFonts w:ascii="Cambria" w:hAnsi="Cambria"/>
          <w:b w:val="0"/>
          <w:i/>
          <w:lang w:val="sq-AL"/>
        </w:rPr>
        <w:fldChar w:fldCharType="end"/>
      </w:r>
      <w:r w:rsidRPr="0042342D">
        <w:rPr>
          <w:rFonts w:ascii="Cambria" w:hAnsi="Cambria"/>
          <w:b w:val="0"/>
          <w:i/>
          <w:lang w:val="sq-AL"/>
        </w:rPr>
        <w:t>. Rankimi i institucioneve të pavarura sipas indikatorëve të performancës për vitin 2018</w:t>
      </w:r>
      <w:bookmarkEnd w:id="45"/>
      <w:r>
        <w:rPr>
          <w:rFonts w:ascii="Cambria" w:hAnsi="Cambria"/>
          <w:b w:val="0"/>
          <w:i/>
          <w:lang w:val="sq-AL"/>
        </w:rPr>
        <w:t xml:space="preserve"> </w:t>
      </w:r>
      <w:bookmarkEnd w:id="46"/>
    </w:p>
    <w:tbl>
      <w:tblPr>
        <w:tblStyle w:val="ListTable6Colorful23"/>
        <w:tblW w:w="5000" w:type="pct"/>
        <w:tblLook w:val="04A0" w:firstRow="1" w:lastRow="0" w:firstColumn="1" w:lastColumn="0" w:noHBand="0" w:noVBand="1"/>
      </w:tblPr>
      <w:tblGrid>
        <w:gridCol w:w="1294"/>
        <w:gridCol w:w="6459"/>
        <w:gridCol w:w="447"/>
        <w:gridCol w:w="866"/>
      </w:tblGrid>
      <w:tr w:rsidR="0042342D" w:rsidRPr="00FD1D76" w:rsidTr="009A7C54">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774" w:type="pct"/>
            <w:hideMark/>
          </w:tcPr>
          <w:p w:rsidR="0042342D" w:rsidRPr="00FD1D76" w:rsidRDefault="0042342D" w:rsidP="0042342D">
            <w:pPr>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Rankimi</w:t>
            </w:r>
          </w:p>
        </w:tc>
        <w:tc>
          <w:tcPr>
            <w:tcW w:w="3450" w:type="pct"/>
            <w:hideMark/>
          </w:tcPr>
          <w:p w:rsidR="0042342D" w:rsidRPr="00FD1D76" w:rsidRDefault="0042342D" w:rsidP="0042342D">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Institucioni</w:t>
            </w:r>
          </w:p>
        </w:tc>
        <w:tc>
          <w:tcPr>
            <w:tcW w:w="776" w:type="pct"/>
            <w:gridSpan w:val="2"/>
            <w:hideMark/>
          </w:tcPr>
          <w:p w:rsidR="0042342D" w:rsidRPr="00FD1D76" w:rsidRDefault="0042342D" w:rsidP="0042342D">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Vlerësimi në pikë për vitin 2018 (nga 68 pikë gjithsej)</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Agjencia për Mbështetje për Shoqërinë Civile*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en-US"/>
              </w:rPr>
            </w:pPr>
            <w:r w:rsidRPr="00FD1D76">
              <w:rPr>
                <w:rFonts w:asciiTheme="majorHAnsi" w:hAnsiTheme="majorHAnsi"/>
                <w:sz w:val="20"/>
                <w:szCs w:val="20"/>
              </w:rPr>
              <w:t>60</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Shkolla e Magjistraturës*</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59</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Autoriteti i Konku</w:t>
            </w:r>
            <w:r w:rsidR="009C6875">
              <w:rPr>
                <w:rFonts w:asciiTheme="majorHAnsi" w:hAnsiTheme="majorHAnsi"/>
                <w:sz w:val="20"/>
                <w:szCs w:val="20"/>
                <w:lang w:val="sq-AL"/>
              </w:rPr>
              <w:t>r</w:t>
            </w:r>
            <w:r w:rsidRPr="00FD1D76">
              <w:rPr>
                <w:rFonts w:asciiTheme="majorHAnsi" w:hAnsiTheme="majorHAnsi"/>
                <w:sz w:val="20"/>
                <w:szCs w:val="20"/>
                <w:lang w:val="sq-AL"/>
              </w:rPr>
              <w:t>rencës*</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59</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3</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Qendra Kombetare e Kinematografisë*</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56</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4</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Zyra e Administrimit të Buxhetit Gjyqësor </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55</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5</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Shërbimi Informativ Shtetëror </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6</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Instituti i Statistikave </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51</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Kuvendi</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49</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Këshilli Kombëtarë i Kontabilitetit*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49</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8</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Prokuroria e Përgjithshme</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9</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Komisioneri për të Drejtën e Informimit dhe Mbrojtjen e të Dhënave Personale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10</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Kontrolli i Lartë Shtetëror</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11</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Komisioneri për Mbikëqyrjen e Shërbimit Civil</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42</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12</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Agjencia Telegrafike Shqitare</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39</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12</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Inspektorati i Lartë i Deklarimit dhe Kontrollit të Pasurive </w:t>
            </w:r>
          </w:p>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dhe Konfliktit të Interesave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39</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13</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Drejtoria e Pergjithshme e Arkivave</w:t>
            </w:r>
            <w:r w:rsidR="006B1984">
              <w:rPr>
                <w:rFonts w:asciiTheme="majorHAnsi" w:hAnsiTheme="majorHAnsi"/>
                <w:sz w:val="20"/>
                <w:szCs w:val="20"/>
                <w:lang w:val="sq-AL"/>
              </w:rPr>
              <w:t xml:space="preserve"> </w:t>
            </w:r>
            <w:r w:rsidR="006B198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13</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Autoriteti për të Drejtën e Informimit mbi dokumentet ish-sigurimit*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13</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Këshilli i Lartë Gjyqësor (ish - ZABGJ dhe KLD)</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14</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Komisioneri për Mbrojtjen nga Diskriminimi</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15</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Komisioni Qendror i Zgjedhjeve</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35</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Akademia e Shkencës</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Avokati i Popullit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Gjykata Kushtetuese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Komisioni i Pavarur i Kualifikimit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Kolegji i Posaçëm i Apelimit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17</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Komisioni i Prokurimit Publik</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17</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Komisionerët Publik</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18</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Kryeministria</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32</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19</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Instituti i Studimeve të Krimeve të Komunizmit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31</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20</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Presidenca</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30</w:t>
            </w:r>
          </w:p>
        </w:tc>
      </w:tr>
    </w:tbl>
    <w:p w:rsidR="0042342D" w:rsidRPr="00C52EB8" w:rsidRDefault="0042342D" w:rsidP="00A20A57">
      <w:pPr>
        <w:pStyle w:val="NoSpacing"/>
        <w:jc w:val="both"/>
        <w:rPr>
          <w:sz w:val="18"/>
          <w:szCs w:val="18"/>
        </w:rPr>
      </w:pPr>
      <w:r w:rsidRPr="00C52EB8">
        <w:rPr>
          <w:sz w:val="18"/>
          <w:szCs w:val="18"/>
        </w:rPr>
        <w:t>*Institucione që kanë një marrëveshje me një institucion tjetër për të realizuar audit</w:t>
      </w:r>
      <w:r w:rsidR="008242A4" w:rsidRPr="00C52EB8">
        <w:rPr>
          <w:sz w:val="18"/>
          <w:szCs w:val="18"/>
        </w:rPr>
        <w:t>i</w:t>
      </w:r>
      <w:r w:rsidRPr="00C52EB8">
        <w:rPr>
          <w:sz w:val="18"/>
          <w:szCs w:val="18"/>
        </w:rPr>
        <w:t>min e brendshëm.</w:t>
      </w:r>
    </w:p>
    <w:p w:rsidR="008242A4" w:rsidRPr="00C52EB8" w:rsidRDefault="008242A4" w:rsidP="00A20A57">
      <w:pPr>
        <w:pStyle w:val="NoSpacing"/>
        <w:jc w:val="both"/>
        <w:rPr>
          <w:sz w:val="18"/>
          <w:szCs w:val="18"/>
        </w:rPr>
      </w:pPr>
    </w:p>
    <w:p w:rsidR="0042342D" w:rsidRPr="00C52EB8" w:rsidRDefault="008242A4" w:rsidP="00A20A57">
      <w:pPr>
        <w:pStyle w:val="NoSpacing"/>
        <w:jc w:val="both"/>
        <w:rPr>
          <w:sz w:val="18"/>
          <w:szCs w:val="18"/>
        </w:rPr>
      </w:pPr>
      <w:r w:rsidRPr="00C52EB8">
        <w:rPr>
          <w:sz w:val="18"/>
          <w:szCs w:val="18"/>
        </w:rPr>
        <w:t>≠</w:t>
      </w:r>
      <w:r w:rsidR="0042342D" w:rsidRPr="00C52EB8">
        <w:rPr>
          <w:sz w:val="18"/>
          <w:szCs w:val="18"/>
        </w:rPr>
        <w:t>Institucionet që kanë njësi auditimi</w:t>
      </w:r>
      <w:r w:rsidRPr="00C52EB8">
        <w:rPr>
          <w:sz w:val="18"/>
          <w:szCs w:val="18"/>
        </w:rPr>
        <w:t>.</w:t>
      </w:r>
    </w:p>
    <w:p w:rsidR="008242A4" w:rsidRPr="00A20A57" w:rsidRDefault="008242A4" w:rsidP="00A20A57">
      <w:pPr>
        <w:pStyle w:val="NoSpacing"/>
        <w:jc w:val="both"/>
        <w:rPr>
          <w:sz w:val="12"/>
          <w:szCs w:val="12"/>
        </w:rPr>
      </w:pPr>
    </w:p>
    <w:p w:rsidR="0042342D" w:rsidRPr="00A20A57" w:rsidRDefault="0042342D" w:rsidP="00A20A57">
      <w:pPr>
        <w:pStyle w:val="NoSpacing"/>
        <w:jc w:val="both"/>
      </w:pPr>
      <w:r w:rsidRPr="00A20A57">
        <w:t>Institucionet</w:t>
      </w:r>
      <w:r w:rsidR="008242A4" w:rsidRPr="00A20A57">
        <w:t>,</w:t>
      </w:r>
      <w:r w:rsidRPr="00A20A57">
        <w:t xml:space="preserve"> të cilat nuk e kanë realizuar shërbimin e auditimit të brendshëm as me marrëveshje dhe nuk kanë as njësi auditimi, janë vlerësuar me 0 pikë, pasi kemi të bëjmë më një detyrim ligjor.</w:t>
      </w:r>
    </w:p>
    <w:p w:rsidR="0042342D" w:rsidRPr="0042342D" w:rsidRDefault="0042342D" w:rsidP="0042342D">
      <w:pPr>
        <w:jc w:val="both"/>
        <w:rPr>
          <w:rFonts w:ascii="Cambria" w:hAnsi="Cambria"/>
          <w:sz w:val="22"/>
          <w:szCs w:val="22"/>
          <w:lang w:val="sq-AL"/>
        </w:rPr>
      </w:pPr>
    </w:p>
    <w:p w:rsidR="0042342D" w:rsidRPr="0042342D" w:rsidRDefault="006B64C0" w:rsidP="006B64C0">
      <w:pPr>
        <w:pStyle w:val="Caption"/>
        <w:rPr>
          <w:rFonts w:ascii="Cambria" w:hAnsi="Cambria"/>
          <w:i/>
          <w:lang w:val="sq-AL"/>
        </w:rPr>
      </w:pPr>
      <w:bookmarkStart w:id="47" w:name="_Toc9082405"/>
      <w:r w:rsidRPr="006B64C0">
        <w:rPr>
          <w:rFonts w:ascii="Cambria" w:hAnsi="Cambria"/>
          <w:b w:val="0"/>
          <w:i/>
          <w:lang w:val="sq-AL"/>
        </w:rPr>
        <w:t xml:space="preserve">Tabela </w:t>
      </w:r>
      <w:r w:rsidRPr="006B64C0">
        <w:rPr>
          <w:rFonts w:ascii="Cambria" w:hAnsi="Cambria"/>
          <w:b w:val="0"/>
          <w:i/>
          <w:lang w:val="sq-AL"/>
        </w:rPr>
        <w:fldChar w:fldCharType="begin"/>
      </w:r>
      <w:r w:rsidRPr="006B64C0">
        <w:rPr>
          <w:rFonts w:ascii="Cambria" w:hAnsi="Cambria"/>
          <w:b w:val="0"/>
          <w:i/>
          <w:lang w:val="sq-AL"/>
        </w:rPr>
        <w:instrText xml:space="preserve"> SEQ Tabela \* ARABIC </w:instrText>
      </w:r>
      <w:r w:rsidRPr="006B64C0">
        <w:rPr>
          <w:rFonts w:ascii="Cambria" w:hAnsi="Cambria"/>
          <w:b w:val="0"/>
          <w:i/>
          <w:lang w:val="sq-AL"/>
        </w:rPr>
        <w:fldChar w:fldCharType="separate"/>
      </w:r>
      <w:r w:rsidR="00036EC4">
        <w:rPr>
          <w:rFonts w:ascii="Cambria" w:hAnsi="Cambria"/>
          <w:b w:val="0"/>
          <w:i/>
          <w:noProof/>
          <w:lang w:val="sq-AL"/>
        </w:rPr>
        <w:t>8</w:t>
      </w:r>
      <w:r w:rsidRPr="006B64C0">
        <w:rPr>
          <w:rFonts w:ascii="Cambria" w:hAnsi="Cambria"/>
          <w:b w:val="0"/>
          <w:i/>
          <w:lang w:val="sq-AL"/>
        </w:rPr>
        <w:fldChar w:fldCharType="end"/>
      </w:r>
      <w:r w:rsidRPr="006B64C0">
        <w:rPr>
          <w:rFonts w:ascii="Cambria" w:hAnsi="Cambria"/>
          <w:b w:val="0"/>
          <w:i/>
          <w:lang w:val="sq-AL"/>
        </w:rPr>
        <w:t>. Rankimi i Grupit 87, në varësi të Këshillit të Ministrave sipas indikatorëve të performancës</w:t>
      </w:r>
      <w:bookmarkEnd w:id="47"/>
      <w:r>
        <w:rPr>
          <w:rFonts w:ascii="Cambria" w:hAnsi="Cambria"/>
          <w:b w:val="0"/>
          <w:i/>
          <w:lang w:val="sq-AL"/>
        </w:rPr>
        <w:t xml:space="preserve">  </w:t>
      </w:r>
    </w:p>
    <w:tbl>
      <w:tblPr>
        <w:tblStyle w:val="ListTable6Colorful23"/>
        <w:tblW w:w="5000" w:type="pct"/>
        <w:tblLayout w:type="fixed"/>
        <w:tblLook w:val="04A0" w:firstRow="1" w:lastRow="0" w:firstColumn="1" w:lastColumn="0" w:noHBand="0" w:noVBand="1"/>
      </w:tblPr>
      <w:tblGrid>
        <w:gridCol w:w="1369"/>
        <w:gridCol w:w="6319"/>
        <w:gridCol w:w="245"/>
        <w:gridCol w:w="1133"/>
      </w:tblGrid>
      <w:tr w:rsidR="0042342D" w:rsidRPr="00FD1D76" w:rsidTr="009A7C54">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755" w:type="pct"/>
            <w:hideMark/>
          </w:tcPr>
          <w:p w:rsidR="0042342D" w:rsidRPr="00FD1D76" w:rsidRDefault="0042342D" w:rsidP="0042342D">
            <w:pPr>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Rankimi</w:t>
            </w:r>
          </w:p>
        </w:tc>
        <w:tc>
          <w:tcPr>
            <w:tcW w:w="3485" w:type="pct"/>
            <w:hideMark/>
          </w:tcPr>
          <w:p w:rsidR="0042342D" w:rsidRPr="00FD1D76" w:rsidRDefault="0042342D" w:rsidP="0042342D">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Institucioni</w:t>
            </w:r>
          </w:p>
        </w:tc>
        <w:tc>
          <w:tcPr>
            <w:tcW w:w="760" w:type="pct"/>
            <w:gridSpan w:val="2"/>
            <w:hideMark/>
          </w:tcPr>
          <w:p w:rsidR="0042342D" w:rsidRPr="00FD1D76" w:rsidRDefault="0042342D" w:rsidP="0042342D">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Vlerësimi në pikë për vitin 2018 (nga 68 pikë gjithsej)</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sz w:val="20"/>
                <w:szCs w:val="20"/>
                <w:lang w:eastAsia="en-US"/>
              </w:rPr>
            </w:pPr>
            <w:r w:rsidRPr="00FD1D76">
              <w:rPr>
                <w:rFonts w:asciiTheme="majorHAnsi" w:hAnsiTheme="majorHAnsi"/>
                <w:sz w:val="20"/>
                <w:szCs w:val="20"/>
                <w:lang w:val="sq-AL"/>
              </w:rPr>
              <w:t>Agjencia e Ofrimit të Shërbimeve Publike të Integruara (ADISA)</w:t>
            </w:r>
            <w:r w:rsidR="007D42A6">
              <w:rPr>
                <w:rFonts w:asciiTheme="majorHAnsi" w:hAnsiTheme="majorHAnsi"/>
                <w:sz w:val="20"/>
                <w:szCs w:val="20"/>
                <w:lang w:val="sq-AL"/>
              </w:rPr>
              <w:t xml:space="preserve"> </w:t>
            </w:r>
            <w:r w:rsidR="007D42A6" w:rsidRPr="00FD1D76">
              <w:rPr>
                <w:rFonts w:asciiTheme="majorHAnsi" w:hAnsiTheme="majorHAnsi"/>
                <w:sz w:val="20"/>
                <w:szCs w:val="20"/>
                <w:lang w:val="sq-AL"/>
              </w:rPr>
              <w: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en-US"/>
              </w:rPr>
            </w:pPr>
            <w:r w:rsidRPr="00FD1D76">
              <w:rPr>
                <w:rFonts w:asciiTheme="majorHAnsi" w:hAnsiTheme="majorHAnsi"/>
                <w:sz w:val="20"/>
                <w:szCs w:val="20"/>
              </w:rPr>
              <w:t>44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w:t>
            </w:r>
          </w:p>
        </w:tc>
        <w:tc>
          <w:tcPr>
            <w:tcW w:w="3620"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Autoriteti Kombëtar për Çertifikimin Elektronik </w:t>
            </w:r>
          </w:p>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 xml:space="preserve">dhe Sigurinë Kibernetike </w:t>
            </w:r>
            <w:r w:rsidR="00970996" w:rsidRPr="00FD1D76">
              <w:rPr>
                <w:rFonts w:asciiTheme="majorHAnsi" w:hAnsiTheme="majorHAnsi"/>
                <w:sz w:val="20"/>
                <w:szCs w:val="20"/>
                <w:lang w:val="sq-AL"/>
              </w:rPr>
              <w:t>≠</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3</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e Zhvillimit të Territorit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40</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4</w:t>
            </w:r>
          </w:p>
        </w:tc>
        <w:tc>
          <w:tcPr>
            <w:tcW w:w="3620"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e Prokurimit Publik</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5</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për Hapje, Dialog dhe Bashkëqeverisje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37</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5</w:t>
            </w:r>
          </w:p>
        </w:tc>
        <w:tc>
          <w:tcPr>
            <w:tcW w:w="3620" w:type="pct"/>
            <w:gridSpan w:val="2"/>
            <w:noWrap/>
            <w:vAlign w:val="bottom"/>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lang w:val="sq-AL"/>
              </w:rPr>
              <w:t>Drejtoria e Sigurimit të Informacionit të Klasifikuar</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37</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6</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Komiteti Shtetëror i Kulteve*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Komiteti Shtetëror i Minoriteteve*</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e Menaxhimit të Burimeve Ujore*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Kombëtare e Shoqërisë së Informacionit</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Shkolla Shqiptare e Administratës Publike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8</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Kombëtare për Diasporën</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30</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8</w:t>
            </w:r>
          </w:p>
        </w:tc>
        <w:tc>
          <w:tcPr>
            <w:tcW w:w="3620"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 xml:space="preserve">Autoriteti Shtetëror Gjeohapsinor (ASIG) </w:t>
            </w:r>
            <w:r w:rsidR="00970996" w:rsidRPr="00FD1D76">
              <w:rPr>
                <w:rFonts w:asciiTheme="majorHAnsi" w:hAnsiTheme="majorHAnsi"/>
                <w:sz w:val="20"/>
                <w:szCs w:val="20"/>
                <w:lang w:val="sq-AL"/>
              </w:rPr>
              <w: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30</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9</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Autonome e Audimit të Fondeve të Bashkimit Evropian*</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10</w:t>
            </w:r>
          </w:p>
        </w:tc>
        <w:tc>
          <w:tcPr>
            <w:tcW w:w="3620" w:type="pct"/>
            <w:gridSpan w:val="2"/>
            <w:noWrap/>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Inspektoriati Qendror</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10</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Departamenti i Administratës Publike</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26</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11</w:t>
            </w:r>
          </w:p>
        </w:tc>
        <w:tc>
          <w:tcPr>
            <w:tcW w:w="3620"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Qendra kundër Ekstremizmit të Dhunshëm dhe Radikalizmit*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20</w:t>
            </w:r>
          </w:p>
        </w:tc>
      </w:tr>
      <w:tr w:rsidR="0042342D" w:rsidRPr="00FD1D76" w:rsidTr="009A7C54">
        <w:trPr>
          <w:trHeight w:val="297"/>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p>
        </w:tc>
        <w:tc>
          <w:tcPr>
            <w:tcW w:w="3620" w:type="pct"/>
            <w:gridSpan w:val="2"/>
            <w:noWrap/>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en-US"/>
              </w:rPr>
            </w:pPr>
          </w:p>
        </w:tc>
      </w:tr>
    </w:tbl>
    <w:p w:rsidR="0042342D" w:rsidRDefault="0042342D" w:rsidP="0068102A">
      <w:pPr>
        <w:pStyle w:val="NoSpacing"/>
        <w:jc w:val="both"/>
        <w:rPr>
          <w:lang w:val="sq-AL"/>
        </w:rPr>
      </w:pPr>
      <w:r w:rsidRPr="0042342D">
        <w:rPr>
          <w:lang w:val="sq-AL"/>
        </w:rPr>
        <w:t>*Institucione që nuk kanë investime për vitin 2018, për të cilat nuk mund të gjenerohen të dhëna.</w:t>
      </w:r>
    </w:p>
    <w:p w:rsidR="00970996" w:rsidRPr="0068102A" w:rsidRDefault="00970996" w:rsidP="0068102A">
      <w:pPr>
        <w:pStyle w:val="NoSpacing"/>
        <w:jc w:val="both"/>
        <w:rPr>
          <w:sz w:val="12"/>
          <w:szCs w:val="12"/>
          <w:lang w:val="sq-AL"/>
        </w:rPr>
      </w:pPr>
    </w:p>
    <w:p w:rsidR="0042342D" w:rsidRPr="0042342D" w:rsidRDefault="00970996" w:rsidP="0068102A">
      <w:pPr>
        <w:pStyle w:val="NoSpacing"/>
        <w:jc w:val="both"/>
      </w:pPr>
      <w:r>
        <w:rPr>
          <w:lang w:val="sq-AL"/>
        </w:rPr>
        <w:t>≠</w:t>
      </w:r>
      <w:r w:rsidR="0042342D" w:rsidRPr="0042342D">
        <w:rPr>
          <w:lang w:val="sq-AL"/>
        </w:rPr>
        <w:t>Institucionet që kanë njësi auditimi</w:t>
      </w:r>
    </w:p>
    <w:p w:rsidR="00970996" w:rsidRPr="0068102A" w:rsidRDefault="00970996" w:rsidP="0068102A">
      <w:pPr>
        <w:pStyle w:val="NoSpacing"/>
        <w:jc w:val="both"/>
        <w:rPr>
          <w:sz w:val="12"/>
          <w:szCs w:val="12"/>
          <w:lang w:val="sq-AL"/>
        </w:rPr>
      </w:pPr>
    </w:p>
    <w:p w:rsidR="00B56CA5" w:rsidRPr="00604C05" w:rsidRDefault="00B56CA5" w:rsidP="0068102A">
      <w:pPr>
        <w:pStyle w:val="NoSpacing"/>
        <w:jc w:val="both"/>
        <w:rPr>
          <w:lang w:val="sq-AL"/>
        </w:rPr>
      </w:pPr>
      <w:r w:rsidRPr="00604C05">
        <w:rPr>
          <w:lang w:val="sq-AL"/>
        </w:rPr>
        <w:t>Një vështrim i përgjithshëm për treguesit kryesorë të analizuar për ministritë e linjës, bashkitë, institucionet e pavarura dhe Grupi</w:t>
      </w:r>
      <w:r w:rsidR="006C5C85">
        <w:rPr>
          <w:lang w:val="sq-AL"/>
        </w:rPr>
        <w:t>n</w:t>
      </w:r>
      <w:r w:rsidRPr="00604C05">
        <w:rPr>
          <w:lang w:val="sq-AL"/>
        </w:rPr>
        <w:t xml:space="preserve"> 87 në varësi të Kryeministrisë paraqitet si vijon:</w:t>
      </w:r>
    </w:p>
    <w:p w:rsidR="00B56CA5" w:rsidRPr="00604C05" w:rsidRDefault="00B56CA5" w:rsidP="004E3265">
      <w:pPr>
        <w:pStyle w:val="Heading2"/>
        <w:rPr>
          <w:lang w:val="sq-AL"/>
        </w:rPr>
      </w:pPr>
      <w:bookmarkStart w:id="48" w:name="_Toc514413744"/>
      <w:bookmarkStart w:id="49" w:name="_Toc9082367"/>
      <w:r w:rsidRPr="00604C05">
        <w:rPr>
          <w:lang w:val="sq-AL"/>
        </w:rPr>
        <w:t>1.1 Analiza për treguesit e performancës:</w:t>
      </w:r>
      <w:bookmarkEnd w:id="36"/>
      <w:bookmarkEnd w:id="37"/>
      <w:bookmarkEnd w:id="48"/>
      <w:bookmarkEnd w:id="49"/>
    </w:p>
    <w:p w:rsidR="00B56CA5" w:rsidRPr="00EE53E0" w:rsidRDefault="00B56CA5" w:rsidP="00B56CA5">
      <w:pPr>
        <w:rPr>
          <w:sz w:val="12"/>
          <w:szCs w:val="12"/>
          <w:lang w:val="sq-AL"/>
        </w:rPr>
      </w:pPr>
    </w:p>
    <w:p w:rsidR="00B56CA5" w:rsidRPr="00604C05" w:rsidRDefault="00B56CA5" w:rsidP="00887B88">
      <w:pPr>
        <w:numPr>
          <w:ilvl w:val="0"/>
          <w:numId w:val="1"/>
        </w:numPr>
        <w:spacing w:after="160"/>
        <w:contextualSpacing/>
        <w:jc w:val="both"/>
        <w:rPr>
          <w:rFonts w:asciiTheme="majorHAnsi" w:hAnsiTheme="majorHAnsi"/>
          <w:b/>
          <w:bCs/>
          <w:sz w:val="22"/>
          <w:szCs w:val="22"/>
          <w:lang w:val="sq-AL" w:eastAsia="en-US" w:bidi="en-US"/>
        </w:rPr>
      </w:pPr>
      <w:r w:rsidRPr="00604C05">
        <w:rPr>
          <w:rFonts w:asciiTheme="majorHAnsi" w:hAnsiTheme="majorHAnsi"/>
          <w:sz w:val="22"/>
          <w:szCs w:val="22"/>
          <w:lang w:val="sq-AL" w:eastAsia="en-US" w:bidi="en-US"/>
        </w:rPr>
        <w:t xml:space="preserve">Treguesi i parë i analizuar nga struktura përgjegjëse për thesarin është </w:t>
      </w:r>
      <w:r w:rsidRPr="00604C05">
        <w:rPr>
          <w:rFonts w:asciiTheme="majorHAnsi" w:hAnsiTheme="majorHAnsi"/>
          <w:b/>
          <w:sz w:val="22"/>
          <w:szCs w:val="22"/>
          <w:lang w:val="sq-AL" w:eastAsia="en-US" w:bidi="en-US"/>
        </w:rPr>
        <w:t>“</w:t>
      </w:r>
      <w:r w:rsidRPr="00604C05">
        <w:rPr>
          <w:rFonts w:asciiTheme="majorHAnsi" w:hAnsiTheme="majorHAnsi"/>
          <w:b/>
          <w:bCs/>
          <w:sz w:val="22"/>
          <w:szCs w:val="22"/>
          <w:lang w:val="sq-AL" w:eastAsia="en-US" w:bidi="en-US"/>
        </w:rPr>
        <w:t>Të gjitha faturat janë dërguar në kohë për pagesë pranë degës përkatëse të thesarit</w:t>
      </w:r>
      <w:r w:rsidRPr="00604C05">
        <w:rPr>
          <w:rFonts w:asciiTheme="majorHAnsi" w:hAnsiTheme="majorHAnsi"/>
          <w:b/>
          <w:sz w:val="22"/>
          <w:szCs w:val="22"/>
          <w:lang w:val="sq-AL" w:eastAsia="en-US" w:bidi="en-US"/>
        </w:rPr>
        <w:t>”</w:t>
      </w:r>
      <w:r w:rsidRPr="00604C05">
        <w:rPr>
          <w:rFonts w:asciiTheme="majorHAnsi" w:hAnsiTheme="majorHAnsi"/>
          <w:sz w:val="22"/>
          <w:szCs w:val="22"/>
          <w:lang w:val="sq-AL" w:eastAsia="en-US" w:bidi="en-US"/>
        </w:rPr>
        <w:t>, i cili përcakton numrin e faturave të dërguara në thesar për pagesë pas afatit kohor prej 30 ditësh kundrejt numrit total të faturave të dërguara për pagesë. Për vitin 2018, ky tregues është vlerësuar mesatarisht në nivelin 1.62 pikë nga 4 pikë të mundshme (ose 40.5 %), duke reflektuar një situatë relativisht problematike në këtë fushë</w:t>
      </w:r>
      <w:r w:rsidR="00787B11">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për të gjitha grupet e institucioneve. Kryesisht, arsyet e mosdërgimit në kohë të faturave në thesar vijnë për shkak se furnitorët nuk paraqesin faturat në kohë në institucion, dokumentacioni mbështetës i dërguar nuk është i plotë ose i saktë si dhe ndodh që shpesh të ketë vonesa në lidhje me dërgimin e të dhënave bankare të furnitorit. Për këtë tregues, grupi i institucioneve që shfaq më shumë problematika janë njësitë e vetëqeverisjes vendore, të cilët janë vlerësuar më pak se sa grupet e tjera.</w:t>
      </w:r>
    </w:p>
    <w:p w:rsidR="00B56CA5" w:rsidRPr="00604C05" w:rsidRDefault="00B56CA5" w:rsidP="00887B88">
      <w:pPr>
        <w:numPr>
          <w:ilvl w:val="0"/>
          <w:numId w:val="1"/>
        </w:numPr>
        <w:spacing w:after="160"/>
        <w:contextualSpacing/>
        <w:jc w:val="both"/>
        <w:rPr>
          <w:rFonts w:asciiTheme="majorHAnsi" w:hAnsiTheme="majorHAnsi"/>
          <w:b/>
          <w:bCs/>
          <w:sz w:val="22"/>
          <w:szCs w:val="22"/>
          <w:lang w:val="sq-AL" w:eastAsia="en-US" w:bidi="en-US"/>
        </w:rPr>
      </w:pPr>
      <w:r w:rsidRPr="00604C05">
        <w:rPr>
          <w:rFonts w:asciiTheme="majorHAnsi" w:hAnsiTheme="majorHAnsi"/>
          <w:sz w:val="22"/>
          <w:szCs w:val="22"/>
          <w:lang w:val="sq-AL" w:eastAsia="en-US" w:bidi="en-US"/>
        </w:rPr>
        <w:t>Një tregues tjetër</w:t>
      </w:r>
      <w:r w:rsidRPr="00604C05">
        <w:rPr>
          <w:rFonts w:asciiTheme="majorHAnsi" w:eastAsia="Times New Roman" w:hAnsiTheme="majorHAnsi"/>
          <w:sz w:val="22"/>
          <w:szCs w:val="22"/>
          <w:lang w:val="sq-AL" w:eastAsia="en-US"/>
        </w:rPr>
        <w:t xml:space="preserve"> i analizuar nga struktura përgjegjëse për thesarin është </w:t>
      </w:r>
      <w:r w:rsidRPr="00604C05">
        <w:rPr>
          <w:rFonts w:asciiTheme="majorHAnsi" w:eastAsia="Times New Roman" w:hAnsiTheme="majorHAnsi"/>
          <w:b/>
          <w:bCs/>
          <w:sz w:val="22"/>
          <w:szCs w:val="22"/>
          <w:lang w:val="sq-AL" w:eastAsia="en-US"/>
        </w:rPr>
        <w:t>“Të gjitha kontratat janë dërguar në kohë pranë degës përkatëse të thesarit”</w:t>
      </w:r>
      <w:r w:rsidRPr="00604C05">
        <w:rPr>
          <w:rFonts w:asciiTheme="majorHAnsi" w:eastAsia="Times New Roman" w:hAnsiTheme="majorHAnsi"/>
          <w:sz w:val="22"/>
          <w:szCs w:val="22"/>
          <w:lang w:val="sq-AL" w:eastAsia="en-US"/>
        </w:rPr>
        <w:t>, i cili përcakton numrin e kontratave të dërguara pranë degëve të t</w:t>
      </w:r>
      <w:r w:rsidR="00467267">
        <w:rPr>
          <w:rFonts w:asciiTheme="majorHAnsi" w:eastAsia="Times New Roman" w:hAnsiTheme="majorHAnsi"/>
          <w:sz w:val="22"/>
          <w:szCs w:val="22"/>
          <w:lang w:val="sq-AL" w:eastAsia="en-US"/>
        </w:rPr>
        <w:t>h</w:t>
      </w:r>
      <w:r w:rsidRPr="00604C05">
        <w:rPr>
          <w:rFonts w:asciiTheme="majorHAnsi" w:eastAsia="Times New Roman" w:hAnsiTheme="majorHAnsi"/>
          <w:sz w:val="22"/>
          <w:szCs w:val="22"/>
          <w:lang w:val="sq-AL" w:eastAsia="en-US"/>
        </w:rPr>
        <w:t>esarit pas tre ditëve nga data e nënshkrimit të tyre kundrejt numrit total të kontratave të dërguara në thesar. Për vitin 2018, ky tregues është vlerësuar mesatarisht në nivelin 0.62 pikë nga 4 pikë të mundshme (ose 15.5%), duke reflektuar për një situatë problematike në njësitë e marra në analizë. Të gjitha grupet e institucioneve paraqesin mangësi në këtë fushë, kryesisht ministritë e linjës, të cilat janë vlerësuar mesatarisht me 0.1 pikë.</w:t>
      </w:r>
      <w:r w:rsidR="001A6EA4">
        <w:rPr>
          <w:rFonts w:asciiTheme="majorHAnsi" w:eastAsia="Times New Roman" w:hAnsiTheme="majorHAnsi"/>
          <w:sz w:val="22"/>
          <w:szCs w:val="22"/>
          <w:lang w:val="sq-AL" w:eastAsia="en-US"/>
        </w:rPr>
        <w:t xml:space="preserve"> </w:t>
      </w:r>
      <w:r w:rsidRPr="00604C05">
        <w:rPr>
          <w:rFonts w:asciiTheme="majorHAnsi" w:eastAsia="Times New Roman" w:hAnsiTheme="majorHAnsi"/>
          <w:sz w:val="22"/>
          <w:szCs w:val="22"/>
          <w:lang w:val="sq-AL" w:eastAsia="en-US"/>
        </w:rPr>
        <w:t>Ndërkohë, arsyet  për mosrealizimin e këtij treguesi vijnë kryesisht si pasojë e mungesës së disponibilitetit të personave</w:t>
      </w:r>
      <w:r w:rsidR="001A6EA4">
        <w:rPr>
          <w:rFonts w:asciiTheme="majorHAnsi" w:eastAsia="Times New Roman" w:hAnsiTheme="majorHAnsi"/>
          <w:sz w:val="22"/>
          <w:szCs w:val="22"/>
          <w:lang w:val="sq-AL" w:eastAsia="en-US"/>
        </w:rPr>
        <w:t>,</w:t>
      </w:r>
      <w:r w:rsidRPr="00604C05">
        <w:rPr>
          <w:rFonts w:asciiTheme="majorHAnsi" w:eastAsia="Times New Roman" w:hAnsiTheme="majorHAnsi"/>
          <w:sz w:val="22"/>
          <w:szCs w:val="22"/>
          <w:lang w:val="sq-AL" w:eastAsia="en-US"/>
        </w:rPr>
        <w:t xml:space="preserve"> të cilët nënshkruajnë kontratën, duke shkaktuar vonesa në dërgimin e tyre. Gjithashtu, afati ditor prej 3 ditësh për dërgimin e kontratave në thesar është praktikisht i pamundur për t’u zbatuar nga institucionet, të cilat nënshkruajnë dhe menaxhojnë një numër shumë të madh kontratash. </w:t>
      </w:r>
    </w:p>
    <w:p w:rsidR="00B56CA5" w:rsidRPr="00604C05" w:rsidRDefault="00B56CA5" w:rsidP="00887B88">
      <w:pPr>
        <w:numPr>
          <w:ilvl w:val="0"/>
          <w:numId w:val="1"/>
        </w:numPr>
        <w:spacing w:after="160"/>
        <w:contextualSpacing/>
        <w:jc w:val="both"/>
        <w:rPr>
          <w:rFonts w:asciiTheme="majorHAnsi" w:hAnsiTheme="majorHAnsi"/>
          <w:bCs/>
          <w:sz w:val="22"/>
          <w:szCs w:val="22"/>
          <w:lang w:val="sq-AL" w:eastAsia="en-US" w:bidi="en-US"/>
        </w:rPr>
      </w:pPr>
      <w:r w:rsidRPr="00604C05">
        <w:rPr>
          <w:rFonts w:asciiTheme="majorHAnsi" w:hAnsiTheme="majorHAnsi"/>
          <w:bCs/>
          <w:sz w:val="22"/>
          <w:szCs w:val="22"/>
          <w:lang w:val="sq-AL" w:eastAsia="en-US" w:bidi="en-US"/>
        </w:rPr>
        <w:t>Treguesi</w:t>
      </w:r>
      <w:r w:rsidRPr="00604C05">
        <w:rPr>
          <w:rFonts w:asciiTheme="majorHAnsi" w:hAnsiTheme="majorHAnsi"/>
          <w:b/>
          <w:bCs/>
          <w:sz w:val="22"/>
          <w:szCs w:val="22"/>
          <w:lang w:val="sq-AL" w:eastAsia="en-US" w:bidi="en-US"/>
        </w:rPr>
        <w:t xml:space="preserve"> “Numri i urdhër-prokurimeve të paautorizuara” </w:t>
      </w:r>
      <w:r w:rsidRPr="00604C05">
        <w:rPr>
          <w:rFonts w:asciiTheme="majorHAnsi" w:hAnsiTheme="majorHAnsi"/>
          <w:bCs/>
          <w:sz w:val="22"/>
          <w:szCs w:val="22"/>
          <w:lang w:val="sq-AL" w:eastAsia="en-US" w:bidi="en-US"/>
        </w:rPr>
        <w:t>paraqet numrin e urdhër prokurimeve të paautorizuara kundrej</w:t>
      </w:r>
      <w:r w:rsidR="006E0C59">
        <w:rPr>
          <w:rFonts w:asciiTheme="majorHAnsi" w:hAnsiTheme="majorHAnsi"/>
          <w:bCs/>
          <w:sz w:val="22"/>
          <w:szCs w:val="22"/>
          <w:lang w:val="sq-AL" w:eastAsia="en-US" w:bidi="en-US"/>
        </w:rPr>
        <w:t>t</w:t>
      </w:r>
      <w:r w:rsidRPr="00604C05">
        <w:rPr>
          <w:rFonts w:asciiTheme="majorHAnsi" w:hAnsiTheme="majorHAnsi"/>
          <w:bCs/>
          <w:sz w:val="22"/>
          <w:szCs w:val="22"/>
          <w:lang w:val="sq-AL" w:eastAsia="en-US" w:bidi="en-US"/>
        </w:rPr>
        <w:t xml:space="preserve"> shumës totale të urdhër prokurimeve të dërguara për pagesë në thesar. Për vitin 2018, ky tregues paraqet një</w:t>
      </w:r>
      <w:r w:rsidR="0092331E">
        <w:rPr>
          <w:rFonts w:asciiTheme="majorHAnsi" w:hAnsiTheme="majorHAnsi"/>
          <w:bCs/>
          <w:sz w:val="22"/>
          <w:szCs w:val="22"/>
          <w:lang w:val="sq-AL" w:eastAsia="en-US" w:bidi="en-US"/>
        </w:rPr>
        <w:t xml:space="preserve"> performancë shumë të kënaqshme</w:t>
      </w:r>
      <w:r w:rsidRPr="00604C05">
        <w:rPr>
          <w:rFonts w:asciiTheme="majorHAnsi" w:hAnsiTheme="majorHAnsi"/>
          <w:bCs/>
          <w:sz w:val="22"/>
          <w:szCs w:val="22"/>
          <w:lang w:val="sq-AL" w:eastAsia="en-US" w:bidi="en-US"/>
        </w:rPr>
        <w:t xml:space="preserve"> për të gjitha grupet e institucioneve, veçanërisht për institucionet e pavarura, të cilat janë vlerësuar maksimalisht me 4 pikë. Njësitë publike kanë detyrimin të paraqesin urdhër-prokurimet në Agjencinë e Prokurimeve Publike me autorizimin e Thesarit</w:t>
      </w:r>
      <w:r w:rsidRPr="00604C05">
        <w:rPr>
          <w:rFonts w:asciiTheme="majorHAnsi" w:eastAsia="Times New Roman" w:hAnsiTheme="majorHAnsi"/>
          <w:color w:val="000000"/>
          <w:sz w:val="22"/>
          <w:szCs w:val="22"/>
          <w:lang w:val="sq-AL" w:eastAsia="en-US"/>
        </w:rPr>
        <w:t>. Kryesisht, ato pak raste të cilat shfaqin problematika</w:t>
      </w:r>
      <w:r w:rsidR="005B30C8">
        <w:rPr>
          <w:rFonts w:asciiTheme="majorHAnsi" w:eastAsia="Times New Roman" w:hAnsiTheme="majorHAnsi"/>
          <w:color w:val="000000"/>
          <w:sz w:val="22"/>
          <w:szCs w:val="22"/>
          <w:lang w:val="sq-AL" w:eastAsia="en-US"/>
        </w:rPr>
        <w:t>,</w:t>
      </w:r>
      <w:r w:rsidRPr="00604C05">
        <w:rPr>
          <w:rFonts w:asciiTheme="majorHAnsi" w:eastAsia="Times New Roman" w:hAnsiTheme="majorHAnsi"/>
          <w:color w:val="000000"/>
          <w:sz w:val="22"/>
          <w:szCs w:val="22"/>
          <w:lang w:val="sq-AL" w:eastAsia="en-US"/>
        </w:rPr>
        <w:t xml:space="preserve"> vijnë për shkak të mungesës ose mospërputhjes </w:t>
      </w:r>
      <w:r w:rsidR="00B83CFC">
        <w:rPr>
          <w:rFonts w:asciiTheme="majorHAnsi" w:eastAsia="Times New Roman" w:hAnsiTheme="majorHAnsi"/>
          <w:color w:val="000000"/>
          <w:sz w:val="22"/>
          <w:szCs w:val="22"/>
          <w:lang w:val="sq-AL" w:eastAsia="en-US"/>
        </w:rPr>
        <w:t>s</w:t>
      </w:r>
      <w:r w:rsidRPr="00604C05">
        <w:rPr>
          <w:rFonts w:asciiTheme="majorHAnsi" w:eastAsia="Times New Roman" w:hAnsiTheme="majorHAnsi"/>
          <w:color w:val="000000"/>
          <w:sz w:val="22"/>
          <w:szCs w:val="22"/>
          <w:lang w:val="sq-AL" w:eastAsia="en-US"/>
        </w:rPr>
        <w:t xml:space="preserve">ë dokumentacionit mbështetës. </w:t>
      </w:r>
      <w:r w:rsidRPr="00604C05">
        <w:rPr>
          <w:rFonts w:asciiTheme="majorHAnsi" w:eastAsia="Times New Roman" w:hAnsiTheme="majorHAnsi"/>
          <w:sz w:val="22"/>
          <w:szCs w:val="22"/>
          <w:lang w:val="sq-AL"/>
        </w:rPr>
        <w:t xml:space="preserve">Rezultati evidenton faktin se pothuajse të gjitha njësitë janë efiçiente dhe efektive në mbarëvajtjen e procesit të dërgimit të urdhër-prokurimeve të </w:t>
      </w:r>
      <w:r w:rsidRPr="00604C05">
        <w:rPr>
          <w:rFonts w:asciiTheme="majorHAnsi" w:hAnsiTheme="majorHAnsi"/>
          <w:bCs/>
          <w:sz w:val="22"/>
          <w:szCs w:val="22"/>
          <w:lang w:val="sq-AL" w:eastAsia="en-US" w:bidi="en-US"/>
        </w:rPr>
        <w:t>autorizuara në thesar.</w:t>
      </w:r>
    </w:p>
    <w:p w:rsidR="00B56CA5" w:rsidRPr="00604C05" w:rsidRDefault="00B56CA5" w:rsidP="00887B88">
      <w:pPr>
        <w:numPr>
          <w:ilvl w:val="0"/>
          <w:numId w:val="1"/>
        </w:numPr>
        <w:spacing w:after="160"/>
        <w:contextualSpacing/>
        <w:jc w:val="both"/>
        <w:rPr>
          <w:rFonts w:asciiTheme="majorHAnsi" w:hAnsiTheme="majorHAnsi"/>
          <w:bCs/>
          <w:sz w:val="22"/>
          <w:szCs w:val="22"/>
          <w:lang w:val="sq-AL" w:eastAsia="en-US" w:bidi="en-US"/>
        </w:rPr>
      </w:pPr>
      <w:r w:rsidRPr="00604C05">
        <w:rPr>
          <w:rFonts w:asciiTheme="majorHAnsi" w:hAnsiTheme="majorHAnsi"/>
          <w:bCs/>
          <w:sz w:val="22"/>
          <w:szCs w:val="22"/>
          <w:lang w:val="sq-AL" w:eastAsia="en-US" w:bidi="en-US"/>
        </w:rPr>
        <w:t>Një tjetër tregues i marrë në analizë nga struktura përgjegjëse për thesarin</w:t>
      </w:r>
      <w:r w:rsidR="00AA3486">
        <w:rPr>
          <w:rFonts w:asciiTheme="majorHAnsi" w:hAnsiTheme="majorHAnsi"/>
          <w:bCs/>
          <w:sz w:val="22"/>
          <w:szCs w:val="22"/>
          <w:lang w:val="sq-AL" w:eastAsia="en-US" w:bidi="en-US"/>
        </w:rPr>
        <w:t xml:space="preserve"> është</w:t>
      </w:r>
      <w:r w:rsidRPr="00604C05">
        <w:rPr>
          <w:rFonts w:asciiTheme="majorHAnsi" w:hAnsiTheme="majorHAnsi"/>
          <w:bCs/>
          <w:sz w:val="22"/>
          <w:szCs w:val="22"/>
          <w:lang w:val="sq-AL" w:eastAsia="en-US" w:bidi="en-US"/>
        </w:rPr>
        <w:t xml:space="preserve"> </w:t>
      </w:r>
      <w:r w:rsidRPr="00604C05">
        <w:rPr>
          <w:rFonts w:asciiTheme="majorHAnsi" w:hAnsiTheme="majorHAnsi"/>
          <w:b/>
          <w:bCs/>
          <w:sz w:val="22"/>
          <w:szCs w:val="22"/>
          <w:lang w:val="sq-AL" w:eastAsia="en-US" w:bidi="en-US"/>
        </w:rPr>
        <w:t>“Kufizimi i avancimit të planit mujor të arkës”</w:t>
      </w:r>
      <w:r w:rsidRPr="00604C05">
        <w:rPr>
          <w:rFonts w:asciiTheme="majorHAnsi" w:hAnsiTheme="majorHAnsi"/>
          <w:bCs/>
          <w:sz w:val="22"/>
          <w:szCs w:val="22"/>
          <w:lang w:val="sq-AL" w:eastAsia="en-US" w:bidi="en-US"/>
        </w:rPr>
        <w:t>, i cili përcakton vlerën e avancimeve të kryera gjatë vitit nga nj</w:t>
      </w:r>
      <w:r w:rsidR="00A42374">
        <w:rPr>
          <w:rFonts w:asciiTheme="majorHAnsi" w:hAnsiTheme="majorHAnsi"/>
          <w:bCs/>
          <w:sz w:val="22"/>
          <w:szCs w:val="22"/>
          <w:lang w:val="sq-AL" w:eastAsia="en-US" w:bidi="en-US"/>
        </w:rPr>
        <w:t>ë</w:t>
      </w:r>
      <w:r w:rsidRPr="00604C05">
        <w:rPr>
          <w:rFonts w:asciiTheme="majorHAnsi" w:hAnsiTheme="majorHAnsi"/>
          <w:bCs/>
          <w:sz w:val="22"/>
          <w:szCs w:val="22"/>
          <w:lang w:val="sq-AL" w:eastAsia="en-US" w:bidi="en-US"/>
        </w:rPr>
        <w:t>sitë shpenzuese kundrejt totalit të planit vjetor të arkës. Për vitin 2018, ky tregues është vlerësuar mesatarisht në nivelin 3.7 pikë nga 4 pikë të mundshme (ose 92.</w:t>
      </w:r>
      <w:r w:rsidR="00ED70B0">
        <w:rPr>
          <w:rFonts w:asciiTheme="majorHAnsi" w:hAnsiTheme="majorHAnsi"/>
          <w:bCs/>
          <w:sz w:val="22"/>
          <w:szCs w:val="22"/>
          <w:lang w:val="sq-AL" w:eastAsia="en-US" w:bidi="en-US"/>
        </w:rPr>
        <w:t>5</w:t>
      </w:r>
      <w:r w:rsidRPr="00604C05">
        <w:rPr>
          <w:rFonts w:asciiTheme="majorHAnsi" w:hAnsiTheme="majorHAnsi"/>
          <w:bCs/>
          <w:sz w:val="22"/>
          <w:szCs w:val="22"/>
          <w:lang w:val="sq-AL" w:eastAsia="en-US" w:bidi="en-US"/>
        </w:rPr>
        <w:t>%), duke reflektuar për një situatë shumë pozitive për këtë fushë për të gjitha institucionet e marra në analizë, veçanërisht për njësitë e vetëqeverisjes vendore, që janë vlerësuar maksimalisht.</w:t>
      </w:r>
      <w:r w:rsidR="0012742F">
        <w:rPr>
          <w:rFonts w:asciiTheme="majorHAnsi" w:hAnsiTheme="majorHAnsi"/>
          <w:bCs/>
          <w:sz w:val="22"/>
          <w:szCs w:val="22"/>
          <w:lang w:val="sq-AL" w:eastAsia="en-US" w:bidi="en-US"/>
        </w:rPr>
        <w:t xml:space="preserve"> </w:t>
      </w:r>
      <w:r w:rsidRPr="00604C05">
        <w:rPr>
          <w:rFonts w:asciiTheme="majorHAnsi" w:hAnsiTheme="majorHAnsi"/>
          <w:bCs/>
          <w:sz w:val="22"/>
          <w:szCs w:val="22"/>
          <w:lang w:val="sq-AL" w:eastAsia="en-US" w:bidi="en-US"/>
        </w:rPr>
        <w:t>Problematikat në këtë tregues vijnë për shkak të situatave emergjent</w:t>
      </w:r>
      <w:r w:rsidR="00ED70B0">
        <w:rPr>
          <w:rFonts w:asciiTheme="majorHAnsi" w:hAnsiTheme="majorHAnsi"/>
          <w:bCs/>
          <w:sz w:val="22"/>
          <w:szCs w:val="22"/>
          <w:lang w:val="sq-AL" w:eastAsia="en-US" w:bidi="en-US"/>
        </w:rPr>
        <w:t>e</w:t>
      </w:r>
      <w:r w:rsidRPr="00604C05">
        <w:rPr>
          <w:rFonts w:asciiTheme="majorHAnsi" w:hAnsiTheme="majorHAnsi"/>
          <w:bCs/>
          <w:sz w:val="22"/>
          <w:szCs w:val="22"/>
          <w:lang w:val="sq-AL" w:eastAsia="en-US" w:bidi="en-US"/>
        </w:rPr>
        <w:t xml:space="preserve"> të paparashikuara të institucioneve si dhe mungesës së parashikimit të duhur të fluksit të mjeteve monetare, për shkak se njësitë nuk raportojnë në intervale kohore të shpeshta në Drejtorinë e Përgjithshme të Thesarit. Në bazë të analizës së kryer, evidentohet nevoja e parashikimit mujor të fluksit të mjeteve monetare nga institucionet si dhe dërgimin e këtij informacioni pranë strukturave përgjegjëse në Ministrinë e Financave dhe Ekonomisë.</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eastAsia="en-US" w:bidi="en-US"/>
        </w:rPr>
        <w:t xml:space="preserve">Treguesi i fundit i marrë në analizë nga </w:t>
      </w:r>
      <w:r w:rsidRPr="00604C05">
        <w:rPr>
          <w:rFonts w:asciiTheme="majorHAnsi" w:hAnsiTheme="majorHAnsi"/>
          <w:bCs/>
          <w:sz w:val="22"/>
          <w:szCs w:val="22"/>
          <w:lang w:val="sq-AL" w:eastAsia="en-US" w:bidi="en-US"/>
        </w:rPr>
        <w:t>struktura përgjegjëse për thesarin është</w:t>
      </w:r>
      <w:r w:rsidRPr="00604C05">
        <w:rPr>
          <w:rFonts w:asciiTheme="majorHAnsi" w:hAnsiTheme="majorHAnsi"/>
          <w:sz w:val="22"/>
          <w:szCs w:val="22"/>
          <w:lang w:val="sq-AL" w:eastAsia="en-US" w:bidi="en-US"/>
        </w:rPr>
        <w:t xml:space="preserve"> </w:t>
      </w:r>
      <w:r w:rsidRPr="00604C05">
        <w:rPr>
          <w:rFonts w:asciiTheme="majorHAnsi" w:hAnsiTheme="majorHAnsi"/>
          <w:b/>
          <w:sz w:val="22"/>
          <w:szCs w:val="22"/>
          <w:lang w:val="sq-AL" w:eastAsia="en-US" w:bidi="en-US"/>
        </w:rPr>
        <w:t xml:space="preserve">“Paraqitja, nënshkrimi dhe respektimi i afatit kohor të dorëzimit të pasqyrave financiare sipas kuadrit ligjor në fuqi”, </w:t>
      </w:r>
      <w:r w:rsidRPr="00604C05">
        <w:rPr>
          <w:rFonts w:asciiTheme="majorHAnsi" w:hAnsiTheme="majorHAnsi"/>
          <w:sz w:val="22"/>
          <w:szCs w:val="22"/>
          <w:lang w:val="sq-AL" w:eastAsia="en-US" w:bidi="en-US"/>
        </w:rPr>
        <w:t>i cili mat respektimin e afatit kohor, nënshkrimit, përgatitjen dhe paraqitjen e pasqyrave financiare vjetore në njësitë e qeverisjes së përgjithshme.  Për vitin 2018, ky tregues është vlerësuar në nivelin 3.8 pikë nga 4 pikë të mundshme (ose 9</w:t>
      </w:r>
      <w:r w:rsidR="00E15B21">
        <w:rPr>
          <w:rFonts w:asciiTheme="majorHAnsi" w:hAnsiTheme="majorHAnsi"/>
          <w:sz w:val="22"/>
          <w:szCs w:val="22"/>
          <w:lang w:val="sq-AL" w:eastAsia="en-US" w:bidi="en-US"/>
        </w:rPr>
        <w:t>5</w:t>
      </w:r>
      <w:r w:rsidRPr="00604C05">
        <w:rPr>
          <w:rFonts w:asciiTheme="majorHAnsi" w:hAnsiTheme="majorHAnsi"/>
          <w:sz w:val="22"/>
          <w:szCs w:val="22"/>
          <w:lang w:val="sq-AL" w:eastAsia="en-US" w:bidi="en-US"/>
        </w:rPr>
        <w:t xml:space="preserve"> %), duke reflektuar një situatë shumë pozitive në këtë fushë. Gjatë vitit 2018, është miratuar Udhëzimi nr. 8, datë 09.03.2018 “Për procedurat e përgatitjes, paraqitjes dhe raportimit të pasqyrave financiare vjetore në njësitë e qeverisjes së përgjithshme”, i cili përcakton paraqitjen e pasqyrave financiare dhe afatet kohore ligjore për dorëzimin e pasqyrave financiare. Pavarësisht problematikave që kanë pasur institucionet në përshtatjen me udhëzimin e ri, pjesa më e madhe e institucioneve i kanë paraqitur pasqyrat financiare në kohën e duhur dhe me formatin e duhur. </w:t>
      </w:r>
    </w:p>
    <w:p w:rsidR="00B56CA5" w:rsidRPr="00DB7961" w:rsidRDefault="00B56CA5" w:rsidP="00887B88">
      <w:pPr>
        <w:numPr>
          <w:ilvl w:val="0"/>
          <w:numId w:val="1"/>
        </w:numPr>
        <w:spacing w:after="160"/>
        <w:contextualSpacing/>
        <w:jc w:val="both"/>
        <w:rPr>
          <w:rFonts w:asciiTheme="majorHAnsi" w:hAnsiTheme="majorHAnsi"/>
          <w:sz w:val="22"/>
          <w:szCs w:val="22"/>
          <w:lang w:val="sq-AL" w:eastAsia="en-US" w:bidi="en-US"/>
        </w:rPr>
      </w:pPr>
      <w:r w:rsidRPr="00DB7961">
        <w:rPr>
          <w:rFonts w:asciiTheme="majorHAnsi" w:hAnsiTheme="majorHAnsi"/>
          <w:sz w:val="22"/>
          <w:szCs w:val="22"/>
          <w:lang w:val="sq-AL" w:eastAsia="en-US" w:bidi="en-US"/>
        </w:rPr>
        <w:t xml:space="preserve">Treguesi i parë i analizuar nga struktura përgjegjëse për buxhetin në Ministrinë e Financave dhe Ekonomisë është </w:t>
      </w:r>
      <w:r w:rsidRPr="00DB7961">
        <w:rPr>
          <w:rFonts w:asciiTheme="majorHAnsi" w:hAnsiTheme="majorHAnsi"/>
          <w:b/>
          <w:sz w:val="22"/>
          <w:szCs w:val="22"/>
          <w:lang w:val="sq-AL" w:eastAsia="en-US" w:bidi="en-US"/>
        </w:rPr>
        <w:t>“Realizimi i shpenzimeve buxhetore”</w:t>
      </w:r>
      <w:r w:rsidRPr="00DB7961">
        <w:rPr>
          <w:rFonts w:asciiTheme="majorHAnsi" w:hAnsiTheme="majorHAnsi"/>
          <w:sz w:val="22"/>
          <w:szCs w:val="22"/>
          <w:lang w:val="sq-AL" w:eastAsia="en-US" w:bidi="en-US"/>
        </w:rPr>
        <w:t>, i cili përcakton masën në të cilën janë realizuar shpenzimet buxhetore gjatë vitit kundrejt planit të buxhetit të miratuar nga Kuvendi. Për vitin 2018, ky tregues është vler</w:t>
      </w:r>
      <w:r w:rsidR="00DB7961" w:rsidRPr="00DB7961">
        <w:rPr>
          <w:rFonts w:asciiTheme="majorHAnsi" w:hAnsiTheme="majorHAnsi"/>
          <w:sz w:val="22"/>
          <w:szCs w:val="22"/>
          <w:lang w:val="sq-AL" w:eastAsia="en-US" w:bidi="en-US"/>
        </w:rPr>
        <w:t xml:space="preserve">ësuar mesatarisht në nivelin </w:t>
      </w:r>
      <w:r w:rsidR="00DB7961" w:rsidRPr="00E8467D">
        <w:rPr>
          <w:rFonts w:asciiTheme="majorHAnsi" w:hAnsiTheme="majorHAnsi"/>
          <w:sz w:val="22"/>
          <w:szCs w:val="22"/>
          <w:lang w:val="sq-AL" w:eastAsia="en-US" w:bidi="en-US"/>
        </w:rPr>
        <w:t>2.5</w:t>
      </w:r>
      <w:r w:rsidRPr="00E8467D">
        <w:rPr>
          <w:rFonts w:asciiTheme="majorHAnsi" w:hAnsiTheme="majorHAnsi"/>
          <w:sz w:val="22"/>
          <w:szCs w:val="22"/>
          <w:lang w:val="sq-AL" w:eastAsia="en-US" w:bidi="en-US"/>
        </w:rPr>
        <w:t xml:space="preserve"> pi</w:t>
      </w:r>
      <w:r w:rsidR="00DB7961" w:rsidRPr="00E8467D">
        <w:rPr>
          <w:rFonts w:asciiTheme="majorHAnsi" w:hAnsiTheme="majorHAnsi"/>
          <w:sz w:val="22"/>
          <w:szCs w:val="22"/>
          <w:lang w:val="sq-AL" w:eastAsia="en-US" w:bidi="en-US"/>
        </w:rPr>
        <w:t>kë nga 4</w:t>
      </w:r>
      <w:r w:rsidR="00B73AD4" w:rsidRPr="00E8467D">
        <w:rPr>
          <w:rFonts w:asciiTheme="majorHAnsi" w:hAnsiTheme="majorHAnsi"/>
          <w:sz w:val="22"/>
          <w:szCs w:val="22"/>
          <w:lang w:val="sq-AL" w:eastAsia="en-US" w:bidi="en-US"/>
        </w:rPr>
        <w:t xml:space="preserve"> pikë të mundshme (ose 63</w:t>
      </w:r>
      <w:r w:rsidRPr="00E8467D">
        <w:rPr>
          <w:rFonts w:asciiTheme="majorHAnsi" w:hAnsiTheme="majorHAnsi"/>
          <w:sz w:val="22"/>
          <w:szCs w:val="22"/>
          <w:lang w:val="sq-AL" w:eastAsia="en-US" w:bidi="en-US"/>
        </w:rPr>
        <w:t>%),</w:t>
      </w:r>
      <w:r w:rsidRPr="00DB7961">
        <w:rPr>
          <w:rFonts w:asciiTheme="majorHAnsi" w:hAnsiTheme="majorHAnsi"/>
          <w:sz w:val="22"/>
          <w:szCs w:val="22"/>
          <w:lang w:val="sq-AL" w:eastAsia="en-US" w:bidi="en-US"/>
        </w:rPr>
        <w:t xml:space="preserve"> duke reflektuar një performancë </w:t>
      </w:r>
      <w:r w:rsidR="00DB7961" w:rsidRPr="00DB7961">
        <w:rPr>
          <w:rFonts w:asciiTheme="majorHAnsi" w:hAnsiTheme="majorHAnsi"/>
          <w:sz w:val="22"/>
          <w:szCs w:val="22"/>
          <w:lang w:val="sq-AL" w:eastAsia="en-US" w:bidi="en-US"/>
        </w:rPr>
        <w:t xml:space="preserve">mesatarisht </w:t>
      </w:r>
      <w:r w:rsidRPr="00DB7961">
        <w:rPr>
          <w:rFonts w:asciiTheme="majorHAnsi" w:hAnsiTheme="majorHAnsi"/>
          <w:sz w:val="22"/>
          <w:szCs w:val="22"/>
          <w:lang w:val="sq-AL" w:eastAsia="en-US" w:bidi="en-US"/>
        </w:rPr>
        <w:t>të mirë të tij për njësitë e marra në analizë.</w:t>
      </w:r>
      <w:r w:rsidR="00183C53" w:rsidRPr="00DB7961">
        <w:rPr>
          <w:rFonts w:asciiTheme="majorHAnsi" w:hAnsiTheme="majorHAnsi"/>
          <w:sz w:val="22"/>
          <w:szCs w:val="22"/>
          <w:lang w:val="sq-AL" w:eastAsia="en-US" w:bidi="en-US"/>
        </w:rPr>
        <w:t xml:space="preserve"> Rezultati</w:t>
      </w:r>
      <w:r w:rsidRPr="00DB7961">
        <w:rPr>
          <w:rFonts w:asciiTheme="majorHAnsi" w:hAnsiTheme="majorHAnsi"/>
          <w:sz w:val="22"/>
          <w:szCs w:val="22"/>
          <w:lang w:val="sq-AL" w:eastAsia="en-US" w:bidi="en-US"/>
        </w:rPr>
        <w:t xml:space="preserve"> evidenton faktin</w:t>
      </w:r>
      <w:r w:rsidR="00F03BE7" w:rsidRPr="00DB7961">
        <w:rPr>
          <w:rFonts w:asciiTheme="majorHAnsi" w:hAnsiTheme="majorHAnsi"/>
          <w:sz w:val="22"/>
          <w:szCs w:val="22"/>
          <w:lang w:val="sq-AL" w:eastAsia="en-US" w:bidi="en-US"/>
        </w:rPr>
        <w:t>,</w:t>
      </w:r>
      <w:r w:rsidRPr="00DB7961">
        <w:rPr>
          <w:rFonts w:asciiTheme="majorHAnsi" w:hAnsiTheme="majorHAnsi"/>
          <w:sz w:val="22"/>
          <w:szCs w:val="22"/>
          <w:lang w:val="sq-AL" w:eastAsia="en-US" w:bidi="en-US"/>
        </w:rPr>
        <w:t xml:space="preserve"> se pjesa më </w:t>
      </w:r>
      <w:r w:rsidR="00E8467D">
        <w:rPr>
          <w:rFonts w:asciiTheme="majorHAnsi" w:hAnsiTheme="majorHAnsi"/>
          <w:sz w:val="22"/>
          <w:szCs w:val="22"/>
          <w:lang w:val="sq-AL" w:eastAsia="en-US" w:bidi="en-US"/>
        </w:rPr>
        <w:t>e madhe e njësive janë efiçientedhe efektive</w:t>
      </w:r>
      <w:r w:rsidRPr="00DB7961">
        <w:rPr>
          <w:rFonts w:asciiTheme="majorHAnsi" w:hAnsiTheme="majorHAnsi"/>
          <w:sz w:val="22"/>
          <w:szCs w:val="22"/>
          <w:lang w:val="sq-AL" w:eastAsia="en-US" w:bidi="en-US"/>
        </w:rPr>
        <w:t xml:space="preserve"> në përdorimin e buxhetit dhe realizimin e shpenzimeve të planifikuara për mbarëvajtjen e veprimtarisë së institucionit. </w:t>
      </w:r>
      <w:r w:rsidR="00DB7961" w:rsidRPr="00DB7961">
        <w:rPr>
          <w:rFonts w:asciiTheme="majorHAnsi" w:hAnsiTheme="majorHAnsi"/>
          <w:sz w:val="22"/>
          <w:szCs w:val="22"/>
          <w:lang w:val="sq-AL" w:eastAsia="en-US" w:bidi="en-US"/>
        </w:rPr>
        <w:t>Njësitë e vetëqeverisjes vendore kan</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realizuar n</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shkall</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komb</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tare 49.8 miliard lek</w:t>
      </w:r>
      <w:r w:rsidR="006E61C7">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ku kryesisht pjesa e mosrealizimit t</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tyre lidhet me procedurat tenderuese t</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shpenzimeve kapitale dhe atyre p</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r mallra dhe sh</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rbime. Gjithashtu</w:t>
      </w:r>
      <w:r w:rsidR="006E61C7">
        <w:rPr>
          <w:rFonts w:asciiTheme="majorHAnsi" w:hAnsiTheme="majorHAnsi"/>
          <w:sz w:val="22"/>
          <w:szCs w:val="22"/>
          <w:lang w:val="sq-AL" w:eastAsia="en-US" w:bidi="en-US"/>
        </w:rPr>
        <w:t xml:space="preserve">, arsyet </w:t>
      </w:r>
      <w:r w:rsidRPr="00DB7961">
        <w:rPr>
          <w:rFonts w:asciiTheme="majorHAnsi" w:hAnsiTheme="majorHAnsi"/>
          <w:sz w:val="22"/>
          <w:szCs w:val="22"/>
          <w:lang w:val="sq-AL" w:eastAsia="en-US" w:bidi="en-US"/>
        </w:rPr>
        <w:t>për mosrealizimin e këtij treguesi vijnë kryesisht si pasojë e mosrealizimit të shpenzimeve për paga, sigurime në rastet kur nuk plotësohet struktura organizative me punonjës, nga mosrealizimi i shpenzimeve për mallra dhe shërbime apo nga mosrealizimi i fondeve për subvencione</w:t>
      </w:r>
      <w:r w:rsidR="00D31B19" w:rsidRPr="00DB7961">
        <w:rPr>
          <w:rFonts w:asciiTheme="majorHAnsi" w:hAnsiTheme="majorHAnsi"/>
          <w:sz w:val="22"/>
          <w:szCs w:val="22"/>
          <w:lang w:val="sq-AL" w:eastAsia="en-US" w:bidi="en-US"/>
        </w:rPr>
        <w:t>,</w:t>
      </w:r>
      <w:r w:rsidRPr="00DB7961">
        <w:rPr>
          <w:rFonts w:asciiTheme="majorHAnsi" w:hAnsiTheme="majorHAnsi"/>
          <w:sz w:val="22"/>
          <w:szCs w:val="22"/>
          <w:lang w:val="sq-AL" w:eastAsia="en-US" w:bidi="en-US"/>
        </w:rPr>
        <w:t xml:space="preserve"> kryesisht në Ministrinë e Financave dhe Ekonomisë. </w:t>
      </w:r>
      <w:r w:rsidR="00DB7961" w:rsidRPr="00DB7961">
        <w:rPr>
          <w:rFonts w:asciiTheme="majorHAnsi" w:hAnsiTheme="majorHAnsi"/>
          <w:sz w:val="22"/>
          <w:szCs w:val="22"/>
          <w:lang w:val="sq-AL" w:eastAsia="en-US" w:bidi="en-US"/>
        </w:rPr>
        <w:t>N</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vijim</w:t>
      </w:r>
      <w:r w:rsidRPr="00DB7961">
        <w:rPr>
          <w:rFonts w:asciiTheme="majorHAnsi" w:hAnsiTheme="majorHAnsi"/>
          <w:sz w:val="22"/>
          <w:szCs w:val="22"/>
          <w:lang w:val="sq-AL" w:eastAsia="en-US" w:bidi="en-US"/>
        </w:rPr>
        <w:t>, shtyrja e afateve të realizimit nga procesi i prokurimit, apo edhe nga vonesat në paraqitjen e dokumentacionit teknik e financiar për lëvrimin e fondeve janë faktorë të cilët ndikojnë në mosrealizimin e këtij treguesi.</w:t>
      </w:r>
    </w:p>
    <w:p w:rsidR="00AE4B26" w:rsidRPr="00AE4B26" w:rsidRDefault="00B56CA5" w:rsidP="00AE4B26">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eastAsia="en-US" w:bidi="en-US"/>
        </w:rPr>
        <w:t xml:space="preserve">Një tregues tjetër është </w:t>
      </w:r>
      <w:r w:rsidRPr="00604C05">
        <w:rPr>
          <w:rFonts w:asciiTheme="majorHAnsi" w:hAnsiTheme="majorHAnsi"/>
          <w:b/>
          <w:sz w:val="22"/>
          <w:szCs w:val="22"/>
          <w:lang w:val="sq-AL" w:eastAsia="en-US" w:bidi="en-US"/>
        </w:rPr>
        <w:t>“Realizimi i shpenzimeve buxhetore sipas klasifikimit ekonomik”</w:t>
      </w:r>
      <w:r w:rsidRPr="00604C05">
        <w:rPr>
          <w:rFonts w:asciiTheme="majorHAnsi" w:hAnsiTheme="majorHAnsi"/>
          <w:sz w:val="22"/>
          <w:szCs w:val="22"/>
          <w:lang w:val="sq-AL" w:eastAsia="en-US" w:bidi="en-US"/>
        </w:rPr>
        <w:t xml:space="preserve">, i cili mat diferencën midis buxhetit të miratuar dhe buxhetit faktik në fund të vitit për çdo grup të shpenzimeve buxhetore të ndara sipas klasifikimit ekonomik. Nga vlerësimi i kryer për këtë tregues, </w:t>
      </w:r>
      <w:r w:rsidR="00DB7961">
        <w:rPr>
          <w:rFonts w:asciiTheme="majorHAnsi" w:hAnsiTheme="majorHAnsi"/>
          <w:sz w:val="22"/>
          <w:szCs w:val="22"/>
          <w:lang w:val="sq-AL" w:eastAsia="en-US" w:bidi="en-US"/>
        </w:rPr>
        <w:t>rezultati është 1.52 pikë osë 38</w:t>
      </w:r>
      <w:r w:rsidR="00E449E5">
        <w:rPr>
          <w:rFonts w:asciiTheme="majorHAnsi" w:hAnsiTheme="majorHAnsi"/>
          <w:sz w:val="22"/>
          <w:szCs w:val="22"/>
          <w:lang w:val="sq-AL" w:eastAsia="en-US" w:bidi="en-US"/>
        </w:rPr>
        <w:t>%, duke paraqitur një nivel</w:t>
      </w:r>
      <w:r w:rsidR="00836552">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 xml:space="preserve">mesatar të performancës së njësive lidhur me këtë tregues. </w:t>
      </w:r>
      <w:r w:rsidR="00836552" w:rsidRPr="00836552">
        <w:rPr>
          <w:rFonts w:asciiTheme="majorHAnsi" w:hAnsiTheme="majorHAnsi"/>
          <w:sz w:val="22"/>
          <w:szCs w:val="22"/>
          <w:lang w:val="sq-AL" w:eastAsia="en-US" w:bidi="en-US"/>
        </w:rPr>
        <w:t>P</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r n</w:t>
      </w:r>
      <w:r w:rsidRPr="00836552">
        <w:rPr>
          <w:rFonts w:asciiTheme="majorHAnsi" w:hAnsiTheme="majorHAnsi"/>
          <w:sz w:val="22"/>
          <w:szCs w:val="22"/>
          <w:lang w:val="sq-AL" w:eastAsia="en-US" w:bidi="en-US"/>
        </w:rPr>
        <w:t xml:space="preserve">jësitë e vetëqeverisjes vendore, </w:t>
      </w:r>
      <w:r w:rsidR="00836552" w:rsidRPr="00836552">
        <w:rPr>
          <w:rFonts w:asciiTheme="majorHAnsi" w:hAnsiTheme="majorHAnsi"/>
          <w:sz w:val="22"/>
          <w:szCs w:val="22"/>
          <w:lang w:val="sq-AL" w:eastAsia="en-US" w:bidi="en-US"/>
        </w:rPr>
        <w:t>evidentohet se llogarit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me treguesin m</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ul</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t  jan</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ato 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investimeve dhe subvencioneve, i cili lidhet me afatet kohore q</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n</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shum</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raste tejkalohen duke v</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shtir</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suar realizimin n</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koh</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k</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tyre shpenzimeve.</w:t>
      </w:r>
      <w:r w:rsidR="00836552">
        <w:rPr>
          <w:rFonts w:asciiTheme="majorHAnsi" w:hAnsiTheme="majorHAnsi"/>
          <w:sz w:val="22"/>
          <w:szCs w:val="22"/>
          <w:lang w:val="sq-AL" w:eastAsia="en-US" w:bidi="en-US"/>
        </w:rPr>
        <w:t xml:space="preserve"> N</w:t>
      </w:r>
      <w:r w:rsidR="00A269B0">
        <w:rPr>
          <w:rFonts w:asciiTheme="majorHAnsi" w:hAnsiTheme="majorHAnsi"/>
          <w:sz w:val="22"/>
          <w:szCs w:val="22"/>
          <w:lang w:val="sq-AL" w:eastAsia="en-US" w:bidi="en-US"/>
        </w:rPr>
        <w:t>ë</w:t>
      </w:r>
      <w:r w:rsidR="00836552">
        <w:rPr>
          <w:rFonts w:asciiTheme="majorHAnsi" w:hAnsiTheme="majorHAnsi"/>
          <w:sz w:val="22"/>
          <w:szCs w:val="22"/>
          <w:lang w:val="sq-AL" w:eastAsia="en-US" w:bidi="en-US"/>
        </w:rPr>
        <w:t xml:space="preserve"> p</w:t>
      </w:r>
      <w:r w:rsidR="00A269B0">
        <w:rPr>
          <w:rFonts w:asciiTheme="majorHAnsi" w:hAnsiTheme="majorHAnsi"/>
          <w:sz w:val="22"/>
          <w:szCs w:val="22"/>
          <w:lang w:val="sq-AL" w:eastAsia="en-US" w:bidi="en-US"/>
        </w:rPr>
        <w:t>ë</w:t>
      </w:r>
      <w:r w:rsidR="00836552">
        <w:rPr>
          <w:rFonts w:asciiTheme="majorHAnsi" w:hAnsiTheme="majorHAnsi"/>
          <w:sz w:val="22"/>
          <w:szCs w:val="22"/>
          <w:lang w:val="sq-AL" w:eastAsia="en-US" w:bidi="en-US"/>
        </w:rPr>
        <w:t>rgjith</w:t>
      </w:r>
      <w:r w:rsidR="00A269B0">
        <w:rPr>
          <w:rFonts w:asciiTheme="majorHAnsi" w:hAnsiTheme="majorHAnsi"/>
          <w:sz w:val="22"/>
          <w:szCs w:val="22"/>
          <w:lang w:val="sq-AL" w:eastAsia="en-US" w:bidi="en-US"/>
        </w:rPr>
        <w:t>ë</w:t>
      </w:r>
      <w:r w:rsidR="00836552">
        <w:rPr>
          <w:rFonts w:asciiTheme="majorHAnsi" w:hAnsiTheme="majorHAnsi"/>
          <w:sz w:val="22"/>
          <w:szCs w:val="22"/>
          <w:lang w:val="sq-AL" w:eastAsia="en-US" w:bidi="en-US"/>
        </w:rPr>
        <w:t>si, p</w:t>
      </w:r>
      <w:r w:rsidRPr="00836552">
        <w:rPr>
          <w:rFonts w:asciiTheme="majorHAnsi" w:hAnsiTheme="majorHAnsi"/>
          <w:sz w:val="22"/>
          <w:szCs w:val="22"/>
          <w:lang w:val="sq-AL" w:eastAsia="en-US" w:bidi="en-US"/>
        </w:rPr>
        <w:t>ër ato njësi</w:t>
      </w:r>
      <w:r w:rsidR="004B7B5C" w:rsidRPr="00836552">
        <w:rPr>
          <w:rFonts w:asciiTheme="majorHAnsi" w:hAnsiTheme="majorHAnsi"/>
          <w:sz w:val="22"/>
          <w:szCs w:val="22"/>
          <w:lang w:val="sq-AL" w:eastAsia="en-US" w:bidi="en-US"/>
        </w:rPr>
        <w:t>,</w:t>
      </w:r>
      <w:r w:rsidRPr="00836552">
        <w:rPr>
          <w:rFonts w:asciiTheme="majorHAnsi" w:hAnsiTheme="majorHAnsi"/>
          <w:sz w:val="22"/>
          <w:szCs w:val="22"/>
          <w:lang w:val="sq-AL" w:eastAsia="en-US" w:bidi="en-US"/>
        </w:rPr>
        <w:t xml:space="preserve"> që paraqiten me një nivel të realizimit të shpenzimeve më të ulët se plani fillestar i miratuar në Kuvend, evidentojmë se shkaqet krye</w:t>
      </w:r>
      <w:r w:rsidR="004B7B5C" w:rsidRPr="00836552">
        <w:rPr>
          <w:rFonts w:asciiTheme="majorHAnsi" w:hAnsiTheme="majorHAnsi"/>
          <w:sz w:val="22"/>
          <w:szCs w:val="22"/>
          <w:lang w:val="sq-AL" w:eastAsia="en-US" w:bidi="en-US"/>
        </w:rPr>
        <w:t xml:space="preserve">sore që ndikojnë në performancë </w:t>
      </w:r>
      <w:r w:rsidRPr="00836552">
        <w:rPr>
          <w:rFonts w:asciiTheme="majorHAnsi" w:hAnsiTheme="majorHAnsi"/>
          <w:sz w:val="22"/>
          <w:szCs w:val="22"/>
          <w:lang w:val="sq-AL" w:eastAsia="en-US" w:bidi="en-US"/>
        </w:rPr>
        <w:t>konsistojnë në mosrea</w:t>
      </w:r>
      <w:r w:rsidR="004B7B5C" w:rsidRPr="00836552">
        <w:rPr>
          <w:rFonts w:asciiTheme="majorHAnsi" w:hAnsiTheme="majorHAnsi"/>
          <w:sz w:val="22"/>
          <w:szCs w:val="22"/>
          <w:lang w:val="sq-AL" w:eastAsia="en-US" w:bidi="en-US"/>
        </w:rPr>
        <w:t xml:space="preserve">lizimin e shpenzimeve për paga, </w:t>
      </w:r>
      <w:r w:rsidRPr="00836552">
        <w:rPr>
          <w:rFonts w:asciiTheme="majorHAnsi" w:hAnsiTheme="majorHAnsi"/>
          <w:sz w:val="22"/>
          <w:szCs w:val="22"/>
          <w:lang w:val="sq-AL" w:eastAsia="en-US" w:bidi="en-US"/>
        </w:rPr>
        <w:t>sigurim si edhe rastet</w:t>
      </w:r>
      <w:r w:rsidRPr="00604C05">
        <w:rPr>
          <w:rFonts w:asciiTheme="majorHAnsi" w:hAnsiTheme="majorHAnsi"/>
          <w:sz w:val="22"/>
          <w:szCs w:val="22"/>
          <w:lang w:val="sq-AL" w:eastAsia="en-US" w:bidi="en-US"/>
        </w:rPr>
        <w:t xml:space="preserve"> e mosplotësimit të punonjësve në organikë. Gjithashtu, mund të përmendim problematikat e krijuara nga mosrealizimi i shpenzimeve për “Mallra e shërbime”, për shkak të mosrealizimit të zërave të tillë si shpenzime për udhëtim e dieta për jashtë. Për institucionet në të cilat realizimi në fakt i fondeve paraqitet më i lartë se sa plani fillestar i miratuar në Kuvend, arsyeja është se gjatë vitit, këtyre institucioneve i janë shtuar fondet nëpërmjet akteve normative dhe nëpërmjet përdorimeve nga Fondi Rezervë i Buxhetit të Shtetit.   </w:t>
      </w:r>
    </w:p>
    <w:p w:rsidR="00B56CA5" w:rsidRPr="00AE4B26" w:rsidRDefault="00B56CA5" w:rsidP="00AE4B26">
      <w:pPr>
        <w:numPr>
          <w:ilvl w:val="0"/>
          <w:numId w:val="1"/>
        </w:numPr>
        <w:spacing w:after="160"/>
        <w:contextualSpacing/>
        <w:jc w:val="both"/>
        <w:rPr>
          <w:rFonts w:asciiTheme="majorHAnsi" w:hAnsiTheme="majorHAnsi"/>
          <w:sz w:val="22"/>
          <w:szCs w:val="22"/>
          <w:lang w:val="sq-AL" w:eastAsia="en-US" w:bidi="en-US"/>
        </w:rPr>
      </w:pPr>
      <w:r w:rsidRPr="00AE4B26">
        <w:rPr>
          <w:rFonts w:asciiTheme="majorHAnsi" w:hAnsiTheme="majorHAnsi"/>
          <w:sz w:val="22"/>
          <w:szCs w:val="22"/>
          <w:lang w:val="sq-AL" w:eastAsia="en-US" w:bidi="en-US"/>
        </w:rPr>
        <w:t xml:space="preserve">Treguesi </w:t>
      </w:r>
      <w:r w:rsidRPr="00AE4B26">
        <w:rPr>
          <w:rFonts w:asciiTheme="majorHAnsi" w:hAnsiTheme="majorHAnsi"/>
          <w:b/>
          <w:sz w:val="22"/>
          <w:szCs w:val="22"/>
          <w:lang w:val="sq-AL" w:eastAsia="en-US" w:bidi="en-US"/>
        </w:rPr>
        <w:t>“Reduktimi i nivelit të detyrimeve të prapambetura”</w:t>
      </w:r>
      <w:r w:rsidRPr="00AE4B26">
        <w:rPr>
          <w:rFonts w:asciiTheme="majorHAnsi" w:hAnsiTheme="majorHAnsi"/>
          <w:lang w:val="sq-AL"/>
        </w:rPr>
        <w:t xml:space="preserve"> </w:t>
      </w:r>
      <w:r w:rsidRPr="00AE4B26">
        <w:rPr>
          <w:rFonts w:asciiTheme="majorHAnsi" w:hAnsiTheme="majorHAnsi"/>
          <w:sz w:val="22"/>
          <w:szCs w:val="22"/>
          <w:lang w:val="sq-AL" w:eastAsia="en-US" w:bidi="en-US"/>
        </w:rPr>
        <w:t>paraqet diferencën e stokut 12 – mujor të detyrimeve të prapambetura të vitit buxhetor korrent me stokun 12-mujor të vitit paraardhës në raport me stokun 12 – mujor të vitit paraardhës. Për vitin 2018,</w:t>
      </w:r>
      <w:r w:rsidR="00244943">
        <w:rPr>
          <w:rFonts w:asciiTheme="majorHAnsi" w:hAnsiTheme="majorHAnsi"/>
          <w:sz w:val="22"/>
          <w:szCs w:val="22"/>
          <w:lang w:val="sq-AL" w:eastAsia="en-US" w:bidi="en-US"/>
        </w:rPr>
        <w:t xml:space="preserve"> </w:t>
      </w:r>
      <w:r w:rsidRPr="00AE4B26">
        <w:rPr>
          <w:rFonts w:asciiTheme="majorHAnsi" w:hAnsiTheme="majorHAnsi"/>
          <w:sz w:val="22"/>
          <w:szCs w:val="22"/>
          <w:lang w:val="sq-AL" w:eastAsia="en-US" w:bidi="en-US"/>
        </w:rPr>
        <w:t>ai është vlerësuar m</w:t>
      </w:r>
      <w:r w:rsidR="004B7B5C" w:rsidRPr="00AE4B26">
        <w:rPr>
          <w:rFonts w:asciiTheme="majorHAnsi" w:hAnsiTheme="majorHAnsi"/>
          <w:sz w:val="22"/>
          <w:szCs w:val="22"/>
          <w:lang w:val="sq-AL" w:eastAsia="en-US" w:bidi="en-US"/>
        </w:rPr>
        <w:t>e</w:t>
      </w:r>
      <w:r w:rsidRPr="00AE4B26">
        <w:rPr>
          <w:rFonts w:asciiTheme="majorHAnsi" w:hAnsiTheme="majorHAnsi"/>
          <w:sz w:val="22"/>
          <w:szCs w:val="22"/>
          <w:lang w:val="sq-AL" w:eastAsia="en-US" w:bidi="en-US"/>
        </w:rPr>
        <w:t>satarisht me 2.</w:t>
      </w:r>
      <w:r w:rsidR="00F4207A" w:rsidRPr="00AE4B26">
        <w:rPr>
          <w:rFonts w:asciiTheme="majorHAnsi" w:hAnsiTheme="majorHAnsi"/>
          <w:sz w:val="22"/>
          <w:szCs w:val="22"/>
          <w:lang w:val="sq-AL" w:eastAsia="en-US" w:bidi="en-US"/>
        </w:rPr>
        <w:t>9</w:t>
      </w:r>
      <w:r w:rsidRPr="00AE4B26">
        <w:rPr>
          <w:rFonts w:asciiTheme="majorHAnsi" w:hAnsiTheme="majorHAnsi"/>
          <w:sz w:val="22"/>
          <w:szCs w:val="22"/>
          <w:lang w:val="sq-AL" w:eastAsia="en-US" w:bidi="en-US"/>
        </w:rPr>
        <w:t xml:space="preserve"> pikë (</w:t>
      </w:r>
      <w:r w:rsidR="001E6936">
        <w:rPr>
          <w:rFonts w:asciiTheme="majorHAnsi" w:hAnsiTheme="majorHAnsi"/>
          <w:sz w:val="22"/>
          <w:szCs w:val="22"/>
          <w:lang w:val="sq-AL" w:eastAsia="en-US" w:bidi="en-US"/>
        </w:rPr>
        <w:t>73</w:t>
      </w:r>
      <w:r w:rsidRPr="00AE4B26">
        <w:rPr>
          <w:rFonts w:asciiTheme="majorHAnsi" w:hAnsiTheme="majorHAnsi"/>
          <w:sz w:val="22"/>
          <w:szCs w:val="22"/>
          <w:lang w:val="sq-AL" w:eastAsia="en-US" w:bidi="en-US"/>
        </w:rPr>
        <w:t xml:space="preserve"> %), i cili tregon për një rritje të përgjithshme </w:t>
      </w:r>
      <w:r w:rsidR="001E6936">
        <w:rPr>
          <w:rFonts w:asciiTheme="majorHAnsi" w:hAnsiTheme="majorHAnsi"/>
          <w:sz w:val="22"/>
          <w:szCs w:val="22"/>
          <w:lang w:val="sq-AL" w:eastAsia="en-US" w:bidi="en-US"/>
        </w:rPr>
        <w:t xml:space="preserve">shumë </w:t>
      </w:r>
      <w:r w:rsidR="00F4207A" w:rsidRPr="00AE4B26">
        <w:rPr>
          <w:rFonts w:asciiTheme="majorHAnsi" w:hAnsiTheme="majorHAnsi"/>
          <w:sz w:val="22"/>
          <w:szCs w:val="22"/>
          <w:lang w:val="sq-AL" w:eastAsia="en-US" w:bidi="en-US"/>
        </w:rPr>
        <w:t>t</w:t>
      </w:r>
      <w:r w:rsidR="00AE4B26" w:rsidRPr="00AE4B26">
        <w:rPr>
          <w:rFonts w:asciiTheme="majorHAnsi" w:hAnsiTheme="majorHAnsi"/>
          <w:sz w:val="22"/>
          <w:szCs w:val="22"/>
          <w:lang w:val="sq-AL" w:eastAsia="en-US" w:bidi="en-US"/>
        </w:rPr>
        <w:t>ë</w:t>
      </w:r>
      <w:r w:rsidR="00F4207A" w:rsidRPr="00AE4B26">
        <w:rPr>
          <w:rFonts w:asciiTheme="majorHAnsi" w:hAnsiTheme="majorHAnsi"/>
          <w:sz w:val="22"/>
          <w:szCs w:val="22"/>
          <w:lang w:val="sq-AL" w:eastAsia="en-US" w:bidi="en-US"/>
        </w:rPr>
        <w:t xml:space="preserve"> leht</w:t>
      </w:r>
      <w:r w:rsidR="00AE4B26" w:rsidRPr="00AE4B26">
        <w:rPr>
          <w:rFonts w:asciiTheme="majorHAnsi" w:hAnsiTheme="majorHAnsi"/>
          <w:sz w:val="22"/>
          <w:szCs w:val="22"/>
          <w:lang w:val="sq-AL" w:eastAsia="en-US" w:bidi="en-US"/>
        </w:rPr>
        <w:t>ë</w:t>
      </w:r>
      <w:r w:rsidR="00F4207A" w:rsidRPr="00AE4B26">
        <w:rPr>
          <w:rFonts w:asciiTheme="majorHAnsi" w:hAnsiTheme="majorHAnsi"/>
          <w:sz w:val="22"/>
          <w:szCs w:val="22"/>
          <w:lang w:val="sq-AL" w:eastAsia="en-US" w:bidi="en-US"/>
        </w:rPr>
        <w:t xml:space="preserve"> </w:t>
      </w:r>
      <w:r w:rsidRPr="00AE4B26">
        <w:rPr>
          <w:rFonts w:asciiTheme="majorHAnsi" w:hAnsiTheme="majorHAnsi"/>
          <w:sz w:val="22"/>
          <w:szCs w:val="22"/>
          <w:lang w:val="sq-AL" w:eastAsia="en-US" w:bidi="en-US"/>
        </w:rPr>
        <w:t>të stokut të detyrimeve të prapambetura krahasur me vitin 2017.</w:t>
      </w:r>
      <w:r w:rsidR="00244943">
        <w:rPr>
          <w:rFonts w:asciiTheme="majorHAnsi" w:hAnsiTheme="majorHAnsi"/>
          <w:sz w:val="22"/>
          <w:szCs w:val="22"/>
          <w:lang w:val="sq-AL" w:eastAsia="en-US" w:bidi="en-US"/>
        </w:rPr>
        <w:t xml:space="preserve"> </w:t>
      </w:r>
      <w:r w:rsidR="00AE4B26" w:rsidRPr="00AE4B26">
        <w:rPr>
          <w:rFonts w:asciiTheme="majorHAnsi" w:hAnsiTheme="majorHAnsi"/>
          <w:sz w:val="22"/>
          <w:szCs w:val="22"/>
          <w:lang w:val="sq-AL" w:eastAsia="en-US" w:bidi="en-US"/>
        </w:rPr>
        <w:t>Specifikisht, për ministritë, stoku 12 - mujor i detyrimeve të prapambetura për vitin 2018 është rritur me 8%, krahasuar me stokun e detyrimeve të vitit paraardhës 2017. Gjithashtu,</w:t>
      </w:r>
      <w:r w:rsidRPr="00AE4B26">
        <w:rPr>
          <w:rFonts w:asciiTheme="majorHAnsi" w:hAnsiTheme="majorHAnsi"/>
          <w:sz w:val="22"/>
          <w:szCs w:val="22"/>
          <w:lang w:val="sq-AL" w:eastAsia="en-US" w:bidi="en-US"/>
        </w:rPr>
        <w:t xml:space="preserve"> </w:t>
      </w:r>
      <w:r w:rsidR="00AE4B26" w:rsidRPr="00AE4B26">
        <w:rPr>
          <w:rFonts w:asciiTheme="majorHAnsi" w:hAnsiTheme="majorHAnsi"/>
          <w:sz w:val="22"/>
          <w:szCs w:val="22"/>
          <w:lang w:val="sq-AL" w:eastAsia="en-US" w:bidi="en-US"/>
        </w:rPr>
        <w:t xml:space="preserve">theksojmë </w:t>
      </w:r>
      <w:r w:rsidRPr="00AE4B26">
        <w:rPr>
          <w:rFonts w:asciiTheme="majorHAnsi" w:hAnsiTheme="majorHAnsi"/>
          <w:sz w:val="22"/>
          <w:szCs w:val="22"/>
          <w:lang w:val="sq-AL" w:eastAsia="en-US" w:bidi="en-US"/>
        </w:rPr>
        <w:t xml:space="preserve">se </w:t>
      </w:r>
      <w:r w:rsidR="00AE4B26" w:rsidRPr="00AE4B26">
        <w:rPr>
          <w:rFonts w:asciiTheme="majorHAnsi" w:hAnsiTheme="majorHAnsi"/>
          <w:sz w:val="22"/>
          <w:szCs w:val="22"/>
          <w:lang w:val="sq-AL" w:eastAsia="en-US" w:bidi="en-US"/>
        </w:rPr>
        <w:t xml:space="preserve">Ministria e Bujqësisë dhe Zhvillimit Rural, Ministria e Drejtësisë dhe Drejtoria e Përgjithshme e Tatimeve rezultojnë me shkallën me të lartë të reduktimit të detyrimeve nga viti 2017 në vitin 2018, ndërsa </w:t>
      </w:r>
      <w:r w:rsidRPr="00AE4B26">
        <w:rPr>
          <w:rFonts w:asciiTheme="majorHAnsi" w:hAnsiTheme="majorHAnsi"/>
          <w:sz w:val="22"/>
          <w:szCs w:val="22"/>
          <w:lang w:val="sq-AL" w:eastAsia="en-US" w:bidi="en-US"/>
        </w:rPr>
        <w:t>ministria me rritjen më të madhe të stokut t</w:t>
      </w:r>
      <w:r w:rsidR="007D08FD" w:rsidRPr="00AE4B26">
        <w:rPr>
          <w:rFonts w:asciiTheme="majorHAnsi" w:hAnsiTheme="majorHAnsi"/>
          <w:sz w:val="22"/>
          <w:szCs w:val="22"/>
          <w:lang w:val="sq-AL" w:eastAsia="en-US" w:bidi="en-US"/>
        </w:rPr>
        <w:t>ë detyrimeve për vitin 2018 është</w:t>
      </w:r>
      <w:r w:rsidRPr="00AE4B26">
        <w:rPr>
          <w:rFonts w:asciiTheme="majorHAnsi" w:hAnsiTheme="majorHAnsi"/>
          <w:sz w:val="22"/>
          <w:szCs w:val="22"/>
          <w:lang w:val="sq-AL" w:eastAsia="en-US" w:bidi="en-US"/>
        </w:rPr>
        <w:t xml:space="preserve"> Ministria e Mbrojtjes, për shkak se trashëgoi detyrimet e programit të Emergjencave Civile pas ristrukturimit të institucioneve.</w:t>
      </w:r>
      <w:r w:rsidR="00006055" w:rsidRPr="00AE4B26">
        <w:rPr>
          <w:rFonts w:asciiTheme="majorHAnsi" w:hAnsiTheme="majorHAnsi"/>
          <w:sz w:val="22"/>
          <w:szCs w:val="22"/>
          <w:lang w:val="sq-AL" w:eastAsia="en-US" w:bidi="en-US"/>
        </w:rPr>
        <w:t xml:space="preserve"> </w:t>
      </w:r>
      <w:r w:rsidR="006C5C85" w:rsidRPr="00AE4B26">
        <w:rPr>
          <w:rFonts w:asciiTheme="majorHAnsi" w:hAnsiTheme="majorHAnsi"/>
          <w:sz w:val="22"/>
          <w:szCs w:val="22"/>
          <w:lang w:val="sq-AL" w:eastAsia="en-US" w:bidi="en-US"/>
        </w:rPr>
        <w:t xml:space="preserve"> </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eastAsia="en-US" w:bidi="en-US"/>
        </w:rPr>
        <w:t>Treguesi</w:t>
      </w:r>
      <w:r w:rsidRPr="00604C05">
        <w:rPr>
          <w:rFonts w:asciiTheme="majorHAnsi" w:hAnsiTheme="majorHAnsi"/>
          <w:b/>
          <w:sz w:val="22"/>
          <w:szCs w:val="22"/>
          <w:lang w:val="sq-AL" w:eastAsia="en-US" w:bidi="en-US"/>
        </w:rPr>
        <w:t xml:space="preserve"> “Realizimi i shpenzimeve kapitale”</w:t>
      </w:r>
      <w:r w:rsidRPr="00604C05">
        <w:rPr>
          <w:rFonts w:asciiTheme="majorHAnsi" w:hAnsiTheme="majorHAnsi"/>
          <w:sz w:val="22"/>
          <w:szCs w:val="22"/>
          <w:lang w:val="sq-AL" w:eastAsia="en-US" w:bidi="en-US"/>
        </w:rPr>
        <w:t xml:space="preserve"> paraqet devijimin nga plani i realizimit i shpenzimeve kapitale në një vit kundrejt shpenzimeve kapitale totale të planifikuara me ligjin e buxhetit vjetor në Kuvend. Për vitin 2018, ky tregues ës</w:t>
      </w:r>
      <w:r w:rsidR="00853C48">
        <w:rPr>
          <w:rFonts w:asciiTheme="majorHAnsi" w:hAnsiTheme="majorHAnsi"/>
          <w:sz w:val="22"/>
          <w:szCs w:val="22"/>
          <w:lang w:val="sq-AL" w:eastAsia="en-US" w:bidi="en-US"/>
        </w:rPr>
        <w:t>htë vlerësuar mesatarisht</w:t>
      </w:r>
      <w:r w:rsidR="006E61C7">
        <w:rPr>
          <w:rFonts w:asciiTheme="majorHAnsi" w:hAnsiTheme="majorHAnsi"/>
          <w:sz w:val="22"/>
          <w:szCs w:val="22"/>
          <w:lang w:val="sq-AL" w:eastAsia="en-US" w:bidi="en-US"/>
        </w:rPr>
        <w:t xml:space="preserve"> me 1.3 pikë (33 </w:t>
      </w:r>
      <w:r w:rsidRPr="00604C05">
        <w:rPr>
          <w:rFonts w:asciiTheme="majorHAnsi" w:hAnsiTheme="majorHAnsi"/>
          <w:sz w:val="22"/>
          <w:szCs w:val="22"/>
          <w:lang w:val="sq-AL" w:eastAsia="en-US" w:bidi="en-US"/>
        </w:rPr>
        <w:t>%), duke shfaqur një performancë jo të kënaqshme të njësive publike</w:t>
      </w:r>
      <w:r w:rsidR="00930736">
        <w:rPr>
          <w:rFonts w:asciiTheme="majorHAnsi" w:hAnsiTheme="majorHAnsi"/>
          <w:sz w:val="22"/>
          <w:szCs w:val="22"/>
          <w:lang w:val="sq-AL" w:eastAsia="en-US" w:bidi="en-US"/>
        </w:rPr>
        <w:t>, duke</w:t>
      </w:r>
      <w:r w:rsidR="006E61C7">
        <w:rPr>
          <w:rFonts w:asciiTheme="majorHAnsi" w:hAnsiTheme="majorHAnsi"/>
          <w:sz w:val="22"/>
          <w:szCs w:val="22"/>
          <w:lang w:val="sq-AL" w:eastAsia="en-US" w:bidi="en-US"/>
        </w:rPr>
        <w:t xml:space="preserve"> qenë se paraqet</w:t>
      </w:r>
      <w:r w:rsidR="00930736">
        <w:rPr>
          <w:rFonts w:asciiTheme="majorHAnsi" w:hAnsiTheme="majorHAnsi"/>
          <w:sz w:val="22"/>
          <w:szCs w:val="22"/>
          <w:lang w:val="sq-AL" w:eastAsia="en-US" w:bidi="en-US"/>
        </w:rPr>
        <w:t xml:space="preserve"> një nivel të konsiderueshëm devijimi nga fondet e planifikuara</w:t>
      </w:r>
      <w:r w:rsidRPr="00604C05">
        <w:rPr>
          <w:rFonts w:asciiTheme="majorHAnsi" w:hAnsiTheme="majorHAnsi"/>
          <w:sz w:val="22"/>
          <w:szCs w:val="22"/>
          <w:lang w:val="sq-AL" w:eastAsia="en-US" w:bidi="en-US"/>
        </w:rPr>
        <w:t xml:space="preserve">. </w:t>
      </w:r>
      <w:r w:rsidR="00930736">
        <w:rPr>
          <w:rFonts w:asciiTheme="majorHAnsi" w:hAnsiTheme="majorHAnsi"/>
          <w:sz w:val="22"/>
          <w:szCs w:val="22"/>
          <w:lang w:val="sq-AL" w:eastAsia="en-US" w:bidi="en-US"/>
        </w:rPr>
        <w:t>Nga të gjitha grupet e njësive të qeverisjes së përgjithshme të marra në analizë, njësitë e vetëqeverisjes vendore kanë devijimin më të lartë</w:t>
      </w:r>
      <w:r w:rsidR="006E61C7">
        <w:rPr>
          <w:rFonts w:asciiTheme="majorHAnsi" w:hAnsiTheme="majorHAnsi"/>
          <w:sz w:val="22"/>
          <w:szCs w:val="22"/>
          <w:lang w:val="sq-AL" w:eastAsia="en-US" w:bidi="en-US"/>
        </w:rPr>
        <w:t>,</w:t>
      </w:r>
      <w:r w:rsidR="00930736">
        <w:rPr>
          <w:rFonts w:asciiTheme="majorHAnsi" w:hAnsiTheme="majorHAnsi"/>
          <w:sz w:val="22"/>
          <w:szCs w:val="22"/>
          <w:lang w:val="sq-AL" w:eastAsia="en-US" w:bidi="en-US"/>
        </w:rPr>
        <w:t xml:space="preserve"> në krahasim me ministritë e linjës dhe institucionet e pavarura. </w:t>
      </w:r>
      <w:r w:rsidRPr="00604C05">
        <w:rPr>
          <w:rFonts w:asciiTheme="majorHAnsi" w:hAnsiTheme="majorHAnsi"/>
          <w:sz w:val="22"/>
          <w:szCs w:val="22"/>
          <w:lang w:val="sq-AL" w:eastAsia="en-US" w:bidi="en-US"/>
        </w:rPr>
        <w:t>Për ato njësi</w:t>
      </w:r>
      <w:r w:rsidR="00D55E0E">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 xml:space="preserve">të cilat paraqesin një performancë shumë të ulët të realizimit të këtij treguesi, evidentohet se shkaqet kryesore janë të lidhura kryesisht me problematikat dhe vonesat që ndodhin gjatë kryerjes së procedurave të prokurimit. </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b/>
          <w:sz w:val="22"/>
          <w:szCs w:val="22"/>
          <w:lang w:val="sq-AL" w:eastAsia="en-US" w:bidi="en-US"/>
        </w:rPr>
        <w:t>“Investimet kapitale shumëvjeçare janë hedhur në sistem sipas planit kontraktual të disbursimit”</w:t>
      </w:r>
      <w:r w:rsidRPr="00604C05">
        <w:rPr>
          <w:rFonts w:asciiTheme="majorHAnsi" w:hAnsiTheme="majorHAnsi"/>
          <w:sz w:val="22"/>
          <w:szCs w:val="22"/>
          <w:lang w:val="sq-AL" w:eastAsia="en-US" w:bidi="en-US"/>
        </w:rPr>
        <w:t xml:space="preserve"> është një tregues tjetër i rëndësishëm, i cili paraqet shumën totale të shpenzimeve për projektet e investimeve në periudhën e vlerësimit (një ose disavjeçare) kundrejt shumës totale të planit shumëvjeçar të parashikuar për projektet. Njësitë e vetëqeverisjes vendore, nuk përfshihen në analizë për këtë tregues.</w:t>
      </w:r>
      <w:r w:rsidR="00050319">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Për periudhën analizuese, ky tregues është vlerësuar mesatarisht me 1.5 pikë (ose 3</w:t>
      </w:r>
      <w:r w:rsidR="006E61C7">
        <w:rPr>
          <w:rFonts w:asciiTheme="majorHAnsi" w:hAnsiTheme="majorHAnsi"/>
          <w:sz w:val="22"/>
          <w:szCs w:val="22"/>
          <w:lang w:val="sq-AL" w:eastAsia="en-US" w:bidi="en-US"/>
        </w:rPr>
        <w:t xml:space="preserve">8 </w:t>
      </w:r>
      <w:r w:rsidRPr="00604C05">
        <w:rPr>
          <w:rFonts w:asciiTheme="majorHAnsi" w:hAnsiTheme="majorHAnsi"/>
          <w:sz w:val="22"/>
          <w:szCs w:val="22"/>
          <w:lang w:val="sq-AL" w:eastAsia="en-US" w:bidi="en-US"/>
        </w:rPr>
        <w:t>%) të nivelit referues. Ky rezultat paraqitet në nivele shumë të ulëta, duke evidentuar faktin se pothuajse të gjitha njësitë publike të marra në analizë shfaqin problematika përsa i përket parashikimit të fondeve në fillim të vitit buxhetor, gjë e cila ka sjellë diferenca apo devijime të mëdha të planeve buxhetore. Gjithashtu, rishikimi i buxhetit kryhet duke i kaluar fondet nga projektet me ecuri më të ulët në ato me ecuri më të lartë. Ecuria e ulët mund të jetë</w:t>
      </w:r>
      <w:r w:rsidR="001C7068">
        <w:rPr>
          <w:rFonts w:asciiTheme="majorHAnsi" w:hAnsiTheme="majorHAnsi"/>
          <w:sz w:val="22"/>
          <w:szCs w:val="22"/>
          <w:lang w:val="sq-AL" w:eastAsia="en-US" w:bidi="en-US"/>
        </w:rPr>
        <w:t xml:space="preserve"> rezultat edhe i planifikimit të</w:t>
      </w:r>
      <w:r w:rsidRPr="00604C05">
        <w:rPr>
          <w:rFonts w:asciiTheme="majorHAnsi" w:hAnsiTheme="majorHAnsi"/>
          <w:sz w:val="22"/>
          <w:szCs w:val="22"/>
          <w:lang w:val="sq-AL" w:eastAsia="en-US" w:bidi="en-US"/>
        </w:rPr>
        <w:t xml:space="preserve"> gabuar, ku nuk janë mbajtur parasysh faktorët që mund të pengojnë ecurinë e projektit gjatë vitit.</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rPr>
        <w:t xml:space="preserve">Treguesi i parë i analizuar nga struktura përgjegjëse për harmonizimin e menaxhimit financiar, kontrollin dhe kontabilitetin është </w:t>
      </w:r>
      <w:r w:rsidRPr="00604C05">
        <w:rPr>
          <w:rFonts w:asciiTheme="majorHAnsi" w:hAnsiTheme="majorHAnsi"/>
          <w:b/>
          <w:sz w:val="22"/>
          <w:szCs w:val="22"/>
          <w:lang w:val="sq-AL"/>
        </w:rPr>
        <w:t>“Hartimi m</w:t>
      </w:r>
      <w:r w:rsidR="00D0093C">
        <w:rPr>
          <w:rFonts w:asciiTheme="majorHAnsi" w:hAnsiTheme="majorHAnsi"/>
          <w:b/>
          <w:sz w:val="22"/>
          <w:szCs w:val="22"/>
          <w:lang w:val="sq-AL"/>
        </w:rPr>
        <w:t>e</w:t>
      </w:r>
      <w:r w:rsidRPr="00604C05">
        <w:rPr>
          <w:rFonts w:asciiTheme="majorHAnsi" w:hAnsiTheme="majorHAnsi"/>
          <w:b/>
          <w:sz w:val="22"/>
          <w:szCs w:val="22"/>
          <w:lang w:val="sq-AL"/>
        </w:rPr>
        <w:t xml:space="preserve"> cilësi i planit të veprimit të MFK-së dhe paraqitja brenda afateve kohore të përcaktuara</w:t>
      </w:r>
      <w:r w:rsidRPr="00604C05">
        <w:rPr>
          <w:rFonts w:asciiTheme="majorHAnsi" w:hAnsiTheme="majorHAnsi"/>
          <w:sz w:val="22"/>
          <w:szCs w:val="22"/>
          <w:lang w:val="sq-AL"/>
        </w:rPr>
        <w:t>”, i cili përcakton respektimin e afatit kohor dhe cilësinë e përmbajtjes së Planit të Veprimit për ngritjen e sistemit të MFK-së në njësitë e qeverisjes së përgjithshme. Për vitin 2018, ky tregues është vlerësuar mesatarisht në nivelin 2.53 pikë nga 4 pikë të mundshme (ose 63.2 %), duke reflektuar një performancë mesatar</w:t>
      </w:r>
      <w:r w:rsidR="005B572D">
        <w:rPr>
          <w:rFonts w:asciiTheme="majorHAnsi" w:hAnsiTheme="majorHAnsi"/>
          <w:sz w:val="22"/>
          <w:szCs w:val="22"/>
          <w:lang w:val="sq-AL"/>
        </w:rPr>
        <w:t>isht të kënaqshme në këtë fushë</w:t>
      </w:r>
      <w:r w:rsidRPr="00604C05">
        <w:rPr>
          <w:rFonts w:asciiTheme="majorHAnsi" w:hAnsiTheme="majorHAnsi"/>
          <w:sz w:val="22"/>
          <w:szCs w:val="22"/>
          <w:lang w:val="sq-AL"/>
        </w:rPr>
        <w:t xml:space="preserve"> për të gjitha grupet e institucioneve. Kryesisht, situata paraqitet më pozitive për institucionet e pavarura, për të cilat efektiviteti i këtij treguesi është 74 %. Plani i veprimit për MFK-në është një instrument i ri i sistemit të kontrollit të brendshëm dhe për këtë arsye</w:t>
      </w:r>
      <w:r w:rsidR="0028614F">
        <w:rPr>
          <w:rFonts w:asciiTheme="majorHAnsi" w:hAnsiTheme="majorHAnsi"/>
          <w:sz w:val="22"/>
          <w:szCs w:val="22"/>
          <w:lang w:val="sq-AL"/>
        </w:rPr>
        <w:t>,</w:t>
      </w:r>
      <w:r w:rsidRPr="00604C05">
        <w:rPr>
          <w:rFonts w:asciiTheme="majorHAnsi" w:hAnsiTheme="majorHAnsi"/>
          <w:sz w:val="22"/>
          <w:szCs w:val="22"/>
          <w:lang w:val="sq-AL"/>
        </w:rPr>
        <w:t xml:space="preserve"> shumë institucione kanë pasur vështirësi në kuptimin e rëndësisë dhe në plotësimin</w:t>
      </w:r>
      <w:r w:rsidR="00151169">
        <w:rPr>
          <w:rFonts w:asciiTheme="majorHAnsi" w:hAnsiTheme="majorHAnsi"/>
          <w:sz w:val="22"/>
          <w:szCs w:val="22"/>
          <w:lang w:val="sq-AL"/>
        </w:rPr>
        <w:t xml:space="preserve"> </w:t>
      </w:r>
      <w:r w:rsidRPr="00604C05">
        <w:rPr>
          <w:rFonts w:asciiTheme="majorHAnsi" w:hAnsiTheme="majorHAnsi"/>
          <w:sz w:val="22"/>
          <w:szCs w:val="22"/>
          <w:lang w:val="sq-AL"/>
        </w:rPr>
        <w:t>e tij. Pavarësisht informimit dhe komunikimit të vazhdueshëm me institucionet në lidhje me objektivin dhe rëndësinë e planit të veprimit, vihet re një mungesë ndërgjegjësimi e tyre mbi mënyrën e marrjes së masave dhe ndjekjes së mëtejshme të zbatimit të tyre në lidhje me fushën e kontrollit të brendshëm. Gjithashtu, një problematikë që rezu</w:t>
      </w:r>
      <w:r w:rsidR="00151169">
        <w:rPr>
          <w:rFonts w:asciiTheme="majorHAnsi" w:hAnsiTheme="majorHAnsi"/>
          <w:sz w:val="22"/>
          <w:szCs w:val="22"/>
          <w:lang w:val="sq-AL"/>
        </w:rPr>
        <w:t>lton nga analiza e tyre është vë</w:t>
      </w:r>
      <w:r w:rsidRPr="00604C05">
        <w:rPr>
          <w:rFonts w:asciiTheme="majorHAnsi" w:hAnsiTheme="majorHAnsi"/>
          <w:sz w:val="22"/>
          <w:szCs w:val="22"/>
          <w:lang w:val="sq-AL"/>
        </w:rPr>
        <w:t>shtirësia që kanë institucionet për të përcaktuar qartësisht dhe përfshirë në plan rekomandimet e lëna nga Njësitë e Auditimit të Brendshëm dhe Kontrollit të Lartë të Shtetit në lidhje me fushë</w:t>
      </w:r>
      <w:r w:rsidR="00111564">
        <w:rPr>
          <w:rFonts w:asciiTheme="majorHAnsi" w:hAnsiTheme="majorHAnsi"/>
          <w:sz w:val="22"/>
          <w:szCs w:val="22"/>
          <w:lang w:val="sq-AL"/>
        </w:rPr>
        <w:t>n e menaxhimit financiar dhe ko</w:t>
      </w:r>
      <w:r w:rsidRPr="00604C05">
        <w:rPr>
          <w:rFonts w:asciiTheme="majorHAnsi" w:hAnsiTheme="majorHAnsi"/>
          <w:sz w:val="22"/>
          <w:szCs w:val="22"/>
          <w:lang w:val="sq-AL"/>
        </w:rPr>
        <w:t>n</w:t>
      </w:r>
      <w:r w:rsidR="00111564">
        <w:rPr>
          <w:rFonts w:asciiTheme="majorHAnsi" w:hAnsiTheme="majorHAnsi"/>
          <w:sz w:val="22"/>
          <w:szCs w:val="22"/>
          <w:lang w:val="sq-AL"/>
        </w:rPr>
        <w:t>t</w:t>
      </w:r>
      <w:r w:rsidRPr="00604C05">
        <w:rPr>
          <w:rFonts w:asciiTheme="majorHAnsi" w:hAnsiTheme="majorHAnsi"/>
          <w:sz w:val="22"/>
          <w:szCs w:val="22"/>
          <w:lang w:val="sq-AL"/>
        </w:rPr>
        <w:t>rollit.</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rPr>
        <w:t xml:space="preserve">Një tjetër tregues i analizuar nga struktura përgjegjëse për harmonizimin e menaxhimit financiar, kontrollin dhe kontabilitetin është </w:t>
      </w:r>
      <w:r w:rsidRPr="00604C05">
        <w:rPr>
          <w:rFonts w:asciiTheme="majorHAnsi" w:hAnsiTheme="majorHAnsi"/>
          <w:b/>
          <w:sz w:val="22"/>
          <w:szCs w:val="22"/>
          <w:lang w:val="sq-AL"/>
        </w:rPr>
        <w:t>“Gjithëpërfshirja dhe rregullsia e raportimit vjetor mbi sistemin e kontrollit të brendshëm”,</w:t>
      </w:r>
      <w:r w:rsidRPr="00604C05">
        <w:rPr>
          <w:rFonts w:asciiTheme="majorHAnsi" w:hAnsiTheme="majorHAnsi"/>
          <w:sz w:val="22"/>
          <w:szCs w:val="22"/>
          <w:lang w:val="sq-AL"/>
        </w:rPr>
        <w:t xml:space="preserve"> i cili përcakton përmbushjen e kritereve ligjore, cilësinë e raportit vjetor dhe deklaratës së cilësisë si dhe gjithëpërfshirjen e informacionit mbi statusin e implementimit të kontrollit të brendshëm në njësitë publike (nëpërmjet pyetësorëve të vetëvlerësimit). Për vitin 2018, ky tregues është vlerësuar mesatarisht në nivelin 2.9 pikë nga 4 pikë të mundshme (ose 73 %), duke reflektuar një performancë mesatarisht të kënaqshme në këtë fushë për të gjitha grupet e institucioneve. Pjesa më e</w:t>
      </w:r>
      <w:r w:rsidR="009D552E">
        <w:rPr>
          <w:rFonts w:asciiTheme="majorHAnsi" w:hAnsiTheme="majorHAnsi"/>
          <w:sz w:val="22"/>
          <w:szCs w:val="22"/>
          <w:lang w:val="sq-AL"/>
        </w:rPr>
        <w:t xml:space="preserve"> madhe e institucioneve kanë re</w:t>
      </w:r>
      <w:r w:rsidRPr="00604C05">
        <w:rPr>
          <w:rFonts w:asciiTheme="majorHAnsi" w:hAnsiTheme="majorHAnsi"/>
          <w:sz w:val="22"/>
          <w:szCs w:val="22"/>
          <w:lang w:val="sq-AL"/>
        </w:rPr>
        <w:t>spektuar afatin kohor të dërgimit të raportit vjetor dhe deklaratës së cilësisë si dhe i kanë paraqitur ato në formatin e duhur. Gjithashtu, pyetësorët e vetëvlerësimit, në përgjithësi</w:t>
      </w:r>
      <w:r w:rsidR="009D552E">
        <w:rPr>
          <w:rFonts w:asciiTheme="majorHAnsi" w:hAnsiTheme="majorHAnsi"/>
          <w:sz w:val="22"/>
          <w:szCs w:val="22"/>
          <w:lang w:val="sq-AL"/>
        </w:rPr>
        <w:t xml:space="preserve">, </w:t>
      </w:r>
      <w:r w:rsidRPr="00604C05">
        <w:rPr>
          <w:rFonts w:asciiTheme="majorHAnsi" w:hAnsiTheme="majorHAnsi"/>
          <w:sz w:val="22"/>
          <w:szCs w:val="22"/>
          <w:lang w:val="sq-AL"/>
        </w:rPr>
        <w:t xml:space="preserve">kanë pasqyruar një informacion të plotë, gjithëpërfshirës në lidhje me statusin e implementimit si dhe të arsyetuar me evidenca </w:t>
      </w:r>
      <w:r w:rsidR="002B5812">
        <w:rPr>
          <w:rFonts w:asciiTheme="majorHAnsi" w:hAnsiTheme="majorHAnsi"/>
          <w:sz w:val="22"/>
          <w:szCs w:val="22"/>
          <w:lang w:val="sq-AL"/>
        </w:rPr>
        <w:t xml:space="preserve">mbështetëse konkrete. Gjithsesi, </w:t>
      </w:r>
      <w:r w:rsidRPr="00604C05">
        <w:rPr>
          <w:rFonts w:asciiTheme="majorHAnsi" w:hAnsiTheme="majorHAnsi"/>
          <w:sz w:val="22"/>
          <w:szCs w:val="22"/>
          <w:lang w:val="sq-AL"/>
        </w:rPr>
        <w:t>theksojmë se</w:t>
      </w:r>
      <w:r w:rsidR="002B5812">
        <w:rPr>
          <w:rFonts w:asciiTheme="majorHAnsi" w:hAnsiTheme="majorHAnsi"/>
          <w:sz w:val="22"/>
          <w:szCs w:val="22"/>
          <w:lang w:val="sq-AL"/>
        </w:rPr>
        <w:t>,</w:t>
      </w:r>
      <w:r w:rsidRPr="00604C05">
        <w:rPr>
          <w:rFonts w:asciiTheme="majorHAnsi" w:hAnsiTheme="majorHAnsi"/>
          <w:sz w:val="22"/>
          <w:szCs w:val="22"/>
          <w:lang w:val="sq-AL"/>
        </w:rPr>
        <w:t xml:space="preserve"> për shkak të ndryshimeve të pyetësorit të vetëvlerësimit këtë vit, ende ka nevojë për një ndërgjegjësim më të lartë të institucioneve në lidhje me mënyrën dhe rëndësinë e plotësimit të tij në kuadër të paraqitjes së situatës reale të sistemit të kontrollit të brendshëm në njësitë publike. </w:t>
      </w:r>
    </w:p>
    <w:p w:rsidR="00B56CA5" w:rsidRPr="00604C05" w:rsidRDefault="00B56CA5" w:rsidP="00887B88">
      <w:pPr>
        <w:numPr>
          <w:ilvl w:val="0"/>
          <w:numId w:val="1"/>
        </w:numPr>
        <w:spacing w:after="160"/>
        <w:contextualSpacing/>
        <w:jc w:val="both"/>
        <w:rPr>
          <w:rFonts w:asciiTheme="majorHAnsi" w:hAnsiTheme="majorHAnsi"/>
          <w:sz w:val="22"/>
          <w:szCs w:val="22"/>
          <w:lang w:val="sq-AL"/>
        </w:rPr>
      </w:pPr>
      <w:r w:rsidRPr="00604C05">
        <w:rPr>
          <w:rFonts w:asciiTheme="majorHAnsi" w:hAnsiTheme="majorHAnsi"/>
          <w:sz w:val="22"/>
          <w:szCs w:val="22"/>
          <w:lang w:val="sq-AL"/>
        </w:rPr>
        <w:t xml:space="preserve">Treguesi i fundit i analizuar nga struktura përgjegjëse për harmonizimin e menaxhimit financiar, kontrollin dhe kontabilitetin është </w:t>
      </w:r>
      <w:r w:rsidRPr="00604C05">
        <w:rPr>
          <w:rFonts w:asciiTheme="majorHAnsi" w:hAnsiTheme="majorHAnsi"/>
          <w:b/>
          <w:sz w:val="22"/>
          <w:szCs w:val="22"/>
          <w:lang w:val="sq-AL"/>
        </w:rPr>
        <w:t>“Efektiviteti i mekanizmave bazë të përgjegjshmërisë menaxheriale në njësitë e sektorit publik”,</w:t>
      </w:r>
      <w:r w:rsidRPr="00604C05">
        <w:rPr>
          <w:rFonts w:asciiTheme="majorHAnsi" w:hAnsiTheme="majorHAnsi"/>
          <w:sz w:val="22"/>
          <w:szCs w:val="22"/>
          <w:lang w:val="sq-AL"/>
        </w:rPr>
        <w:t xml:space="preserve"> i cili vlerëson se në çfarë mase dhe sa shpesh njësitë publike përmbushin kriteret themelore të përgjegjshmërisë menaxheriale. Për këtë arsye, nga py</w:t>
      </w:r>
      <w:r w:rsidR="002B5812">
        <w:rPr>
          <w:rFonts w:asciiTheme="majorHAnsi" w:hAnsiTheme="majorHAnsi"/>
          <w:sz w:val="22"/>
          <w:szCs w:val="22"/>
          <w:lang w:val="sq-AL"/>
        </w:rPr>
        <w:t>e</w:t>
      </w:r>
      <w:r w:rsidRPr="00604C05">
        <w:rPr>
          <w:rFonts w:asciiTheme="majorHAnsi" w:hAnsiTheme="majorHAnsi"/>
          <w:sz w:val="22"/>
          <w:szCs w:val="22"/>
          <w:lang w:val="sq-AL"/>
        </w:rPr>
        <w:t>tësori i vetëvlerësimit, janë zgjedhur 28 pyetje, të cilat lidhen me fushën e përgjegjshmërisë m</w:t>
      </w:r>
      <w:r w:rsidR="008C7EA3">
        <w:rPr>
          <w:rFonts w:asciiTheme="majorHAnsi" w:hAnsiTheme="majorHAnsi"/>
          <w:sz w:val="22"/>
          <w:szCs w:val="22"/>
          <w:lang w:val="sq-AL"/>
        </w:rPr>
        <w:t>e</w:t>
      </w:r>
      <w:r w:rsidRPr="00604C05">
        <w:rPr>
          <w:rFonts w:asciiTheme="majorHAnsi" w:hAnsiTheme="majorHAnsi"/>
          <w:sz w:val="22"/>
          <w:szCs w:val="22"/>
          <w:lang w:val="sq-AL"/>
        </w:rPr>
        <w:t>naxheriale. Për vitin 2018, ky tregues është vlerësuar mesatarisht në nivelin 2.7 pikë nga 4 pikë të mundshme (ose 67.6 %), duke reflektuar një performancë mesatare në këtë fushë, për të gjitha grupet e institucioneve. Në përgjithësi, institucionet kanë miratuar struktura organizative të përshtatshme me madhësinë dhe kompleksitetin e veprimtarisë së tyre, duke përmendur që, gjatë vitit 2018, të gjitha ministritë patën ndryshime të rëndësishme në strukturat e tyre. Kryesisht, institucionet theksojnë se objektivat e tyre i kanë të paraqitura në Programin Buxhetor Afatmesëm dhe shumë pak prej tyre kanë një plan vjetor të konsoliduar të miratuar. Gjithashtu, në lidhje me raportimin brenda institucionit ose me njësitë e varësisë vihet re se ka mungesë informacioni në lidhje me arritjen e objektivave apo analizimi</w:t>
      </w:r>
      <w:r w:rsidR="009877A9">
        <w:rPr>
          <w:rFonts w:asciiTheme="majorHAnsi" w:hAnsiTheme="majorHAnsi"/>
          <w:sz w:val="22"/>
          <w:szCs w:val="22"/>
          <w:lang w:val="sq-AL"/>
        </w:rPr>
        <w:t>n</w:t>
      </w:r>
      <w:r w:rsidRPr="00604C05">
        <w:rPr>
          <w:rFonts w:asciiTheme="majorHAnsi" w:hAnsiTheme="majorHAnsi"/>
          <w:sz w:val="22"/>
          <w:szCs w:val="22"/>
          <w:lang w:val="sq-AL"/>
        </w:rPr>
        <w:t xml:space="preserve"> </w:t>
      </w:r>
      <w:r w:rsidR="009877A9">
        <w:rPr>
          <w:rFonts w:asciiTheme="majorHAnsi" w:hAnsiTheme="majorHAnsi"/>
          <w:sz w:val="22"/>
          <w:szCs w:val="22"/>
          <w:lang w:val="sq-AL"/>
        </w:rPr>
        <w:t>e</w:t>
      </w:r>
      <w:r w:rsidRPr="00604C05">
        <w:rPr>
          <w:rFonts w:asciiTheme="majorHAnsi" w:hAnsiTheme="majorHAnsi"/>
          <w:sz w:val="22"/>
          <w:szCs w:val="22"/>
          <w:lang w:val="sq-AL"/>
        </w:rPr>
        <w:t xml:space="preserve"> treguesve të performancës, duke realizuar kryesisht raportim mbi tregues financiarë ose buxhetorë. Një ndër elementet thelbësorë përbërës të përgjegjshmërisë menaxheriale është delegimi i detyrave. Delegimi i mundëson nivelit të lartë menaxherial angazhimin në detyra strategjike dhe më të rëndësishme në një periudhë të dhënë. Aktualisht, nga përgjigjet e pyetësorëve të vetëvlerësimit, pjesa më e madhe e institucioneve kryejnë procedura delegimi sipas kërkesave të Kodit të Procedurave Administrative dhe jo delegim sipas kërkesave të Ligjit nr. 10296, datë 08.07.2010, i ndyshuar “Për Menaxhimin Financiar dhe Kontrollin”. Në këtë kuadër, theksojmë se është e nevojshme rritja e ndërgjegjësimit të nivelit të lartë menaxherial për të përdorur delegimin si një instrument të rëndësishëm të realizimit me efektivitet të funksioneve të tyre, duke përcaktuar qartësisht dhe mënyrën e raportimit për detyrën e deleguar.</w:t>
      </w:r>
    </w:p>
    <w:p w:rsidR="00130F30" w:rsidRPr="00604C05" w:rsidRDefault="00130F30" w:rsidP="00D60999">
      <w:pPr>
        <w:jc w:val="both"/>
        <w:rPr>
          <w:rFonts w:ascii="Cambria" w:hAnsi="Cambria"/>
          <w:color w:val="000000"/>
          <w:sz w:val="22"/>
          <w:szCs w:val="22"/>
          <w:lang w:val="sq-AL"/>
        </w:rPr>
      </w:pPr>
    </w:p>
    <w:p w:rsidR="001271A2" w:rsidRDefault="001271A2" w:rsidP="004E3265">
      <w:pPr>
        <w:pStyle w:val="Heading1"/>
      </w:pPr>
      <w:bookmarkStart w:id="50" w:name="_Toc451510080"/>
      <w:bookmarkStart w:id="51" w:name="_Toc451511572"/>
      <w:bookmarkStart w:id="52" w:name="_Toc9082368"/>
      <w:bookmarkStart w:id="53" w:name="_Toc450654245"/>
      <w:bookmarkStart w:id="54" w:name="_Toc420488144"/>
      <w:bookmarkEnd w:id="31"/>
    </w:p>
    <w:p w:rsidR="001271A2" w:rsidRDefault="001271A2" w:rsidP="004E3265">
      <w:pPr>
        <w:pStyle w:val="Heading1"/>
      </w:pPr>
    </w:p>
    <w:p w:rsidR="001271A2" w:rsidRDefault="001271A2" w:rsidP="004E3265">
      <w:pPr>
        <w:pStyle w:val="Heading1"/>
      </w:pPr>
    </w:p>
    <w:p w:rsidR="001271A2" w:rsidRDefault="001271A2" w:rsidP="004E3265">
      <w:pPr>
        <w:pStyle w:val="Heading1"/>
      </w:pPr>
    </w:p>
    <w:p w:rsidR="001271A2" w:rsidRDefault="001271A2" w:rsidP="004E3265">
      <w:pPr>
        <w:pStyle w:val="Heading1"/>
      </w:pPr>
    </w:p>
    <w:p w:rsidR="001271A2" w:rsidRDefault="001271A2" w:rsidP="004E3265">
      <w:pPr>
        <w:pStyle w:val="Heading1"/>
      </w:pPr>
    </w:p>
    <w:p w:rsidR="001271A2" w:rsidRDefault="001271A2" w:rsidP="004E3265">
      <w:pPr>
        <w:pStyle w:val="Heading1"/>
        <w:sectPr w:rsidR="001271A2" w:rsidSect="004E497C">
          <w:pgSz w:w="11900" w:h="16840"/>
          <w:pgMar w:top="1417" w:right="1417" w:bottom="1134" w:left="1417" w:header="708" w:footer="708" w:gutter="0"/>
          <w:cols w:space="708"/>
          <w:docGrid w:linePitch="360"/>
        </w:sectPr>
      </w:pPr>
    </w:p>
    <w:p w:rsidR="00780107" w:rsidRPr="004E3265" w:rsidRDefault="00780107" w:rsidP="004E3265">
      <w:pPr>
        <w:pStyle w:val="Heading1"/>
      </w:pPr>
      <w:r w:rsidRPr="004E3265">
        <w:t>KAPITULLI II- MENAXHIMI fINANCIAR DHE KONTROLLI</w:t>
      </w:r>
      <w:bookmarkEnd w:id="50"/>
      <w:bookmarkEnd w:id="51"/>
      <w:bookmarkEnd w:id="52"/>
      <w:r w:rsidRPr="004E3265">
        <w:t xml:space="preserve"> </w:t>
      </w:r>
      <w:bookmarkEnd w:id="53"/>
    </w:p>
    <w:p w:rsidR="00AC0136" w:rsidRPr="00AC0136" w:rsidRDefault="00AC0136" w:rsidP="00AC0136">
      <w:pPr>
        <w:jc w:val="both"/>
        <w:rPr>
          <w:rFonts w:ascii="Cambria" w:eastAsia="Calibri" w:hAnsi="Cambria"/>
          <w:sz w:val="22"/>
          <w:szCs w:val="22"/>
          <w:lang w:val="sq-AL"/>
        </w:rPr>
      </w:pPr>
      <w:bookmarkStart w:id="55" w:name="_Toc450654251"/>
      <w:bookmarkStart w:id="56" w:name="_Toc451510081"/>
      <w:bookmarkStart w:id="57" w:name="_Toc451511573"/>
      <w:bookmarkStart w:id="58" w:name="_Toc420488145"/>
      <w:bookmarkStart w:id="59" w:name="_Toc450654246"/>
      <w:bookmarkEnd w:id="54"/>
      <w:r w:rsidRPr="00AC0136">
        <w:rPr>
          <w:rFonts w:ascii="Cambria" w:eastAsia="Calibri" w:hAnsi="Cambria"/>
          <w:sz w:val="22"/>
          <w:szCs w:val="22"/>
          <w:lang w:val="sq-AL"/>
        </w:rPr>
        <w:t xml:space="preserve">Menaxhimi financiar dhe kontrolli </w:t>
      </w:r>
      <w:r>
        <w:rPr>
          <w:rFonts w:ascii="Cambria" w:eastAsia="Calibri" w:hAnsi="Cambria"/>
          <w:sz w:val="22"/>
          <w:szCs w:val="22"/>
          <w:lang w:val="sq-AL"/>
        </w:rPr>
        <w:t>ë</w:t>
      </w:r>
      <w:r w:rsidRPr="00AC0136">
        <w:rPr>
          <w:rFonts w:ascii="Cambria" w:eastAsia="Calibri" w:hAnsi="Cambria"/>
          <w:sz w:val="22"/>
          <w:szCs w:val="22"/>
          <w:lang w:val="sq-AL"/>
        </w:rPr>
        <w:t>sht</w:t>
      </w:r>
      <w:r>
        <w:rPr>
          <w:rFonts w:ascii="Cambria" w:eastAsia="Calibri" w:hAnsi="Cambria"/>
          <w:sz w:val="22"/>
          <w:szCs w:val="22"/>
          <w:lang w:val="sq-AL"/>
        </w:rPr>
        <w:t>ë</w:t>
      </w:r>
      <w:r w:rsidRPr="00AC0136">
        <w:rPr>
          <w:rFonts w:ascii="Cambria" w:eastAsia="Calibri" w:hAnsi="Cambria"/>
          <w:sz w:val="22"/>
          <w:szCs w:val="22"/>
          <w:lang w:val="sq-AL"/>
        </w:rPr>
        <w:t xml:space="preserve"> nj</w:t>
      </w:r>
      <w:r>
        <w:rPr>
          <w:rFonts w:ascii="Cambria" w:eastAsia="Calibri" w:hAnsi="Cambria"/>
          <w:sz w:val="22"/>
          <w:szCs w:val="22"/>
          <w:lang w:val="sq-AL"/>
        </w:rPr>
        <w:t>ë</w:t>
      </w:r>
      <w:r w:rsidRPr="00AC0136">
        <w:rPr>
          <w:rFonts w:ascii="Cambria" w:eastAsia="Calibri" w:hAnsi="Cambria"/>
          <w:sz w:val="22"/>
          <w:szCs w:val="22"/>
          <w:lang w:val="sq-AL"/>
        </w:rPr>
        <w:t xml:space="preserve"> koncept i r</w:t>
      </w:r>
      <w:r>
        <w:rPr>
          <w:rFonts w:ascii="Cambria" w:eastAsia="Calibri" w:hAnsi="Cambria"/>
          <w:sz w:val="22"/>
          <w:szCs w:val="22"/>
          <w:lang w:val="sq-AL"/>
        </w:rPr>
        <w:t>ë</w:t>
      </w:r>
      <w:r w:rsidRPr="00AC0136">
        <w:rPr>
          <w:rFonts w:ascii="Cambria" w:eastAsia="Calibri" w:hAnsi="Cambria"/>
          <w:sz w:val="22"/>
          <w:szCs w:val="22"/>
          <w:lang w:val="sq-AL"/>
        </w:rPr>
        <w:t>nd</w:t>
      </w:r>
      <w:r>
        <w:rPr>
          <w:rFonts w:ascii="Cambria" w:eastAsia="Calibri" w:hAnsi="Cambria"/>
          <w:sz w:val="22"/>
          <w:szCs w:val="22"/>
          <w:lang w:val="sq-AL"/>
        </w:rPr>
        <w:t>ë</w:t>
      </w:r>
      <w:r w:rsidRPr="00AC0136">
        <w:rPr>
          <w:rFonts w:ascii="Cambria" w:eastAsia="Calibri" w:hAnsi="Cambria"/>
          <w:sz w:val="22"/>
          <w:szCs w:val="22"/>
          <w:lang w:val="sq-AL"/>
        </w:rPr>
        <w:t>sish</w:t>
      </w:r>
      <w:r>
        <w:rPr>
          <w:rFonts w:ascii="Cambria" w:eastAsia="Calibri" w:hAnsi="Cambria"/>
          <w:sz w:val="22"/>
          <w:szCs w:val="22"/>
          <w:lang w:val="sq-AL"/>
        </w:rPr>
        <w:t>ë</w:t>
      </w:r>
      <w:r w:rsidRPr="00AC0136">
        <w:rPr>
          <w:rFonts w:ascii="Cambria" w:eastAsia="Calibri" w:hAnsi="Cambria"/>
          <w:sz w:val="22"/>
          <w:szCs w:val="22"/>
          <w:lang w:val="sq-AL"/>
        </w:rPr>
        <w:t>m, i cili bazohet n</w:t>
      </w:r>
      <w:r>
        <w:rPr>
          <w:rFonts w:ascii="Cambria" w:eastAsia="Calibri" w:hAnsi="Cambria"/>
          <w:sz w:val="22"/>
          <w:szCs w:val="22"/>
          <w:lang w:val="sq-AL"/>
        </w:rPr>
        <w:t>ë</w:t>
      </w:r>
      <w:r w:rsidRPr="00AC0136">
        <w:rPr>
          <w:rFonts w:ascii="Cambria" w:eastAsia="Calibri" w:hAnsi="Cambria"/>
          <w:sz w:val="22"/>
          <w:szCs w:val="22"/>
          <w:lang w:val="sq-AL"/>
        </w:rPr>
        <w:t xml:space="preserve"> krijimin e sistemeve efektive t</w:t>
      </w:r>
      <w:r>
        <w:rPr>
          <w:rFonts w:ascii="Cambria" w:eastAsia="Calibri" w:hAnsi="Cambria"/>
          <w:sz w:val="22"/>
          <w:szCs w:val="22"/>
          <w:lang w:val="sq-AL"/>
        </w:rPr>
        <w:t>ë</w:t>
      </w:r>
      <w:r w:rsidRPr="00AC0136">
        <w:rPr>
          <w:rFonts w:ascii="Cambria" w:eastAsia="Calibri" w:hAnsi="Cambria"/>
          <w:sz w:val="22"/>
          <w:szCs w:val="22"/>
          <w:lang w:val="sq-AL"/>
        </w:rPr>
        <w:t xml:space="preserve"> kontrollit t</w:t>
      </w:r>
      <w:r>
        <w:rPr>
          <w:rFonts w:ascii="Cambria" w:eastAsia="Calibri" w:hAnsi="Cambria"/>
          <w:sz w:val="22"/>
          <w:szCs w:val="22"/>
          <w:lang w:val="sq-AL"/>
        </w:rPr>
        <w:t>ë</w:t>
      </w:r>
      <w:r w:rsidRPr="00AC0136">
        <w:rPr>
          <w:rFonts w:ascii="Cambria" w:eastAsia="Calibri" w:hAnsi="Cambria"/>
          <w:sz w:val="22"/>
          <w:szCs w:val="22"/>
          <w:lang w:val="sq-AL"/>
        </w:rPr>
        <w:t xml:space="preserve"> brendsh</w:t>
      </w:r>
      <w:r>
        <w:rPr>
          <w:rFonts w:ascii="Cambria" w:eastAsia="Calibri" w:hAnsi="Cambria"/>
          <w:sz w:val="22"/>
          <w:szCs w:val="22"/>
          <w:lang w:val="sq-AL"/>
        </w:rPr>
        <w:t>ë</w:t>
      </w:r>
      <w:r w:rsidRPr="00AC0136">
        <w:rPr>
          <w:rFonts w:ascii="Cambria" w:eastAsia="Calibri" w:hAnsi="Cambria"/>
          <w:sz w:val="22"/>
          <w:szCs w:val="22"/>
          <w:lang w:val="sq-AL"/>
        </w:rPr>
        <w:t>m, për të ndihmuar menaxherët në arritjen e objektivave, marrjen e vendimeve t</w:t>
      </w:r>
      <w:r>
        <w:rPr>
          <w:rFonts w:ascii="Cambria" w:eastAsia="Calibri" w:hAnsi="Cambria"/>
          <w:sz w:val="22"/>
          <w:szCs w:val="22"/>
          <w:lang w:val="sq-AL"/>
        </w:rPr>
        <w:t>ë</w:t>
      </w:r>
      <w:r w:rsidRPr="00AC0136">
        <w:rPr>
          <w:rFonts w:ascii="Cambria" w:eastAsia="Calibri" w:hAnsi="Cambria"/>
          <w:sz w:val="22"/>
          <w:szCs w:val="22"/>
          <w:lang w:val="sq-AL"/>
        </w:rPr>
        <w:t xml:space="preserve"> p</w:t>
      </w:r>
      <w:r>
        <w:rPr>
          <w:rFonts w:ascii="Cambria" w:eastAsia="Calibri" w:hAnsi="Cambria"/>
          <w:sz w:val="22"/>
          <w:szCs w:val="22"/>
          <w:lang w:val="sq-AL"/>
        </w:rPr>
        <w:t>ë</w:t>
      </w:r>
      <w:r w:rsidRPr="00AC0136">
        <w:rPr>
          <w:rFonts w:ascii="Cambria" w:eastAsia="Calibri" w:hAnsi="Cambria"/>
          <w:sz w:val="22"/>
          <w:szCs w:val="22"/>
          <w:lang w:val="sq-AL"/>
        </w:rPr>
        <w:t>rshtatshme dhe përcaktimin e përgjegjësive për zbatimin e tyre.</w:t>
      </w:r>
    </w:p>
    <w:p w:rsidR="00AC0136" w:rsidRPr="00AC0136" w:rsidRDefault="00AC0136" w:rsidP="00AC0136">
      <w:pPr>
        <w:jc w:val="both"/>
        <w:rPr>
          <w:rFonts w:ascii="Cambria" w:eastAsia="Calibri" w:hAnsi="Cambria"/>
          <w:sz w:val="22"/>
          <w:szCs w:val="22"/>
          <w:lang w:val="sq-AL"/>
        </w:rPr>
      </w:pPr>
    </w:p>
    <w:p w:rsidR="00AC0136" w:rsidRPr="00AC0136" w:rsidRDefault="00AC0136" w:rsidP="00AC0136">
      <w:pPr>
        <w:jc w:val="both"/>
        <w:rPr>
          <w:rFonts w:ascii="Cambria" w:eastAsia="Calibri" w:hAnsi="Cambria"/>
          <w:sz w:val="22"/>
          <w:szCs w:val="22"/>
          <w:lang w:val="sq-AL"/>
        </w:rPr>
      </w:pPr>
      <w:r w:rsidRPr="00AC0136">
        <w:rPr>
          <w:rFonts w:ascii="Cambria" w:eastAsia="Calibri" w:hAnsi="Cambria"/>
          <w:sz w:val="22"/>
          <w:szCs w:val="22"/>
          <w:lang w:val="sq-AL"/>
        </w:rPr>
        <w:t>Vlerësimi i këtij sistemi, në nj</w:t>
      </w:r>
      <w:r>
        <w:rPr>
          <w:rFonts w:ascii="Cambria" w:eastAsia="Calibri" w:hAnsi="Cambria"/>
          <w:sz w:val="22"/>
          <w:szCs w:val="22"/>
          <w:lang w:val="sq-AL"/>
        </w:rPr>
        <w:t>ë</w:t>
      </w:r>
      <w:r w:rsidRPr="00AC0136">
        <w:rPr>
          <w:rFonts w:ascii="Cambria" w:eastAsia="Calibri" w:hAnsi="Cambria"/>
          <w:sz w:val="22"/>
          <w:szCs w:val="22"/>
          <w:lang w:val="sq-AL"/>
        </w:rPr>
        <w:t>sit</w:t>
      </w:r>
      <w:r>
        <w:rPr>
          <w:rFonts w:ascii="Cambria" w:eastAsia="Calibri" w:hAnsi="Cambria"/>
          <w:sz w:val="22"/>
          <w:szCs w:val="22"/>
          <w:lang w:val="sq-AL"/>
        </w:rPr>
        <w:t>ë</w:t>
      </w:r>
      <w:r w:rsidRPr="00AC0136">
        <w:rPr>
          <w:rFonts w:ascii="Cambria" w:eastAsia="Calibri" w:hAnsi="Cambria"/>
          <w:sz w:val="22"/>
          <w:szCs w:val="22"/>
          <w:lang w:val="sq-AL"/>
        </w:rPr>
        <w:t xml:space="preserve"> publike, bazohet në pyetësorin e vetëvlerësimit dhe në raportet mbi cilësinë e sistemit të kontrollit të brendshëm financiar publik. P</w:t>
      </w:r>
      <w:r>
        <w:rPr>
          <w:rFonts w:ascii="Cambria" w:eastAsia="Calibri" w:hAnsi="Cambria"/>
          <w:sz w:val="22"/>
          <w:szCs w:val="22"/>
          <w:lang w:val="sq-AL"/>
        </w:rPr>
        <w:t>ë</w:t>
      </w:r>
      <w:r w:rsidRPr="00AC0136">
        <w:rPr>
          <w:rFonts w:ascii="Cambria" w:eastAsia="Calibri" w:hAnsi="Cambria"/>
          <w:sz w:val="22"/>
          <w:szCs w:val="22"/>
          <w:lang w:val="sq-AL"/>
        </w:rPr>
        <w:t xml:space="preserve">r vitin 2018, është realizuar rishikimi i pyetësorit të vetëvlerësimit të menaxhimit financiar dhe kontrollit. Risi përbën fakti që, pyetësori i rishikuar i menaxhimit financiar dhe kontrollit është kompozuar mbi bazën e 17 parimeve gjithëpërfshirëse që i përgjigjen respektivisht komponentëve të menaxhimit financiar dhe kontrollit, sipas standardeve ndërkombëtare të kontrollit të brendshëm. Secili parim përfshin një grup pyetjesh të detajuara, ku çdo njësi publike </w:t>
      </w:r>
      <w:r>
        <w:rPr>
          <w:rFonts w:ascii="Cambria" w:eastAsia="Calibri" w:hAnsi="Cambria"/>
          <w:sz w:val="22"/>
          <w:szCs w:val="22"/>
          <w:lang w:val="sq-AL"/>
        </w:rPr>
        <w:t>ë</w:t>
      </w:r>
      <w:r w:rsidRPr="00AC0136">
        <w:rPr>
          <w:rFonts w:ascii="Cambria" w:eastAsia="Calibri" w:hAnsi="Cambria"/>
          <w:sz w:val="22"/>
          <w:szCs w:val="22"/>
          <w:lang w:val="sq-AL"/>
        </w:rPr>
        <w:t>sht</w:t>
      </w:r>
      <w:r>
        <w:rPr>
          <w:rFonts w:ascii="Cambria" w:eastAsia="Calibri" w:hAnsi="Cambria"/>
          <w:sz w:val="22"/>
          <w:szCs w:val="22"/>
          <w:lang w:val="sq-AL"/>
        </w:rPr>
        <w:t>ë</w:t>
      </w:r>
      <w:r w:rsidRPr="00AC0136">
        <w:rPr>
          <w:rFonts w:ascii="Cambria" w:eastAsia="Calibri" w:hAnsi="Cambria"/>
          <w:sz w:val="22"/>
          <w:szCs w:val="22"/>
          <w:lang w:val="sq-AL"/>
        </w:rPr>
        <w:t xml:space="preserve"> vlerësuar mbi bazën e përgjigjeve të arsyetuara dhe evidencave mbështetëse. Në këtë kontekst, është ndërtuar edhe pyetësori i vetëvlerësimit për komponentët e menaxhimit financiar dhe kontrollit për njësitë e varësisë.</w:t>
      </w:r>
    </w:p>
    <w:p w:rsidR="00AC0136" w:rsidRPr="004C4EE6" w:rsidRDefault="00AC0136" w:rsidP="00AC0136">
      <w:pPr>
        <w:jc w:val="both"/>
        <w:rPr>
          <w:rFonts w:ascii="Cambria" w:eastAsia="Calibri" w:hAnsi="Cambria"/>
          <w:sz w:val="12"/>
          <w:szCs w:val="12"/>
          <w:lang w:val="sq-AL"/>
        </w:rPr>
      </w:pPr>
    </w:p>
    <w:p w:rsidR="00AC0136" w:rsidRPr="00AC0136" w:rsidRDefault="00AC0136" w:rsidP="00AC0136">
      <w:pPr>
        <w:jc w:val="both"/>
        <w:rPr>
          <w:rFonts w:ascii="Cambria" w:eastAsia="Calibri" w:hAnsi="Cambria"/>
          <w:sz w:val="22"/>
          <w:szCs w:val="22"/>
          <w:lang w:val="sq-AL"/>
        </w:rPr>
      </w:pPr>
      <w:r w:rsidRPr="00AC0136">
        <w:rPr>
          <w:rFonts w:ascii="Cambria" w:eastAsia="Calibri" w:hAnsi="Cambria"/>
          <w:sz w:val="22"/>
          <w:szCs w:val="22"/>
          <w:lang w:val="sq-AL"/>
        </w:rPr>
        <w:t>Pran</w:t>
      </w:r>
      <w:r>
        <w:rPr>
          <w:rFonts w:ascii="Cambria" w:eastAsia="Calibri" w:hAnsi="Cambria"/>
          <w:sz w:val="22"/>
          <w:szCs w:val="22"/>
          <w:lang w:val="sq-AL"/>
        </w:rPr>
        <w:t>ë</w:t>
      </w:r>
      <w:r w:rsidRPr="00AC0136">
        <w:rPr>
          <w:rFonts w:ascii="Cambria" w:eastAsia="Calibri" w:hAnsi="Cambria"/>
          <w:sz w:val="22"/>
          <w:szCs w:val="22"/>
          <w:lang w:val="sq-AL"/>
        </w:rPr>
        <w:t xml:space="preserve"> DH/MFKK jan</w:t>
      </w:r>
      <w:r>
        <w:rPr>
          <w:rFonts w:ascii="Cambria" w:eastAsia="Calibri" w:hAnsi="Cambria"/>
          <w:sz w:val="22"/>
          <w:szCs w:val="22"/>
          <w:lang w:val="sq-AL"/>
        </w:rPr>
        <w:t>ë</w:t>
      </w:r>
      <w:r w:rsidRPr="00AC0136">
        <w:rPr>
          <w:rFonts w:ascii="Cambria" w:eastAsia="Calibri" w:hAnsi="Cambria"/>
          <w:sz w:val="22"/>
          <w:szCs w:val="22"/>
          <w:lang w:val="sq-AL"/>
        </w:rPr>
        <w:t xml:space="preserve"> depozituar 143 pyet</w:t>
      </w:r>
      <w:r>
        <w:rPr>
          <w:rFonts w:ascii="Cambria" w:eastAsia="Calibri" w:hAnsi="Cambria"/>
          <w:sz w:val="22"/>
          <w:szCs w:val="22"/>
          <w:lang w:val="sq-AL"/>
        </w:rPr>
        <w:t>ë</w:t>
      </w:r>
      <w:r w:rsidRPr="00AC0136">
        <w:rPr>
          <w:rFonts w:ascii="Cambria" w:eastAsia="Calibri" w:hAnsi="Cambria"/>
          <w:sz w:val="22"/>
          <w:szCs w:val="22"/>
          <w:lang w:val="sq-AL"/>
        </w:rPr>
        <w:t>sor</w:t>
      </w:r>
      <w:r>
        <w:rPr>
          <w:rFonts w:ascii="Cambria" w:eastAsia="Calibri" w:hAnsi="Cambria"/>
          <w:sz w:val="22"/>
          <w:szCs w:val="22"/>
          <w:lang w:val="sq-AL"/>
        </w:rPr>
        <w:t>ë</w:t>
      </w:r>
      <w:r w:rsidRPr="00AC0136">
        <w:rPr>
          <w:rFonts w:ascii="Cambria" w:eastAsia="Calibri" w:hAnsi="Cambria"/>
          <w:sz w:val="22"/>
          <w:szCs w:val="22"/>
          <w:lang w:val="sq-AL"/>
        </w:rPr>
        <w:t xml:space="preserve"> vet</w:t>
      </w:r>
      <w:r>
        <w:rPr>
          <w:rFonts w:ascii="Cambria" w:eastAsia="Calibri" w:hAnsi="Cambria"/>
          <w:sz w:val="22"/>
          <w:szCs w:val="22"/>
          <w:lang w:val="sq-AL"/>
        </w:rPr>
        <w:t>ë</w:t>
      </w:r>
      <w:r w:rsidRPr="00AC0136">
        <w:rPr>
          <w:rFonts w:ascii="Cambria" w:eastAsia="Calibri" w:hAnsi="Cambria"/>
          <w:sz w:val="22"/>
          <w:szCs w:val="22"/>
          <w:lang w:val="sq-AL"/>
        </w:rPr>
        <w:t>vler</w:t>
      </w:r>
      <w:r>
        <w:rPr>
          <w:rFonts w:ascii="Cambria" w:eastAsia="Calibri" w:hAnsi="Cambria"/>
          <w:sz w:val="22"/>
          <w:szCs w:val="22"/>
          <w:lang w:val="sq-AL"/>
        </w:rPr>
        <w:t>ë</w:t>
      </w:r>
      <w:r w:rsidRPr="00AC0136">
        <w:rPr>
          <w:rFonts w:ascii="Cambria" w:eastAsia="Calibri" w:hAnsi="Cambria"/>
          <w:sz w:val="22"/>
          <w:szCs w:val="22"/>
          <w:lang w:val="sq-AL"/>
        </w:rPr>
        <w:t>simi nga 149 pyetësorë të shpërndarë në nj</w:t>
      </w:r>
      <w:r>
        <w:rPr>
          <w:rFonts w:ascii="Cambria" w:eastAsia="Calibri" w:hAnsi="Cambria"/>
          <w:sz w:val="22"/>
          <w:szCs w:val="22"/>
          <w:lang w:val="sq-AL"/>
        </w:rPr>
        <w:t>ë</w:t>
      </w:r>
      <w:r w:rsidRPr="00AC0136">
        <w:rPr>
          <w:rFonts w:ascii="Cambria" w:eastAsia="Calibri" w:hAnsi="Cambria"/>
          <w:sz w:val="22"/>
          <w:szCs w:val="22"/>
          <w:lang w:val="sq-AL"/>
        </w:rPr>
        <w:t>sit</w:t>
      </w:r>
      <w:r>
        <w:rPr>
          <w:rFonts w:ascii="Cambria" w:eastAsia="Calibri" w:hAnsi="Cambria"/>
          <w:sz w:val="22"/>
          <w:szCs w:val="22"/>
          <w:lang w:val="sq-AL"/>
        </w:rPr>
        <w:t>ë</w:t>
      </w:r>
      <w:r w:rsidRPr="00AC0136">
        <w:rPr>
          <w:rFonts w:ascii="Cambria" w:eastAsia="Calibri" w:hAnsi="Cambria"/>
          <w:sz w:val="22"/>
          <w:szCs w:val="22"/>
          <w:lang w:val="sq-AL"/>
        </w:rPr>
        <w:t xml:space="preserve"> e sektorit publik. Nga kjo rezulton se rreth 96% e nj</w:t>
      </w:r>
      <w:r>
        <w:rPr>
          <w:rFonts w:ascii="Cambria" w:eastAsia="Calibri" w:hAnsi="Cambria"/>
          <w:sz w:val="22"/>
          <w:szCs w:val="22"/>
          <w:lang w:val="sq-AL"/>
        </w:rPr>
        <w:t>ë</w:t>
      </w:r>
      <w:r w:rsidRPr="00AC0136">
        <w:rPr>
          <w:rFonts w:ascii="Cambria" w:eastAsia="Calibri" w:hAnsi="Cambria"/>
          <w:sz w:val="22"/>
          <w:szCs w:val="22"/>
          <w:lang w:val="sq-AL"/>
        </w:rPr>
        <w:t>sive kan</w:t>
      </w:r>
      <w:r>
        <w:rPr>
          <w:rFonts w:ascii="Cambria" w:eastAsia="Calibri" w:hAnsi="Cambria"/>
          <w:sz w:val="22"/>
          <w:szCs w:val="22"/>
          <w:lang w:val="sq-AL"/>
        </w:rPr>
        <w:t>ë</w:t>
      </w:r>
      <w:r w:rsidRPr="00AC0136">
        <w:rPr>
          <w:rFonts w:ascii="Cambria" w:eastAsia="Calibri" w:hAnsi="Cambria"/>
          <w:sz w:val="22"/>
          <w:szCs w:val="22"/>
          <w:lang w:val="sq-AL"/>
        </w:rPr>
        <w:t xml:space="preserve"> p</w:t>
      </w:r>
      <w:r>
        <w:rPr>
          <w:rFonts w:ascii="Cambria" w:eastAsia="Calibri" w:hAnsi="Cambria"/>
          <w:sz w:val="22"/>
          <w:szCs w:val="22"/>
          <w:lang w:val="sq-AL"/>
        </w:rPr>
        <w:t>ë</w:t>
      </w:r>
      <w:r w:rsidRPr="00AC0136">
        <w:rPr>
          <w:rFonts w:ascii="Cambria" w:eastAsia="Calibri" w:hAnsi="Cambria"/>
          <w:sz w:val="22"/>
          <w:szCs w:val="22"/>
          <w:lang w:val="sq-AL"/>
        </w:rPr>
        <w:t>rmbushur k</w:t>
      </w:r>
      <w:r>
        <w:rPr>
          <w:rFonts w:ascii="Cambria" w:eastAsia="Calibri" w:hAnsi="Cambria"/>
          <w:sz w:val="22"/>
          <w:szCs w:val="22"/>
          <w:lang w:val="sq-AL"/>
        </w:rPr>
        <w:t>ë</w:t>
      </w:r>
      <w:r w:rsidRPr="00AC0136">
        <w:rPr>
          <w:rFonts w:ascii="Cambria" w:eastAsia="Calibri" w:hAnsi="Cambria"/>
          <w:sz w:val="22"/>
          <w:szCs w:val="22"/>
          <w:lang w:val="sq-AL"/>
        </w:rPr>
        <w:t>rkesat ligjore për plotësimin e pyetësorëve. Pyetësorët e vetëvlerësimit u janë dërguar edhe 15 nj</w:t>
      </w:r>
      <w:r>
        <w:rPr>
          <w:rFonts w:ascii="Cambria" w:eastAsia="Calibri" w:hAnsi="Cambria"/>
          <w:sz w:val="22"/>
          <w:szCs w:val="22"/>
          <w:lang w:val="sq-AL"/>
        </w:rPr>
        <w:t>ë</w:t>
      </w:r>
      <w:r w:rsidRPr="00AC0136">
        <w:rPr>
          <w:rFonts w:ascii="Cambria" w:eastAsia="Calibri" w:hAnsi="Cambria"/>
          <w:sz w:val="22"/>
          <w:szCs w:val="22"/>
          <w:lang w:val="sq-AL"/>
        </w:rPr>
        <w:t>sive publike t</w:t>
      </w:r>
      <w:r>
        <w:rPr>
          <w:rFonts w:ascii="Cambria" w:eastAsia="Calibri" w:hAnsi="Cambria"/>
          <w:sz w:val="22"/>
          <w:szCs w:val="22"/>
          <w:lang w:val="sq-AL"/>
        </w:rPr>
        <w:t>ë</w:t>
      </w:r>
      <w:r w:rsidRPr="00AC0136">
        <w:rPr>
          <w:rFonts w:ascii="Cambria" w:eastAsia="Calibri" w:hAnsi="Cambria"/>
          <w:sz w:val="22"/>
          <w:szCs w:val="22"/>
          <w:lang w:val="sq-AL"/>
        </w:rPr>
        <w:t xml:space="preserve"> cilat jan</w:t>
      </w:r>
      <w:r>
        <w:rPr>
          <w:rFonts w:ascii="Cambria" w:eastAsia="Calibri" w:hAnsi="Cambria"/>
          <w:sz w:val="22"/>
          <w:szCs w:val="22"/>
          <w:lang w:val="sq-AL"/>
        </w:rPr>
        <w:t>ë</w:t>
      </w:r>
      <w:r w:rsidRPr="00AC0136">
        <w:rPr>
          <w:rFonts w:ascii="Cambria" w:eastAsia="Calibri" w:hAnsi="Cambria"/>
          <w:sz w:val="22"/>
          <w:szCs w:val="22"/>
          <w:lang w:val="sq-AL"/>
        </w:rPr>
        <w:t xml:space="preserve"> konsideruar me interes të veçantë për kontrollin e brendshëm, duke pasur parasysh madh</w:t>
      </w:r>
      <w:r>
        <w:rPr>
          <w:rFonts w:ascii="Cambria" w:eastAsia="Calibri" w:hAnsi="Cambria"/>
          <w:sz w:val="22"/>
          <w:szCs w:val="22"/>
          <w:lang w:val="sq-AL"/>
        </w:rPr>
        <w:t>ë</w:t>
      </w:r>
      <w:r w:rsidRPr="00AC0136">
        <w:rPr>
          <w:rFonts w:ascii="Cambria" w:eastAsia="Calibri" w:hAnsi="Cambria"/>
          <w:sz w:val="22"/>
          <w:szCs w:val="22"/>
          <w:lang w:val="sq-AL"/>
        </w:rPr>
        <w:t>sin</w:t>
      </w:r>
      <w:r>
        <w:rPr>
          <w:rFonts w:ascii="Cambria" w:eastAsia="Calibri" w:hAnsi="Cambria"/>
          <w:sz w:val="22"/>
          <w:szCs w:val="22"/>
          <w:lang w:val="sq-AL"/>
        </w:rPr>
        <w:t>ë</w:t>
      </w:r>
      <w:r w:rsidRPr="00AC0136">
        <w:rPr>
          <w:rFonts w:ascii="Cambria" w:eastAsia="Calibri" w:hAnsi="Cambria"/>
          <w:sz w:val="22"/>
          <w:szCs w:val="22"/>
          <w:lang w:val="sq-AL"/>
        </w:rPr>
        <w:t xml:space="preserve"> e buxhetit t</w:t>
      </w:r>
      <w:r>
        <w:rPr>
          <w:rFonts w:ascii="Cambria" w:eastAsia="Calibri" w:hAnsi="Cambria"/>
          <w:sz w:val="22"/>
          <w:szCs w:val="22"/>
          <w:lang w:val="sq-AL"/>
        </w:rPr>
        <w:t>ë</w:t>
      </w:r>
      <w:r w:rsidRPr="00AC0136">
        <w:rPr>
          <w:rFonts w:ascii="Cambria" w:eastAsia="Calibri" w:hAnsi="Cambria"/>
          <w:sz w:val="22"/>
          <w:szCs w:val="22"/>
          <w:lang w:val="sq-AL"/>
        </w:rPr>
        <w:t xml:space="preserve"> tyre.  </w:t>
      </w:r>
    </w:p>
    <w:p w:rsidR="00AC0136" w:rsidRPr="004C4EE6" w:rsidRDefault="00AC0136" w:rsidP="00AC0136">
      <w:pPr>
        <w:jc w:val="both"/>
        <w:rPr>
          <w:rFonts w:ascii="Cambria" w:eastAsia="Calibri" w:hAnsi="Cambria"/>
          <w:sz w:val="12"/>
          <w:szCs w:val="12"/>
          <w:lang w:val="sq-AL"/>
        </w:rPr>
      </w:pPr>
    </w:p>
    <w:p w:rsidR="00AC0136" w:rsidRPr="00AC0136" w:rsidRDefault="00AC0136" w:rsidP="00AC0136">
      <w:pPr>
        <w:jc w:val="both"/>
        <w:rPr>
          <w:rFonts w:ascii="Cambria" w:eastAsia="Calibri" w:hAnsi="Cambria"/>
          <w:sz w:val="22"/>
          <w:szCs w:val="22"/>
          <w:lang w:val="sq-AL"/>
        </w:rPr>
      </w:pPr>
      <w:r w:rsidRPr="00AC0136">
        <w:rPr>
          <w:rFonts w:ascii="Cambria" w:eastAsia="Calibri" w:hAnsi="Cambria"/>
          <w:sz w:val="22"/>
          <w:szCs w:val="22"/>
          <w:lang w:val="sq-AL"/>
        </w:rPr>
        <w:t>Në vazhdim, jepen të dhënat për numrin e subjekteve që kanë plotësuar pyetësorin e vet</w:t>
      </w:r>
      <w:r>
        <w:rPr>
          <w:rFonts w:ascii="Cambria" w:eastAsia="Calibri" w:hAnsi="Cambria"/>
          <w:sz w:val="22"/>
          <w:szCs w:val="22"/>
          <w:lang w:val="sq-AL"/>
        </w:rPr>
        <w:t>ë</w:t>
      </w:r>
      <w:r w:rsidRPr="00AC0136">
        <w:rPr>
          <w:rFonts w:ascii="Cambria" w:eastAsia="Calibri" w:hAnsi="Cambria"/>
          <w:sz w:val="22"/>
          <w:szCs w:val="22"/>
          <w:lang w:val="sq-AL"/>
        </w:rPr>
        <w:t>vler</w:t>
      </w:r>
      <w:r>
        <w:rPr>
          <w:rFonts w:ascii="Cambria" w:eastAsia="Calibri" w:hAnsi="Cambria"/>
          <w:sz w:val="22"/>
          <w:szCs w:val="22"/>
          <w:lang w:val="sq-AL"/>
        </w:rPr>
        <w:t>ë</w:t>
      </w:r>
      <w:r w:rsidRPr="00AC0136">
        <w:rPr>
          <w:rFonts w:ascii="Cambria" w:eastAsia="Calibri" w:hAnsi="Cambria"/>
          <w:sz w:val="22"/>
          <w:szCs w:val="22"/>
          <w:lang w:val="sq-AL"/>
        </w:rPr>
        <w:t>simit:</w:t>
      </w:r>
    </w:p>
    <w:p w:rsidR="00AC0136" w:rsidRPr="004C4EE6" w:rsidRDefault="00AC0136" w:rsidP="00AC0136">
      <w:pPr>
        <w:jc w:val="both"/>
        <w:rPr>
          <w:rFonts w:ascii="Cambria" w:eastAsia="Calibri" w:hAnsi="Cambria"/>
          <w:b/>
          <w:bCs/>
          <w:sz w:val="12"/>
          <w:szCs w:val="12"/>
          <w:lang w:val="sq-AL"/>
        </w:rPr>
      </w:pPr>
    </w:p>
    <w:p w:rsidR="005857D5" w:rsidRDefault="00773CFB" w:rsidP="004E34A5">
      <w:pPr>
        <w:pStyle w:val="Caption"/>
        <w:rPr>
          <w:lang w:val="sq-AL"/>
        </w:rPr>
      </w:pPr>
      <w:bookmarkStart w:id="60" w:name="_Toc9082423"/>
      <w:r w:rsidRPr="00773CFB">
        <w:rPr>
          <w:rFonts w:ascii="Cambria" w:hAnsi="Cambria"/>
          <w:b w:val="0"/>
          <w:i/>
          <w:lang w:val="sq-AL"/>
        </w:rPr>
        <w:t xml:space="preserve">Grafiku </w:t>
      </w:r>
      <w:r w:rsidRPr="00773CFB">
        <w:rPr>
          <w:rFonts w:ascii="Cambria" w:hAnsi="Cambria"/>
          <w:b w:val="0"/>
          <w:i/>
          <w:lang w:val="sq-AL"/>
        </w:rPr>
        <w:fldChar w:fldCharType="begin"/>
      </w:r>
      <w:r w:rsidRPr="00773CFB">
        <w:rPr>
          <w:rFonts w:ascii="Cambria" w:hAnsi="Cambria"/>
          <w:b w:val="0"/>
          <w:i/>
          <w:lang w:val="sq-AL"/>
        </w:rPr>
        <w:instrText xml:space="preserve"> SEQ Grafiku \* ARABIC </w:instrText>
      </w:r>
      <w:r w:rsidRPr="00773CFB">
        <w:rPr>
          <w:rFonts w:ascii="Cambria" w:hAnsi="Cambria"/>
          <w:b w:val="0"/>
          <w:i/>
          <w:lang w:val="sq-AL"/>
        </w:rPr>
        <w:fldChar w:fldCharType="separate"/>
      </w:r>
      <w:r w:rsidR="00036EC4">
        <w:rPr>
          <w:rFonts w:ascii="Cambria" w:hAnsi="Cambria"/>
          <w:b w:val="0"/>
          <w:i/>
          <w:noProof/>
          <w:lang w:val="sq-AL"/>
        </w:rPr>
        <w:t>1</w:t>
      </w:r>
      <w:r w:rsidRPr="00773CFB">
        <w:rPr>
          <w:rFonts w:ascii="Cambria" w:hAnsi="Cambria"/>
          <w:b w:val="0"/>
          <w:i/>
          <w:lang w:val="sq-AL"/>
        </w:rPr>
        <w:fldChar w:fldCharType="end"/>
      </w:r>
      <w:r w:rsidRPr="00773CFB">
        <w:rPr>
          <w:rFonts w:ascii="Cambria" w:hAnsi="Cambria"/>
          <w:b w:val="0"/>
          <w:i/>
          <w:lang w:val="sq-AL"/>
        </w:rPr>
        <w:t>. Numri i NJQP-ve që kanë plotësuar pyetësorin e vetëvlerësimit për vitin 2018</w:t>
      </w:r>
      <w:bookmarkEnd w:id="60"/>
      <w:r>
        <w:rPr>
          <w:noProof/>
        </w:rPr>
        <w:t xml:space="preserve"> </w:t>
      </w:r>
    </w:p>
    <w:p w:rsidR="005857D5" w:rsidRDefault="004E34A5" w:rsidP="005857D5">
      <w:pPr>
        <w:rPr>
          <w:lang w:val="sq-AL"/>
        </w:rPr>
      </w:pPr>
      <w:r w:rsidRPr="004E34A5">
        <w:rPr>
          <w:rFonts w:asciiTheme="majorHAnsi" w:hAnsiTheme="majorHAnsi"/>
          <w:noProof/>
          <w:sz w:val="22"/>
          <w:szCs w:val="22"/>
          <w:lang w:eastAsia="en-US"/>
        </w:rPr>
        <w:drawing>
          <wp:inline distT="0" distB="0" distL="0" distR="0" wp14:anchorId="367BACF8" wp14:editId="41A76722">
            <wp:extent cx="5756910" cy="3680460"/>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2EB8" w:rsidRDefault="00C52EB8" w:rsidP="00F33DC6">
      <w:pPr>
        <w:pStyle w:val="Heading2"/>
        <w:rPr>
          <w:rFonts w:ascii="Times New Roman" w:eastAsia="MS Mincho" w:hAnsi="Times New Roman"/>
          <w:b w:val="0"/>
          <w:bCs w:val="0"/>
          <w:szCs w:val="24"/>
          <w:lang w:val="sq-AL"/>
        </w:rPr>
      </w:pPr>
      <w:bookmarkStart w:id="61" w:name="_Toc9082369"/>
    </w:p>
    <w:p w:rsidR="00C52EB8" w:rsidRPr="00C52EB8" w:rsidRDefault="00C52EB8" w:rsidP="00C52EB8">
      <w:pPr>
        <w:rPr>
          <w:lang w:val="sq-AL"/>
        </w:rPr>
      </w:pPr>
    </w:p>
    <w:p w:rsidR="00DF0752" w:rsidRDefault="00294C16" w:rsidP="00F33DC6">
      <w:pPr>
        <w:pStyle w:val="Heading2"/>
      </w:pPr>
      <w:r w:rsidRPr="00F33DC6">
        <w:t xml:space="preserve">2.1 </w:t>
      </w:r>
      <w:r w:rsidR="00DF0752" w:rsidRPr="00F33DC6">
        <w:t xml:space="preserve">Analiza e sistemit sipas </w:t>
      </w:r>
      <w:r w:rsidR="00D8352B" w:rsidRPr="00F33DC6">
        <w:t>17 parimeve</w:t>
      </w:r>
      <w:r w:rsidR="00DF0752" w:rsidRPr="00F33DC6">
        <w:t xml:space="preserve"> të MFK</w:t>
      </w:r>
      <w:bookmarkEnd w:id="55"/>
      <w:r w:rsidR="00265FA9" w:rsidRPr="00F33DC6">
        <w:t xml:space="preserve"> </w:t>
      </w:r>
      <w:r w:rsidR="00DF0752" w:rsidRPr="00F33DC6">
        <w:t xml:space="preserve"> bazuar në vetëvlerësimin e njësive publike</w:t>
      </w:r>
      <w:bookmarkEnd w:id="56"/>
      <w:bookmarkEnd w:id="57"/>
      <w:bookmarkEnd w:id="61"/>
    </w:p>
    <w:p w:rsidR="003A49E5" w:rsidRPr="003A49E5" w:rsidRDefault="003A49E5" w:rsidP="003A49E5"/>
    <w:p w:rsidR="00D8352B" w:rsidRPr="003A49E5" w:rsidRDefault="003A49E5" w:rsidP="00F9432E">
      <w:pPr>
        <w:pStyle w:val="ListParagraph"/>
        <w:numPr>
          <w:ilvl w:val="0"/>
          <w:numId w:val="8"/>
        </w:numPr>
        <w:tabs>
          <w:tab w:val="left" w:pos="450"/>
        </w:tabs>
        <w:spacing w:after="160"/>
        <w:ind w:left="630" w:hanging="270"/>
        <w:jc w:val="both"/>
        <w:rPr>
          <w:lang w:val="sq-AL"/>
        </w:rPr>
      </w:pPr>
      <w:r w:rsidRPr="003A49E5">
        <w:rPr>
          <w:rFonts w:asciiTheme="majorHAnsi" w:eastAsia="Calibri" w:hAnsiTheme="majorHAnsi"/>
          <w:b/>
          <w:sz w:val="24"/>
          <w:lang w:val="sq-AL"/>
        </w:rPr>
        <w:t>Mjedisi i Kontrollit</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1 - Njësia Publike demostron angazhim për integritet dhe vlerat etike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është vlerësuar angazhimi i njësive publike në hartimin dhe zbatimin e elementëve dhe mekanizmave të nevojshëm për zhvillimin e integritetit dhe vlerave etike në funksion të përmirësimit të vazhdueshëm të sistemeve të kontrollit të brendshëm.</w:t>
      </w:r>
    </w:p>
    <w:p w:rsidR="00D8352B" w:rsidRPr="008C2926"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Nga analizimi i përgjjigjeve të dhëna</w:t>
      </w:r>
      <w:r w:rsidR="00E73DD5" w:rsidRPr="00AB16BA">
        <w:rPr>
          <w:rFonts w:asciiTheme="majorHAnsi" w:eastAsia="Calibri" w:hAnsiTheme="majorHAnsi"/>
          <w:color w:val="000000"/>
          <w:sz w:val="22"/>
          <w:szCs w:val="22"/>
          <w:lang w:val="sq-AL" w:eastAsia="en-US"/>
        </w:rPr>
        <w:t xml:space="preserve"> në pyetësorin e vetëvlerësimit </w:t>
      </w:r>
      <w:r w:rsidRPr="00AB16BA">
        <w:rPr>
          <w:rFonts w:asciiTheme="majorHAnsi" w:eastAsia="Calibri" w:hAnsiTheme="majorHAnsi"/>
          <w:color w:val="000000"/>
          <w:sz w:val="22"/>
          <w:szCs w:val="22"/>
          <w:lang w:val="sq-AL" w:eastAsia="en-US"/>
        </w:rPr>
        <w:t>evidentojmë se</w:t>
      </w:r>
      <w:r w:rsidR="00E73DD5"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një nga element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t, i cili </w:t>
      </w:r>
      <w:r w:rsidRPr="008C2926">
        <w:rPr>
          <w:rFonts w:asciiTheme="majorHAnsi" w:eastAsia="Calibri" w:hAnsiTheme="majorHAnsi"/>
          <w:color w:val="000000"/>
          <w:sz w:val="22"/>
          <w:szCs w:val="22"/>
          <w:lang w:val="sq-AL" w:eastAsia="en-US"/>
        </w:rPr>
        <w:t xml:space="preserve">ndikon në efektivitetin e institucionit në lidhje me këtë parim është rregullorja e brendshme, e cila është baza e sistemit të kontrollit të brendshëm të një institucioni. Vihet re se, në shumicën e rasteve, rregullorja e brendshme nuk është </w:t>
      </w:r>
      <w:r w:rsidR="008C2926">
        <w:rPr>
          <w:rFonts w:asciiTheme="majorHAnsi" w:eastAsia="Calibri" w:hAnsiTheme="majorHAnsi"/>
          <w:color w:val="000000"/>
          <w:sz w:val="22"/>
          <w:szCs w:val="22"/>
          <w:lang w:val="sq-AL" w:eastAsia="en-US"/>
        </w:rPr>
        <w:t xml:space="preserve">plotësisht </w:t>
      </w:r>
      <w:r w:rsidRPr="008C2926">
        <w:rPr>
          <w:rFonts w:asciiTheme="majorHAnsi" w:eastAsia="Calibri" w:hAnsiTheme="majorHAnsi"/>
          <w:color w:val="000000"/>
          <w:sz w:val="22"/>
          <w:szCs w:val="22"/>
          <w:lang w:val="sq-AL" w:eastAsia="en-US"/>
        </w:rPr>
        <w:t>e përditësuar dhe në përputhje me ndryshimet e fundit strukturore të institucionit. Mungesa e një rregulloreje të përditësuar çon në mospërcaktimin e qartë të përgjegjësive dhe funksioneve brenda institucionit, linjave të raportimit, ndarjen e detyrave si dhe delegimin. Dallim bëjnë njësitë me buxhet të madh, n</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të cilat evidentohet nj</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angazhim m</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i madh n</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procesin e hartimit dhe zbatimit të rregullores së brendshme. Përsa i përket kodit të etikës, pjesa më e madhe e institucioneve e kanë të integruar si seksion t</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veçant</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në rregulloren e brendshme.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8C2926">
        <w:rPr>
          <w:rFonts w:asciiTheme="majorHAnsi" w:eastAsia="Calibri" w:hAnsiTheme="majorHAnsi"/>
          <w:color w:val="000000"/>
          <w:sz w:val="22"/>
          <w:szCs w:val="22"/>
          <w:lang w:val="sq-AL" w:eastAsia="en-US"/>
        </w:rPr>
        <w:t>Lidhur me marrjen e masave për zbatimin e procedurave antikorrupsion, mund të përmendim se njësitë zbatojnë kërkesat ligjore të përcaktuara në ligjin për sinjalizuesit, por ende nuk ka procedura të mirëfillta për trajtimin e rasteve të tilla. Një problematikë tjetër</w:t>
      </w:r>
      <w:r w:rsidRPr="00AB16BA">
        <w:rPr>
          <w:rFonts w:asciiTheme="majorHAnsi" w:eastAsia="Calibri" w:hAnsiTheme="majorHAnsi"/>
          <w:color w:val="000000"/>
          <w:sz w:val="22"/>
          <w:szCs w:val="22"/>
          <w:lang w:val="sq-AL" w:eastAsia="en-US"/>
        </w:rPr>
        <w:t xml:space="preserve"> e evidentuar lidhur me këtë parim është mungesa e programeve të trajnimit të punonjësve lidhur me njohjen e ndryshimeve në bazën rregullatore apo kodin e etikës. Mungesa e trajnimeve ndikon në rritjen e mundësisë së mosrespektimit të rregullave të vendosura si dhe uljen e efektivitetit të funksionimit të sistemeve të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Përpos këtyre problematikave, institucionet publike kanë qasje relativisht pozitive ndaj këtij parimi.</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2 - Titullari / Nëpunësi Autorizues (NA) / Bordi apo Këshilli i drejtuesve demonstrojnë pavarësi dhe përgjegjshmëri në ushtrimin e përgjegjësisë për mbikëqyrje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vlerësohet përgjegjshmëria e menaxherëve të nivelit të lartë për të ushtruar përgjegjësisnë dhe mbikëqyrjen mbi performancën e njësisë publike dhe implementimin e kërkesave kryesore për zhvillimin e sistemit të kontrollit të brendshëm. Për vitin 2018, situata paraqitet pjesërisht efektive duke evidentuar se në pjesën më të madhe të institucioneve janë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pranishme mekanizmat bazë për mbikëqyrjen dhe raportimin.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Ajo që vlen të theksohet është mungesa e raportimeve të rregullta periodike si dhe</w:t>
      </w:r>
      <w:r w:rsidRPr="00AB16BA">
        <w:rPr>
          <w:rFonts w:asciiTheme="majorHAnsi" w:eastAsia="Calibri" w:hAnsiTheme="majorHAnsi"/>
          <w:sz w:val="22"/>
          <w:szCs w:val="22"/>
          <w:lang w:val="sq-AL" w:eastAsia="en-US"/>
        </w:rPr>
        <w:t xml:space="preserve"> </w:t>
      </w:r>
      <w:r w:rsidRPr="00AB16BA">
        <w:rPr>
          <w:rFonts w:asciiTheme="majorHAnsi" w:eastAsia="Calibri" w:hAnsiTheme="majorHAnsi"/>
          <w:color w:val="000000"/>
          <w:sz w:val="22"/>
          <w:szCs w:val="22"/>
          <w:lang w:val="sq-AL" w:eastAsia="en-US"/>
        </w:rPr>
        <w:t>ndërmarrja e masave konkrete për adresimin e ç</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shtjeve në lidhje me sistemin e kontrollit të brendshëm, gjë e cila evidenton nevojën e miratimit të një procedure të shkruar mbi rregullat e raportimit në institucion.</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Gjithashtu, përmirësime nevojiten në kuadër të raportimit të rregullt nga njësitë e varësisë si dhe menaxherët e strukturave brenda institucionit, raportim i cili nuk duhet të jetë i përqendruar vetëm në çështjet financiare dhe buxhetore, por edhe në objektiva, tregues performance dhe risqet përkatëse mbi këto objektiva. Pra, ajo që mbetet për t’u përmirësuar është rritja e fokusit në projektimin dhe zbatimin e sistemit të kontrollit të brendshëm dhe përcaktimi i treguesve të përformancës, të cilët do të maten në mënyrë periodike.</w:t>
      </w:r>
    </w:p>
    <w:p w:rsidR="00C52EB8" w:rsidRDefault="00C52EB8" w:rsidP="00D8352B">
      <w:pPr>
        <w:spacing w:after="160"/>
        <w:jc w:val="both"/>
        <w:rPr>
          <w:rFonts w:asciiTheme="majorHAnsi" w:eastAsia="Calibri" w:hAnsiTheme="majorHAnsi"/>
          <w:b/>
          <w:sz w:val="22"/>
          <w:szCs w:val="22"/>
          <w:lang w:val="sq-AL" w:eastAsia="en-US"/>
        </w:rPr>
      </w:pPr>
    </w:p>
    <w:p w:rsidR="00C52EB8" w:rsidRDefault="00C52EB8" w:rsidP="00D8352B">
      <w:pPr>
        <w:spacing w:after="160"/>
        <w:jc w:val="both"/>
        <w:rPr>
          <w:rFonts w:asciiTheme="majorHAnsi" w:eastAsia="Calibri" w:hAnsiTheme="majorHAnsi"/>
          <w:b/>
          <w:sz w:val="22"/>
          <w:szCs w:val="22"/>
          <w:lang w:val="sq-AL" w:eastAsia="en-US"/>
        </w:rPr>
      </w:pP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3 - Titullari / NA krijon strukturat organizative, linjat e raportimit, autoritetet dhe përgjegjësitë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Ky parim ka në fokus strukturën organizative të njësisë (organigramën), përcaktimin e qartë të detyrave dhe përgjegjësive funksionale të çdo niveli autoriteti si dhe nivelit te delegimit të tyre. Parimi përcakton përgjegjësinë e Titullarit / Nëpunësit Autorizues për krijimin e strukturave të përshtatshme organizative, në përputhje me madhësinë dhe kompleksitetin e veprimtarisë së njësisë publike si dhe kanalizimin e linjave të qarta të raportimit brenda dhe jashtë strukturave të njësisë.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Duke marrë në konsideratë rëndësinë dhe kompleksitetin e këtij parimi si dhe përgjigjet e argumentuara të njësive publike, rezulton se pjesa më e madhe e njësive të marra në analizë kanë hartuar deklaratat e misionit, të cilat janë të përfshira kryesisht në dokumentin e programit buxhetor afatmesëm dhe janë bërë të njohura për të gjithë punonjësit. Problematikë paraqet mungesa e planeve strategjike me objektiva dhe tregues performance të përcaktuar duke kufizuar në këtë mënyrë matjen e progresit dhe realizimin e qëllimit final të njësisë publike.</w:t>
      </w:r>
      <w:r w:rsidRPr="00AB16BA">
        <w:rPr>
          <w:rFonts w:asciiTheme="majorHAnsi" w:eastAsia="Calibri" w:hAnsiTheme="majorHAnsi"/>
          <w:sz w:val="22"/>
          <w:szCs w:val="22"/>
          <w:lang w:val="sq-AL" w:eastAsia="en-US"/>
        </w:rPr>
        <w:t xml:space="preserve"> </w:t>
      </w:r>
      <w:r w:rsidRPr="00AB16BA">
        <w:rPr>
          <w:rFonts w:asciiTheme="majorHAnsi" w:eastAsia="Calibri" w:hAnsiTheme="majorHAnsi"/>
          <w:color w:val="000000"/>
          <w:sz w:val="22"/>
          <w:szCs w:val="22"/>
          <w:lang w:val="sq-AL" w:eastAsia="en-US"/>
        </w:rPr>
        <w:t>Gjithashtu, në disa nga njësitë publike vërehet një mungesë e planeve të veprimit për arritjen e objektivave strategjikë.</w:t>
      </w:r>
    </w:p>
    <w:p w:rsidR="00D8352B" w:rsidRPr="00AB16BA" w:rsidRDefault="00D8352B" w:rsidP="00D8352B">
      <w:pPr>
        <w:spacing w:after="160"/>
        <w:jc w:val="both"/>
        <w:rPr>
          <w:rFonts w:asciiTheme="majorHAnsi" w:eastAsia="Calibri" w:hAnsiTheme="majorHAnsi"/>
          <w:sz w:val="22"/>
          <w:szCs w:val="22"/>
          <w:lang w:val="sq-AL" w:eastAsia="en-US"/>
        </w:rPr>
      </w:pPr>
      <w:r w:rsidRPr="00AB16BA">
        <w:rPr>
          <w:rFonts w:asciiTheme="majorHAnsi" w:eastAsia="Calibri" w:hAnsiTheme="majorHAnsi"/>
          <w:color w:val="000000"/>
          <w:sz w:val="22"/>
          <w:szCs w:val="22"/>
          <w:lang w:val="sq-AL" w:eastAsia="en-US"/>
        </w:rPr>
        <w:t>Një element tjetër i rëndësishëm, i cili thekson nevojën për rritje të përgjegjshmërisë menaxheriale, është procesi i delegimit, ku pjesa më e madhe e njësive publike nuk përdorin ose përdorin fare pak procedurat për delegimin e detyrave, kryesisht atë të delegimit në mungesë. Arsyet kryesore për moszbatimin  e procedurave të delegimit konsistojnë kryesisht në mungesën e informacionit të nevojshëm lidhur me këtë fushë dhe mungesën e besimit të menaxherëve për të ushtruar këtë të drejtë. Për këtë arsye, lind nevoja e rritjes së ndërgjegjësimit të nivelit të lartë menaxherial mbi përfitimet e procedurës së delegimit si dhe mënyrës së analizimit të risqeve dhe raportimit gjatë këtij procesi</w:t>
      </w:r>
      <w:r w:rsidRPr="00AB16BA">
        <w:rPr>
          <w:rFonts w:asciiTheme="majorHAnsi" w:eastAsia="Calibri" w:hAnsiTheme="majorHAnsi"/>
          <w:color w:val="002060"/>
          <w:sz w:val="22"/>
          <w:szCs w:val="22"/>
          <w:lang w:val="sq-AL" w:eastAsia="en-US"/>
        </w:rPr>
        <w:t>.</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4 -Njësia publike demostron angazhim në realizimin e kompetencave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Ky parim vlerëson angazhimin e njësive publike për të tërhequr, zhvilluar dhe mbajtur personel kompetent në përputhje me objektivat e njësisë.</w:t>
      </w:r>
    </w:p>
    <w:p w:rsidR="00D8352B" w:rsidRPr="00AB16BA" w:rsidRDefault="00D8352B" w:rsidP="00D8352B">
      <w:pPr>
        <w:spacing w:after="160"/>
        <w:jc w:val="both"/>
        <w:rPr>
          <w:rFonts w:asciiTheme="majorHAnsi" w:eastAsia="Calibri" w:hAnsiTheme="majorHAnsi"/>
          <w:sz w:val="22"/>
          <w:szCs w:val="22"/>
          <w:lang w:val="sq-AL" w:eastAsia="en-US"/>
        </w:rPr>
      </w:pPr>
      <w:r w:rsidRPr="00AB16BA">
        <w:rPr>
          <w:rFonts w:asciiTheme="majorHAnsi" w:eastAsia="Calibri" w:hAnsiTheme="majorHAnsi"/>
          <w:color w:val="000000"/>
          <w:sz w:val="22"/>
          <w:szCs w:val="22"/>
          <w:lang w:val="sq-AL" w:eastAsia="en-US"/>
        </w:rPr>
        <w:t>Nga njësitë publike të marra në analizë</w:t>
      </w:r>
      <w:r w:rsidR="00986A64"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rezulton se sistemi i kontrollit të brendshëm paraqitet pjesërisht efektiv, ku shumica e institucioneve kanë shfaqur problematika në lidhje me këtë fushë. Pothuajse të gjitha njësitë publike të marra në analizë, kryejnë procesin e vlerësimit të performancës në punë të punonjësve në përputhje me formatet e përcaktuara në legjislacionin përkatës për nënpunësit civilë. Mangësitë kryesore, të cilat ndikojnë në vlerësimin e ulët për këtë fushë</w:t>
      </w:r>
      <w:r w:rsidR="00986A64"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bazohen kryesisht në mungesën e identifikimit dhe përshkrimit të proceseve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pun</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s në një dokument të miratuar, ku përjashtim bëjnë Ministritë e Linjës në të cilat nuk mungon ekzistenca e përshkrimeve të punës. Mungesa e këtyre dokumentave ndikon në  rritjen e riskut të mbivendosjes së detyrave të punonjësve.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Gjithashtu, nga përgjigjet e dhëna, vërehet një mungesë e analizimit periodik për njohuritë dhe aftësitë e kërkuara për çdo pozicion pune dhe mbështetur në këto analiza, hartimin e planeve periodike për trajnimin e punonjësve. Mangësi shfaqen edhe gjatë procesit të rekrutimit, ku disa prej njësive publike të vartësisë, në varësi të rasteve të evidentuara, sugjerojnë përcaktimin e kritereve dhe kërkesave të përshtatshme në drejtim të kualifikimit dhe përvojës profesionale, që synojnë të fuqizojnë kapacitetin administrativ të njësisë dhe të krijojnë një ekip pune të besueshëm dhe kompetent. </w:t>
      </w:r>
    </w:p>
    <w:p w:rsidR="004D504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rritjes së kapaciteteve në fushën e menaxhimit financiar dhe kontrollit, pothuajse të gjitha njësitë e marra në analizë nuk kanë hartuar një program trajnimi të mirëfilltë, ku të përfshihen seanca trajnimi në drejtim të informimit të punonjësve me zhvillimet në fushën e menaxhimit financiar dhe kontrollit, përveç trajnimeve që organizohen nga Shkolla Shqiptare e Administrat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s Publike. Vlen të përmendet rasti i Drejtorisë së Përgjithshme të Tatimeve dhe Drejtorisë së Përgjithshme të Doganave, të cilat çdo vit hartojnë një program trajnimi për punonjësit e administratës tatimore dhe doganore, ku një ndër temat e trajnimit është dhe njohja me kërkesat dhe zbatimi i ligjit për menaxhimin financiar dhe kontrollin.</w:t>
      </w:r>
    </w:p>
    <w:p w:rsidR="00D8352B" w:rsidRPr="00AB16BA" w:rsidRDefault="00D8352B" w:rsidP="00D8352B">
      <w:pPr>
        <w:spacing w:after="160"/>
        <w:jc w:val="both"/>
        <w:rPr>
          <w:rFonts w:asciiTheme="majorHAnsi" w:eastAsia="Calibri" w:hAnsiTheme="majorHAnsi"/>
          <w:sz w:val="22"/>
          <w:szCs w:val="22"/>
          <w:lang w:val="sq-AL" w:eastAsia="en-US"/>
        </w:rPr>
      </w:pPr>
      <w:r w:rsidRPr="00AB16BA">
        <w:rPr>
          <w:rFonts w:asciiTheme="majorHAnsi" w:eastAsia="Calibri" w:hAnsiTheme="majorHAnsi"/>
          <w:b/>
          <w:sz w:val="22"/>
          <w:szCs w:val="22"/>
          <w:lang w:val="sq-AL" w:eastAsia="en-US"/>
        </w:rPr>
        <w:t>Parimi 5 -Njësia publike vepron në përputhje me përgjegjshmërinë menaxherial</w:t>
      </w:r>
      <w:r w:rsidRPr="00AB16BA">
        <w:rPr>
          <w:rFonts w:asciiTheme="majorHAnsi" w:eastAsia="Calibri" w:hAnsiTheme="majorHAnsi"/>
          <w:sz w:val="22"/>
          <w:szCs w:val="22"/>
          <w:lang w:val="sq-AL" w:eastAsia="en-US"/>
        </w:rPr>
        <w:t>e</w:t>
      </w:r>
    </w:p>
    <w:p w:rsidR="00D8352B" w:rsidRPr="004D504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Njësia publike duhet të ketë një mekanizëm të dokumentuar për të mbajtur një personel të përgjegjshëm në realizimin e përgjegjësive dhe objektivave që lidhen me kontrollin e </w:t>
      </w:r>
      <w:r w:rsidRPr="004D504B">
        <w:rPr>
          <w:rFonts w:asciiTheme="majorHAnsi" w:eastAsia="Calibri" w:hAnsiTheme="majorHAnsi"/>
          <w:color w:val="000000"/>
          <w:sz w:val="22"/>
          <w:szCs w:val="22"/>
          <w:lang w:val="sq-AL" w:eastAsia="en-US"/>
        </w:rPr>
        <w:t xml:space="preserve">brendshëm. </w:t>
      </w:r>
    </w:p>
    <w:p w:rsidR="00D8352B" w:rsidRDefault="00D8352B" w:rsidP="00D8352B">
      <w:pPr>
        <w:spacing w:after="160"/>
        <w:jc w:val="both"/>
        <w:rPr>
          <w:rFonts w:asciiTheme="majorHAnsi" w:eastAsia="Calibri" w:hAnsiTheme="majorHAnsi"/>
          <w:color w:val="000000"/>
          <w:sz w:val="22"/>
          <w:szCs w:val="22"/>
          <w:lang w:val="sq-AL" w:eastAsia="en-US"/>
        </w:rPr>
      </w:pPr>
      <w:r w:rsidRPr="004D504B">
        <w:rPr>
          <w:rFonts w:asciiTheme="majorHAnsi" w:eastAsia="Calibri" w:hAnsiTheme="majorHAnsi"/>
          <w:color w:val="000000"/>
          <w:sz w:val="22"/>
          <w:szCs w:val="22"/>
          <w:lang w:val="sq-AL" w:eastAsia="en-US"/>
        </w:rPr>
        <w:t>Nga analiza e këtij parimi, rezulton se njësitë publike</w:t>
      </w:r>
      <w:r w:rsidR="004D504B">
        <w:rPr>
          <w:rFonts w:asciiTheme="majorHAnsi" w:eastAsia="Calibri" w:hAnsiTheme="majorHAnsi"/>
          <w:color w:val="000000"/>
          <w:sz w:val="22"/>
          <w:szCs w:val="22"/>
          <w:lang w:val="sq-AL" w:eastAsia="en-US"/>
        </w:rPr>
        <w:t>,</w:t>
      </w:r>
      <w:r w:rsidRPr="004D504B">
        <w:rPr>
          <w:rFonts w:asciiTheme="majorHAnsi" w:eastAsia="Calibri" w:hAnsiTheme="majorHAnsi"/>
          <w:color w:val="000000"/>
          <w:sz w:val="22"/>
          <w:szCs w:val="22"/>
          <w:lang w:val="sq-AL" w:eastAsia="en-US"/>
        </w:rPr>
        <w:t xml:space="preserve"> kryesisht</w:t>
      </w:r>
      <w:r w:rsidR="004D504B">
        <w:rPr>
          <w:rFonts w:asciiTheme="majorHAnsi" w:eastAsia="Calibri" w:hAnsiTheme="majorHAnsi"/>
          <w:color w:val="000000"/>
          <w:sz w:val="22"/>
          <w:szCs w:val="22"/>
          <w:lang w:val="sq-AL" w:eastAsia="en-US"/>
        </w:rPr>
        <w:t>,</w:t>
      </w:r>
      <w:r w:rsidRPr="004D504B">
        <w:rPr>
          <w:rFonts w:asciiTheme="majorHAnsi" w:eastAsia="Calibri" w:hAnsiTheme="majorHAnsi"/>
          <w:color w:val="000000"/>
          <w:sz w:val="22"/>
          <w:szCs w:val="22"/>
          <w:lang w:val="sq-AL" w:eastAsia="en-US"/>
        </w:rPr>
        <w:t xml:space="preserve"> kanë </w:t>
      </w:r>
      <w:r w:rsidR="004D504B">
        <w:rPr>
          <w:rFonts w:asciiTheme="majorHAnsi" w:eastAsia="Calibri" w:hAnsiTheme="majorHAnsi"/>
          <w:color w:val="000000"/>
          <w:sz w:val="22"/>
          <w:szCs w:val="22"/>
          <w:lang w:val="sq-AL" w:eastAsia="en-US"/>
        </w:rPr>
        <w:t xml:space="preserve">të </w:t>
      </w:r>
      <w:r w:rsidRPr="004D504B">
        <w:rPr>
          <w:rFonts w:asciiTheme="majorHAnsi" w:eastAsia="Calibri" w:hAnsiTheme="majorHAnsi"/>
          <w:color w:val="000000"/>
          <w:sz w:val="22"/>
          <w:szCs w:val="22"/>
          <w:lang w:val="sq-AL" w:eastAsia="en-US"/>
        </w:rPr>
        <w:t>përcaktuar</w:t>
      </w:r>
      <w:r w:rsidR="004D504B">
        <w:rPr>
          <w:rFonts w:asciiTheme="majorHAnsi" w:eastAsia="Calibri" w:hAnsiTheme="majorHAnsi"/>
          <w:color w:val="000000"/>
          <w:sz w:val="22"/>
          <w:szCs w:val="22"/>
          <w:lang w:val="sq-AL" w:eastAsia="en-US"/>
        </w:rPr>
        <w:t>a</w:t>
      </w:r>
      <w:r w:rsidRPr="004D504B">
        <w:rPr>
          <w:rFonts w:asciiTheme="majorHAnsi" w:eastAsia="Calibri" w:hAnsiTheme="majorHAnsi"/>
          <w:color w:val="000000"/>
          <w:sz w:val="22"/>
          <w:szCs w:val="22"/>
          <w:lang w:val="sq-AL" w:eastAsia="en-US"/>
        </w:rPr>
        <w:t xml:space="preserve"> përgjegjësitë dhe përgjegjshmërinë menaxheriale në dokumentin e rregullores së brendshme</w:t>
      </w:r>
      <w:r w:rsidR="004D504B" w:rsidRPr="004D504B">
        <w:rPr>
          <w:rFonts w:asciiTheme="majorHAnsi" w:eastAsia="Calibri" w:hAnsiTheme="majorHAnsi"/>
          <w:color w:val="000000"/>
          <w:sz w:val="22"/>
          <w:szCs w:val="22"/>
          <w:lang w:val="sq-AL" w:eastAsia="en-US"/>
        </w:rPr>
        <w:t xml:space="preserve">, e cila në </w:t>
      </w:r>
      <w:r w:rsidR="00B83F81">
        <w:rPr>
          <w:rFonts w:asciiTheme="majorHAnsi" w:eastAsia="Calibri" w:hAnsiTheme="majorHAnsi"/>
          <w:color w:val="000000"/>
          <w:sz w:val="22"/>
          <w:szCs w:val="22"/>
          <w:lang w:val="sq-AL" w:eastAsia="en-US"/>
        </w:rPr>
        <w:t>sh</w:t>
      </w:r>
      <w:r w:rsidR="004D504B" w:rsidRPr="004D504B">
        <w:rPr>
          <w:rFonts w:asciiTheme="majorHAnsi" w:eastAsia="Calibri" w:hAnsiTheme="majorHAnsi"/>
          <w:color w:val="000000"/>
          <w:sz w:val="22"/>
          <w:szCs w:val="22"/>
          <w:lang w:val="sq-AL" w:eastAsia="en-US"/>
        </w:rPr>
        <w:t>umicën e institucioneve nuk është e përditësuar, duke çuar</w:t>
      </w:r>
      <w:r w:rsidRPr="004D504B">
        <w:rPr>
          <w:rFonts w:asciiTheme="majorHAnsi" w:eastAsia="Calibri" w:hAnsiTheme="majorHAnsi"/>
          <w:color w:val="000000"/>
          <w:sz w:val="22"/>
          <w:szCs w:val="22"/>
          <w:lang w:val="sq-AL" w:eastAsia="en-US"/>
        </w:rPr>
        <w:t xml:space="preserve"> </w:t>
      </w:r>
      <w:r w:rsidR="004D504B" w:rsidRPr="004D504B">
        <w:rPr>
          <w:rFonts w:asciiTheme="majorHAnsi" w:eastAsia="Calibri" w:hAnsiTheme="majorHAnsi"/>
          <w:color w:val="000000"/>
          <w:sz w:val="22"/>
          <w:szCs w:val="22"/>
          <w:lang w:val="sq-AL" w:eastAsia="en-US"/>
        </w:rPr>
        <w:t>në mospërcaktimin e qartë të përgjegjësive dhe funksioneve brenda institucionit, linjave të raportimit, ndarjeve të detyrave si dhe delegimin. Gjithashtu</w:t>
      </w:r>
      <w:r w:rsidRPr="004D504B">
        <w:rPr>
          <w:rFonts w:asciiTheme="majorHAnsi" w:eastAsia="Calibri" w:hAnsiTheme="majorHAnsi"/>
          <w:color w:val="000000"/>
          <w:sz w:val="22"/>
          <w:szCs w:val="22"/>
          <w:lang w:val="sq-AL" w:eastAsia="en-US"/>
        </w:rPr>
        <w:t>, evidentohet se shumica e njësive publike ende nuk kanë hartuar një plan strategjik dhe plane</w:t>
      </w:r>
      <w:r w:rsidRPr="00AB16BA">
        <w:rPr>
          <w:rFonts w:asciiTheme="majorHAnsi" w:eastAsia="Calibri" w:hAnsiTheme="majorHAnsi"/>
          <w:color w:val="000000"/>
          <w:sz w:val="22"/>
          <w:szCs w:val="22"/>
          <w:lang w:val="sq-AL" w:eastAsia="en-US"/>
        </w:rPr>
        <w:t xml:space="preserve"> operacionale pune, ku përgjegjësitë për zbatimin e objektivave të jenë ndarë në mënyrë të qartë dhe të monitorohen në mënyrë të vazhdueshme. Një faktor tjetër i rëndësishëm, i cili ndikon në efektivitetin e përcaktimit të përgjegjshmërisë menaxheriale, është edhe përfaqësimi i rregullt në Grupin e Menaxhimit Strategjik, me qëllim diskutimin e çështjeve që lidhen me kontrollin e brendshëm dhe adresimin e mangësive kryesore </w:t>
      </w:r>
      <w:r w:rsidR="006467AD" w:rsidRPr="00AB16BA">
        <w:rPr>
          <w:rFonts w:asciiTheme="majorHAnsi" w:eastAsia="Calibri" w:hAnsiTheme="majorHAnsi"/>
          <w:color w:val="000000"/>
          <w:sz w:val="22"/>
          <w:szCs w:val="22"/>
          <w:lang w:val="sq-AL" w:eastAsia="en-US"/>
        </w:rPr>
        <w:t>të konstatuara. Njësitë publike</w:t>
      </w:r>
      <w:r w:rsidRPr="00AB16BA">
        <w:rPr>
          <w:rFonts w:asciiTheme="majorHAnsi" w:eastAsia="Calibri" w:hAnsiTheme="majorHAnsi"/>
          <w:color w:val="000000"/>
          <w:sz w:val="22"/>
          <w:szCs w:val="22"/>
          <w:lang w:val="sq-AL" w:eastAsia="en-US"/>
        </w:rPr>
        <w:t xml:space="preserve"> pohojnë se marrin pjesë në takimet e GMS të zhvilluara nga institucionet eprore, por në pak raste diskutohen zhvillimet lidhur me sistemin e kontrollit të brendshëm dhe kryesisht këto takime nuk dokumentohen me minuta takimi apo procesverbale.</w:t>
      </w:r>
    </w:p>
    <w:p w:rsidR="003A49E5" w:rsidRPr="003A49E5" w:rsidRDefault="003A49E5" w:rsidP="00F9432E">
      <w:pPr>
        <w:pStyle w:val="ListParagraph"/>
        <w:numPr>
          <w:ilvl w:val="0"/>
          <w:numId w:val="8"/>
        </w:numPr>
        <w:spacing w:after="160"/>
        <w:ind w:left="630" w:hanging="270"/>
        <w:jc w:val="both"/>
        <w:rPr>
          <w:rFonts w:asciiTheme="majorHAnsi" w:eastAsia="Calibri" w:hAnsiTheme="majorHAnsi"/>
          <w:b/>
          <w:sz w:val="24"/>
          <w:lang w:val="sq-AL"/>
        </w:rPr>
      </w:pPr>
      <w:r w:rsidRPr="003A49E5">
        <w:rPr>
          <w:rFonts w:asciiTheme="majorHAnsi" w:eastAsia="Calibri" w:hAnsiTheme="majorHAnsi"/>
          <w:b/>
          <w:sz w:val="24"/>
          <w:lang w:val="sq-AL"/>
        </w:rPr>
        <w:t>Menaxhimi i Riskut</w:t>
      </w:r>
    </w:p>
    <w:p w:rsidR="00D8352B" w:rsidRPr="00E50025"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 xml:space="preserve">Parimi 6 – Njësia Publike specifikon objektivat si bazë për identifikim dhe vlerësim të </w:t>
      </w:r>
      <w:r w:rsidRPr="00E50025">
        <w:rPr>
          <w:rFonts w:asciiTheme="majorHAnsi" w:eastAsia="Calibri" w:hAnsiTheme="majorHAnsi"/>
          <w:b/>
          <w:sz w:val="22"/>
          <w:szCs w:val="22"/>
          <w:lang w:val="sq-AL" w:eastAsia="en-US"/>
        </w:rPr>
        <w:t>risqeve në lidhje me këto objektiva</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Ky parim paraqet një pamje të elementëve bazë të nevojshëm për zhvillimin e procesit të menaxhimit të riskut. Përcaktimi i objektivave të njësisë publike është formimi i bazës mbi të cilën zbatohet vlerësimi i riskut dhe krijohen aktivitetet pasuese të kontrollit. Titullarët / NA / Menaxherët përcaktojnë objektivat dhe i grupojnë ato në kategori më gjithëpërfshirëse në të gjitha nivelet e njësisë, në lidhje me aktivitete, raportimet dhe pajtueshmërinë.</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Shumë shpesh, njësitë publike fillojnë me një listë risqesh, në vend të shqyrtimit se cilat objektiva kërcënohen nga k</w:t>
      </w:r>
      <w:r w:rsidR="00AA7B9C" w:rsidRPr="00E50025">
        <w:rPr>
          <w:rFonts w:asciiTheme="majorHAnsi" w:eastAsia="Calibri" w:hAnsiTheme="majorHAnsi"/>
          <w:color w:val="000000"/>
          <w:sz w:val="22"/>
          <w:szCs w:val="22"/>
          <w:lang w:val="sq-AL" w:eastAsia="en-US"/>
        </w:rPr>
        <w:t>ë</w:t>
      </w:r>
      <w:r w:rsidRPr="00E50025">
        <w:rPr>
          <w:rFonts w:asciiTheme="majorHAnsi" w:eastAsia="Calibri" w:hAnsiTheme="majorHAnsi"/>
          <w:color w:val="000000"/>
          <w:sz w:val="22"/>
          <w:szCs w:val="22"/>
          <w:lang w:val="sq-AL" w:eastAsia="en-US"/>
        </w:rPr>
        <w:t xml:space="preserve">to risqe dhe çfarë aktivitetesh kontrolli ose veprime të tjera duhet të ndërmarrin. Është konstatuar se procesi i menaxhimit të riskut është një proces i ndërlikuar dhe që kërkon angazhim nga të gjitha strukturat brenda njësisë. Nga analiza e të dhënave, duke marrë në konsideratë se njësitë publike duhet të specifikojnë dokumentat e planifikimit, duke përfshirë një përshkrim të objektivave në nivel strategjik dhe operacional dhe për të përcaktuar se çfarë do të jetë bazë për përcaktimin e nivelit të riskut, evidentohet se në përputhje me nenin 29 të Ligjit të menaxhimit të sistemit buxhetor, këto njësi kanë përgatitur planin strategjik për periudhën tre-vjeçare. </w:t>
      </w:r>
    </w:p>
    <w:p w:rsidR="00D8352B" w:rsidRPr="00E50025" w:rsidRDefault="00D8352B" w:rsidP="00D8352B">
      <w:pPr>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Në lidhje me këtë parim</w:t>
      </w:r>
      <w:r w:rsidR="009C6A96" w:rsidRPr="00E50025">
        <w:rPr>
          <w:rFonts w:asciiTheme="majorHAnsi" w:eastAsia="Calibri" w:hAnsiTheme="majorHAnsi"/>
          <w:color w:val="000000"/>
          <w:sz w:val="22"/>
          <w:szCs w:val="22"/>
          <w:lang w:val="sq-AL" w:eastAsia="en-US"/>
        </w:rPr>
        <w:t xml:space="preserve">, situata paraqitet e kënaqshme </w:t>
      </w:r>
      <w:r w:rsidRPr="00E50025">
        <w:rPr>
          <w:rFonts w:asciiTheme="majorHAnsi" w:eastAsia="Calibri" w:hAnsiTheme="majorHAnsi"/>
          <w:color w:val="000000"/>
          <w:sz w:val="22"/>
          <w:szCs w:val="22"/>
          <w:lang w:val="sq-AL" w:eastAsia="en-US"/>
        </w:rPr>
        <w:t xml:space="preserve">duke qënë se njësitë përgatisin Programin Buxhetor Afatmesëm, në të cilin evidentohen të gjitha objektivat dhe prioritetet e institucionit, së bashku me programet që këto objektiva i përkasin. Në përgjithësi, këto objektiva janë në përputhje me prioritetet strategjike të evidentuara në dokumentat strategjikë përkatës dhe iu komunikohen stafit në mënyra nga më të ndryshmet. </w:t>
      </w:r>
    </w:p>
    <w:p w:rsidR="00E50025" w:rsidRPr="00E50025" w:rsidRDefault="00E50025" w:rsidP="00B65560">
      <w:pPr>
        <w:pStyle w:val="NoSpacing"/>
        <w:rPr>
          <w:lang w:val="sq-AL" w:eastAsia="en-US"/>
        </w:rPr>
      </w:pPr>
    </w:p>
    <w:p w:rsidR="00D8352B" w:rsidRPr="00E50025" w:rsidRDefault="00D8352B" w:rsidP="00D8352B">
      <w:pPr>
        <w:spacing w:after="160"/>
        <w:jc w:val="both"/>
        <w:rPr>
          <w:rFonts w:asciiTheme="majorHAnsi" w:eastAsia="Calibri" w:hAnsiTheme="majorHAnsi"/>
          <w:b/>
          <w:sz w:val="22"/>
          <w:szCs w:val="22"/>
          <w:lang w:val="sq-AL" w:eastAsia="en-US"/>
        </w:rPr>
      </w:pPr>
      <w:r w:rsidRPr="00E50025">
        <w:rPr>
          <w:rFonts w:asciiTheme="majorHAnsi" w:eastAsia="Calibri" w:hAnsiTheme="majorHAnsi"/>
          <w:b/>
          <w:sz w:val="22"/>
          <w:szCs w:val="22"/>
          <w:lang w:val="sq-AL" w:eastAsia="en-US"/>
        </w:rPr>
        <w:t>Parimi 7 – Njësia Publike identifikon dhe analizon risqet për arritjen e objektivave.</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 xml:space="preserve">Megjithëse analiza e riskut mund të fillojë nga niveli i lartë menaxherial ose në një funksion operativ, çelësi është ekzistenca e një procesi të përgjithshëm për të përcaktuar se si identifikohen dhe menaxhohen risqet në të gjithë njësinë publike. Nga analiza e këtij parimi rezulton se përgjithësisht institucionet nuk kanë përcaktuar mekanizma të mirëorganizuar dhe funksionalë të procesit të menaxhimit të riskut, efekt që pasqyrohet edhe në rezultatet e treguesve të performancës së buxhetit dhe thesarit duke shfaqur mangësi gjatë lidhjes dhe zbatimit të kontratave, parashikimit të likuiditeteve që çojnë në tejkalimin e planit mujor të arkës si edhe rritjen e nivelit të detyrimeve të prapambetura. Për më tepër, problematika paraqiten në: identifikimin e risqeve në nivel tërësor dhe në nivel aktiviteti të njësisë, hartimin e regjistrit të konsoliduar të risqeve, ku të përfshihen të gjitha strukturat e institucioneve si dhe monitorimin dhe raportimin në mënyrë periodike të risqeve me impakt të lartë me qëllim menaxhimin efektiv të tyre. </w:t>
      </w:r>
    </w:p>
    <w:p w:rsidR="00D8352B" w:rsidRPr="00E50025" w:rsidRDefault="00D8352B" w:rsidP="00D8352B">
      <w:pPr>
        <w:spacing w:after="160"/>
        <w:jc w:val="both"/>
        <w:rPr>
          <w:rFonts w:asciiTheme="majorHAnsi" w:eastAsia="Calibri" w:hAnsiTheme="majorHAnsi"/>
          <w:b/>
          <w:sz w:val="22"/>
          <w:szCs w:val="22"/>
          <w:lang w:val="sq-AL" w:eastAsia="en-US"/>
        </w:rPr>
      </w:pPr>
      <w:r w:rsidRPr="00E50025">
        <w:rPr>
          <w:rFonts w:asciiTheme="majorHAnsi" w:eastAsia="Calibri" w:hAnsiTheme="majorHAnsi"/>
          <w:b/>
          <w:sz w:val="22"/>
          <w:szCs w:val="22"/>
          <w:lang w:val="sq-AL" w:eastAsia="en-US"/>
        </w:rPr>
        <w:t>Parimi 8 – Njësia Publike vlerëson mundësinë e riskut të mashtrimeve</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Mashtrimi ekziston (ose mund të ndodhë) në shumicën e njësive publike. Ekzistenca e një risku të tillë të rëndësishëm ka bërë që formati i përditësuar i pyetësorit të vetëvlerësimit dhe regjistrit të riskut të përfshijë vlerësimin e riskut të mashtrimit duke theksuar se duhet të merret parasysh për çdo objektiv. Në këto kushte, evidentohet se pjesa më e madhe e njësive publike nuk vlerësojnë mundësinë e riskut për mashtrime dhe nuk kryejnë vlerësime periodike të</w:t>
      </w:r>
      <w:r w:rsidR="006B1B3C" w:rsidRPr="00E50025">
        <w:rPr>
          <w:rFonts w:asciiTheme="majorHAnsi" w:eastAsia="Calibri" w:hAnsiTheme="majorHAnsi"/>
          <w:color w:val="000000"/>
          <w:sz w:val="22"/>
          <w:szCs w:val="22"/>
          <w:lang w:val="sq-AL" w:eastAsia="en-US"/>
        </w:rPr>
        <w:t xml:space="preserve"> ekspozimit ndaj këtyre risqeve</w:t>
      </w:r>
      <w:r w:rsidRPr="00E50025">
        <w:rPr>
          <w:rFonts w:asciiTheme="majorHAnsi" w:eastAsia="Calibri" w:hAnsiTheme="majorHAnsi"/>
          <w:color w:val="000000"/>
          <w:sz w:val="22"/>
          <w:szCs w:val="22"/>
          <w:lang w:val="sq-AL" w:eastAsia="en-US"/>
        </w:rPr>
        <w:t xml:space="preserve"> për shkak të mungesës së aftësisë parashikuese, angazhimit dhe ndërgjegjësimit mbi përfitimet e këtij procesi. Në këtë mënyrë, rezulton se vlerësimi i riskut të  mashtrimit nuk është pjesë integrale e procesit të menaxhimit të riskut, çka e bën këtë proces më pak efektiv. Në përgjithësi, nuk ka procedura specifike të vlerësimit të riskut të mashtrimit në institucione si dhe nuk merren masa konkrete ndaj tij. Përjashtim bëjnë disa bashki, të cilat kanë librin e ankesave të qytetarëve si dokumenti informues për raste korrupsioni.</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 xml:space="preserve">Gjithashtu, lidhur me sistemin e raportimit të shkeljeve të mundshme të rregullave apo rasteve të mashtrimit, theksojmë se në institucione duhet të ekzistojnë procedura të shkruara </w:t>
      </w:r>
      <w:r w:rsidR="00C23E04">
        <w:rPr>
          <w:rFonts w:asciiTheme="majorHAnsi" w:eastAsia="Calibri" w:hAnsiTheme="majorHAnsi"/>
          <w:color w:val="000000"/>
          <w:sz w:val="22"/>
          <w:szCs w:val="22"/>
          <w:lang w:val="sq-AL" w:eastAsia="en-US"/>
        </w:rPr>
        <w:t>n</w:t>
      </w:r>
      <w:r w:rsidRPr="00E50025">
        <w:rPr>
          <w:rFonts w:asciiTheme="majorHAnsi" w:eastAsia="Calibri" w:hAnsiTheme="majorHAnsi"/>
          <w:color w:val="000000"/>
          <w:sz w:val="22"/>
          <w:szCs w:val="22"/>
          <w:lang w:val="sq-AL" w:eastAsia="en-US"/>
        </w:rPr>
        <w:t>ë lidhje me trajtimin e rasteve të abuzimit dhe mashtrimit. Për shkak të këtyre problematikave të evidentuara gjatë analizës së pyetësorëve, institucionet vlerësohen relativisht jo-efektive në lidhje me këtë parim.</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9- Njësia Publike identifikon dhe analizon ndryshimet e rëndësishme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Ndryshimi është i vazhdueshëm në të gjitha njësitë publike. Ato duhet të kenë një proces formal për të identifikuar ndryshimet e rëndësishme, të brendshme dhe të jashtme, si dhe të vlerësojnë risqet dhe qasjet për të minimizuar riskun në kohë. </w:t>
      </w:r>
    </w:p>
    <w:p w:rsidR="00D8352B" w:rsidRPr="00AB16BA" w:rsidRDefault="00D54F99"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Nga vlerësimi i këtij parimi</w:t>
      </w:r>
      <w:r w:rsidR="00D8352B" w:rsidRPr="00AB16BA">
        <w:rPr>
          <w:rFonts w:asciiTheme="majorHAnsi" w:eastAsia="Calibri" w:hAnsiTheme="majorHAnsi"/>
          <w:color w:val="000000"/>
          <w:sz w:val="22"/>
          <w:szCs w:val="22"/>
          <w:lang w:val="sq-AL" w:eastAsia="en-US"/>
        </w:rPr>
        <w:t xml:space="preserve"> rezulton se efektiviteti i sistemeve të kontrollit të brendshëm paraqitet n</w:t>
      </w:r>
      <w:r w:rsidR="00AA7B9C" w:rsidRPr="00AB16BA">
        <w:rPr>
          <w:rFonts w:asciiTheme="majorHAnsi" w:eastAsia="Calibri" w:hAnsiTheme="majorHAnsi"/>
          <w:color w:val="000000"/>
          <w:sz w:val="22"/>
          <w:szCs w:val="22"/>
          <w:lang w:val="sq-AL" w:eastAsia="en-US"/>
        </w:rPr>
        <w:t>ë</w:t>
      </w:r>
      <w:r w:rsidR="00D8352B" w:rsidRPr="00AB16BA">
        <w:rPr>
          <w:rFonts w:asciiTheme="majorHAnsi" w:eastAsia="Calibri" w:hAnsiTheme="majorHAnsi"/>
          <w:color w:val="000000"/>
          <w:sz w:val="22"/>
          <w:szCs w:val="22"/>
          <w:lang w:val="sq-AL" w:eastAsia="en-US"/>
        </w:rPr>
        <w:t xml:space="preserve"> nivele mesatare. Situata paraqet një mungesë të mekanizmave për identifikimin dhe vlerësimin e risqeve që lidhen me ndryshimet e rëndësishme. Në përgjithësi, institucionet analizojnë shumë pak ose pjesërisht ndyshimet që ndodhin në sistemin e kontrollit të brendshëm për shkak të ndryshimeve strukturore apo menaxheriale. Ky rezultat vjen si pasojë kryesisht e vështirësisë në identifikimin e shkaqeve potenciale, të cilët ndikojnë në  arritjen ose jo të një objektivi si dhe vështirësisë në vlerësimin e probabilitetit të ndodhjes së këtyre shkaqeve, për të cilët duhet vlerësuar efekti i mundshëm në arritjen e objektivave dhe shkalla në të cilën mund të menaxhohet risku. </w:t>
      </w:r>
    </w:p>
    <w:p w:rsidR="004C2317"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Problematikë tjetër e evidentuar në lidhje me këtë parim është mungesa e rregullave të shkruara në lidhje me procedurën që ndiqet për lëvizjet e stafit dhe mungesa e pasqyrimit të këtyre ndryshimeve si risqe në regjistrin e riskut të institucionit. Ndryshimet e shpeshta të drejtuesëve të njësive publike kanë shfaqur luhatje të vazhdueshme të kulturës dhe qëndrimeve filozofike përsa i përket menaxhimit të ndryshimeve dhe zhvillimit të sistemeve të kontrollit të brendshëm. Ndryshimet strukturore apo menaxheriale duhet të ndiqen nga ndryshime në rregulloren e brendshme, manu</w:t>
      </w:r>
      <w:r w:rsidR="00FD776D" w:rsidRPr="00AB16BA">
        <w:rPr>
          <w:rFonts w:asciiTheme="majorHAnsi" w:eastAsia="Calibri" w:hAnsiTheme="majorHAnsi"/>
          <w:color w:val="000000"/>
          <w:sz w:val="22"/>
          <w:szCs w:val="22"/>
          <w:lang w:val="sq-AL" w:eastAsia="en-US"/>
        </w:rPr>
        <w:t>a</w:t>
      </w:r>
      <w:r w:rsidRPr="00AB16BA">
        <w:rPr>
          <w:rFonts w:asciiTheme="majorHAnsi" w:eastAsia="Calibri" w:hAnsiTheme="majorHAnsi"/>
          <w:color w:val="000000"/>
          <w:sz w:val="22"/>
          <w:szCs w:val="22"/>
          <w:lang w:val="sq-AL" w:eastAsia="en-US"/>
        </w:rPr>
        <w:t>let e proceseve të punës apo në përshkrimet e punës.</w:t>
      </w:r>
    </w:p>
    <w:p w:rsidR="004C2317" w:rsidRPr="00BA2BAC" w:rsidRDefault="004C2317" w:rsidP="00F9432E">
      <w:pPr>
        <w:pStyle w:val="ListParagraph"/>
        <w:numPr>
          <w:ilvl w:val="0"/>
          <w:numId w:val="8"/>
        </w:numPr>
        <w:spacing w:after="160"/>
        <w:ind w:left="630" w:hanging="270"/>
        <w:jc w:val="both"/>
        <w:rPr>
          <w:rFonts w:asciiTheme="majorHAnsi" w:eastAsia="Calibri" w:hAnsiTheme="majorHAnsi"/>
          <w:b/>
          <w:sz w:val="24"/>
          <w:lang w:val="sq-AL"/>
        </w:rPr>
      </w:pPr>
      <w:r w:rsidRPr="00BA2BAC">
        <w:rPr>
          <w:rFonts w:asciiTheme="majorHAnsi" w:eastAsia="Calibri" w:hAnsiTheme="majorHAnsi"/>
          <w:b/>
          <w:sz w:val="24"/>
          <w:lang w:val="sq-AL"/>
        </w:rPr>
        <w:t>Aktivitetet e Kontrollit</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10 – Njësia Publike përzgjedh dhe zhvillon aktivitetet e kontrollit.</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Nuk ka "zgjedhje ideale" në zgjedhjen e aktiviteteve të duhura të kontrollit. Përkundrazi, aktivitetet e kontrollit, ose një kombinim i aktiviteteve të kontrollit (politikat, procedurat dhe përgjegjësitë) duhet të zgjidhen për të zvogëluar në mënyrë të mjaftueshme riskun e mosrealizimit të objektivave në një nivel të pranueshëm. As menaxhimi dhe as auditimi i brendshëm nuk duhet të fillojnë një analizë të aktiviteteve të kontrollit me një listë të kontrolleve dhe të identifikojnë nëse janë të pranishëm apo jo. Përkundrazi, kontrollet duhet të vlerësohen në raport me risqet që duhet të minimizohen.</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 vijim të analizës së kryer, rezulton se pjesa më e madhe e njësive publike kanë implementuar aktivitetet e nevojshme të kontrollit me qëllim minizimin e risqeve me impakt të lartë dhe ofrimin e asistencës në kuadër të përmbushjes së objektivave, ruajtjes së aktiveve dhe sigurimin e plotësisë, saktësisë dhe vlefshmërisë së informacionit të mbledhur dhe raportuar nga njësia publike. Efektiviteti në përdorimin e këtyre instrumenteve ka ndikim pozitiv edhe në efektivitetin e realizimit të treguesve kryesorë të buxhetit dhe thesarit, duke gjeneruar procedura të sakta lidhur me shpenzimet e kryera nga njësia si dhe ndjekjen me përpikmëri të procedurave të prokurimit publik me qëllim mirëmenaxhimin e fondeve publike.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Pavarësisht progresit të bërë në këtë fushë, mund të themi se ende ka problematika për t’u adresuar, të cilat lidhen kryesisht me mungesën e hartave apo manualeve të proceseve të punës dhe sjellin si pasojë mbivendosjen e detyrave dhe përgjegjësive. Institucionet i kanë të qarta procedurat për organizimin e prokurimeve, kanë komisione për prokurim, regjistër prokurimesh si dhe regjistër aktivesh të përditësuar në SIFQ. Përjashtim bëjnë njësitë me buxhet të madh, të cilat kanë shfaqur probleme lidhur me krijimin dhe përditësimin e regjistrit të aktiveve. Mangësi tjetër në lidhje me aktivet në institucionet publike është moszbatimi i procedurave të shkruara në lidhje me vlerësimin e aktiveve dhe trajtimin e tyre kontabël, ku pjesa më e madhe e njësive kanë vështirësi në përcaktimin e vlerave të aktiveve dhe regjistrimin e tyre në SIFQ.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Kjo situatë dikton nevojën e marrjes në konsideratë të të gjitha aspekteve të komponentëve dhe proceseve të kontrollit të brendshëm të njësisë publike, teknologjisë së informacionit dhe fushave, ku aktivitetet e kontrollit janë të nevojshme.</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11 - Njësia Publike përzgjedh dhe zhvillon aktivitete të përgjithshme të kontrolli mbi teknologjinë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Teknologjia është bërë një element kyç operacional i pothuajse çdo organizate. Megjithatë, ekzistojnë kërcënime për objektivat organizative nëpërmjet depërtimit të jashtëm të rrjetit, mungesës së kujdesit në testimin e softuerit ose thjesht proceseve të dobëta të sigurisë. Çdo organizatë duhet të identifikojë kontrollet e përgjithshme dhe efektivitetin e tyre për të zbutur këto kërcënime të rëndësishme.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aktiviteteve të kontrollit mbi teknologjinë, pjesa më e madhe e njësive publike është shprehur se janë vendosur procese për zgjedhjen, zhvillimin, funksionimin dhe mirëmbajtjen e teknologjisë së një njësie publike</w:t>
      </w:r>
      <w:r w:rsidR="001F0D5A" w:rsidRPr="00AB16BA">
        <w:rPr>
          <w:rFonts w:asciiTheme="majorHAnsi" w:eastAsia="Calibri" w:hAnsiTheme="majorHAnsi"/>
          <w:color w:val="000000"/>
          <w:sz w:val="22"/>
          <w:szCs w:val="22"/>
          <w:lang w:val="sq-AL" w:eastAsia="en-US"/>
        </w:rPr>
        <w:t xml:space="preserve">. Gjithashtu, </w:t>
      </w:r>
      <w:r w:rsidRPr="00AB16BA">
        <w:rPr>
          <w:rFonts w:asciiTheme="majorHAnsi" w:eastAsia="Calibri" w:hAnsiTheme="majorHAnsi"/>
          <w:color w:val="000000"/>
          <w:sz w:val="22"/>
          <w:szCs w:val="22"/>
          <w:lang w:val="sq-AL" w:eastAsia="en-US"/>
        </w:rPr>
        <w:t xml:space="preserve">ato zbatojnë aktivitetet e kontrollit mbi infrastrukturën e teknologjisë, menaxhimin e sigurisë, zhvillimin dhe mirëmbajtjen e teknologjisë. Në përgjithësi, institucionet bazohen në rregullat e përgjithshme të përcaktuar nga Agjencia Kombëtare e Shoqërisë së Informacionit dhe nuk kanë procedura të brendshme specifike për këtë fushë.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ndarjes së detyrave për funksionimin e sistemit të teknologjisë së informacionit, ato janë kryesisht të evidentuara në rregulloret e brendshme dhe përshkrimet e punës. Disa prej njësive pohojnë se përdorin sisteme të teknologjisë së informacionit, të ndryshme nga ato fikse. Mund të përmendim sistemet e Institutit të Sigurimeve Shoqërore, atë të administratës tatimore dhe doganore, bashkisë Tiranë dhe bashki të tjera të mëdha.</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Problematika paraqiten në mirëmbajtjen e sistemeve të teknologjisë së informacionit, ku evidentohen mangësi në zbatimin e procedurave të rikuperimit si dhe në planet e rikuperimit në raste fatkeqësie,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cilat sjellin si pasoj</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nd</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rprerjen e plotë ose të pjesshme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sistemit. Ngjarje të tilla rrezikojnë humbjen e të dhënave të institucionit dhe cënimin e efektivitetit të sistemeve të kontrollit të brendshëm. </w:t>
      </w:r>
    </w:p>
    <w:p w:rsidR="00C52EB8" w:rsidRDefault="00C52EB8" w:rsidP="00D8352B">
      <w:pPr>
        <w:spacing w:after="160"/>
        <w:jc w:val="both"/>
        <w:rPr>
          <w:rFonts w:asciiTheme="majorHAnsi" w:eastAsia="Calibri" w:hAnsiTheme="majorHAnsi"/>
          <w:b/>
          <w:sz w:val="22"/>
          <w:szCs w:val="22"/>
          <w:lang w:val="sq-AL" w:eastAsia="en-US"/>
        </w:rPr>
      </w:pP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12 – Njësia Publike vendos aktivitete kontrollit përmes politikave dhe procedurave.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Përgjegjësitë për aktivitetet e kontrollit duhet të identifikohen dhe komunikohen përmes politikave dhe procedurave të ndryshme. Proceset duhet të jenë në vend për të siguruar që të gjitha aspektet zbatohen dhe funksionojnë.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Vlerësimi i këtij parimi rezulton pjesërisht efektiv, ku një pjesë e njësive të marra në analizë evidentojnë se përgjegjësitë për aktivitetet e kontrollit janë të përcaktuara në rregulloren e brendshme. Përsa i përket Ministrive, pjesa më e madhe e këtyre institucioneve kanë probleme në përcaktimin e saktë të përgjegjësive të stafit apo drejtuesve. Kjo gjë lidhet dhe me konkluzionet e arritura më sipër, mbi mungesën e një rregulloreje të përditësuar apo mungesës së manualeve të proceseve të punës, ku përcaktohen qartë detyrat dhe përgjegjësitë e gjithësecilit.</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Mangësitë e paraqitura ndikojnë në cilësinë e sistemit të kontrollit të brendshëm, duke reklamuar nevojën e menjëhershme për krijimin e një politike që përshkruan pikëpamjet e menaxhimit se çfarë duhet të bëhet për të ushtruar kontroll si dhe përcaktimin e procedurave që zbatojnë atë politikë. Politikat dhe procedurat duhet të krijojnë përgjegjësi dhe përgjegjshmëri të qartë për menaxhimin e njësive të riskuara.  Procedurat duhet të përfshijnë kohën e kryerjes së një aktiviteti kontrolli dhe çdo veprim korrektues pasues. Nga analiza e mëtejshme, theksojmë se, ndryshimet e rëndësishme (në njerëz, proces, dhe teknologji) duhet</w:t>
      </w:r>
      <w:r w:rsidR="009465CC">
        <w:rPr>
          <w:rFonts w:asciiTheme="majorHAnsi" w:eastAsia="Calibri" w:hAnsiTheme="majorHAnsi"/>
          <w:color w:val="000000"/>
          <w:sz w:val="22"/>
          <w:szCs w:val="22"/>
          <w:lang w:val="sq-AL" w:eastAsia="en-US"/>
        </w:rPr>
        <w:t xml:space="preserve"> të</w:t>
      </w:r>
      <w:r w:rsidRPr="00AB16BA">
        <w:rPr>
          <w:rFonts w:asciiTheme="majorHAnsi" w:eastAsia="Calibri" w:hAnsiTheme="majorHAnsi"/>
          <w:color w:val="000000"/>
          <w:sz w:val="22"/>
          <w:szCs w:val="22"/>
          <w:lang w:val="sq-AL" w:eastAsia="en-US"/>
        </w:rPr>
        <w:t xml:space="preserve"> vlerësohen përmes procesit të vlerësimit të riskut pasi ato mund të zvogëlojnë efektivitetin e aktiviteteve të kontrollit. Prandaj, menaxhimi duhet të rivlerësojë rëndësinë e kontrolleve ekzistuese dhe përditësimin e tyre kur është e nevojshme.</w:t>
      </w:r>
    </w:p>
    <w:p w:rsidR="006C4F31" w:rsidRPr="00BA2BAC" w:rsidRDefault="006C4F31" w:rsidP="00F9432E">
      <w:pPr>
        <w:pStyle w:val="ListParagraph"/>
        <w:numPr>
          <w:ilvl w:val="0"/>
          <w:numId w:val="8"/>
        </w:numPr>
        <w:spacing w:after="160"/>
        <w:ind w:left="630" w:hanging="270"/>
        <w:jc w:val="both"/>
        <w:rPr>
          <w:rFonts w:asciiTheme="majorHAnsi" w:eastAsia="Calibri" w:hAnsiTheme="majorHAnsi"/>
          <w:b/>
          <w:sz w:val="24"/>
          <w:lang w:val="sq-AL"/>
        </w:rPr>
      </w:pPr>
      <w:r w:rsidRPr="00BA2BAC">
        <w:rPr>
          <w:rFonts w:asciiTheme="majorHAnsi" w:eastAsia="Calibri" w:hAnsiTheme="majorHAnsi"/>
          <w:b/>
          <w:sz w:val="24"/>
          <w:lang w:val="sq-AL"/>
        </w:rPr>
        <w:t>Informimi dhe Komunikimi</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13 - Njësia Publike merr, gjeneron dhe përdor informacionin përkatës cilësor.</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vlerësohet nëse njësia publike merr, gjeneron dhe përdor informacion të rëndësishëm, cilësor për të mbështetur funksionimin e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Në vijim të analizës së </w:t>
      </w:r>
      <w:r w:rsidRPr="00BB70F1">
        <w:rPr>
          <w:rFonts w:asciiTheme="majorHAnsi" w:eastAsia="Calibri" w:hAnsiTheme="majorHAnsi"/>
          <w:color w:val="000000"/>
          <w:sz w:val="22"/>
          <w:szCs w:val="22"/>
          <w:lang w:val="sq-AL" w:eastAsia="en-US"/>
        </w:rPr>
        <w:t>kryer, rezulton se një pjesë e madhe e njësive publike i kushtojnë rëndësinë e duhur përcjelljes së një informacioni cilësor dhe raportimit periodik të këtij informacioni. Ato kanë një sistem komunikimi dhe raportimi , si brenda dhe jashtë institucionit. Njësitë pohojnë se përgatisin për menaxhimin/drejtuesit, raporte të nevojshme mbi</w:t>
      </w:r>
      <w:r w:rsidRPr="00AB16BA">
        <w:rPr>
          <w:rFonts w:asciiTheme="majorHAnsi" w:eastAsia="Calibri" w:hAnsiTheme="majorHAnsi"/>
          <w:color w:val="000000"/>
          <w:sz w:val="22"/>
          <w:szCs w:val="22"/>
          <w:lang w:val="sq-AL" w:eastAsia="en-US"/>
        </w:rPr>
        <w:t xml:space="preserve"> performancën (përmbushjen e detyrave) e njësisë në raport me objektivat e caktuara, për të bërë të mundur që ata të marrin përsip</w:t>
      </w:r>
      <w:r w:rsidR="004F6B7E">
        <w:rPr>
          <w:rFonts w:asciiTheme="majorHAnsi" w:eastAsia="Calibri" w:hAnsiTheme="majorHAnsi"/>
          <w:color w:val="000000"/>
          <w:sz w:val="22"/>
          <w:szCs w:val="22"/>
          <w:lang w:val="sq-AL" w:eastAsia="en-US"/>
        </w:rPr>
        <w:t>ër përgjegjësitë e tyre me efiç</w:t>
      </w:r>
      <w:r w:rsidRPr="00AB16BA">
        <w:rPr>
          <w:rFonts w:asciiTheme="majorHAnsi" w:eastAsia="Calibri" w:hAnsiTheme="majorHAnsi"/>
          <w:color w:val="000000"/>
          <w:sz w:val="22"/>
          <w:szCs w:val="22"/>
          <w:lang w:val="sq-AL" w:eastAsia="en-US"/>
        </w:rPr>
        <w:t xml:space="preserve">encë dhe efektivitet, por nuk rezulton që të ketë një bazë rregullative që të përcaktojë llojet e raportimit dhe periodicitetin e tyre. Megjithatë, nga analiza dhe monitorimet e kryera, evidentojmë se pjesa më e madhe e raporteve të përgatitura përmbajnë informacion kryesisht financiar siç janë raportet për monitorimin e buxhetit apo raportet për detyrimet financiare. Ndërkohë që pak prej njësive përgatisin raporte periodike mbi ecurinë dhe statusin e implementimit të objektivave të vendosura dhe çështjeve që lidhen me sistemet e kontrollit të brendshëm. Ky konstatim vjen si pasojë e mungesës së angazhimit të menaxherëve mbi zhvillimin e kësaj fushe dhe ndryshimit të herëpashershëm  të drejtuesve të njësisë, të cilët përcjellin kultura të ndryshme në mënyrën e organizimit të institucionit. </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Lidhur me sistemet e kontabilitetit, njësitë përdorin kryesisht programe kompjuterike si Financa 5 apo Alpha, por nuk kanë një program të unifikuar si dhe nuk parashikojnë përmirësime të mëtejshme në sistemin e tyre të kontabilitetit. Më problematike në këtë aspekt janë konsideruar bashkitë, të cilat nuk kanë sisteme të mirëfillta, por përdorin programet e Excel për kontabilitetin dhe Alpha për magazinën. Zhvillimi ose rishikimi i sistemeve të informacionit duhet të bazohet në një plan strategjik për sistemet e informacionit të lidhur me strategjinë e njësisë dhe që t’i përgjigjet përmbushjes së objektivave si në nivel aktiviteti ashtu edhe objektivave të përgjithshme të njësisë publike. Ndërkohë që, nga rezultatet e pyetësorëve të vetëvlerësimit, rregullat për marrjen, gjenerimin dhe përdorimin e informacionit përcaktohen vëtëm në rregulloret e brendshme të njësive, të cilat shpeshherë nuk janë në harmoni me nevojat e njësisë.</w:t>
      </w:r>
    </w:p>
    <w:p w:rsidR="00C52EB8" w:rsidRDefault="00C52EB8" w:rsidP="00D8352B">
      <w:pPr>
        <w:spacing w:after="160"/>
        <w:jc w:val="both"/>
        <w:rPr>
          <w:rFonts w:asciiTheme="majorHAnsi" w:eastAsia="Calibri" w:hAnsiTheme="majorHAnsi"/>
          <w:b/>
          <w:sz w:val="22"/>
          <w:szCs w:val="22"/>
          <w:lang w:val="sq-AL" w:eastAsia="en-US"/>
        </w:rPr>
      </w:pP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14 - Njësia Publike përdor komunikimin e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Njësia publike komunikon në mënyrë të brendshme informacionin, duke përfshirë objektivat dhe përgjegjësitë, të nevojshëm për të mbështetur funksionimin e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krijimit dhe përdorimit të linjave të brendshme të komunikimit, pjesa m</w:t>
      </w:r>
      <w:r w:rsidR="00782730"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e madhe e njësive të marra në analizë, sqarojnë se parimet bazë dhe procedurat e komunikimit janë përcaktuar në dokumentin e rregullores së brendsh</w:t>
      </w:r>
      <w:r w:rsidR="008945F1" w:rsidRPr="00AB16BA">
        <w:rPr>
          <w:rFonts w:asciiTheme="majorHAnsi" w:eastAsia="Calibri" w:hAnsiTheme="majorHAnsi"/>
          <w:color w:val="000000"/>
          <w:sz w:val="22"/>
          <w:szCs w:val="22"/>
          <w:lang w:val="sq-AL" w:eastAsia="en-US"/>
        </w:rPr>
        <w:t>me të institucionit. Këto njësi</w:t>
      </w:r>
      <w:r w:rsidRPr="00AB16BA">
        <w:rPr>
          <w:rFonts w:asciiTheme="majorHAnsi" w:eastAsia="Calibri" w:hAnsiTheme="majorHAnsi"/>
          <w:color w:val="000000"/>
          <w:sz w:val="22"/>
          <w:szCs w:val="22"/>
          <w:lang w:val="sq-AL" w:eastAsia="en-US"/>
        </w:rPr>
        <w:t xml:space="preserve"> informohen për vendimet e ndërmarra nga institucioni epror nëpërmjet shkresave zyrtare, takimeve të grupit të menaxhimit strategjik apo në pak raste edhe nëpërmjet kërkimeve në faqen zyrtare.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Nga evidencat e vëna në dispozicion, nuk paraqiten raste konkrete, ku gabime apo keqkuptime të komunikimeve ndërmjet institucioneve të kenë ndikuar në performancën e sistemeve të kontrollit të brendshëm të tyre. Pavarësisht vlerësimit relativisht pozitiv të efektivitetit të këtyre elementëve, me synimin kryesor përmirësimin e sistemeve të komunikimit të brendshëm por jo vetëm, ende mbeten për t’u adresuar çështje që lidhen me parashikimin e rasteve të transmetimit të informacioneve të pasakta dhe marrjen e masave të menjëhershme për parandalimin e tyre.</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15 - Njësia Publike përdor komunikimin e jashtëm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vlerësohen procedurat e komunikimit të njësisë publike me palët e treta lidhur me çështjet që ndikojnë në funksionimin e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Në përputhje me parimet dhe procedurat e sistemeve të komunikimit të brendshëm, edhe për komunikimin e jashtëm, pjesa më e madhe e njësive pohojnë se rregullat bazë për zbatimin e këtij komunikimi janë përcaktuar në rregulloren e brendshme të institucionit. Pothuajse të gjitha njësitë publike hyjnë në marrëdhënie ndërvepruese të përditshme, duke përcjellë informacione të ndryshme në rrugë zyrtare, në format shkresor apo në rrugë elektronike nëpërmjet aksesit në adresat zyrtare të e-mailit. </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Pjesa më e madhe e njësive publike të analizuara pohojnë se zbatojnë procedurat për konsultimin publik në kuadër të transparencës lidhur me aktivitetet apo projektet dhe investimet, realizimi i të cilave ka impakt në shoqëri. Ndërveprimi me publikun, ndihmon njësitë publike në përfitimin e informacioneve në shkallë të gjerë dhe përmirësimin e procedurave të komunikimit të jashtëm duke rritur ndjeshëm efektivitetin e sistemeve të kontrollit të brendshëm.</w:t>
      </w:r>
    </w:p>
    <w:p w:rsidR="006C4F31" w:rsidRPr="00BA2BAC" w:rsidRDefault="006C4F31" w:rsidP="00F9432E">
      <w:pPr>
        <w:pStyle w:val="ListParagraph"/>
        <w:numPr>
          <w:ilvl w:val="0"/>
          <w:numId w:val="8"/>
        </w:numPr>
        <w:spacing w:after="160"/>
        <w:ind w:left="630" w:hanging="270"/>
        <w:jc w:val="both"/>
        <w:rPr>
          <w:rFonts w:asciiTheme="majorHAnsi" w:eastAsia="Calibri" w:hAnsiTheme="majorHAnsi"/>
          <w:b/>
          <w:sz w:val="24"/>
          <w:lang w:val="sq-AL"/>
        </w:rPr>
      </w:pPr>
      <w:r w:rsidRPr="00BA2BAC">
        <w:rPr>
          <w:rFonts w:asciiTheme="majorHAnsi" w:eastAsia="Calibri" w:hAnsiTheme="majorHAnsi"/>
          <w:b/>
          <w:sz w:val="24"/>
          <w:lang w:val="sq-AL"/>
        </w:rPr>
        <w:t>Monitorimi</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16 - Njësia Publike përzgjedh, zhvil</w:t>
      </w:r>
      <w:r w:rsidR="001D1513" w:rsidRPr="00AB16BA">
        <w:rPr>
          <w:rFonts w:asciiTheme="majorHAnsi" w:eastAsia="Calibri" w:hAnsiTheme="majorHAnsi"/>
          <w:b/>
          <w:sz w:val="22"/>
          <w:szCs w:val="22"/>
          <w:lang w:val="sq-AL" w:eastAsia="en-US"/>
        </w:rPr>
        <w:t>l</w:t>
      </w:r>
      <w:r w:rsidRPr="00AB16BA">
        <w:rPr>
          <w:rFonts w:asciiTheme="majorHAnsi" w:eastAsia="Calibri" w:hAnsiTheme="majorHAnsi"/>
          <w:b/>
          <w:sz w:val="22"/>
          <w:szCs w:val="22"/>
          <w:lang w:val="sq-AL" w:eastAsia="en-US"/>
        </w:rPr>
        <w:t>on dhe kryen vlerësime të vazhdueshme dhe / ose të veçanta të sistemit të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Procesi i monitorimit duhet të përfshijë vlerësimin e vazhdueshëm të sistemeve të kontrollit të brendshëm, në kohë dhe me kosto efektive. Vlerësime të herëpashershme të këtyre sistemeve duhet të kryhen sipas nevojës.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Procesi i vlerësimit të sistemeve të kontrollit të brendshëm realizohet nëpërmjet procesit të vetëvlerësimit të menaxherëve për strukturat që ata drejtojnë, hartimit të deklaratave dhe raporteve mbi cilësinë e kontrollit të brendshëm, monitorimeve në vend si dhe nëpërmjet shërbimit të auditimit të brendshëm ku ofrohet siguri e arsyeshme nëse sistemet e kontrollit të brendshëm funksionojnë në bazë të standardeve ndërkombëtare të kontrollit të brendshëm. Nga analiza e kryer, vlerësohet se një pjesë e madhe e njësive kanë përcaktuar në rregulloren e brendshme rregullat bazë për raportimin e ecurisë dhe statusit të implementimit të objektivave, ndërkohë që ende nuk janë hartuar manualet e proceseve të punës</w:t>
      </w:r>
      <w:r w:rsidR="007635A4"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ku të jenë përcaktuar të gjithë proceset e detajuara në afate kohore dhe për persona përgjegjës për zbatimin dhe raportimin e tyre. Problematika evidentohen kryesisht në përcaktimin e detyrimit për monitorimin e sistemit të kontrollit të brendshëm, ku pjesa me e madhe e institucioneve nuk ka hartuar një dokument të mirëfilltë për ndjekjen e procesit të monitorimit, gjë e cila mund të shkaktojë uljen e performancës së sistemit të kontrollit të brendshëm në këto njësi.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Për vitin 2018, institucionet e marra në shqyrtim kanë plotësuar pyetësorin e rishikuar të vetëvlerësimit duke dhënë një vlerësim paraprak të sistemeve të kontrollit të brendshëm. Gjithashtu, në kuadër të përforcimit të sistemit të kontrollit të brendshëm në njësitë publike, me asistencën e Drejtorisë së Harmonizimit të Menaxhimit Financiar dhe Kontrollit, institucionet kanë hartuar një plan veprimi për ngritjen e sistemit të menaxhimit financiar dhe kontrollit ku janë përcaktuar disa masa/aktivitete me qëllim adresimin e problematikave të evidentuara gjatë vlerësimeve të vazhdueshme të këtij sistemi. Nga analiza e thelluar e çdo plani veprimi, evidentohet se një pjesë e aktiviteteve të parashikuara janë të fokusuara në përmirësimin e performancës financiare apo të çështjeve teknike të njësisë dhe një pjesë e vogël e tyre është fokusuar në ndërmarrjen e aktiviteteve për ngritjen e sistemeve efektive të kontrollit të brendshëm. Kjo situatë paraqet një nivel të ulët të përfshirjes së menaxherëve të nivelit të lartë apo edhe vetë stafit në elementët që lidhen me krijimin e sistemeve të shëndosha të kontrollit të brendshëm dhe raportimin mbi ecurinë e planit të masave të ndërmarra.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Gjithashtu, shërbimi i auditimit të brendshëm realizon një vlerësim të sistemit të kontrollit të brendshëm, ku pjesa më e madhe e njësive janë audituar të paktën një herë lidhur me ecurinë e zbatimit të këtij sistemi. Vlen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theksojm</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se institucionet e pavarura nuk kan</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pjes</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struktur</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s s</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tyre organizative nj</w:t>
      </w:r>
      <w:r w:rsidR="00AA7B9C" w:rsidRPr="00AB16BA">
        <w:rPr>
          <w:rFonts w:asciiTheme="majorHAnsi" w:eastAsia="Calibri" w:hAnsiTheme="majorHAnsi"/>
          <w:color w:val="000000"/>
          <w:sz w:val="22"/>
          <w:szCs w:val="22"/>
          <w:lang w:val="sq-AL" w:eastAsia="en-US"/>
        </w:rPr>
        <w:t>ë</w:t>
      </w:r>
      <w:r w:rsidR="00704148">
        <w:rPr>
          <w:rFonts w:asciiTheme="majorHAnsi" w:eastAsia="Calibri" w:hAnsiTheme="majorHAnsi"/>
          <w:color w:val="000000"/>
          <w:sz w:val="22"/>
          <w:szCs w:val="22"/>
          <w:lang w:val="sq-AL" w:eastAsia="en-US"/>
        </w:rPr>
        <w:t>si auditimi</w:t>
      </w:r>
      <w:r w:rsidR="00177039" w:rsidRPr="00AB16BA">
        <w:rPr>
          <w:rFonts w:asciiTheme="majorHAnsi" w:eastAsia="Calibri" w:hAnsiTheme="majorHAnsi"/>
          <w:color w:val="000000"/>
          <w:sz w:val="22"/>
          <w:szCs w:val="22"/>
          <w:lang w:val="sq-AL" w:eastAsia="en-US"/>
        </w:rPr>
        <w:t xml:space="preserve"> dhe vetëm një pjesë e vogël e tyre e realizojnë këtë shërbim nëpërmjet akt-marrëveshjeve me njësitë e auditimit të brends</w:t>
      </w:r>
      <w:r w:rsidR="00F33DC6">
        <w:rPr>
          <w:rFonts w:asciiTheme="majorHAnsi" w:eastAsia="Calibri" w:hAnsiTheme="majorHAnsi"/>
          <w:color w:val="000000"/>
          <w:sz w:val="22"/>
          <w:szCs w:val="22"/>
          <w:lang w:val="sq-AL" w:eastAsia="en-US"/>
        </w:rPr>
        <w:t>hëm të njësive të tjera publike</w:t>
      </w:r>
      <w:r w:rsidRPr="00AB16BA">
        <w:rPr>
          <w:rFonts w:asciiTheme="majorHAnsi" w:eastAsia="Calibri" w:hAnsiTheme="majorHAnsi"/>
          <w:color w:val="000000"/>
          <w:sz w:val="22"/>
          <w:szCs w:val="22"/>
          <w:lang w:val="sq-AL" w:eastAsia="en-US"/>
        </w:rPr>
        <w:t>. Gjetjet e misioneve të kryera i bëhen të njohura titullarit dhe në bazë të tyre paraqitet plani i rekomandimeve për përmirësim. Pjesa më e madhe e njësive zbatojnë një nivel të ulët të këtyre rekomandimeve, çka shpreh angazhimin minimal të menaxherëve në p</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rmir</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simin e sistemeve të kontrollit të brendshëm. </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17 - Njësia Publike vlerëson dhe komunikon mangësitë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Kur identifikohen mangësitë e kontrollit të brendshëm, titullari i njësisë publike duhet të ndërmarrë veprimet korrigjuese dhe t'i komunikojë ato në nivelin e duhur dhe në kohën e duhur. Mangësitë mund të identifikohen në nivelin e komponentit ose në procesin e kontrollit të brendshëm në tërësi.</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 bazë të analizës dhe vlerësimit të kryer, nj</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pjes</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e vog</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l e institucioneve sqarojnë se menaxhimi identifikon mangësitë e sistemit të kontrollit të brendshëm dhe i bëh</w:t>
      </w:r>
      <w:r w:rsidR="001B0C37">
        <w:rPr>
          <w:rFonts w:asciiTheme="majorHAnsi" w:eastAsia="Calibri" w:hAnsiTheme="majorHAnsi"/>
          <w:color w:val="000000"/>
          <w:sz w:val="22"/>
          <w:szCs w:val="22"/>
          <w:lang w:val="sq-AL" w:eastAsia="en-US"/>
        </w:rPr>
        <w:t>en të njohura titullarit apo në</w:t>
      </w:r>
      <w:r w:rsidRPr="00AB16BA">
        <w:rPr>
          <w:rFonts w:asciiTheme="majorHAnsi" w:eastAsia="Calibri" w:hAnsiTheme="majorHAnsi"/>
          <w:color w:val="000000"/>
          <w:sz w:val="22"/>
          <w:szCs w:val="22"/>
          <w:lang w:val="sq-AL" w:eastAsia="en-US"/>
        </w:rPr>
        <w:t>punësit autorizues. Gjithashtu, këto njësi publike mbajnë në konsideratë ndërmarrjen e masave për përmirësimin e sistemit por ende nuk janë të formalizuara plotësisht në planet e veprimit apo në një regjistër të evidentimit të mangësive dhe aktiviteteve për adresimin</w:t>
      </w:r>
      <w:r w:rsidR="009520C6" w:rsidRPr="00AB16BA">
        <w:rPr>
          <w:rFonts w:asciiTheme="majorHAnsi" w:eastAsia="Calibri" w:hAnsiTheme="majorHAnsi"/>
          <w:color w:val="000000"/>
          <w:sz w:val="22"/>
          <w:szCs w:val="22"/>
          <w:lang w:val="sq-AL" w:eastAsia="en-US"/>
        </w:rPr>
        <w:t xml:space="preserve"> e tyre. Nga përgjigjet e dhëna</w:t>
      </w:r>
      <w:r w:rsidRPr="00AB16BA">
        <w:rPr>
          <w:rFonts w:asciiTheme="majorHAnsi" w:eastAsia="Calibri" w:hAnsiTheme="majorHAnsi"/>
          <w:color w:val="000000"/>
          <w:sz w:val="22"/>
          <w:szCs w:val="22"/>
          <w:lang w:val="sq-AL" w:eastAsia="en-US"/>
        </w:rPr>
        <w:t xml:space="preserve"> rezulton se</w:t>
      </w:r>
      <w:r w:rsidR="009520C6"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në disa njësi procesi i vlerësimit dhe komunikimit të gjetjeve mbi ecurinë e siste</w:t>
      </w:r>
      <w:r w:rsidR="009520C6" w:rsidRPr="00AB16BA">
        <w:rPr>
          <w:rFonts w:asciiTheme="majorHAnsi" w:eastAsia="Calibri" w:hAnsiTheme="majorHAnsi"/>
          <w:color w:val="000000"/>
          <w:sz w:val="22"/>
          <w:szCs w:val="22"/>
          <w:lang w:val="sq-AL" w:eastAsia="en-US"/>
        </w:rPr>
        <w:t>mit të kontrollit të brendshëm</w:t>
      </w:r>
      <w:r w:rsidRPr="00AB16BA">
        <w:rPr>
          <w:rFonts w:asciiTheme="majorHAnsi" w:eastAsia="Calibri" w:hAnsiTheme="majorHAnsi"/>
          <w:color w:val="000000"/>
          <w:sz w:val="22"/>
          <w:szCs w:val="22"/>
          <w:lang w:val="sq-AL" w:eastAsia="en-US"/>
        </w:rPr>
        <w:t xml:space="preserve"> kryhet vetëm nga njësia e auditimit të brendshëm duke anashkaluar angazhimin e çdo menaxheri apo ndërveprimin midis strukturave brenda njësisë. </w:t>
      </w:r>
    </w:p>
    <w:p w:rsidR="00D8352B" w:rsidRDefault="00D8352B" w:rsidP="006F51F2">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 përfundim, konstatojmë se sistemi i kontrollit të brendshëm paraqitet pjesërisht efektiv, ku peshën kryesore në këtë rezultat e zënë mangësitë lidhur me raportimin në kohën e duhur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problematikave të sistemit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kontrollit të brendshëm. K</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to problematika duhet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transmetohen nëpërmjet linjave të përcaktuara të raportimit tek palët përkatëse të brendshme dhe të jashtme, për t'i mundësuar njësisë publike vler</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simin e menjëhersh</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m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tyre. Në vijim, ajo që mbetet ende për tu bërë është ndërgjegjësimi i menaxherëve për vlerësimin e çështjeve të identifikuara përmes aktiviteteve të monitorimit.</w:t>
      </w:r>
    </w:p>
    <w:p w:rsidR="009E2031" w:rsidRDefault="009E2031" w:rsidP="009E2031">
      <w:pPr>
        <w:pStyle w:val="Heading2"/>
        <w:rPr>
          <w:rFonts w:eastAsia="Calibri"/>
          <w:lang w:val="sq-AL" w:eastAsia="en-US"/>
        </w:rPr>
      </w:pPr>
      <w:bookmarkStart w:id="62" w:name="_Toc9082370"/>
      <w:r>
        <w:rPr>
          <w:rFonts w:eastAsia="Calibri"/>
          <w:lang w:val="sq-AL" w:eastAsia="en-US"/>
        </w:rPr>
        <w:t>2.2 Vl</w:t>
      </w:r>
      <w:r w:rsidR="004A7A01">
        <w:rPr>
          <w:rFonts w:eastAsia="Calibri"/>
          <w:lang w:val="sq-AL" w:eastAsia="en-US"/>
        </w:rPr>
        <w:t>e</w:t>
      </w:r>
      <w:r>
        <w:rPr>
          <w:rFonts w:eastAsia="Calibri"/>
          <w:lang w:val="sq-AL" w:eastAsia="en-US"/>
        </w:rPr>
        <w:t>r</w:t>
      </w:r>
      <w:r w:rsidR="004A7A01">
        <w:rPr>
          <w:rFonts w:eastAsia="Calibri"/>
          <w:lang w:val="sq-AL" w:eastAsia="en-US"/>
        </w:rPr>
        <w:t>ë</w:t>
      </w:r>
      <w:r>
        <w:rPr>
          <w:rFonts w:eastAsia="Calibri"/>
          <w:lang w:val="sq-AL" w:eastAsia="en-US"/>
        </w:rPr>
        <w:t>simi i sistemit t</w:t>
      </w:r>
      <w:r w:rsidR="004A7A01">
        <w:rPr>
          <w:rFonts w:eastAsia="Calibri"/>
          <w:lang w:val="sq-AL" w:eastAsia="en-US"/>
        </w:rPr>
        <w:t>ë</w:t>
      </w:r>
      <w:r>
        <w:rPr>
          <w:rFonts w:eastAsia="Calibri"/>
          <w:lang w:val="sq-AL" w:eastAsia="en-US"/>
        </w:rPr>
        <w:t xml:space="preserve"> kontrollit t</w:t>
      </w:r>
      <w:r w:rsidR="004A7A01">
        <w:rPr>
          <w:rFonts w:eastAsia="Calibri"/>
          <w:lang w:val="sq-AL" w:eastAsia="en-US"/>
        </w:rPr>
        <w:t>ë</w:t>
      </w:r>
      <w:r>
        <w:rPr>
          <w:rFonts w:eastAsia="Calibri"/>
          <w:lang w:val="sq-AL" w:eastAsia="en-US"/>
        </w:rPr>
        <w:t xml:space="preserve"> brendsh</w:t>
      </w:r>
      <w:r w:rsidR="004A7A01">
        <w:rPr>
          <w:rFonts w:eastAsia="Calibri"/>
          <w:lang w:val="sq-AL" w:eastAsia="en-US"/>
        </w:rPr>
        <w:t>ë</w:t>
      </w:r>
      <w:r>
        <w:rPr>
          <w:rFonts w:eastAsia="Calibri"/>
          <w:lang w:val="sq-AL" w:eastAsia="en-US"/>
        </w:rPr>
        <w:t>m nga Auditimi i Brendsh</w:t>
      </w:r>
      <w:r w:rsidR="004A7A01">
        <w:rPr>
          <w:rFonts w:eastAsia="Calibri"/>
          <w:lang w:val="sq-AL" w:eastAsia="en-US"/>
        </w:rPr>
        <w:t>ë</w:t>
      </w:r>
      <w:r>
        <w:rPr>
          <w:rFonts w:eastAsia="Calibri"/>
          <w:lang w:val="sq-AL" w:eastAsia="en-US"/>
        </w:rPr>
        <w:t>m</w:t>
      </w:r>
      <w:bookmarkEnd w:id="62"/>
    </w:p>
    <w:p w:rsidR="009E2031" w:rsidRPr="00107E8D" w:rsidRDefault="009E2031" w:rsidP="00107E8D">
      <w:pPr>
        <w:pStyle w:val="NoSpacing"/>
        <w:rPr>
          <w:sz w:val="12"/>
          <w:szCs w:val="12"/>
        </w:rPr>
      </w:pPr>
    </w:p>
    <w:p w:rsidR="009E2031" w:rsidRPr="00B36BF5" w:rsidRDefault="005A3582" w:rsidP="005A3582">
      <w:pPr>
        <w:jc w:val="both"/>
        <w:rPr>
          <w:rFonts w:ascii="Calibri" w:eastAsia="Calibri" w:hAnsi="Calibri"/>
          <w:noProof/>
          <w:sz w:val="8"/>
          <w:szCs w:val="8"/>
          <w:highlight w:val="yellow"/>
          <w:lang w:val="sq-AL" w:eastAsia="en-US"/>
        </w:rPr>
      </w:pPr>
      <w:r>
        <w:rPr>
          <w:rFonts w:ascii="Cambria" w:eastAsia="Calibri" w:hAnsi="Cambria"/>
          <w:sz w:val="22"/>
          <w:szCs w:val="22"/>
          <w:lang w:val="sq-AL"/>
        </w:rPr>
        <w:t>Krahas vler</w:t>
      </w:r>
      <w:r w:rsidR="004A7A01">
        <w:rPr>
          <w:rFonts w:ascii="Cambria" w:eastAsia="Calibri" w:hAnsi="Cambria"/>
          <w:sz w:val="22"/>
          <w:szCs w:val="22"/>
          <w:lang w:val="sq-AL"/>
        </w:rPr>
        <w:t>ë</w:t>
      </w:r>
      <w:r>
        <w:rPr>
          <w:rFonts w:ascii="Cambria" w:eastAsia="Calibri" w:hAnsi="Cambria"/>
          <w:sz w:val="22"/>
          <w:szCs w:val="22"/>
          <w:lang w:val="sq-AL"/>
        </w:rPr>
        <w:t>simit t</w:t>
      </w:r>
      <w:r w:rsidR="004A7A01">
        <w:rPr>
          <w:rFonts w:ascii="Cambria" w:eastAsia="Calibri" w:hAnsi="Cambria"/>
          <w:sz w:val="22"/>
          <w:szCs w:val="22"/>
          <w:lang w:val="sq-AL"/>
        </w:rPr>
        <w:t>ë</w:t>
      </w:r>
      <w:r>
        <w:rPr>
          <w:rFonts w:ascii="Cambria" w:eastAsia="Calibri" w:hAnsi="Cambria"/>
          <w:sz w:val="22"/>
          <w:szCs w:val="22"/>
          <w:lang w:val="sq-AL"/>
        </w:rPr>
        <w:t xml:space="preserve"> sistemit t</w:t>
      </w:r>
      <w:r w:rsidR="004A7A01">
        <w:rPr>
          <w:rFonts w:ascii="Cambria" w:eastAsia="Calibri" w:hAnsi="Cambria"/>
          <w:sz w:val="22"/>
          <w:szCs w:val="22"/>
          <w:lang w:val="sq-AL"/>
        </w:rPr>
        <w:t>ë</w:t>
      </w:r>
      <w:r>
        <w:rPr>
          <w:rFonts w:ascii="Cambria" w:eastAsia="Calibri" w:hAnsi="Cambria"/>
          <w:sz w:val="22"/>
          <w:szCs w:val="22"/>
          <w:lang w:val="sq-AL"/>
        </w:rPr>
        <w:t xml:space="preserve"> kontrollit t</w:t>
      </w:r>
      <w:r w:rsidR="004A7A01">
        <w:rPr>
          <w:rFonts w:ascii="Cambria" w:eastAsia="Calibri" w:hAnsi="Cambria"/>
          <w:sz w:val="22"/>
          <w:szCs w:val="22"/>
          <w:lang w:val="sq-AL"/>
        </w:rPr>
        <w:t>ë</w:t>
      </w:r>
      <w:r>
        <w:rPr>
          <w:rFonts w:ascii="Cambria" w:eastAsia="Calibri" w:hAnsi="Cambria"/>
          <w:sz w:val="22"/>
          <w:szCs w:val="22"/>
          <w:lang w:val="sq-AL"/>
        </w:rPr>
        <w:t xml:space="preserve"> brendsh</w:t>
      </w:r>
      <w:r w:rsidR="004A7A01">
        <w:rPr>
          <w:rFonts w:ascii="Cambria" w:eastAsia="Calibri" w:hAnsi="Cambria"/>
          <w:sz w:val="22"/>
          <w:szCs w:val="22"/>
          <w:lang w:val="sq-AL"/>
        </w:rPr>
        <w:t>ë</w:t>
      </w:r>
      <w:r>
        <w:rPr>
          <w:rFonts w:ascii="Cambria" w:eastAsia="Calibri" w:hAnsi="Cambria"/>
          <w:sz w:val="22"/>
          <w:szCs w:val="22"/>
          <w:lang w:val="sq-AL"/>
        </w:rPr>
        <w:t>m t</w:t>
      </w:r>
      <w:r w:rsidR="004A7A01">
        <w:rPr>
          <w:rFonts w:ascii="Cambria" w:eastAsia="Calibri" w:hAnsi="Cambria"/>
          <w:sz w:val="22"/>
          <w:szCs w:val="22"/>
          <w:lang w:val="sq-AL"/>
        </w:rPr>
        <w:t>ë</w:t>
      </w:r>
      <w:r>
        <w:rPr>
          <w:rFonts w:ascii="Cambria" w:eastAsia="Calibri" w:hAnsi="Cambria"/>
          <w:sz w:val="22"/>
          <w:szCs w:val="22"/>
          <w:lang w:val="sq-AL"/>
        </w:rPr>
        <w:t xml:space="preserve"> bazuar n</w:t>
      </w:r>
      <w:r w:rsidR="004A7A01">
        <w:rPr>
          <w:rFonts w:ascii="Cambria" w:eastAsia="Calibri" w:hAnsi="Cambria"/>
          <w:sz w:val="22"/>
          <w:szCs w:val="22"/>
          <w:lang w:val="sq-AL"/>
        </w:rPr>
        <w:t>ë</w:t>
      </w:r>
      <w:r>
        <w:rPr>
          <w:rFonts w:ascii="Cambria" w:eastAsia="Calibri" w:hAnsi="Cambria"/>
          <w:sz w:val="22"/>
          <w:szCs w:val="22"/>
          <w:lang w:val="sq-AL"/>
        </w:rPr>
        <w:t xml:space="preserve"> 17 parimet e menaxhimit financiar dhe kontrollit, </w:t>
      </w:r>
      <w:r w:rsidR="004A7A01">
        <w:rPr>
          <w:rFonts w:ascii="Cambria" w:eastAsia="Calibri" w:hAnsi="Cambria"/>
          <w:sz w:val="22"/>
          <w:szCs w:val="22"/>
          <w:lang w:val="sq-AL"/>
        </w:rPr>
        <w:t>ë</w:t>
      </w:r>
      <w:r>
        <w:rPr>
          <w:rFonts w:ascii="Cambria" w:eastAsia="Calibri" w:hAnsi="Cambria"/>
          <w:sz w:val="22"/>
          <w:szCs w:val="22"/>
          <w:lang w:val="sq-AL"/>
        </w:rPr>
        <w:t>sht</w:t>
      </w:r>
      <w:r w:rsidR="004A7A01">
        <w:rPr>
          <w:rFonts w:ascii="Cambria" w:eastAsia="Calibri" w:hAnsi="Cambria"/>
          <w:sz w:val="22"/>
          <w:szCs w:val="22"/>
          <w:lang w:val="sq-AL"/>
        </w:rPr>
        <w:t>ë</w:t>
      </w:r>
      <w:r>
        <w:rPr>
          <w:rFonts w:ascii="Cambria" w:eastAsia="Calibri" w:hAnsi="Cambria"/>
          <w:sz w:val="22"/>
          <w:szCs w:val="22"/>
          <w:lang w:val="sq-AL"/>
        </w:rPr>
        <w:t xml:space="preserve"> realizuar dhe analiza e k</w:t>
      </w:r>
      <w:r w:rsidR="004A7A01">
        <w:rPr>
          <w:rFonts w:ascii="Cambria" w:eastAsia="Calibri" w:hAnsi="Cambria"/>
          <w:sz w:val="22"/>
          <w:szCs w:val="22"/>
          <w:lang w:val="sq-AL"/>
        </w:rPr>
        <w:t>ë</w:t>
      </w:r>
      <w:r>
        <w:rPr>
          <w:rFonts w:ascii="Cambria" w:eastAsia="Calibri" w:hAnsi="Cambria"/>
          <w:sz w:val="22"/>
          <w:szCs w:val="22"/>
          <w:lang w:val="sq-AL"/>
        </w:rPr>
        <w:t>tij sistemi nga audituesit e brendsh</w:t>
      </w:r>
      <w:r w:rsidR="004A7A01">
        <w:rPr>
          <w:rFonts w:ascii="Cambria" w:eastAsia="Calibri" w:hAnsi="Cambria"/>
          <w:sz w:val="22"/>
          <w:szCs w:val="22"/>
          <w:lang w:val="sq-AL"/>
        </w:rPr>
        <w:t>ë</w:t>
      </w:r>
      <w:r>
        <w:rPr>
          <w:rFonts w:ascii="Cambria" w:eastAsia="Calibri" w:hAnsi="Cambria"/>
          <w:sz w:val="22"/>
          <w:szCs w:val="22"/>
          <w:lang w:val="sq-AL"/>
        </w:rPr>
        <w:t>m, t</w:t>
      </w:r>
      <w:r w:rsidR="004A7A01">
        <w:rPr>
          <w:rFonts w:ascii="Cambria" w:eastAsia="Calibri" w:hAnsi="Cambria"/>
          <w:sz w:val="22"/>
          <w:szCs w:val="22"/>
          <w:lang w:val="sq-AL"/>
        </w:rPr>
        <w:t>ë</w:t>
      </w:r>
      <w:r>
        <w:rPr>
          <w:rFonts w:ascii="Cambria" w:eastAsia="Calibri" w:hAnsi="Cambria"/>
          <w:sz w:val="22"/>
          <w:szCs w:val="22"/>
          <w:lang w:val="sq-AL"/>
        </w:rPr>
        <w:t xml:space="preserve"> cil</w:t>
      </w:r>
      <w:r w:rsidR="004A7A01">
        <w:rPr>
          <w:rFonts w:ascii="Cambria" w:eastAsia="Calibri" w:hAnsi="Cambria"/>
          <w:sz w:val="22"/>
          <w:szCs w:val="22"/>
          <w:lang w:val="sq-AL"/>
        </w:rPr>
        <w:t>ë</w:t>
      </w:r>
      <w:r>
        <w:rPr>
          <w:rFonts w:ascii="Cambria" w:eastAsia="Calibri" w:hAnsi="Cambria"/>
          <w:sz w:val="22"/>
          <w:szCs w:val="22"/>
          <w:lang w:val="sq-AL"/>
        </w:rPr>
        <w:t>t kan</w:t>
      </w:r>
      <w:r w:rsidR="004A7A01">
        <w:rPr>
          <w:rFonts w:ascii="Cambria" w:eastAsia="Calibri" w:hAnsi="Cambria"/>
          <w:sz w:val="22"/>
          <w:szCs w:val="22"/>
          <w:lang w:val="sq-AL"/>
        </w:rPr>
        <w:t>ë</w:t>
      </w:r>
      <w:r>
        <w:rPr>
          <w:rFonts w:ascii="Cambria" w:eastAsia="Calibri" w:hAnsi="Cambria"/>
          <w:sz w:val="22"/>
          <w:szCs w:val="22"/>
          <w:lang w:val="sq-AL"/>
        </w:rPr>
        <w:t xml:space="preserve"> evidentuar gjetje dhe kan</w:t>
      </w:r>
      <w:r w:rsidR="004A7A01">
        <w:rPr>
          <w:rFonts w:ascii="Cambria" w:eastAsia="Calibri" w:hAnsi="Cambria"/>
          <w:sz w:val="22"/>
          <w:szCs w:val="22"/>
          <w:lang w:val="sq-AL"/>
        </w:rPr>
        <w:t>ë</w:t>
      </w:r>
      <w:r>
        <w:rPr>
          <w:rFonts w:ascii="Cambria" w:eastAsia="Calibri" w:hAnsi="Cambria"/>
          <w:sz w:val="22"/>
          <w:szCs w:val="22"/>
          <w:lang w:val="sq-AL"/>
        </w:rPr>
        <w:t xml:space="preserve"> dh</w:t>
      </w:r>
      <w:r w:rsidR="004A7A01">
        <w:rPr>
          <w:rFonts w:ascii="Cambria" w:eastAsia="Calibri" w:hAnsi="Cambria"/>
          <w:sz w:val="22"/>
          <w:szCs w:val="22"/>
          <w:lang w:val="sq-AL"/>
        </w:rPr>
        <w:t>ë</w:t>
      </w:r>
      <w:r>
        <w:rPr>
          <w:rFonts w:ascii="Cambria" w:eastAsia="Calibri" w:hAnsi="Cambria"/>
          <w:sz w:val="22"/>
          <w:szCs w:val="22"/>
          <w:lang w:val="sq-AL"/>
        </w:rPr>
        <w:t>n</w:t>
      </w:r>
      <w:r w:rsidR="004A7A01">
        <w:rPr>
          <w:rFonts w:ascii="Cambria" w:eastAsia="Calibri" w:hAnsi="Cambria"/>
          <w:sz w:val="22"/>
          <w:szCs w:val="22"/>
          <w:lang w:val="sq-AL"/>
        </w:rPr>
        <w:t>ë</w:t>
      </w:r>
      <w:r>
        <w:rPr>
          <w:rFonts w:ascii="Cambria" w:eastAsia="Calibri" w:hAnsi="Cambria"/>
          <w:sz w:val="22"/>
          <w:szCs w:val="22"/>
          <w:lang w:val="sq-AL"/>
        </w:rPr>
        <w:t xml:space="preserve"> rekomandime p</w:t>
      </w:r>
      <w:r w:rsidR="004A7A01">
        <w:rPr>
          <w:rFonts w:ascii="Cambria" w:eastAsia="Calibri" w:hAnsi="Cambria"/>
          <w:sz w:val="22"/>
          <w:szCs w:val="22"/>
          <w:lang w:val="sq-AL"/>
        </w:rPr>
        <w:t>ë</w:t>
      </w:r>
      <w:r>
        <w:rPr>
          <w:rFonts w:ascii="Cambria" w:eastAsia="Calibri" w:hAnsi="Cambria"/>
          <w:sz w:val="22"/>
          <w:szCs w:val="22"/>
          <w:lang w:val="sq-AL"/>
        </w:rPr>
        <w:t>r çdo grup institucioni t</w:t>
      </w:r>
      <w:r w:rsidR="004A7A01">
        <w:rPr>
          <w:rFonts w:ascii="Cambria" w:eastAsia="Calibri" w:hAnsi="Cambria"/>
          <w:sz w:val="22"/>
          <w:szCs w:val="22"/>
          <w:lang w:val="sq-AL"/>
        </w:rPr>
        <w:t>ë</w:t>
      </w:r>
      <w:r>
        <w:rPr>
          <w:rFonts w:ascii="Cambria" w:eastAsia="Calibri" w:hAnsi="Cambria"/>
          <w:sz w:val="22"/>
          <w:szCs w:val="22"/>
          <w:lang w:val="sq-AL"/>
        </w:rPr>
        <w:t xml:space="preserve"> marr</w:t>
      </w:r>
      <w:r w:rsidR="004A7A01">
        <w:rPr>
          <w:rFonts w:ascii="Cambria" w:eastAsia="Calibri" w:hAnsi="Cambria"/>
          <w:sz w:val="22"/>
          <w:szCs w:val="22"/>
          <w:lang w:val="sq-AL"/>
        </w:rPr>
        <w:t>ë</w:t>
      </w:r>
      <w:r>
        <w:rPr>
          <w:rFonts w:ascii="Cambria" w:eastAsia="Calibri" w:hAnsi="Cambria"/>
          <w:sz w:val="22"/>
          <w:szCs w:val="22"/>
          <w:lang w:val="sq-AL"/>
        </w:rPr>
        <w:t xml:space="preserve"> n</w:t>
      </w:r>
      <w:r w:rsidR="004A7A01">
        <w:rPr>
          <w:rFonts w:ascii="Cambria" w:eastAsia="Calibri" w:hAnsi="Cambria"/>
          <w:sz w:val="22"/>
          <w:szCs w:val="22"/>
          <w:lang w:val="sq-AL"/>
        </w:rPr>
        <w:t>ë</w:t>
      </w:r>
      <w:r>
        <w:rPr>
          <w:rFonts w:ascii="Cambria" w:eastAsia="Calibri" w:hAnsi="Cambria"/>
          <w:sz w:val="22"/>
          <w:szCs w:val="22"/>
          <w:lang w:val="sq-AL"/>
        </w:rPr>
        <w:t xml:space="preserve"> analiz</w:t>
      </w:r>
      <w:r w:rsidR="004A7A01">
        <w:rPr>
          <w:rFonts w:ascii="Cambria" w:eastAsia="Calibri" w:hAnsi="Cambria"/>
          <w:sz w:val="22"/>
          <w:szCs w:val="22"/>
          <w:lang w:val="sq-AL"/>
        </w:rPr>
        <w:t>ë</w:t>
      </w:r>
      <w:r>
        <w:rPr>
          <w:rFonts w:ascii="Cambria" w:eastAsia="Calibri" w:hAnsi="Cambria"/>
          <w:sz w:val="22"/>
          <w:szCs w:val="22"/>
          <w:lang w:val="sq-AL"/>
        </w:rPr>
        <w:t xml:space="preserve">. </w:t>
      </w:r>
      <w:r w:rsidR="009E2031" w:rsidRPr="00B36BF5">
        <w:rPr>
          <w:rFonts w:ascii="Cambria" w:eastAsia="Calibri" w:hAnsi="Cambria"/>
          <w:sz w:val="22"/>
          <w:szCs w:val="22"/>
          <w:lang w:val="sq-AL" w:eastAsia="en-US"/>
        </w:rPr>
        <w:t>Nga</w:t>
      </w:r>
      <w:r w:rsidR="009E2031" w:rsidRPr="00827575">
        <w:rPr>
          <w:rFonts w:ascii="Cambria" w:eastAsia="Calibri" w:hAnsi="Cambria"/>
          <w:sz w:val="22"/>
          <w:szCs w:val="22"/>
          <w:lang w:val="sq-AL" w:eastAsia="en-US"/>
        </w:rPr>
        <w:t xml:space="preserve"> analiza e vep</w:t>
      </w:r>
      <w:r>
        <w:rPr>
          <w:rFonts w:ascii="Cambria" w:eastAsia="Calibri" w:hAnsi="Cambria"/>
          <w:sz w:val="22"/>
          <w:szCs w:val="22"/>
          <w:lang w:val="sq-AL" w:eastAsia="en-US"/>
        </w:rPr>
        <w:t>rimtarisë së NJAB në sektorin</w:t>
      </w:r>
      <w:r w:rsidR="009E2031" w:rsidRPr="00827575">
        <w:rPr>
          <w:rFonts w:ascii="Cambria" w:eastAsia="Calibri" w:hAnsi="Cambria"/>
          <w:sz w:val="22"/>
          <w:szCs w:val="22"/>
          <w:lang w:val="sq-AL" w:eastAsia="en-US"/>
        </w:rPr>
        <w:t xml:space="preserve"> publik</w:t>
      </w:r>
      <w:r>
        <w:rPr>
          <w:rFonts w:ascii="Cambria" w:eastAsia="Calibri" w:hAnsi="Cambria"/>
          <w:sz w:val="22"/>
          <w:szCs w:val="22"/>
          <w:lang w:val="sq-AL" w:eastAsia="en-US"/>
        </w:rPr>
        <w:t>,</w:t>
      </w:r>
      <w:r w:rsidR="009E2031" w:rsidRPr="00827575">
        <w:rPr>
          <w:rFonts w:ascii="Cambria" w:eastAsia="Calibri" w:hAnsi="Cambria"/>
          <w:sz w:val="22"/>
          <w:szCs w:val="22"/>
          <w:lang w:val="sq-AL" w:eastAsia="en-US"/>
        </w:rPr>
        <w:t xml:space="preserve"> evidentohet që faktorët që ndikojnë në vlerësimin e riskut, janë përzgjedhur në bazë të rëndësisë, natyrës, objektivave të auditimit dhe duke u bazuar në s</w:t>
      </w:r>
      <w:r w:rsidR="009E2031" w:rsidRPr="00827575">
        <w:rPr>
          <w:rFonts w:ascii="Cambria" w:eastAsia="Calibri" w:hAnsi="Cambria"/>
          <w:sz w:val="22"/>
          <w:szCs w:val="22"/>
          <w:lang w:val="sq-AL" w:eastAsia="sq-AL"/>
        </w:rPr>
        <w:t xml:space="preserve">ugjerimet e </w:t>
      </w:r>
      <w:r w:rsidR="009E2031" w:rsidRPr="00827575">
        <w:rPr>
          <w:rFonts w:ascii="Cambria" w:eastAsia="Calibri" w:hAnsi="Cambria"/>
          <w:sz w:val="22"/>
          <w:szCs w:val="22"/>
          <w:lang w:val="sq-AL" w:eastAsia="en-US"/>
        </w:rPr>
        <w:t xml:space="preserve">titullarëve. Në vlerësimin e riskut është mbajtur parasysh: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0B69DB">
      <w:pPr>
        <w:pStyle w:val="NoSpacing"/>
        <w:numPr>
          <w:ilvl w:val="0"/>
          <w:numId w:val="62"/>
        </w:numPr>
        <w:rPr>
          <w:lang w:val="sq-AL" w:eastAsia="en-US"/>
        </w:rPr>
      </w:pPr>
      <w:r w:rsidRPr="00827575">
        <w:rPr>
          <w:lang w:val="sq-AL" w:eastAsia="en-US"/>
        </w:rPr>
        <w:t>ekspozimi ndaj mundësisë për mos arritjen e objektivave, si rezultat i mos zbatimit të rekomandimeve nga auditimet e mëparshme;</w:t>
      </w:r>
    </w:p>
    <w:p w:rsidR="009E2031" w:rsidRPr="00827575" w:rsidRDefault="009E2031" w:rsidP="000B69DB">
      <w:pPr>
        <w:pStyle w:val="NoSpacing"/>
        <w:numPr>
          <w:ilvl w:val="0"/>
          <w:numId w:val="62"/>
        </w:numPr>
        <w:rPr>
          <w:lang w:val="sq-AL" w:eastAsia="en-US"/>
        </w:rPr>
      </w:pPr>
      <w:r w:rsidRPr="00827575">
        <w:rPr>
          <w:lang w:val="sq-AL" w:eastAsia="en-US"/>
        </w:rPr>
        <w:t xml:space="preserve">ekspozimi ndaj pasojave që vijnë nga mosfunksionimi i sistemeve të kontrollit të brendshëm; </w:t>
      </w:r>
    </w:p>
    <w:p w:rsidR="009E2031" w:rsidRDefault="009E2031" w:rsidP="000B69DB">
      <w:pPr>
        <w:pStyle w:val="NoSpacing"/>
        <w:numPr>
          <w:ilvl w:val="0"/>
          <w:numId w:val="62"/>
        </w:numPr>
        <w:rPr>
          <w:lang w:val="sq-AL" w:eastAsia="en-US"/>
        </w:rPr>
      </w:pPr>
      <w:r w:rsidRPr="00827575">
        <w:rPr>
          <w:lang w:val="sq-AL" w:eastAsia="en-US"/>
        </w:rPr>
        <w:t>ekspozimi ndaj parregullsive, etj.</w:t>
      </w:r>
    </w:p>
    <w:p w:rsidR="000B69DB" w:rsidRPr="000B69DB" w:rsidRDefault="000B69DB" w:rsidP="000B69DB">
      <w:pPr>
        <w:pStyle w:val="NoSpacing"/>
        <w:ind w:left="720"/>
        <w:rPr>
          <w:sz w:val="12"/>
          <w:szCs w:val="12"/>
          <w:lang w:val="sq-AL" w:eastAsia="en-US"/>
        </w:rPr>
      </w:pPr>
    </w:p>
    <w:p w:rsidR="009E2031"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Për shkak të kompleksitetit të veprimtarisë, fushave të ndryshme të përgjegjësisë, kualifikimit të strukturave të auditimit, etj. analiza e raporteve të NJAB është realizuar e ndarë në disa grupime si: ministritë e linjës, grupi i institucioneve me buxhet të madh, institucionet e pavarura, shoqëritë aksionere dhe njësitë e vetëqeverisjes vendore. </w:t>
      </w:r>
    </w:p>
    <w:p w:rsidR="009E2031" w:rsidRPr="00827575" w:rsidRDefault="009E2031" w:rsidP="009E2031">
      <w:pPr>
        <w:jc w:val="both"/>
        <w:rPr>
          <w:rFonts w:ascii="Cambria" w:eastAsia="Calibri" w:hAnsi="Cambria"/>
          <w:sz w:val="22"/>
          <w:szCs w:val="22"/>
          <w:lang w:val="sq-AL" w:eastAsia="en-US"/>
        </w:rPr>
      </w:pPr>
    </w:p>
    <w:p w:rsidR="009E2031" w:rsidRPr="000856C9" w:rsidRDefault="00C52EB8" w:rsidP="009E2031">
      <w:pPr>
        <w:numPr>
          <w:ilvl w:val="0"/>
          <w:numId w:val="57"/>
        </w:numPr>
        <w:spacing w:after="200" w:line="276" w:lineRule="auto"/>
        <w:jc w:val="both"/>
        <w:rPr>
          <w:rFonts w:ascii="Cambria" w:eastAsia="Calibri" w:hAnsi="Cambria"/>
          <w:b/>
          <w:noProof/>
          <w:sz w:val="18"/>
          <w:szCs w:val="20"/>
          <w:lang w:val="sq-AL" w:eastAsia="en-US"/>
        </w:rPr>
      </w:pPr>
      <w:r>
        <w:rPr>
          <w:rFonts w:ascii="Cambria" w:eastAsia="Calibri" w:hAnsi="Cambria"/>
          <w:b/>
          <w:sz w:val="20"/>
          <w:szCs w:val="22"/>
          <w:lang w:val="sq-AL" w:eastAsia="en-US"/>
        </w:rPr>
        <w:t>Gjetjet gjatë veprimtarisë a</w:t>
      </w:r>
      <w:r w:rsidRPr="000856C9">
        <w:rPr>
          <w:rFonts w:ascii="Cambria" w:eastAsia="Calibri" w:hAnsi="Cambria"/>
          <w:b/>
          <w:sz w:val="20"/>
          <w:szCs w:val="22"/>
          <w:lang w:val="sq-AL" w:eastAsia="en-US"/>
        </w:rPr>
        <w:t xml:space="preserve">udituese </w:t>
      </w:r>
      <w:r w:rsidRPr="000856C9">
        <w:rPr>
          <w:rFonts w:ascii="Cambria" w:eastAsia="Calibri" w:hAnsi="Cambria"/>
          <w:b/>
          <w:noProof/>
          <w:sz w:val="18"/>
          <w:szCs w:val="20"/>
          <w:lang w:val="sq-AL" w:eastAsia="en-US"/>
        </w:rPr>
        <w:t xml:space="preserve"> </w:t>
      </w:r>
    </w:p>
    <w:p w:rsidR="009E2031" w:rsidRPr="00827575" w:rsidRDefault="009E2031" w:rsidP="009E2031">
      <w:pPr>
        <w:jc w:val="both"/>
        <w:rPr>
          <w:rFonts w:ascii="Cambria" w:eastAsia="Calibri" w:hAnsi="Cambria"/>
          <w:sz w:val="12"/>
          <w:szCs w:val="12"/>
          <w:lang w:val="sq-AL" w:eastAsia="en-US"/>
        </w:rPr>
      </w:pPr>
      <w:r w:rsidRPr="00827575">
        <w:rPr>
          <w:rFonts w:ascii="Cambria" w:eastAsia="Calibri" w:hAnsi="Cambria"/>
          <w:sz w:val="22"/>
          <w:szCs w:val="22"/>
          <w:lang w:val="sq-AL" w:eastAsia="en-US"/>
        </w:rPr>
        <w:t>Audituesit e brendshëm gjatë realizimit të veprimtarisë së tyre kanë evidentuar problematika të ndryshme në të gjitha sistemet e kontrollit të brendshëm, kanë dhënë opinionet dhe rekomandimet përkatëse për përmirësimin e funksionimit të sistemeve, për mirëmenaxhimin e  fondeve publike dhe përdorimit të tyre me ekonomi, efi</w:t>
      </w:r>
      <w:r w:rsidR="000851A1">
        <w:rPr>
          <w:rFonts w:ascii="Cambria" w:eastAsia="Calibri" w:hAnsi="Cambria"/>
          <w:sz w:val="22"/>
          <w:szCs w:val="22"/>
          <w:lang w:val="sq-AL" w:eastAsia="en-US"/>
        </w:rPr>
        <w:t>ç</w:t>
      </w:r>
      <w:r w:rsidRPr="00827575">
        <w:rPr>
          <w:rFonts w:ascii="Cambria" w:eastAsia="Calibri" w:hAnsi="Cambria"/>
          <w:sz w:val="22"/>
          <w:szCs w:val="22"/>
          <w:lang w:val="sq-AL" w:eastAsia="en-US"/>
        </w:rPr>
        <w:t>en</w:t>
      </w:r>
      <w:r w:rsidR="000851A1">
        <w:rPr>
          <w:rFonts w:ascii="Cambria" w:eastAsia="Calibri" w:hAnsi="Cambria"/>
          <w:sz w:val="22"/>
          <w:szCs w:val="22"/>
          <w:lang w:val="sq-AL" w:eastAsia="en-US"/>
        </w:rPr>
        <w:t>c</w:t>
      </w:r>
      <w:r w:rsidRPr="00827575">
        <w:rPr>
          <w:rFonts w:ascii="Cambria" w:eastAsia="Calibri" w:hAnsi="Cambria"/>
          <w:sz w:val="22"/>
          <w:szCs w:val="22"/>
          <w:lang w:val="sq-AL" w:eastAsia="en-US"/>
        </w:rPr>
        <w:t>ë dhe efektivitet.</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kësaj periudhe</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gjetjet kryesore kanë të bëjnë kryesisht me mosfunksionimin siç duhet të sistemit të prokurimeve, blerjeve dhe investimeve, sistemit të administrimit të asteteve, sistemit të administrimit të pronës dhe pasurisë, sistemi</w:t>
      </w:r>
      <w:r w:rsidR="006B1C0D">
        <w:rPr>
          <w:rFonts w:ascii="Cambria" w:eastAsia="Calibri" w:hAnsi="Cambria"/>
          <w:sz w:val="22"/>
          <w:szCs w:val="22"/>
          <w:lang w:val="sq-AL" w:eastAsia="en-US"/>
        </w:rPr>
        <w:t>t</w:t>
      </w:r>
      <w:r w:rsidRPr="00827575">
        <w:rPr>
          <w:rFonts w:ascii="Cambria" w:eastAsia="Calibri" w:hAnsi="Cambria"/>
          <w:sz w:val="22"/>
          <w:szCs w:val="22"/>
          <w:lang w:val="sq-AL" w:eastAsia="en-US"/>
        </w:rPr>
        <w:t xml:space="preserve"> </w:t>
      </w:r>
      <w:r w:rsidR="006B1C0D">
        <w:rPr>
          <w:rFonts w:ascii="Cambria" w:eastAsia="Calibri" w:hAnsi="Cambria"/>
          <w:sz w:val="22"/>
          <w:szCs w:val="22"/>
          <w:lang w:val="sq-AL" w:eastAsia="en-US"/>
        </w:rPr>
        <w:t>të</w:t>
      </w:r>
      <w:r w:rsidRPr="00827575">
        <w:rPr>
          <w:rFonts w:ascii="Cambria" w:eastAsia="Calibri" w:hAnsi="Cambria"/>
          <w:sz w:val="22"/>
          <w:szCs w:val="22"/>
          <w:lang w:val="sq-AL" w:eastAsia="en-US"/>
        </w:rPr>
        <w:t xml:space="preserve"> tatimeve, taksa</w:t>
      </w:r>
      <w:r w:rsidR="006B1C0D">
        <w:rPr>
          <w:rFonts w:ascii="Cambria" w:eastAsia="Calibri" w:hAnsi="Cambria"/>
          <w:sz w:val="22"/>
          <w:szCs w:val="22"/>
          <w:lang w:val="sq-AL" w:eastAsia="en-US"/>
        </w:rPr>
        <w:t>ve</w:t>
      </w:r>
      <w:r w:rsidRPr="00827575">
        <w:rPr>
          <w:rFonts w:ascii="Cambria" w:eastAsia="Calibri" w:hAnsi="Cambria"/>
          <w:sz w:val="22"/>
          <w:szCs w:val="22"/>
          <w:lang w:val="sq-AL" w:eastAsia="en-US"/>
        </w:rPr>
        <w:t xml:space="preserve"> dhe dogana</w:t>
      </w:r>
      <w:r w:rsidR="006B1C0D">
        <w:rPr>
          <w:rFonts w:ascii="Cambria" w:eastAsia="Calibri" w:hAnsi="Cambria"/>
          <w:sz w:val="22"/>
          <w:szCs w:val="22"/>
          <w:lang w:val="sq-AL" w:eastAsia="en-US"/>
        </w:rPr>
        <w:t>ve</w:t>
      </w:r>
      <w:r w:rsidRPr="00827575">
        <w:rPr>
          <w:rFonts w:ascii="Cambria" w:eastAsia="Calibri" w:hAnsi="Cambria"/>
          <w:sz w:val="22"/>
          <w:szCs w:val="22"/>
          <w:lang w:val="sq-AL" w:eastAsia="en-US"/>
        </w:rPr>
        <w:t>, si dhe sisteme</w:t>
      </w:r>
      <w:r w:rsidR="006B1C0D">
        <w:rPr>
          <w:rFonts w:ascii="Cambria" w:eastAsia="Calibri" w:hAnsi="Cambria"/>
          <w:sz w:val="22"/>
          <w:szCs w:val="22"/>
          <w:lang w:val="sq-AL" w:eastAsia="en-US"/>
        </w:rPr>
        <w:t>ve</w:t>
      </w:r>
      <w:r w:rsidRPr="00827575">
        <w:rPr>
          <w:rFonts w:ascii="Cambria" w:eastAsia="Calibri" w:hAnsi="Cambria"/>
          <w:sz w:val="22"/>
          <w:szCs w:val="22"/>
          <w:lang w:val="sq-AL" w:eastAsia="en-US"/>
        </w:rPr>
        <w:t xml:space="preserve"> të tjera sipas misionit </w:t>
      </w:r>
      <w:r>
        <w:rPr>
          <w:rFonts w:ascii="Cambria" w:eastAsia="Calibri" w:hAnsi="Cambria"/>
          <w:sz w:val="22"/>
          <w:szCs w:val="22"/>
          <w:lang w:val="sq-AL" w:eastAsia="en-US"/>
        </w:rPr>
        <w:t>dhe qëllimit të institucionit.</w:t>
      </w:r>
      <w:r w:rsidRPr="00827575">
        <w:rPr>
          <w:rFonts w:ascii="Cambria" w:eastAsia="Calibri" w:hAnsi="Cambria"/>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me dëm ekonomik kanë një ulje të konsiderueshme krahasuar me gjetjet e vitit të mëparshëm, </w:t>
      </w:r>
      <w:r>
        <w:rPr>
          <w:rFonts w:ascii="Cambria" w:eastAsia="Calibri" w:hAnsi="Cambria"/>
          <w:sz w:val="22"/>
          <w:szCs w:val="22"/>
          <w:lang w:val="sq-AL" w:eastAsia="en-US"/>
        </w:rPr>
        <w:t xml:space="preserve">ku </w:t>
      </w:r>
      <w:r w:rsidRPr="00827575">
        <w:rPr>
          <w:rFonts w:ascii="Cambria" w:eastAsia="Calibri" w:hAnsi="Cambria"/>
          <w:sz w:val="22"/>
          <w:szCs w:val="22"/>
          <w:lang w:val="sq-AL" w:eastAsia="en-US"/>
        </w:rPr>
        <w:t>në lidhje me këtë</w:t>
      </w:r>
      <w:r>
        <w:rPr>
          <w:rFonts w:ascii="Cambria" w:eastAsia="Calibri" w:hAnsi="Cambria"/>
          <w:sz w:val="22"/>
          <w:szCs w:val="22"/>
          <w:lang w:val="sq-AL" w:eastAsia="en-US"/>
        </w:rPr>
        <w:t xml:space="preserve"> element</w:t>
      </w:r>
      <w:r w:rsidRPr="00827575">
        <w:rPr>
          <w:rFonts w:ascii="Cambria" w:eastAsia="Calibri" w:hAnsi="Cambria"/>
          <w:sz w:val="22"/>
          <w:szCs w:val="22"/>
          <w:lang w:val="sq-AL" w:eastAsia="en-US"/>
        </w:rPr>
        <w:t xml:space="preserve"> ka ndikuar fryma gjithnjë e në rritje e menaxhimit për </w:t>
      </w:r>
      <w:r>
        <w:rPr>
          <w:rFonts w:ascii="Cambria" w:eastAsia="Calibri" w:hAnsi="Cambria"/>
          <w:sz w:val="22"/>
          <w:szCs w:val="22"/>
          <w:lang w:val="sq-AL" w:eastAsia="en-US"/>
        </w:rPr>
        <w:t xml:space="preserve">të luftuar korrupsionin, </w:t>
      </w:r>
      <w:r w:rsidRPr="00827575">
        <w:rPr>
          <w:rFonts w:ascii="Cambria" w:eastAsia="Calibri" w:hAnsi="Cambria"/>
          <w:sz w:val="22"/>
          <w:szCs w:val="22"/>
          <w:lang w:val="sq-AL" w:eastAsia="en-US"/>
        </w:rPr>
        <w:t>rritja e aftësisë p</w:t>
      </w:r>
      <w:r>
        <w:rPr>
          <w:rFonts w:ascii="Cambria" w:eastAsia="Calibri" w:hAnsi="Cambria"/>
          <w:sz w:val="22"/>
          <w:szCs w:val="22"/>
          <w:lang w:val="sq-AL" w:eastAsia="en-US"/>
        </w:rPr>
        <w:t>r</w:t>
      </w:r>
      <w:r w:rsidRPr="00827575">
        <w:rPr>
          <w:rFonts w:ascii="Cambria" w:eastAsia="Calibri" w:hAnsi="Cambria"/>
          <w:sz w:val="22"/>
          <w:szCs w:val="22"/>
          <w:lang w:val="sq-AL" w:eastAsia="en-US"/>
        </w:rPr>
        <w:t xml:space="preserve">ofesionale të audituesve të brendshëm </w:t>
      </w:r>
      <w:r>
        <w:rPr>
          <w:rFonts w:ascii="Cambria" w:eastAsia="Calibri" w:hAnsi="Cambria"/>
          <w:sz w:val="22"/>
          <w:szCs w:val="22"/>
          <w:lang w:val="sq-AL" w:eastAsia="en-US"/>
        </w:rPr>
        <w:t xml:space="preserve">si </w:t>
      </w:r>
      <w:r w:rsidRPr="00827575">
        <w:rPr>
          <w:rFonts w:ascii="Cambria" w:eastAsia="Calibri" w:hAnsi="Cambria"/>
          <w:sz w:val="22"/>
          <w:szCs w:val="22"/>
          <w:lang w:val="sq-AL" w:eastAsia="en-US"/>
        </w:rPr>
        <w:t>dhe thellimi i njohurive në fushat specifike ku ata operojnë.</w:t>
      </w:r>
    </w:p>
    <w:p w:rsidR="000C1131" w:rsidRDefault="000C1131" w:rsidP="009E2031">
      <w:pPr>
        <w:jc w:val="both"/>
        <w:rPr>
          <w:rFonts w:ascii="Cambria" w:eastAsia="Calibri" w:hAnsi="Cambria"/>
          <w:sz w:val="22"/>
          <w:szCs w:val="22"/>
          <w:lang w:val="sq-AL" w:eastAsia="en-US"/>
        </w:rPr>
      </w:pPr>
    </w:p>
    <w:p w:rsidR="009E2031" w:rsidRPr="000856C9" w:rsidRDefault="00C52EB8" w:rsidP="009E2031">
      <w:pPr>
        <w:numPr>
          <w:ilvl w:val="0"/>
          <w:numId w:val="57"/>
        </w:numPr>
        <w:spacing w:after="200" w:line="276" w:lineRule="auto"/>
        <w:jc w:val="both"/>
        <w:rPr>
          <w:rFonts w:ascii="Cambria" w:eastAsia="Calibri" w:hAnsi="Cambria"/>
          <w:b/>
          <w:noProof/>
          <w:sz w:val="18"/>
          <w:szCs w:val="20"/>
          <w:lang w:val="sq-AL" w:eastAsia="en-US"/>
        </w:rPr>
      </w:pPr>
      <w:r>
        <w:rPr>
          <w:rFonts w:ascii="Cambria" w:eastAsia="Calibri" w:hAnsi="Cambria"/>
          <w:b/>
          <w:sz w:val="20"/>
          <w:szCs w:val="22"/>
          <w:lang w:val="sq-AL" w:eastAsia="en-US"/>
        </w:rPr>
        <w:t>R</w:t>
      </w:r>
      <w:r w:rsidRPr="000856C9">
        <w:rPr>
          <w:rFonts w:ascii="Cambria" w:eastAsia="Calibri" w:hAnsi="Cambria"/>
          <w:b/>
          <w:sz w:val="20"/>
          <w:szCs w:val="22"/>
          <w:lang w:val="sq-AL" w:eastAsia="en-US"/>
        </w:rPr>
        <w:t xml:space="preserve">ekomandimet gjatë veprimtarisë audituese </w:t>
      </w:r>
      <w:r w:rsidRPr="000856C9">
        <w:rPr>
          <w:rFonts w:ascii="Cambria" w:eastAsia="Calibri" w:hAnsi="Cambria"/>
          <w:b/>
          <w:noProof/>
          <w:sz w:val="18"/>
          <w:szCs w:val="20"/>
          <w:lang w:val="sq-AL" w:eastAsia="en-US"/>
        </w:rPr>
        <w:t xml:space="preserve"> </w:t>
      </w: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Rekomandimet e dhëna nga audituesit e brendshëm, janë rezultat i analizave dhe vlerësimeve të sistemeve dhe kontrolleve të brendshme që funksionojnë në njësive publike. Ato përcaktojnë dhe i japin prioritet veprimeve që duhet të ndermerren për një funksionim më të mirë të këtyre sistemeve, ndreqjen e parregullsive, ruajtjen e aseteve dhe minimizimin e rasteve të </w:t>
      </w:r>
      <w:r w:rsidR="00CC3AD8">
        <w:rPr>
          <w:rFonts w:ascii="Cambria" w:eastAsia="Calibri" w:hAnsi="Cambria"/>
          <w:sz w:val="22"/>
          <w:szCs w:val="22"/>
          <w:lang w:val="sq-AL" w:eastAsia="en-US"/>
        </w:rPr>
        <w:t>mashtrimit duke ndikuar në mirë</w:t>
      </w:r>
      <w:r w:rsidRPr="00827575">
        <w:rPr>
          <w:rFonts w:ascii="Cambria" w:eastAsia="Calibri" w:hAnsi="Cambria"/>
          <w:sz w:val="22"/>
          <w:szCs w:val="22"/>
          <w:lang w:val="sq-AL" w:eastAsia="en-US"/>
        </w:rPr>
        <w:t>administrimin e aseteve dhe fondeve publike.</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Nga raportet e paraqitura vihet re se, rekomandimet i referohen gjetjeve të konstatuara dhe kanë synim përmirësimin e sistemeve përkatëse, uljen e nivelit të riskut në këto sisteme dhe dhënien e këshillave për zgjidhje që mundësojnë parandalimin e rasteve të shkeljeve në të ardhmen.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viti në vit</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evidentohet rritje e nivelit të zbatimit të rekomandimeve, por për këtë është gjithnjë e më shumë e nevojshme ndërmarrja e veprimeve të duhura nga titullarët e njësive publike, të cilët në shumë raste nuk i shohin strukturat e auditimit të brendshëm si funksione që shtojnë vlerë dhe ndihmojnë në realizimin e objektivave të njësive publike.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analizës së rekomandimeve janë evidentuar mangësi në lidhje me cilësinë e rekomandimeve të dhëna (NJAB e pushtetit vendor), ku ndër më kryesoret mund të përmendim:</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2B5083">
      <w:pPr>
        <w:pStyle w:val="NoSpacing"/>
        <w:numPr>
          <w:ilvl w:val="0"/>
          <w:numId w:val="57"/>
        </w:numPr>
        <w:rPr>
          <w:lang w:val="sq-AL" w:eastAsia="en-US"/>
        </w:rPr>
      </w:pPr>
      <w:r w:rsidRPr="00827575">
        <w:rPr>
          <w:lang w:val="sq-AL" w:eastAsia="en-US"/>
        </w:rPr>
        <w:t>Në disa raste</w:t>
      </w:r>
      <w:r>
        <w:rPr>
          <w:lang w:val="sq-AL" w:eastAsia="en-US"/>
        </w:rPr>
        <w:t>,</w:t>
      </w:r>
      <w:r w:rsidRPr="00827575">
        <w:rPr>
          <w:lang w:val="sq-AL" w:eastAsia="en-US"/>
        </w:rPr>
        <w:t xml:space="preserve"> formulimi i rekomandimeve është parashkruar si zbatim i aktit ligjor në fuqi, i cili nuk mund t’i rekomandohet subjekteve të audituara, por duhet të bëhet adresim konkret i rekomandimi</w:t>
      </w:r>
      <w:r>
        <w:rPr>
          <w:lang w:val="sq-AL" w:eastAsia="en-US"/>
        </w:rPr>
        <w:t>t, bazuar në mos</w:t>
      </w:r>
      <w:r w:rsidRPr="00827575">
        <w:rPr>
          <w:lang w:val="sq-AL" w:eastAsia="en-US"/>
        </w:rPr>
        <w:t xml:space="preserve">respektimin e procedurave apo sistemeve përkatëse.  </w:t>
      </w:r>
    </w:p>
    <w:p w:rsidR="009E2031" w:rsidRPr="00827575" w:rsidRDefault="009E2031" w:rsidP="002B5083">
      <w:pPr>
        <w:pStyle w:val="NoSpacing"/>
        <w:numPr>
          <w:ilvl w:val="0"/>
          <w:numId w:val="57"/>
        </w:numPr>
        <w:rPr>
          <w:lang w:val="sq-AL" w:eastAsia="en-US"/>
        </w:rPr>
      </w:pPr>
      <w:r w:rsidRPr="00827575">
        <w:rPr>
          <w:lang w:val="sq-AL" w:eastAsia="en-US"/>
        </w:rPr>
        <w:t xml:space="preserve">Rekomandime që nuk propozojnë zgjidhje të qartë për problemin, afatet të përcaktuara qartë për zbatim ose të përmendin zgjidhje alternative të tij. </w:t>
      </w:r>
    </w:p>
    <w:p w:rsidR="009E2031" w:rsidRDefault="009E2031" w:rsidP="002B5083">
      <w:pPr>
        <w:pStyle w:val="NoSpacing"/>
        <w:numPr>
          <w:ilvl w:val="0"/>
          <w:numId w:val="57"/>
        </w:numPr>
        <w:rPr>
          <w:lang w:val="sq-AL" w:eastAsia="en-US"/>
        </w:rPr>
      </w:pPr>
      <w:r w:rsidRPr="00827575">
        <w:rPr>
          <w:lang w:val="sq-AL" w:eastAsia="en-US"/>
        </w:rPr>
        <w:t>Rekomandime që nuk bazohen logjikisht tek gjetjet, konkluzionet dhe pasojat përkatëse.</w:t>
      </w:r>
    </w:p>
    <w:p w:rsidR="002B5083" w:rsidRPr="00827575" w:rsidRDefault="002B5083" w:rsidP="002B5083">
      <w:pPr>
        <w:pStyle w:val="NoSpacing"/>
        <w:ind w:left="720"/>
        <w:rPr>
          <w:lang w:val="sq-AL" w:eastAsia="en-US"/>
        </w:rPr>
      </w:pPr>
    </w:p>
    <w:p w:rsidR="009E2031"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analiza ka rezultuar se njësitë e qeverisjes së përgjithshme raportojnë se ka një progres të dukshëm në monitorimin e nivelit të zbatimin e rekomandimeve, por në njësi auditimi të caktuara shkalla e implementimit të rekomandimeve të dhëna lë vend për përmirësime në të ardhmen.</w:t>
      </w:r>
    </w:p>
    <w:p w:rsidR="009E2031" w:rsidRPr="00D53392" w:rsidRDefault="009E2031" w:rsidP="003C6CBA">
      <w:pPr>
        <w:pStyle w:val="NoSpacing"/>
        <w:rPr>
          <w:lang w:val="sq-AL" w:eastAsia="en-US"/>
        </w:rPr>
      </w:pPr>
    </w:p>
    <w:p w:rsidR="009E2031" w:rsidRPr="0060470D" w:rsidRDefault="009E2031" w:rsidP="009E2031">
      <w:pPr>
        <w:pStyle w:val="ListParagraph"/>
        <w:numPr>
          <w:ilvl w:val="0"/>
          <w:numId w:val="2"/>
        </w:numPr>
        <w:jc w:val="both"/>
        <w:rPr>
          <w:rFonts w:eastAsia="Calibri"/>
          <w:b/>
          <w:noProof/>
          <w:sz w:val="24"/>
          <w:szCs w:val="8"/>
          <w:lang w:val="sq-AL"/>
        </w:rPr>
      </w:pPr>
      <w:r w:rsidRPr="0060470D">
        <w:rPr>
          <w:rFonts w:eastAsia="Calibri"/>
          <w:b/>
          <w:noProof/>
          <w:sz w:val="24"/>
          <w:szCs w:val="8"/>
          <w:lang w:val="sq-AL"/>
        </w:rPr>
        <w:t>Ministrit</w:t>
      </w:r>
      <w:r>
        <w:rPr>
          <w:rFonts w:eastAsia="Calibri"/>
          <w:b/>
          <w:noProof/>
          <w:sz w:val="24"/>
          <w:szCs w:val="8"/>
          <w:lang w:val="sq-AL"/>
        </w:rPr>
        <w:t>ë</w:t>
      </w:r>
      <w:r w:rsidRPr="0060470D">
        <w:rPr>
          <w:rFonts w:eastAsia="Calibri"/>
          <w:b/>
          <w:noProof/>
          <w:sz w:val="24"/>
          <w:szCs w:val="8"/>
          <w:lang w:val="sq-AL"/>
        </w:rPr>
        <w:t xml:space="preserve"> e Linj</w:t>
      </w:r>
      <w:r>
        <w:rPr>
          <w:rFonts w:eastAsia="Calibri"/>
          <w:b/>
          <w:noProof/>
          <w:sz w:val="24"/>
          <w:szCs w:val="8"/>
          <w:lang w:val="sq-AL"/>
        </w:rPr>
        <w:t>ë</w:t>
      </w:r>
      <w:r w:rsidRPr="0060470D">
        <w:rPr>
          <w:rFonts w:eastAsia="Calibri"/>
          <w:b/>
          <w:noProof/>
          <w:sz w:val="24"/>
          <w:szCs w:val="8"/>
          <w:lang w:val="sq-AL"/>
        </w:rPr>
        <w:t>s</w:t>
      </w:r>
    </w:p>
    <w:p w:rsidR="009E2031" w:rsidRPr="00827575" w:rsidRDefault="009E2031" w:rsidP="009E2031">
      <w:pPr>
        <w:jc w:val="both"/>
        <w:rPr>
          <w:rFonts w:ascii="Cambria" w:eastAsia="Calibri" w:hAnsi="Cambria"/>
          <w:b/>
          <w:noProof/>
          <w:sz w:val="8"/>
          <w:szCs w:val="8"/>
          <w:lang w:val="sq-AL" w:eastAsia="en-US"/>
        </w:rPr>
      </w:pPr>
    </w:p>
    <w:p w:rsidR="009E2031" w:rsidRPr="00827575" w:rsidRDefault="00C52EB8" w:rsidP="009E2031">
      <w:pPr>
        <w:jc w:val="both"/>
        <w:rPr>
          <w:rFonts w:ascii="Cambria" w:hAnsi="Cambria" w:cs="Bookman Old Style"/>
          <w:b/>
          <w:color w:val="000000"/>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 xml:space="preserve">lerësimi i riskut nga NJAB e ministrive të linjës </w:t>
      </w:r>
    </w:p>
    <w:p w:rsidR="009E2031" w:rsidRPr="00827575" w:rsidRDefault="009E2031" w:rsidP="009E2031">
      <w:pPr>
        <w:jc w:val="both"/>
        <w:rPr>
          <w:rFonts w:ascii="Cambria" w:hAnsi="Cambria" w:cs="Bookman Old Style"/>
          <w:b/>
          <w:color w:val="000000"/>
          <w:sz w:val="12"/>
          <w:szCs w:val="12"/>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NJAB në ministritë e linjës në subjektet që nga veprimtaria audituese janë vlerësuar me risk të lartë kanë informuar titullarët për nivelin e riskut në fusha/sisteme të caktuara, në të cilat ka nevojë të ndërrmerren veprime për përmirësim duke rekomanduar për të: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Ngritur apo përmirësuar sistemin e kontrollit të brendshëm dhe përcaktimin e përgjegjësive;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Vlerësuar riskun, si një proces i vazhdueshëm, për shkak të ndryshimit të kushteve ekonomike, prioriteteve dhe objektivave të subjektit;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Menaxhuar risqet, me qëllim përballimin e efekteve, minimizimin dhe frenimin e tyre;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Rishikuar dhe shqyrtuar në mënyrë të vazhdueshme kontrollet respektive. </w:t>
      </w:r>
    </w:p>
    <w:p w:rsidR="009E2031" w:rsidRPr="00827575" w:rsidRDefault="009E2031" w:rsidP="009E2031">
      <w:pPr>
        <w:jc w:val="both"/>
        <w:rPr>
          <w:rFonts w:ascii="Cambria" w:hAnsi="Cambria" w:cs="Bookman Old Style"/>
          <w:color w:val="000000"/>
          <w:sz w:val="12"/>
          <w:szCs w:val="12"/>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NJAB në ministritë e linjës kanë evidentuar me risk të lartë këto sisteme: </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Sistemin e prokurimeve, blerjeve dhe investimeve; </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Sistemin e administrimit të aseteve;</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Sistemin e koncesioneve, ankandeve dhe administrimit të pronës;</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Sistemin e menaxhimit financiar dhe kontrollit.</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i/>
          <w:sz w:val="8"/>
          <w:szCs w:val="8"/>
          <w:lang w:val="pl-PL" w:eastAsia="en-US"/>
        </w:rPr>
      </w:pPr>
    </w:p>
    <w:p w:rsidR="009E2031" w:rsidRPr="00827575" w:rsidRDefault="00C52EB8" w:rsidP="009E2031">
      <w:pPr>
        <w:jc w:val="both"/>
        <w:rPr>
          <w:rFonts w:ascii="Cambria" w:hAnsi="Cambria" w:cs="Bookman Old Style"/>
          <w:b/>
          <w:color w:val="000000"/>
          <w:sz w:val="20"/>
          <w:szCs w:val="20"/>
          <w:lang w:val="sq-AL" w:eastAsia="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në ministritë e linjës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ind w:left="720"/>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noProof/>
          <w:sz w:val="22"/>
          <w:szCs w:val="22"/>
          <w:lang w:val="sq-AL" w:eastAsia="en-US"/>
        </w:rPr>
      </w:pPr>
      <w:r w:rsidRPr="00827575">
        <w:rPr>
          <w:rFonts w:ascii="Cambria" w:eastAsia="Times New Roman" w:hAnsi="Cambria"/>
          <w:sz w:val="22"/>
          <w:szCs w:val="22"/>
          <w:lang w:val="sq-AL" w:eastAsia="en-US"/>
        </w:rPr>
        <w:t>Gjatë kësaj periudhe NJAB në ministritë e linjës kanë konstatuar mung</w:t>
      </w:r>
      <w:r w:rsidRPr="00827575">
        <w:rPr>
          <w:rFonts w:ascii="Cambria" w:eastAsia="Calibri" w:hAnsi="Cambria"/>
          <w:noProof/>
          <w:sz w:val="22"/>
          <w:szCs w:val="22"/>
          <w:lang w:val="sq-AL" w:eastAsia="en-US"/>
        </w:rPr>
        <w:t>esën e rregulloreve dhe udhëzimeve për aktivitete të caktuara, për të dhënë siguri që risqet janë kufizuar brenda kufijve të pranueshëm. Kjo, veçanërisht në fushën e menaxhimit të aktiveve, e pagesave për aktivitete të veçanta, për kontrollin e zbatimit të kontratave të shërbimit dhe të blerjes së mallrave, etj.</w:t>
      </w:r>
    </w:p>
    <w:p w:rsidR="009E2031" w:rsidRPr="00827575" w:rsidRDefault="009E2031" w:rsidP="009E2031">
      <w:pPr>
        <w:jc w:val="both"/>
        <w:rPr>
          <w:rFonts w:ascii="Cambria" w:eastAsia="Calibri" w:hAnsi="Cambria"/>
          <w:sz w:val="22"/>
          <w:szCs w:val="22"/>
          <w:lang w:val="it-IT" w:eastAsia="en-US"/>
        </w:rPr>
      </w:pPr>
      <w:r w:rsidRPr="00827575">
        <w:rPr>
          <w:rFonts w:ascii="Cambria" w:eastAsia="Calibri" w:hAnsi="Cambria"/>
          <w:sz w:val="22"/>
          <w:szCs w:val="22"/>
          <w:lang w:val="sq-AL" w:eastAsia="en-US"/>
        </w:rPr>
        <w:t>Gjetjet kryesore në sistemin e</w:t>
      </w:r>
      <w:r w:rsidRPr="00827575">
        <w:rPr>
          <w:rFonts w:ascii="Cambria" w:eastAsia="Calibri" w:hAnsi="Cambria"/>
          <w:sz w:val="22"/>
          <w:szCs w:val="22"/>
          <w:lang w:val="it-IT" w:eastAsia="en-US"/>
        </w:rPr>
        <w:t xml:space="preserve"> menaxhimit të burimeve njerëzore evidentohen në: </w:t>
      </w:r>
    </w:p>
    <w:p w:rsidR="009E2031" w:rsidRPr="00827575" w:rsidRDefault="009E2031" w:rsidP="009A7C54">
      <w:pPr>
        <w:numPr>
          <w:ilvl w:val="0"/>
          <w:numId w:val="30"/>
        </w:numPr>
        <w:spacing w:line="276" w:lineRule="auto"/>
        <w:jc w:val="both"/>
        <w:rPr>
          <w:rFonts w:ascii="Cambria" w:eastAsia="Calibri" w:hAnsi="Cambria"/>
          <w:sz w:val="22"/>
          <w:szCs w:val="22"/>
          <w:lang w:val="it-IT" w:eastAsia="en-US"/>
        </w:rPr>
      </w:pPr>
      <w:r w:rsidRPr="00827575">
        <w:rPr>
          <w:rFonts w:ascii="Cambria" w:eastAsia="Calibri" w:hAnsi="Cambria"/>
          <w:iCs/>
          <w:sz w:val="22"/>
          <w:szCs w:val="22"/>
          <w:lang w:val="sq-AL" w:eastAsia="sq-AL"/>
        </w:rPr>
        <w:t>Mosp</w:t>
      </w:r>
      <w:r w:rsidRPr="00827575">
        <w:rPr>
          <w:rFonts w:ascii="Cambria" w:eastAsia="Calibri" w:hAnsi="Cambria"/>
          <w:sz w:val="22"/>
          <w:szCs w:val="22"/>
          <w:lang w:val="sq-AL" w:eastAsia="sq-AL"/>
        </w:rPr>
        <w:t>ërcaktimin e rregullave të sakta dhe të qarta n</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rekrutimin e stafit; </w:t>
      </w:r>
    </w:p>
    <w:p w:rsidR="009E2031" w:rsidRPr="00827575" w:rsidRDefault="009E2031" w:rsidP="009A7C54">
      <w:pPr>
        <w:numPr>
          <w:ilvl w:val="0"/>
          <w:numId w:val="30"/>
        </w:numPr>
        <w:spacing w:line="276" w:lineRule="auto"/>
        <w:jc w:val="both"/>
        <w:rPr>
          <w:rFonts w:ascii="Cambria" w:eastAsia="Calibri" w:hAnsi="Cambria"/>
          <w:sz w:val="22"/>
          <w:szCs w:val="22"/>
          <w:lang w:val="it-IT" w:eastAsia="en-US"/>
        </w:rPr>
      </w:pPr>
      <w:r w:rsidRPr="00827575">
        <w:rPr>
          <w:rFonts w:ascii="Cambria" w:eastAsia="Calibri" w:hAnsi="Cambria"/>
          <w:sz w:val="22"/>
          <w:szCs w:val="22"/>
          <w:lang w:val="sq-AL" w:eastAsia="sq-AL"/>
        </w:rPr>
        <w:t>Mosplot</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simin e vendeve vakante me persona q</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plot</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sojn</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k</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rkesat p</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r kualifikim dhe eksperienc</w:t>
      </w:r>
      <w:r w:rsidRPr="00827575">
        <w:rPr>
          <w:rFonts w:ascii="Cambria" w:eastAsia="Calibri" w:hAnsi="Cambria"/>
          <w:sz w:val="22"/>
          <w:szCs w:val="22"/>
          <w:lang w:val="sq-AL" w:eastAsia="en-US"/>
        </w:rPr>
        <w:t>ë;</w:t>
      </w:r>
    </w:p>
    <w:p w:rsidR="009E2031" w:rsidRPr="00827575" w:rsidRDefault="009E2031" w:rsidP="009A7C54">
      <w:pPr>
        <w:numPr>
          <w:ilvl w:val="0"/>
          <w:numId w:val="30"/>
        </w:numPr>
        <w:spacing w:line="276" w:lineRule="auto"/>
        <w:jc w:val="both"/>
        <w:rPr>
          <w:rFonts w:ascii="Cambria" w:eastAsia="Calibri" w:hAnsi="Cambria"/>
          <w:sz w:val="22"/>
          <w:szCs w:val="22"/>
          <w:lang w:val="it-IT" w:eastAsia="en-US"/>
        </w:rPr>
      </w:pPr>
      <w:r w:rsidRPr="00827575">
        <w:rPr>
          <w:rFonts w:ascii="Cambria" w:eastAsia="Calibri" w:hAnsi="Cambria"/>
          <w:sz w:val="22"/>
          <w:szCs w:val="22"/>
          <w:lang w:val="it-IT" w:eastAsia="en-US"/>
        </w:rPr>
        <w:t>Mungesën e përshkrimeve të punës dhe mos</w:t>
      </w:r>
      <w:r w:rsidR="00945717">
        <w:rPr>
          <w:rFonts w:ascii="Cambria" w:eastAsia="Calibri" w:hAnsi="Cambria"/>
          <w:sz w:val="22"/>
          <w:szCs w:val="22"/>
          <w:lang w:val="it-IT" w:eastAsia="en-US"/>
        </w:rPr>
        <w:t xml:space="preserve"> </w:t>
      </w:r>
      <w:r w:rsidRPr="00827575">
        <w:rPr>
          <w:rFonts w:ascii="Cambria" w:eastAsia="Calibri" w:hAnsi="Cambria"/>
          <w:sz w:val="22"/>
          <w:szCs w:val="22"/>
          <w:lang w:val="it-IT" w:eastAsia="en-US"/>
        </w:rPr>
        <w:t xml:space="preserve">vendosjes së treguesve të matshëm për të vlerësuar performancën. </w:t>
      </w:r>
    </w:p>
    <w:p w:rsidR="009E2031" w:rsidRPr="00827575" w:rsidRDefault="009E2031" w:rsidP="009E2031">
      <w:pPr>
        <w:jc w:val="both"/>
        <w:rPr>
          <w:rFonts w:ascii="Cambria" w:eastAsia="Calibri" w:hAnsi="Cambria"/>
          <w:b/>
          <w:noProof/>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prokurimeve evidentohen në: </w:t>
      </w:r>
    </w:p>
    <w:p w:rsidR="009E2031" w:rsidRPr="00827575" w:rsidRDefault="009E2031" w:rsidP="009A7C54">
      <w:pPr>
        <w:numPr>
          <w:ilvl w:val="0"/>
          <w:numId w:val="31"/>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Mosargumentim të plotë të fondi limit, si bazë për fillimin e procedurave të prokurimit;</w:t>
      </w:r>
    </w:p>
    <w:p w:rsidR="009E2031" w:rsidRPr="00827575" w:rsidRDefault="009E2031" w:rsidP="009A7C54">
      <w:pPr>
        <w:numPr>
          <w:ilvl w:val="0"/>
          <w:numId w:val="12"/>
        </w:numPr>
        <w:spacing w:line="276" w:lineRule="auto"/>
        <w:jc w:val="both"/>
        <w:rPr>
          <w:rFonts w:ascii="Cambria" w:eastAsia="Calibri" w:hAnsi="Cambria"/>
          <w:sz w:val="22"/>
          <w:szCs w:val="22"/>
          <w:lang w:val="sq-AL" w:eastAsia="en-US"/>
        </w:rPr>
      </w:pPr>
      <w:r w:rsidRPr="00827575">
        <w:rPr>
          <w:rFonts w:ascii="Cambria" w:eastAsia="Calibri" w:hAnsi="Cambria"/>
          <w:bCs/>
          <w:sz w:val="22"/>
          <w:szCs w:val="22"/>
          <w:lang w:val="sq-AL" w:eastAsia="en-US" w:bidi="th-TH"/>
        </w:rPr>
        <w:t>Shkelje të procedurave të prokurimit publik përfshirë specifikimet teknike, procedurat e tenderimit, si dhe zbatimi i kontratave;</w:t>
      </w:r>
    </w:p>
    <w:p w:rsidR="009E2031" w:rsidRPr="00827575" w:rsidRDefault="009E2031" w:rsidP="009A7C54">
      <w:pPr>
        <w:numPr>
          <w:ilvl w:val="0"/>
          <w:numId w:val="12"/>
        </w:numPr>
        <w:spacing w:line="276" w:lineRule="auto"/>
        <w:jc w:val="both"/>
        <w:rPr>
          <w:rFonts w:ascii="Cambria" w:hAnsi="Cambria" w:cs="Bookman Old Style"/>
          <w:sz w:val="22"/>
          <w:szCs w:val="22"/>
          <w:lang w:val="sq-AL" w:eastAsia="en-US"/>
        </w:rPr>
      </w:pPr>
      <w:r w:rsidRPr="00827575">
        <w:rPr>
          <w:rFonts w:ascii="Cambria" w:hAnsi="Cambria" w:cs="Bookman Old Style"/>
          <w:color w:val="000000"/>
          <w:sz w:val="22"/>
          <w:szCs w:val="22"/>
          <w:lang w:val="sq-AL" w:eastAsia="en-US"/>
        </w:rPr>
        <w:t xml:space="preserve">Nënshkrim të kontratës duke ndryshuar kriteret e përcaktuara në dokumentat e tenderit me të cilat është shpallur fitues subjekti; </w:t>
      </w:r>
    </w:p>
    <w:p w:rsidR="009E2031" w:rsidRPr="00827575" w:rsidRDefault="009E2031" w:rsidP="009A7C54">
      <w:pPr>
        <w:numPr>
          <w:ilvl w:val="0"/>
          <w:numId w:val="12"/>
        </w:numPr>
        <w:spacing w:line="276" w:lineRule="auto"/>
        <w:jc w:val="both"/>
        <w:rPr>
          <w:rFonts w:ascii="Cambria" w:hAnsi="Cambria" w:cs="Bookman Old Style"/>
          <w:color w:val="000000"/>
          <w:sz w:val="22"/>
          <w:szCs w:val="22"/>
          <w:lang w:val="sq-AL" w:eastAsia="en-US"/>
        </w:rPr>
      </w:pPr>
      <w:r>
        <w:rPr>
          <w:rFonts w:ascii="Cambria" w:hAnsi="Cambria" w:cs="Bookman Old Style"/>
          <w:color w:val="000000"/>
          <w:sz w:val="22"/>
          <w:szCs w:val="22"/>
          <w:lang w:val="sq-AL" w:eastAsia="en-US"/>
        </w:rPr>
        <w:t>Mos</w:t>
      </w:r>
      <w:r w:rsidRPr="00827575">
        <w:rPr>
          <w:rFonts w:ascii="Cambria" w:hAnsi="Cambria" w:cs="Bookman Old Style"/>
          <w:color w:val="000000"/>
          <w:sz w:val="22"/>
          <w:szCs w:val="22"/>
          <w:lang w:val="sq-AL" w:eastAsia="en-US"/>
        </w:rPr>
        <w:t xml:space="preserve">ndjekjen e të gjithë hapave ligjorë për blerjet me vlera të vogla, si dhe favorizimi në disa raste të blerjeve të të njëjtit operator ekonomik; </w:t>
      </w:r>
    </w:p>
    <w:p w:rsidR="009E2031" w:rsidRPr="00827575" w:rsidRDefault="009E2031" w:rsidP="009A7C54">
      <w:pPr>
        <w:numPr>
          <w:ilvl w:val="0"/>
          <w:numId w:val="12"/>
        </w:numPr>
        <w:spacing w:line="276" w:lineRule="auto"/>
        <w:jc w:val="both"/>
        <w:rPr>
          <w:rFonts w:ascii="Cambria" w:hAnsi="Cambria" w:cs="Bookman Old Style"/>
          <w:color w:val="000000"/>
          <w:sz w:val="22"/>
          <w:szCs w:val="22"/>
          <w:lang w:val="sq-AL" w:eastAsia="en-US"/>
        </w:rPr>
      </w:pPr>
      <w:r>
        <w:rPr>
          <w:rFonts w:ascii="Cambria" w:hAnsi="Cambria" w:cs="Bookman Old Style"/>
          <w:color w:val="000000"/>
          <w:sz w:val="22"/>
          <w:szCs w:val="22"/>
          <w:lang w:val="sq-AL" w:eastAsia="en-US"/>
        </w:rPr>
        <w:t>Mos</w:t>
      </w:r>
      <w:r w:rsidRPr="00827575">
        <w:rPr>
          <w:rFonts w:ascii="Cambria" w:hAnsi="Cambria" w:cs="Bookman Old Style"/>
          <w:color w:val="000000"/>
          <w:sz w:val="22"/>
          <w:szCs w:val="22"/>
          <w:lang w:val="sq-AL" w:eastAsia="en-US"/>
        </w:rPr>
        <w:t xml:space="preserve">argumentim dhe mbështetje me kërkesat dhe nevojat e njësisë në planifikimin për mallra/shërbime, si dhe përllogaritjen e fondit limit; </w:t>
      </w:r>
    </w:p>
    <w:p w:rsidR="009E2031" w:rsidRPr="00827575" w:rsidRDefault="009E2031" w:rsidP="009A7C54">
      <w:pPr>
        <w:numPr>
          <w:ilvl w:val="0"/>
          <w:numId w:val="12"/>
        </w:numPr>
        <w:spacing w:line="276" w:lineRule="auto"/>
        <w:jc w:val="both"/>
        <w:rPr>
          <w:rFonts w:ascii="Cambria" w:eastAsia="Calibri" w:hAnsi="Cambria"/>
          <w:sz w:val="22"/>
          <w:szCs w:val="22"/>
          <w:lang w:val="sq-AL" w:eastAsia="en-US"/>
        </w:rPr>
      </w:pPr>
      <w:r>
        <w:rPr>
          <w:rFonts w:ascii="Cambria" w:eastAsia="Calibri" w:hAnsi="Cambria"/>
          <w:sz w:val="22"/>
          <w:szCs w:val="22"/>
          <w:lang w:val="pl-PL" w:eastAsia="en-US"/>
        </w:rPr>
        <w:t>Mos</w:t>
      </w:r>
      <w:r w:rsidRPr="00827575">
        <w:rPr>
          <w:rFonts w:ascii="Cambria" w:eastAsia="Calibri" w:hAnsi="Cambria"/>
          <w:sz w:val="22"/>
          <w:szCs w:val="22"/>
          <w:lang w:val="sq-AL" w:eastAsia="en-US"/>
        </w:rPr>
        <w:t xml:space="preserve">azhornim të regjistrit të parashikimit të prokurimeve. </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pl-PL" w:eastAsia="en-US"/>
        </w:rPr>
      </w:pPr>
      <w:r w:rsidRPr="00827575">
        <w:rPr>
          <w:rFonts w:ascii="Cambria" w:eastAsia="Calibri" w:hAnsi="Cambria"/>
          <w:sz w:val="22"/>
          <w:szCs w:val="22"/>
          <w:lang w:val="sq-AL" w:eastAsia="en-US"/>
        </w:rPr>
        <w:t xml:space="preserve">Gjetjet kryesore në sistemin e </w:t>
      </w:r>
      <w:r w:rsidRPr="00827575">
        <w:rPr>
          <w:rFonts w:ascii="Cambria" w:eastAsia="Calibri" w:hAnsi="Cambria"/>
          <w:sz w:val="22"/>
          <w:szCs w:val="22"/>
          <w:lang w:val="pl-PL" w:eastAsia="en-US"/>
        </w:rPr>
        <w:t>kontabilitetit dhe raportimit financiar</w:t>
      </w:r>
      <w:r w:rsidRPr="00827575">
        <w:rPr>
          <w:rFonts w:ascii="Cambria" w:eastAsia="Calibri" w:hAnsi="Cambria"/>
          <w:sz w:val="22"/>
          <w:szCs w:val="22"/>
          <w:lang w:val="sq-AL" w:eastAsia="en-US"/>
        </w:rPr>
        <w:t xml:space="preserve"> evidentohen në:</w:t>
      </w:r>
      <w:r w:rsidRPr="00827575">
        <w:rPr>
          <w:rFonts w:ascii="Cambria" w:eastAsia="Calibri" w:hAnsi="Cambria"/>
          <w:sz w:val="22"/>
          <w:szCs w:val="22"/>
          <w:lang w:val="pl-PL" w:eastAsia="en-US"/>
        </w:rPr>
        <w:t xml:space="preserve"> </w:t>
      </w:r>
    </w:p>
    <w:p w:rsidR="009E2031" w:rsidRPr="00827575" w:rsidRDefault="009E2031" w:rsidP="009A7C54">
      <w:pPr>
        <w:numPr>
          <w:ilvl w:val="0"/>
          <w:numId w:val="14"/>
        </w:numPr>
        <w:spacing w:line="276" w:lineRule="auto"/>
        <w:jc w:val="both"/>
        <w:rPr>
          <w:rFonts w:ascii="Cambria" w:eastAsia="Calibri" w:hAnsi="Cambria"/>
          <w:sz w:val="22"/>
          <w:szCs w:val="22"/>
          <w:lang w:val="pl-PL" w:eastAsia="en-US"/>
        </w:rPr>
      </w:pPr>
      <w:r w:rsidRPr="00827575">
        <w:rPr>
          <w:rFonts w:ascii="Cambria" w:eastAsia="Calibri" w:hAnsi="Cambria"/>
          <w:sz w:val="22"/>
          <w:szCs w:val="22"/>
          <w:lang w:val="pl-PL" w:eastAsia="en-US"/>
        </w:rPr>
        <w:t>Mos</w:t>
      </w:r>
      <w:r w:rsidR="00592048">
        <w:rPr>
          <w:rFonts w:ascii="Cambria" w:eastAsia="Calibri" w:hAnsi="Cambria"/>
          <w:sz w:val="22"/>
          <w:szCs w:val="22"/>
          <w:lang w:val="pl-PL" w:eastAsia="en-US"/>
        </w:rPr>
        <w:t>-</w:t>
      </w:r>
      <w:r w:rsidRPr="00827575">
        <w:rPr>
          <w:rFonts w:ascii="Cambria" w:eastAsia="Calibri" w:hAnsi="Cambria"/>
          <w:sz w:val="22"/>
          <w:szCs w:val="22"/>
          <w:lang w:val="pl-PL" w:eastAsia="en-US"/>
        </w:rPr>
        <w:t xml:space="preserve">hartimin e regjistrit të aktiveve nga njësitë publike; </w:t>
      </w:r>
    </w:p>
    <w:p w:rsidR="009E2031" w:rsidRPr="00827575" w:rsidRDefault="009E2031" w:rsidP="009A7C54">
      <w:pPr>
        <w:numPr>
          <w:ilvl w:val="0"/>
          <w:numId w:val="14"/>
        </w:numPr>
        <w:spacing w:line="276" w:lineRule="auto"/>
        <w:jc w:val="both"/>
        <w:rPr>
          <w:rFonts w:ascii="Cambria" w:eastAsia="Calibri" w:hAnsi="Cambria"/>
          <w:sz w:val="22"/>
          <w:szCs w:val="22"/>
          <w:lang w:val="pl-PL" w:eastAsia="en-US"/>
        </w:rPr>
      </w:pPr>
      <w:r>
        <w:rPr>
          <w:rFonts w:ascii="Cambria" w:eastAsia="Calibri" w:hAnsi="Cambria"/>
          <w:sz w:val="22"/>
          <w:szCs w:val="22"/>
          <w:lang w:val="pl-PL" w:eastAsia="en-US"/>
        </w:rPr>
        <w:t>Mos</w:t>
      </w:r>
      <w:r w:rsidRPr="00827575">
        <w:rPr>
          <w:rFonts w:ascii="Cambria" w:eastAsia="Calibri" w:hAnsi="Cambria"/>
          <w:sz w:val="22"/>
          <w:szCs w:val="22"/>
          <w:lang w:val="pl-PL" w:eastAsia="en-US"/>
        </w:rPr>
        <w:t xml:space="preserve">administrimin e rregullt të dokumentacionit të shfrytëzimit të mjeteve të transportit për shpenzimet e karburantit; </w:t>
      </w:r>
    </w:p>
    <w:p w:rsidR="009E2031" w:rsidRPr="00827575" w:rsidRDefault="009E2031" w:rsidP="009A7C54">
      <w:pPr>
        <w:numPr>
          <w:ilvl w:val="0"/>
          <w:numId w:val="13"/>
        </w:numPr>
        <w:spacing w:line="276" w:lineRule="auto"/>
        <w:jc w:val="both"/>
        <w:rPr>
          <w:rFonts w:ascii="Cambria" w:eastAsia="Calibri" w:hAnsi="Cambria"/>
          <w:sz w:val="22"/>
          <w:szCs w:val="22"/>
          <w:lang w:val="fr-FR" w:eastAsia="en-US"/>
        </w:rPr>
      </w:pPr>
      <w:r w:rsidRPr="00827575">
        <w:rPr>
          <w:rFonts w:ascii="Cambria" w:eastAsia="Calibri" w:hAnsi="Cambria"/>
          <w:sz w:val="22"/>
          <w:szCs w:val="22"/>
          <w:lang w:val="sq-AL" w:eastAsia="en-US"/>
        </w:rPr>
        <w:t xml:space="preserve">Kryerjen e pagesave për blerje mallrash, pa hartuar më parë proces verbalet e marrjes në dorëzim nga komisionet përkatëse dhe të pashoqëruara me dokumentacionin justifikues; </w:t>
      </w:r>
    </w:p>
    <w:p w:rsidR="009E2031" w:rsidRPr="00827575" w:rsidRDefault="009E2031" w:rsidP="009A7C54">
      <w:pPr>
        <w:numPr>
          <w:ilvl w:val="0"/>
          <w:numId w:val="13"/>
        </w:numPr>
        <w:spacing w:line="276" w:lineRule="auto"/>
        <w:jc w:val="both"/>
        <w:rPr>
          <w:rFonts w:ascii="Cambria" w:eastAsia="Calibri" w:hAnsi="Cambria"/>
          <w:sz w:val="22"/>
          <w:szCs w:val="22"/>
          <w:lang w:val="fr-FR" w:eastAsia="en-US"/>
        </w:rPr>
      </w:pPr>
      <w:r w:rsidRPr="00827575">
        <w:rPr>
          <w:rFonts w:ascii="Cambria" w:eastAsia="Calibri" w:hAnsi="Cambria"/>
          <w:sz w:val="22"/>
          <w:szCs w:val="22"/>
          <w:lang w:val="sq-AL" w:eastAsia="en-US"/>
        </w:rPr>
        <w:t>Ngritjen e komisionit për vlerësimin e aktiveve dhe për nxjerrjen jashtë përdorimit të tyre, në kundërshtim me rregullat në fuqi;</w:t>
      </w:r>
    </w:p>
    <w:p w:rsidR="009E2031" w:rsidRPr="00827575" w:rsidRDefault="009E2031" w:rsidP="009A7C54">
      <w:pPr>
        <w:numPr>
          <w:ilvl w:val="0"/>
          <w:numId w:val="13"/>
        </w:numPr>
        <w:spacing w:line="276" w:lineRule="auto"/>
        <w:jc w:val="both"/>
        <w:rPr>
          <w:rFonts w:ascii="Cambria" w:eastAsia="Calibri" w:hAnsi="Cambria"/>
          <w:sz w:val="22"/>
          <w:szCs w:val="22"/>
          <w:lang w:val="it-IT" w:eastAsia="en-US"/>
        </w:rPr>
      </w:pPr>
      <w:r w:rsidRPr="00827575">
        <w:rPr>
          <w:rFonts w:ascii="Cambria" w:eastAsia="Calibri" w:hAnsi="Cambria"/>
          <w:sz w:val="22"/>
          <w:szCs w:val="22"/>
          <w:lang w:val="it-IT" w:eastAsia="en-US"/>
        </w:rPr>
        <w:t>Në problemet me procesin e evidentimit dhe nxjerrjes jashtë përdorimit të aktiveve dhe kryesisht të aparaturave dhe pajisjeve;</w:t>
      </w:r>
    </w:p>
    <w:p w:rsidR="009E2031" w:rsidRPr="00827575" w:rsidRDefault="009E2031" w:rsidP="009A7C54">
      <w:pPr>
        <w:numPr>
          <w:ilvl w:val="0"/>
          <w:numId w:val="13"/>
        </w:numPr>
        <w:spacing w:line="276" w:lineRule="auto"/>
        <w:jc w:val="both"/>
        <w:rPr>
          <w:rFonts w:ascii="Cambria" w:eastAsia="Calibri" w:hAnsi="Cambria"/>
          <w:sz w:val="22"/>
          <w:szCs w:val="22"/>
          <w:lang w:val="sq-AL" w:eastAsia="sq-AL"/>
        </w:rPr>
      </w:pPr>
      <w:r w:rsidRPr="00827575">
        <w:rPr>
          <w:rFonts w:ascii="Cambria" w:eastAsia="Calibri" w:hAnsi="Cambria"/>
          <w:sz w:val="22"/>
          <w:szCs w:val="22"/>
          <w:lang w:val="it-IT" w:eastAsia="en-US"/>
        </w:rPr>
        <w:t xml:space="preserve">Në problemet me </w:t>
      </w:r>
      <w:r w:rsidRPr="00827575">
        <w:rPr>
          <w:rFonts w:ascii="Cambria" w:eastAsia="Calibri" w:hAnsi="Cambria"/>
          <w:sz w:val="22"/>
          <w:szCs w:val="22"/>
          <w:lang w:val="sq-AL" w:eastAsia="sq-AL"/>
        </w:rPr>
        <w:t>menaxhimin e aseteve n</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p</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rdorimin dhe plot</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simin e tyre me dokumentacionin specifik. </w:t>
      </w:r>
    </w:p>
    <w:p w:rsidR="009E2031" w:rsidRPr="00827575" w:rsidRDefault="009E2031" w:rsidP="009E2031">
      <w:pPr>
        <w:jc w:val="both"/>
        <w:rPr>
          <w:rFonts w:ascii="Cambria" w:hAnsi="Cambria" w:cs="Bookman Old Style"/>
          <w:bCs/>
          <w:i/>
          <w:iCs/>
          <w:color w:val="000000"/>
          <w:sz w:val="8"/>
          <w:szCs w:val="8"/>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eastAsia="Calibri" w:hAnsi="Cambria"/>
          <w:sz w:val="22"/>
          <w:szCs w:val="22"/>
          <w:lang w:val="sq-AL" w:eastAsia="en-US"/>
        </w:rPr>
        <w:t>Gjetjet kryesore në sistemin e</w:t>
      </w:r>
      <w:r w:rsidRPr="00827575">
        <w:rPr>
          <w:rFonts w:ascii="Cambria" w:hAnsi="Cambria" w:cs="Bookman Old Style"/>
          <w:bCs/>
          <w:iCs/>
          <w:color w:val="000000"/>
          <w:sz w:val="22"/>
          <w:szCs w:val="22"/>
          <w:lang w:val="sq-AL" w:eastAsia="en-US"/>
        </w:rPr>
        <w:t xml:space="preserve"> menaxhimit financiar dhe kontrollit evidentohen në: </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eastAsia="Calibri" w:hAnsi="Cambria"/>
          <w:sz w:val="22"/>
          <w:szCs w:val="22"/>
          <w:lang w:val="it-IT" w:eastAsia="en-US"/>
        </w:rPr>
        <w:t>Mos</w:t>
      </w:r>
      <w:r w:rsidR="00592048">
        <w:rPr>
          <w:rFonts w:ascii="Cambria" w:eastAsia="Calibri" w:hAnsi="Cambria"/>
          <w:sz w:val="22"/>
          <w:szCs w:val="22"/>
          <w:lang w:val="it-IT" w:eastAsia="en-US"/>
        </w:rPr>
        <w:t>-</w:t>
      </w:r>
      <w:r w:rsidRPr="00827575">
        <w:rPr>
          <w:rFonts w:ascii="Cambria" w:eastAsia="Calibri" w:hAnsi="Cambria"/>
          <w:sz w:val="22"/>
          <w:szCs w:val="22"/>
          <w:lang w:val="it-IT" w:eastAsia="en-US"/>
        </w:rPr>
        <w:t xml:space="preserve">identifikimin e risqeve dhe mos hartimin e përditësimin e regjistrave të risqeve;  </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eastAsia="Calibri" w:hAnsi="Cambria"/>
          <w:sz w:val="22"/>
          <w:szCs w:val="22"/>
          <w:lang w:val="pl-PL" w:eastAsia="en-US"/>
        </w:rPr>
        <w:t>Mos</w:t>
      </w:r>
      <w:r w:rsidR="00592048">
        <w:rPr>
          <w:rFonts w:ascii="Cambria" w:eastAsia="Calibri" w:hAnsi="Cambria"/>
          <w:sz w:val="22"/>
          <w:szCs w:val="22"/>
          <w:lang w:val="pl-PL" w:eastAsia="en-US"/>
        </w:rPr>
        <w:t>-</w:t>
      </w:r>
      <w:r w:rsidRPr="00827575">
        <w:rPr>
          <w:rFonts w:ascii="Cambria" w:eastAsia="Calibri" w:hAnsi="Cambria"/>
          <w:sz w:val="22"/>
          <w:szCs w:val="22"/>
          <w:lang w:val="pl-PL" w:eastAsia="en-US"/>
        </w:rPr>
        <w:t xml:space="preserve">hartimin e strategjisë për menaxhimin e riskut; </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Mospërgatitjen e manualeve të proceseve të punës;</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Mos</w:t>
      </w:r>
      <w:r w:rsidR="00592048">
        <w:rPr>
          <w:rFonts w:ascii="Cambria" w:hAnsi="Cambria" w:cs="Bookman Old Style"/>
          <w:color w:val="000000"/>
          <w:sz w:val="22"/>
          <w:szCs w:val="22"/>
          <w:lang w:val="sq-AL" w:eastAsia="en-US"/>
        </w:rPr>
        <w:t>-</w:t>
      </w:r>
      <w:r w:rsidRPr="00827575">
        <w:rPr>
          <w:rFonts w:ascii="Cambria" w:hAnsi="Cambria" w:cs="Bookman Old Style"/>
          <w:color w:val="000000"/>
          <w:sz w:val="22"/>
          <w:szCs w:val="22"/>
          <w:lang w:val="sq-AL" w:eastAsia="en-US"/>
        </w:rPr>
        <w:t xml:space="preserve">hartimin dhe miratimin e gjurmëve të auditimit për proceset kryesore; </w:t>
      </w:r>
    </w:p>
    <w:p w:rsidR="009E2031" w:rsidRPr="00827575" w:rsidRDefault="009E2031" w:rsidP="009A7C54">
      <w:pPr>
        <w:numPr>
          <w:ilvl w:val="0"/>
          <w:numId w:val="15"/>
        </w:numPr>
        <w:spacing w:line="276" w:lineRule="auto"/>
        <w:jc w:val="both"/>
        <w:rPr>
          <w:rFonts w:ascii="Cambria" w:eastAsia="Calibri" w:hAnsi="Cambria"/>
          <w:sz w:val="22"/>
          <w:szCs w:val="22"/>
          <w:lang w:val="pl-PL" w:eastAsia="en-US"/>
        </w:rPr>
      </w:pPr>
      <w:r w:rsidRPr="00827575">
        <w:rPr>
          <w:rFonts w:ascii="Cambria" w:eastAsia="Calibri" w:hAnsi="Cambria"/>
          <w:sz w:val="22"/>
          <w:szCs w:val="22"/>
          <w:lang w:val="pl-PL" w:eastAsia="en-US"/>
        </w:rPr>
        <w:t xml:space="preserve">Mungesën e përgjegjësisë menaxheriale që ka të bëjë me ndarjen e përgjegjësive që lidhen me vendimarrjen, kontrollin, zbatimin dhe vendosjen e linjave të raportimit, në përputhje me përgjegjësitë e deleguara; </w:t>
      </w:r>
    </w:p>
    <w:p w:rsidR="009E2031" w:rsidRPr="00827575" w:rsidRDefault="00945717" w:rsidP="009A7C54">
      <w:pPr>
        <w:numPr>
          <w:ilvl w:val="0"/>
          <w:numId w:val="15"/>
        </w:numPr>
        <w:spacing w:line="276" w:lineRule="auto"/>
        <w:jc w:val="both"/>
        <w:rPr>
          <w:rFonts w:ascii="Cambria" w:eastAsia="Calibri" w:hAnsi="Cambria"/>
          <w:sz w:val="22"/>
          <w:szCs w:val="22"/>
          <w:lang w:val="pl-PL" w:eastAsia="en-US"/>
        </w:rPr>
      </w:pPr>
      <w:r>
        <w:rPr>
          <w:rFonts w:ascii="Cambria" w:eastAsia="Calibri" w:hAnsi="Cambria"/>
          <w:sz w:val="22"/>
          <w:szCs w:val="22"/>
          <w:lang w:val="pl-PL" w:eastAsia="en-US"/>
        </w:rPr>
        <w:t>Mos</w:t>
      </w:r>
      <w:r w:rsidR="009E2031" w:rsidRPr="00827575">
        <w:rPr>
          <w:rFonts w:ascii="Cambria" w:eastAsia="Calibri" w:hAnsi="Cambria"/>
          <w:sz w:val="22"/>
          <w:szCs w:val="22"/>
          <w:lang w:val="pl-PL" w:eastAsia="en-US"/>
        </w:rPr>
        <w:t xml:space="preserve">përcaktimin e qartë të detyrave për secilin punonjës. </w:t>
      </w:r>
    </w:p>
    <w:p w:rsidR="009E2031" w:rsidRPr="00827575" w:rsidRDefault="009E2031" w:rsidP="009E2031">
      <w:pPr>
        <w:jc w:val="both"/>
        <w:rPr>
          <w:rFonts w:ascii="Cambria" w:hAnsi="Cambria" w:cs="Bookman Old Style"/>
          <w:bCs/>
          <w:color w:val="000000"/>
          <w:sz w:val="8"/>
          <w:szCs w:val="8"/>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eastAsia="Calibri" w:hAnsi="Cambria"/>
          <w:sz w:val="22"/>
          <w:szCs w:val="22"/>
          <w:lang w:val="sq-AL" w:eastAsia="en-US"/>
        </w:rPr>
        <w:t xml:space="preserve">Gjetjet kryesore në sistemin e </w:t>
      </w:r>
      <w:r w:rsidRPr="00827575">
        <w:rPr>
          <w:rFonts w:ascii="Cambria" w:hAnsi="Cambria" w:cs="Bookman Old Style"/>
          <w:bCs/>
          <w:color w:val="000000"/>
          <w:sz w:val="22"/>
          <w:szCs w:val="22"/>
          <w:lang w:val="sq-AL" w:eastAsia="en-US"/>
        </w:rPr>
        <w:t xml:space="preserve">koncesioneve dhe ankandeve evidentohen në: </w:t>
      </w:r>
    </w:p>
    <w:p w:rsidR="009E2031" w:rsidRPr="00ED5642" w:rsidRDefault="009E2031" w:rsidP="009A7C54">
      <w:pPr>
        <w:numPr>
          <w:ilvl w:val="0"/>
          <w:numId w:val="17"/>
        </w:numPr>
        <w:spacing w:line="276" w:lineRule="auto"/>
        <w:jc w:val="both"/>
        <w:rPr>
          <w:rFonts w:ascii="Cambria" w:hAnsi="Cambria" w:cs="Bookman Old Style"/>
          <w:color w:val="000000"/>
          <w:sz w:val="22"/>
          <w:szCs w:val="22"/>
          <w:lang w:val="sq-AL" w:eastAsia="en-US"/>
        </w:rPr>
      </w:pPr>
      <w:r w:rsidRPr="00ED5642">
        <w:rPr>
          <w:rFonts w:ascii="Cambria" w:hAnsi="Cambria" w:cs="Bookman Old Style"/>
          <w:color w:val="000000"/>
          <w:sz w:val="22"/>
          <w:szCs w:val="22"/>
          <w:lang w:val="sq-AL" w:eastAsia="en-US"/>
        </w:rPr>
        <w:t>Mos</w:t>
      </w:r>
      <w:r w:rsidR="00592048">
        <w:rPr>
          <w:rFonts w:ascii="Cambria" w:hAnsi="Cambria" w:cs="Bookman Old Style"/>
          <w:color w:val="000000"/>
          <w:sz w:val="22"/>
          <w:szCs w:val="22"/>
          <w:lang w:val="sq-AL" w:eastAsia="en-US"/>
        </w:rPr>
        <w:t>-</w:t>
      </w:r>
      <w:r w:rsidRPr="00ED5642">
        <w:rPr>
          <w:rFonts w:ascii="Cambria" w:hAnsi="Cambria" w:cs="Bookman Old Style"/>
          <w:color w:val="000000"/>
          <w:sz w:val="22"/>
          <w:szCs w:val="22"/>
          <w:lang w:val="sq-AL" w:eastAsia="en-US"/>
        </w:rPr>
        <w:t xml:space="preserve">monitorimin e zbatimit të kontratave koncesionare që janë në fazën e ndërtimit ose kanë hyrë në fazën e shfrytëzimit; </w:t>
      </w:r>
    </w:p>
    <w:p w:rsidR="009E2031" w:rsidRPr="00ED5642" w:rsidRDefault="009E2031" w:rsidP="009A7C54">
      <w:pPr>
        <w:numPr>
          <w:ilvl w:val="0"/>
          <w:numId w:val="17"/>
        </w:numPr>
        <w:spacing w:line="276" w:lineRule="auto"/>
        <w:jc w:val="both"/>
        <w:rPr>
          <w:rFonts w:ascii="Cambria" w:hAnsi="Cambria" w:cs="Bookman Old Style"/>
          <w:color w:val="000000"/>
          <w:sz w:val="22"/>
          <w:szCs w:val="22"/>
          <w:lang w:val="sq-AL" w:eastAsia="en-US"/>
        </w:rPr>
      </w:pPr>
      <w:r w:rsidRPr="00ED5642">
        <w:rPr>
          <w:rFonts w:ascii="Cambria" w:hAnsi="Cambria" w:cs="Bookman Old Style"/>
          <w:color w:val="000000"/>
          <w:sz w:val="22"/>
          <w:szCs w:val="22"/>
          <w:lang w:val="sq-AL" w:eastAsia="en-US"/>
        </w:rPr>
        <w:t>Mos</w:t>
      </w:r>
      <w:r w:rsidR="00592048">
        <w:rPr>
          <w:rFonts w:ascii="Cambria" w:hAnsi="Cambria" w:cs="Bookman Old Style"/>
          <w:color w:val="000000"/>
          <w:sz w:val="22"/>
          <w:szCs w:val="22"/>
          <w:lang w:val="sq-AL" w:eastAsia="en-US"/>
        </w:rPr>
        <w:t>-</w:t>
      </w:r>
      <w:r w:rsidRPr="00ED5642">
        <w:rPr>
          <w:rFonts w:ascii="Cambria" w:hAnsi="Cambria" w:cs="Bookman Old Style"/>
          <w:color w:val="000000"/>
          <w:sz w:val="22"/>
          <w:szCs w:val="22"/>
          <w:lang w:val="sq-AL" w:eastAsia="en-US"/>
        </w:rPr>
        <w:t xml:space="preserve">monitorimin e veprimtarisë së sektorit të oponencës teknike; </w:t>
      </w:r>
    </w:p>
    <w:p w:rsidR="009E2031" w:rsidRPr="00ED5642" w:rsidRDefault="009E2031" w:rsidP="009A7C54">
      <w:pPr>
        <w:numPr>
          <w:ilvl w:val="0"/>
          <w:numId w:val="17"/>
        </w:numPr>
        <w:spacing w:line="276" w:lineRule="auto"/>
        <w:jc w:val="both"/>
        <w:rPr>
          <w:rFonts w:ascii="Cambria" w:hAnsi="Cambria" w:cs="Bookman Old Style"/>
          <w:color w:val="FF0000"/>
          <w:sz w:val="22"/>
          <w:szCs w:val="22"/>
          <w:lang w:val="sq-AL" w:eastAsia="en-US"/>
        </w:rPr>
      </w:pPr>
      <w:r w:rsidRPr="00ED5642">
        <w:rPr>
          <w:rFonts w:ascii="Cambria" w:hAnsi="Cambria" w:cs="Bookman Old Style"/>
          <w:color w:val="000000"/>
          <w:sz w:val="22"/>
          <w:szCs w:val="22"/>
          <w:lang w:val="sq-AL" w:eastAsia="en-US"/>
        </w:rPr>
        <w:t>Mosrespektimin e kushteve të marrëveshjeve lidhur me garancitë financiare të marrëveshjeve hidrokarbure.</w:t>
      </w:r>
      <w:r w:rsidRPr="00ED5642">
        <w:rPr>
          <w:rFonts w:ascii="Cambria" w:hAnsi="Cambria" w:cs="Bookman Old Style"/>
          <w:color w:val="FF0000"/>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Audituesit e brendshëm në minitritë e linjës në lidhje me vlerësimin e sistemit të kontrollit të brendshëm kanë evidentuar ma</w:t>
      </w:r>
      <w:r w:rsidR="00B74E78">
        <w:rPr>
          <w:rFonts w:ascii="Cambria" w:eastAsia="Calibri" w:hAnsi="Cambria"/>
          <w:sz w:val="22"/>
          <w:szCs w:val="22"/>
          <w:lang w:val="sq-AL" w:eastAsia="en-US"/>
        </w:rPr>
        <w:t>n</w:t>
      </w:r>
      <w:r w:rsidRPr="00827575">
        <w:rPr>
          <w:rFonts w:ascii="Cambria" w:eastAsia="Calibri" w:hAnsi="Cambria"/>
          <w:sz w:val="22"/>
          <w:szCs w:val="22"/>
          <w:lang w:val="sq-AL" w:eastAsia="en-US"/>
        </w:rPr>
        <w:t>gësi në zbatimin si duhet të kontrollit të brendshëm, në strukturat e varësisë për shkak të ndryshimit të shpeshtë të organizimit të strukturave dhe stafit, ndarjen e qartë të detyrave, ku ka mbivendosje, raste të konflikt të interesit dhe mos zbatim të proce</w:t>
      </w:r>
      <w:r w:rsidR="00C468B8">
        <w:rPr>
          <w:rFonts w:ascii="Cambria" w:eastAsia="Calibri" w:hAnsi="Cambria"/>
          <w:sz w:val="22"/>
          <w:szCs w:val="22"/>
          <w:lang w:val="sq-AL" w:eastAsia="en-US"/>
        </w:rPr>
        <w:t>durave ligjore, evidentimin e pe</w:t>
      </w:r>
      <w:r w:rsidRPr="00827575">
        <w:rPr>
          <w:rFonts w:ascii="Cambria" w:eastAsia="Calibri" w:hAnsi="Cambria"/>
          <w:sz w:val="22"/>
          <w:szCs w:val="22"/>
          <w:lang w:val="sq-AL" w:eastAsia="en-US"/>
        </w:rPr>
        <w:t>rsonave përgjegjës, të cilët nuk kanë m</w:t>
      </w:r>
      <w:r w:rsidR="005A114A">
        <w:rPr>
          <w:rFonts w:ascii="Cambria" w:eastAsia="Calibri" w:hAnsi="Cambria"/>
          <w:sz w:val="22"/>
          <w:szCs w:val="22"/>
          <w:lang w:val="sq-AL" w:eastAsia="en-US"/>
        </w:rPr>
        <w:t>enaxhuar me efektivitet dhe efiç</w:t>
      </w:r>
      <w:r>
        <w:rPr>
          <w:rFonts w:ascii="Cambria" w:eastAsia="Calibri" w:hAnsi="Cambria"/>
          <w:sz w:val="22"/>
          <w:szCs w:val="22"/>
          <w:lang w:val="sq-AL" w:eastAsia="en-US"/>
        </w:rPr>
        <w:t>enc</w:t>
      </w:r>
      <w:r w:rsidRPr="00827575">
        <w:rPr>
          <w:rFonts w:ascii="Cambria" w:eastAsia="Calibri" w:hAnsi="Cambria"/>
          <w:sz w:val="22"/>
          <w:szCs w:val="22"/>
          <w:lang w:val="sq-AL" w:eastAsia="en-US"/>
        </w:rPr>
        <w:t>ë burimet njerëzore dhe financiare, p</w:t>
      </w:r>
      <w:r w:rsidRPr="00827575">
        <w:rPr>
          <w:rFonts w:ascii="Cambria" w:eastAsia="Calibri" w:hAnsi="Cambria"/>
          <w:color w:val="000000"/>
          <w:sz w:val="22"/>
          <w:szCs w:val="22"/>
          <w:lang w:val="sq-AL" w:eastAsia="en-US"/>
        </w:rPr>
        <w:t xml:space="preserve">arregullsi në dokumentimin dhe menaxhimin e aseteve </w:t>
      </w:r>
      <w:r w:rsidRPr="00827575">
        <w:rPr>
          <w:rFonts w:ascii="Cambria" w:eastAsia="Calibri" w:hAnsi="Cambria"/>
          <w:sz w:val="22"/>
          <w:szCs w:val="22"/>
          <w:lang w:val="sq-AL" w:eastAsia="en-US"/>
        </w:rPr>
        <w:t>publike.</w:t>
      </w:r>
      <w:r w:rsidRPr="00827575">
        <w:rPr>
          <w:rFonts w:ascii="Cambria" w:eastAsia="Calibri" w:hAnsi="Cambria"/>
          <w:color w:val="000000"/>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Default="009E2031" w:rsidP="009E2031">
      <w:pPr>
        <w:jc w:val="both"/>
        <w:rPr>
          <w:rFonts w:ascii="Cambria" w:eastAsia="Times New Roman" w:hAnsi="Cambria"/>
          <w:sz w:val="22"/>
          <w:szCs w:val="22"/>
          <w:lang w:val="sq-AL" w:eastAsia="sq-AL" w:bidi="en-US"/>
        </w:rPr>
      </w:pPr>
      <w:r w:rsidRPr="00827575">
        <w:rPr>
          <w:rFonts w:ascii="Cambria" w:eastAsia="Calibri" w:hAnsi="Cambria"/>
          <w:sz w:val="22"/>
          <w:szCs w:val="22"/>
          <w:lang w:val="sq-AL" w:eastAsia="en-US" w:bidi="en-US"/>
        </w:rPr>
        <w:t xml:space="preserve">Njësitë publike në pjesën më të madhe të tyre kanë ngritur sistemet e kontrollit të brendshëm por audituesit e brendshëm vlerësojnë se nga ana e menaxherëve kërkohet punë e vazhdueshme dhe </w:t>
      </w:r>
      <w:r w:rsidRPr="00827575">
        <w:rPr>
          <w:rFonts w:ascii="Cambria" w:eastAsia="Times New Roman" w:hAnsi="Cambria"/>
          <w:sz w:val="22"/>
          <w:szCs w:val="22"/>
          <w:lang w:val="sq-AL" w:eastAsia="sq-AL" w:bidi="en-US"/>
        </w:rPr>
        <w:t>përmirësime të mëtejshme në funksionimin sa më efikas të tyre.</w:t>
      </w:r>
    </w:p>
    <w:p w:rsidR="009E2031" w:rsidRPr="003C6CBA" w:rsidRDefault="009E2031" w:rsidP="003C6CBA">
      <w:pPr>
        <w:pStyle w:val="NoSpacing"/>
        <w:rPr>
          <w:sz w:val="12"/>
          <w:szCs w:val="12"/>
          <w:lang w:val="sq-AL" w:eastAsia="sq-AL"/>
        </w:rPr>
      </w:pPr>
      <w:r w:rsidRPr="00827575">
        <w:rPr>
          <w:lang w:val="sq-AL" w:eastAsia="sq-AL"/>
        </w:rPr>
        <w:t xml:space="preserve"> </w:t>
      </w:r>
    </w:p>
    <w:p w:rsidR="009E2031" w:rsidRPr="00827575" w:rsidRDefault="009E2031" w:rsidP="009E2031">
      <w:pPr>
        <w:jc w:val="both"/>
        <w:rPr>
          <w:rFonts w:ascii="Cambria" w:eastAsia="Calibri" w:hAnsi="Cambria"/>
          <w:sz w:val="12"/>
          <w:szCs w:val="12"/>
          <w:lang w:val="sq-AL" w:eastAsia="en-US"/>
        </w:rPr>
      </w:pPr>
    </w:p>
    <w:p w:rsidR="009E2031" w:rsidRPr="00827575" w:rsidRDefault="00C52EB8" w:rsidP="009E2031">
      <w:pPr>
        <w:jc w:val="both"/>
        <w:rPr>
          <w:rFonts w:ascii="Cambria" w:eastAsia="Calibri" w:hAnsi="Cambria"/>
          <w:b/>
          <w:sz w:val="20"/>
          <w:szCs w:val="20"/>
          <w:lang w:val="sq-AL" w:eastAsia="en-US" w:bidi="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NJAB në ministritë e linjës</w:t>
      </w:r>
    </w:p>
    <w:p w:rsidR="009E2031" w:rsidRPr="00827575" w:rsidRDefault="009E2031" w:rsidP="009E2031">
      <w:pPr>
        <w:jc w:val="both"/>
        <w:rPr>
          <w:rFonts w:ascii="Cambria" w:eastAsia="Calibri" w:hAnsi="Cambria"/>
          <w:sz w:val="12"/>
          <w:szCs w:val="12"/>
          <w:lang w:val="sq-AL" w:eastAsia="ja-JP"/>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Rekomandimet e dhëna nga ministritë e linjës vlerësohen në përgjithësi si të sakta, të qarta dhe të zbatueshme. Rekomandimet kryesore janë fokusuar në përmirësim</w:t>
      </w:r>
      <w:r>
        <w:rPr>
          <w:rFonts w:ascii="Cambria" w:eastAsia="Calibri" w:hAnsi="Cambria"/>
          <w:sz w:val="22"/>
          <w:szCs w:val="22"/>
          <w:lang w:val="sq-AL" w:eastAsia="en-US" w:bidi="en-US"/>
        </w:rPr>
        <w:t>in e sistemeve</w:t>
      </w:r>
      <w:r w:rsidRPr="00827575">
        <w:rPr>
          <w:rFonts w:ascii="Cambria" w:eastAsia="Calibri" w:hAnsi="Cambria"/>
          <w:sz w:val="22"/>
          <w:szCs w:val="22"/>
          <w:lang w:val="sq-AL" w:eastAsia="en-US" w:bidi="en-US"/>
        </w:rPr>
        <w:t xml:space="preserve"> dhe kuadri</w:t>
      </w:r>
      <w:r>
        <w:rPr>
          <w:rFonts w:ascii="Cambria" w:eastAsia="Calibri" w:hAnsi="Cambria"/>
          <w:sz w:val="22"/>
          <w:szCs w:val="22"/>
          <w:lang w:val="sq-AL" w:eastAsia="en-US" w:bidi="en-US"/>
        </w:rPr>
        <w:t>n</w:t>
      </w:r>
      <w:r w:rsidRPr="00827575">
        <w:rPr>
          <w:rFonts w:ascii="Cambria" w:eastAsia="Calibri" w:hAnsi="Cambria"/>
          <w:sz w:val="22"/>
          <w:szCs w:val="22"/>
          <w:lang w:val="sq-AL" w:eastAsia="en-US" w:bidi="en-US"/>
        </w:rPr>
        <w:t xml:space="preserve"> rregullator, si dhe të karakterit organizativ.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Specifikisht, në rekomandime për përmirësimin e sistemeve që lidhen me hartimin e regjistrit të aseteve, hartimin e regjistrit të risqeve, hartimin dhe miratimin e gjurmëve të auditimit për proceset e punës, rritjen e cilësisë së planifikimit dhe zbatimit të buxhetit të shtetit, ruajtja e aseteve, etj.</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 të karak</w:t>
      </w:r>
      <w:r>
        <w:rPr>
          <w:rFonts w:ascii="Cambria" w:eastAsia="Calibri" w:hAnsi="Cambria"/>
          <w:sz w:val="22"/>
          <w:szCs w:val="22"/>
          <w:lang w:val="sq-AL" w:eastAsia="en-US" w:bidi="en-US"/>
        </w:rPr>
        <w:t>terit organizativ</w:t>
      </w:r>
      <w:r w:rsidRPr="00827575">
        <w:rPr>
          <w:rFonts w:ascii="Cambria" w:eastAsia="Calibri" w:hAnsi="Cambria"/>
          <w:sz w:val="22"/>
          <w:szCs w:val="22"/>
          <w:lang w:val="sq-AL" w:eastAsia="en-US" w:bidi="en-US"/>
        </w:rPr>
        <w:t xml:space="preserve"> lidhen me miratimin ose përmirësimin e rregulloreve të brendshme, miratimin e manualeve të proceseve të punës, rishikim</w:t>
      </w:r>
      <w:r>
        <w:rPr>
          <w:rFonts w:ascii="Cambria" w:eastAsia="Calibri" w:hAnsi="Cambria"/>
          <w:sz w:val="22"/>
          <w:szCs w:val="22"/>
          <w:lang w:val="sq-AL" w:eastAsia="en-US" w:bidi="en-US"/>
        </w:rPr>
        <w:t>in e</w:t>
      </w:r>
      <w:r w:rsidRPr="00827575">
        <w:rPr>
          <w:rFonts w:ascii="Cambria" w:eastAsia="Calibri" w:hAnsi="Cambria"/>
          <w:sz w:val="22"/>
          <w:szCs w:val="22"/>
          <w:lang w:val="sq-AL" w:eastAsia="en-US" w:bidi="en-US"/>
        </w:rPr>
        <w:t xml:space="preserve"> përshkrimeve të punës për çdo punonjës, ndarjen e qartë të detyrave, miratim</w:t>
      </w:r>
      <w:r>
        <w:rPr>
          <w:rFonts w:ascii="Cambria" w:eastAsia="Calibri" w:hAnsi="Cambria"/>
          <w:sz w:val="22"/>
          <w:szCs w:val="22"/>
          <w:lang w:val="sq-AL" w:eastAsia="en-US" w:bidi="en-US"/>
        </w:rPr>
        <w:t>in e</w:t>
      </w:r>
      <w:r w:rsidRPr="00827575">
        <w:rPr>
          <w:rFonts w:ascii="Cambria" w:eastAsia="Calibri" w:hAnsi="Cambria"/>
          <w:sz w:val="22"/>
          <w:szCs w:val="22"/>
          <w:lang w:val="sq-AL" w:eastAsia="en-US" w:bidi="en-US"/>
        </w:rPr>
        <w:t xml:space="preserve"> rregullave të brendshme për delegimin e detyrave, etj.</w:t>
      </w:r>
    </w:p>
    <w:p w:rsidR="009E2031" w:rsidRPr="00827575" w:rsidRDefault="009E2031" w:rsidP="009E2031">
      <w:pPr>
        <w:jc w:val="both"/>
        <w:rPr>
          <w:rFonts w:ascii="Cambria" w:eastAsia="Calibri" w:hAnsi="Cambria"/>
          <w:sz w:val="8"/>
          <w:szCs w:val="8"/>
          <w:lang w:val="sq-AL" w:eastAsia="en-US" w:bidi="en-US"/>
        </w:rPr>
      </w:pPr>
    </w:p>
    <w:p w:rsidR="009E2031" w:rsidRPr="00423ED8" w:rsidRDefault="009E2031" w:rsidP="00FA5000">
      <w:pPr>
        <w:jc w:val="both"/>
        <w:rPr>
          <w:rFonts w:ascii="Cambria" w:eastAsia="Calibri" w:hAnsi="Cambria"/>
          <w:sz w:val="22"/>
          <w:szCs w:val="22"/>
          <w:lang w:val="sq-AL" w:eastAsia="en-US"/>
        </w:rPr>
      </w:pPr>
      <w:r w:rsidRPr="00827575">
        <w:rPr>
          <w:rFonts w:ascii="Cambria" w:eastAsia="Times New Roman" w:hAnsi="Cambria"/>
          <w:sz w:val="22"/>
          <w:szCs w:val="22"/>
          <w:lang w:val="sq-AL" w:eastAsia="en-US" w:bidi="en-US"/>
        </w:rPr>
        <w:t>Rekomandime</w:t>
      </w:r>
      <w:r>
        <w:rPr>
          <w:rFonts w:ascii="Cambria" w:eastAsia="Times New Roman" w:hAnsi="Cambria"/>
          <w:sz w:val="22"/>
          <w:szCs w:val="22"/>
          <w:lang w:val="sq-AL" w:eastAsia="en-US" w:bidi="en-US"/>
        </w:rPr>
        <w:t>t</w:t>
      </w:r>
      <w:r w:rsidRPr="00827575">
        <w:rPr>
          <w:rFonts w:ascii="Cambria" w:eastAsia="Times New Roman" w:hAnsi="Cambria"/>
          <w:sz w:val="22"/>
          <w:szCs w:val="22"/>
          <w:lang w:val="sq-AL" w:eastAsia="en-US" w:bidi="en-US"/>
        </w:rPr>
        <w:t xml:space="preserve"> për përmirësimin e kuadrit ligjor lidhen me propozime për ndryshime të akteve ligjore dhe nënligjore, për miratim udhëzimesh etj. të lidhura me fushën e p</w:t>
      </w:r>
      <w:r>
        <w:rPr>
          <w:rFonts w:ascii="Cambria" w:eastAsia="Times New Roman" w:hAnsi="Cambria"/>
          <w:sz w:val="22"/>
          <w:szCs w:val="22"/>
          <w:lang w:val="sq-AL" w:eastAsia="en-US" w:bidi="en-US"/>
        </w:rPr>
        <w:t xml:space="preserve">ërgjegjësisë së çdo ministrie. </w:t>
      </w:r>
    </w:p>
    <w:p w:rsidR="009E2031" w:rsidRDefault="009E2031" w:rsidP="009E2031">
      <w:pPr>
        <w:ind w:left="720"/>
        <w:jc w:val="both"/>
        <w:rPr>
          <w:rFonts w:ascii="Cambria" w:eastAsia="Calibri" w:hAnsi="Cambria"/>
          <w:sz w:val="8"/>
          <w:szCs w:val="8"/>
          <w:lang w:val="sq-AL" w:eastAsia="en-US"/>
        </w:rPr>
      </w:pPr>
    </w:p>
    <w:p w:rsidR="009E2031"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8"/>
          <w:szCs w:val="8"/>
          <w:lang w:val="sq-AL" w:eastAsia="en-US" w:bidi="en-US"/>
        </w:rPr>
      </w:pPr>
    </w:p>
    <w:p w:rsidR="009E2031" w:rsidRPr="0060470D" w:rsidRDefault="009E2031" w:rsidP="009E2031">
      <w:pPr>
        <w:pStyle w:val="ListParagraph"/>
        <w:numPr>
          <w:ilvl w:val="0"/>
          <w:numId w:val="2"/>
        </w:numPr>
        <w:jc w:val="both"/>
        <w:rPr>
          <w:rFonts w:eastAsia="Calibri"/>
          <w:b/>
          <w:noProof/>
          <w:sz w:val="24"/>
          <w:szCs w:val="8"/>
          <w:lang w:val="sq-AL"/>
        </w:rPr>
      </w:pPr>
      <w:r>
        <w:rPr>
          <w:rFonts w:eastAsia="Calibri"/>
          <w:b/>
          <w:noProof/>
          <w:sz w:val="24"/>
          <w:szCs w:val="8"/>
          <w:lang w:val="sq-AL"/>
        </w:rPr>
        <w:t>Njësitë Shpenzuese me Buxhet të Madh</w:t>
      </w:r>
    </w:p>
    <w:p w:rsidR="009E2031" w:rsidRPr="00827575" w:rsidRDefault="00C52EB8" w:rsidP="009E2031">
      <w:pPr>
        <w:jc w:val="both"/>
        <w:rPr>
          <w:rFonts w:ascii="Cambria" w:eastAsia="Calibri" w:hAnsi="Cambria"/>
          <w:b/>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 xml:space="preserve">lerësimi i riskut nga NJAB e </w:t>
      </w:r>
      <w:r w:rsidRPr="00827575">
        <w:rPr>
          <w:rFonts w:ascii="Cambria" w:eastAsia="Calibri" w:hAnsi="Cambria"/>
          <w:b/>
          <w:sz w:val="20"/>
          <w:szCs w:val="20"/>
          <w:lang w:val="sq-AL" w:eastAsia="en-US" w:bidi="en-US"/>
        </w:rPr>
        <w:t>g</w:t>
      </w:r>
      <w:r w:rsidRPr="00827575">
        <w:rPr>
          <w:rFonts w:ascii="Cambria" w:eastAsia="Calibri" w:hAnsi="Cambria"/>
          <w:b/>
          <w:color w:val="000000"/>
          <w:sz w:val="20"/>
          <w:szCs w:val="20"/>
          <w:lang w:val="sq-AL" w:eastAsia="en-US"/>
        </w:rPr>
        <w:t xml:space="preserve">rupit të </w:t>
      </w:r>
      <w:r>
        <w:rPr>
          <w:rFonts w:ascii="Cambria" w:eastAsia="Calibri" w:hAnsi="Cambria"/>
          <w:b/>
          <w:color w:val="000000"/>
          <w:sz w:val="20"/>
          <w:szCs w:val="20"/>
          <w:lang w:val="sq-AL" w:eastAsia="en-US"/>
        </w:rPr>
        <w:t xml:space="preserve">njësive shpenzuese </w:t>
      </w:r>
      <w:r w:rsidRPr="00827575">
        <w:rPr>
          <w:rFonts w:ascii="Cambria" w:eastAsia="Calibri" w:hAnsi="Cambria"/>
          <w:b/>
          <w:color w:val="000000"/>
          <w:sz w:val="20"/>
          <w:szCs w:val="20"/>
          <w:lang w:val="sq-AL" w:eastAsia="en-US"/>
        </w:rPr>
        <w:t>me buxhet të madh</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NJAB në g</w:t>
      </w:r>
      <w:r w:rsidRPr="00827575">
        <w:rPr>
          <w:rFonts w:ascii="Cambria" w:eastAsia="Calibri" w:hAnsi="Cambria"/>
          <w:color w:val="000000"/>
          <w:sz w:val="22"/>
          <w:szCs w:val="22"/>
          <w:lang w:val="sq-AL" w:eastAsia="en-US"/>
        </w:rPr>
        <w:t xml:space="preserve">rupin e </w:t>
      </w:r>
      <w:r w:rsidR="00635C03">
        <w:rPr>
          <w:rFonts w:ascii="Cambria" w:eastAsia="Calibri" w:hAnsi="Cambria"/>
          <w:color w:val="000000"/>
          <w:sz w:val="22"/>
          <w:szCs w:val="22"/>
          <w:lang w:val="sq-AL" w:eastAsia="en-US"/>
        </w:rPr>
        <w:t xml:space="preserve">njësive shpenzuese </w:t>
      </w:r>
      <w:r w:rsidRPr="00827575">
        <w:rPr>
          <w:rFonts w:ascii="Cambria" w:eastAsia="Calibri" w:hAnsi="Cambria"/>
          <w:color w:val="000000"/>
          <w:sz w:val="22"/>
          <w:szCs w:val="22"/>
          <w:lang w:val="sq-AL" w:eastAsia="en-US"/>
        </w:rPr>
        <w:t>me buxhet të madh kanë identifikuar me risk të lartë</w:t>
      </w:r>
      <w:r w:rsidRPr="00827575">
        <w:rPr>
          <w:rFonts w:ascii="Cambria" w:eastAsia="Calibri" w:hAnsi="Cambria"/>
          <w:b/>
          <w:color w:val="000000"/>
          <w:sz w:val="22"/>
          <w:szCs w:val="22"/>
          <w:lang w:val="sq-AL" w:eastAsia="en-US"/>
        </w:rPr>
        <w:t xml:space="preserve"> </w:t>
      </w:r>
      <w:r w:rsidRPr="00827575">
        <w:rPr>
          <w:rFonts w:ascii="Cambria" w:eastAsia="Calibri" w:hAnsi="Cambria"/>
          <w:sz w:val="22"/>
          <w:szCs w:val="22"/>
          <w:lang w:val="sq-AL" w:eastAsia="en-US" w:bidi="en-US"/>
        </w:rPr>
        <w:t>këto sisteme:</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menaxhimit </w:t>
      </w:r>
      <w:r w:rsidR="00783E32">
        <w:rPr>
          <w:rFonts w:ascii="Cambria" w:eastAsia="Calibri" w:hAnsi="Cambria"/>
          <w:sz w:val="22"/>
          <w:szCs w:val="22"/>
          <w:lang w:val="sq-AL" w:eastAsia="en-US" w:bidi="en-US"/>
        </w:rPr>
        <w:t>dh</w:t>
      </w:r>
      <w:r w:rsidRPr="00827575">
        <w:rPr>
          <w:rFonts w:ascii="Cambria" w:eastAsia="Calibri" w:hAnsi="Cambria"/>
          <w:sz w:val="22"/>
          <w:szCs w:val="22"/>
          <w:lang w:val="sq-AL" w:eastAsia="en-US" w:bidi="en-US"/>
        </w:rPr>
        <w:t xml:space="preserve">e kontrollit financiar; </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Teknologjisë së Informacionit; </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prokurimeve, blerjeve dhe investimeve; </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administrimit të </w:t>
      </w:r>
      <w:r w:rsidRPr="00827575">
        <w:rPr>
          <w:rFonts w:ascii="Cambria" w:hAnsi="Cambria" w:cs="Bookman Old Style"/>
          <w:color w:val="000000"/>
          <w:sz w:val="22"/>
          <w:szCs w:val="22"/>
          <w:lang w:val="sq-AL" w:eastAsia="en-US"/>
        </w:rPr>
        <w:t>aseteve;</w:t>
      </w:r>
      <w:r w:rsidRPr="00827575">
        <w:rPr>
          <w:rFonts w:ascii="Cambria" w:eastAsia="Calibri" w:hAnsi="Cambria"/>
          <w:sz w:val="22"/>
          <w:szCs w:val="22"/>
          <w:lang w:val="sq-AL" w:eastAsia="en-US" w:bidi="en-US"/>
        </w:rPr>
        <w:t xml:space="preserve"> </w:t>
      </w:r>
    </w:p>
    <w:p w:rsidR="009E2031" w:rsidRPr="00827575" w:rsidRDefault="009E2031" w:rsidP="009A7C54">
      <w:pPr>
        <w:numPr>
          <w:ilvl w:val="0"/>
          <w:numId w:val="28"/>
        </w:numPr>
        <w:spacing w:line="276" w:lineRule="auto"/>
        <w:jc w:val="both"/>
        <w:rPr>
          <w:rFonts w:ascii="Cambria" w:eastAsia="Calibri" w:hAnsi="Cambria"/>
          <w:sz w:val="12"/>
          <w:szCs w:val="12"/>
          <w:lang w:val="sq-AL" w:eastAsia="en-US" w:bidi="en-US"/>
        </w:rPr>
      </w:pPr>
      <w:r w:rsidRPr="00827575">
        <w:rPr>
          <w:rFonts w:ascii="Cambria" w:eastAsia="Calibri" w:hAnsi="Cambria"/>
          <w:sz w:val="22"/>
          <w:szCs w:val="22"/>
          <w:lang w:val="sq-AL" w:eastAsia="en-US" w:bidi="en-US"/>
        </w:rPr>
        <w:t>Sistemin e detyrimeve të prapambetura.</w:t>
      </w:r>
    </w:p>
    <w:p w:rsidR="009E2031" w:rsidRPr="00827575" w:rsidRDefault="009E2031" w:rsidP="009E2031">
      <w:pPr>
        <w:jc w:val="both"/>
        <w:rPr>
          <w:rFonts w:ascii="Cambria" w:eastAsia="Calibri" w:hAnsi="Cambria"/>
          <w:b/>
          <w:sz w:val="12"/>
          <w:szCs w:val="12"/>
          <w:highlight w:val="yellow"/>
          <w:lang w:val="sq-AL" w:eastAsia="en-US" w:bidi="en-US"/>
        </w:rPr>
      </w:pPr>
    </w:p>
    <w:p w:rsidR="009E2031" w:rsidRPr="00827575" w:rsidRDefault="00C52EB8" w:rsidP="009E2031">
      <w:pPr>
        <w:jc w:val="both"/>
        <w:rPr>
          <w:rFonts w:ascii="Cambria" w:eastAsia="Calibri" w:hAnsi="Cambria"/>
          <w:b/>
          <w:sz w:val="20"/>
          <w:szCs w:val="20"/>
          <w:lang w:val="sq-AL" w:eastAsia="en-US" w:bidi="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w:t>
      </w:r>
      <w:r w:rsidRPr="00827575">
        <w:rPr>
          <w:rFonts w:ascii="Cambria" w:eastAsia="Calibri" w:hAnsi="Cambria"/>
          <w:b/>
          <w:sz w:val="20"/>
          <w:szCs w:val="20"/>
          <w:lang w:val="sq-AL" w:eastAsia="en-US" w:bidi="en-US"/>
        </w:rPr>
        <w:t xml:space="preserve"> në grupin  e </w:t>
      </w:r>
      <w:r>
        <w:rPr>
          <w:rFonts w:ascii="Cambria" w:eastAsia="Calibri" w:hAnsi="Cambria"/>
          <w:b/>
          <w:color w:val="000000"/>
          <w:sz w:val="20"/>
          <w:szCs w:val="20"/>
          <w:lang w:val="sq-AL" w:eastAsia="en-US"/>
        </w:rPr>
        <w:t xml:space="preserve">njësive shpenzuese </w:t>
      </w:r>
      <w:r w:rsidRPr="00827575">
        <w:rPr>
          <w:rFonts w:ascii="Cambria" w:eastAsia="Calibri" w:hAnsi="Cambria"/>
          <w:b/>
          <w:sz w:val="20"/>
          <w:szCs w:val="20"/>
          <w:lang w:val="sq-AL" w:eastAsia="en-US" w:bidi="en-US"/>
        </w:rPr>
        <w:t xml:space="preserve">me buxhet të madh </w:t>
      </w:r>
    </w:p>
    <w:p w:rsidR="009E2031" w:rsidRPr="00827575" w:rsidRDefault="009E2031" w:rsidP="009E2031">
      <w:pPr>
        <w:jc w:val="both"/>
        <w:rPr>
          <w:rFonts w:ascii="Cambria" w:eastAsia="Calibri" w:hAnsi="Cambria"/>
          <w:sz w:val="12"/>
          <w:szCs w:val="12"/>
          <w:lang w:val="sq-AL" w:eastAsia="en-US"/>
        </w:rPr>
      </w:pPr>
    </w:p>
    <w:p w:rsidR="009E2031" w:rsidRDefault="009E2031" w:rsidP="009E2031">
      <w:pPr>
        <w:rPr>
          <w:rFonts w:ascii="Cambria" w:eastAsia="Calibri" w:hAnsi="Cambria"/>
          <w:sz w:val="22"/>
          <w:szCs w:val="22"/>
          <w:lang w:val="sq-AL" w:eastAsia="en-US"/>
        </w:rPr>
      </w:pPr>
      <w:r w:rsidRPr="00827575">
        <w:rPr>
          <w:rFonts w:ascii="Cambria" w:eastAsia="Times New Roman" w:hAnsi="Cambria"/>
          <w:sz w:val="22"/>
          <w:szCs w:val="22"/>
          <w:lang w:val="sq-AL" w:eastAsia="en-US"/>
        </w:rPr>
        <w:t>NJAB në g</w:t>
      </w:r>
      <w:r w:rsidRPr="00827575">
        <w:rPr>
          <w:rFonts w:ascii="Cambria" w:eastAsia="Calibri" w:hAnsi="Cambria"/>
          <w:sz w:val="22"/>
          <w:szCs w:val="22"/>
          <w:lang w:val="sq-AL" w:eastAsia="en-US"/>
        </w:rPr>
        <w:t xml:space="preserve">rupi </w:t>
      </w:r>
      <w:r w:rsidR="00AC24A8">
        <w:rPr>
          <w:rFonts w:ascii="Cambria" w:eastAsia="Calibri" w:hAnsi="Cambria"/>
          <w:sz w:val="22"/>
          <w:szCs w:val="22"/>
          <w:lang w:val="sq-AL" w:eastAsia="en-US"/>
        </w:rPr>
        <w:t>e</w:t>
      </w:r>
      <w:r w:rsidRPr="00827575">
        <w:rPr>
          <w:rFonts w:ascii="Cambria" w:eastAsia="Calibri" w:hAnsi="Cambria"/>
          <w:sz w:val="22"/>
          <w:szCs w:val="22"/>
          <w:lang w:val="sq-AL" w:eastAsia="en-US"/>
        </w:rPr>
        <w:t xml:space="preserve"> </w:t>
      </w:r>
      <w:r w:rsidR="00AC24A8">
        <w:rPr>
          <w:rFonts w:ascii="Cambria" w:eastAsia="Calibri" w:hAnsi="Cambria"/>
          <w:color w:val="000000"/>
          <w:sz w:val="22"/>
          <w:szCs w:val="22"/>
          <w:lang w:val="sq-AL" w:eastAsia="en-US"/>
        </w:rPr>
        <w:t>njësive shpenzuese</w:t>
      </w:r>
      <w:r w:rsidRPr="00827575">
        <w:rPr>
          <w:rFonts w:ascii="Cambria" w:eastAsia="Calibri" w:hAnsi="Cambria"/>
          <w:sz w:val="22"/>
          <w:szCs w:val="22"/>
          <w:lang w:val="sq-AL" w:eastAsia="en-US"/>
        </w:rPr>
        <w:t xml:space="preserve"> me buxhet të madh</w:t>
      </w:r>
      <w:r w:rsidRPr="00827575">
        <w:rPr>
          <w:rFonts w:ascii="Cambria" w:eastAsia="Calibri" w:hAnsi="Cambria"/>
          <w:b/>
          <w:sz w:val="22"/>
          <w:szCs w:val="22"/>
          <w:lang w:val="sq-AL" w:eastAsia="en-US"/>
        </w:rPr>
        <w:t xml:space="preserve"> </w:t>
      </w:r>
      <w:r w:rsidRPr="00827575">
        <w:rPr>
          <w:rFonts w:ascii="Cambria" w:eastAsia="Calibri" w:hAnsi="Cambria"/>
          <w:sz w:val="22"/>
          <w:szCs w:val="22"/>
          <w:lang w:val="sq-AL" w:eastAsia="en-US"/>
        </w:rPr>
        <w:t xml:space="preserve">kanë evidentuar gjetjet sipas sistemeve. </w:t>
      </w:r>
    </w:p>
    <w:p w:rsidR="009E2031" w:rsidRPr="00827575" w:rsidRDefault="009E2031" w:rsidP="009E2031">
      <w:pPr>
        <w:rPr>
          <w:rFonts w:ascii="Cambria" w:eastAsia="Calibri" w:hAnsi="Cambria"/>
          <w:sz w:val="8"/>
          <w:szCs w:val="8"/>
          <w:lang w:val="sq-AL" w:eastAsia="en-US"/>
        </w:rPr>
      </w:pPr>
    </w:p>
    <w:p w:rsidR="009E2031" w:rsidRPr="00827575" w:rsidRDefault="009E2031" w:rsidP="009E2031">
      <w:pPr>
        <w:rPr>
          <w:rFonts w:ascii="Calibri" w:eastAsia="Calibri" w:hAnsi="Calibri"/>
          <w:sz w:val="22"/>
          <w:szCs w:val="22"/>
          <w:lang w:val="sq-AL" w:eastAsia="en-US"/>
        </w:rPr>
      </w:pPr>
      <w:r w:rsidRPr="00827575">
        <w:rPr>
          <w:rFonts w:ascii="Cambria" w:eastAsia="Calibri" w:hAnsi="Cambria"/>
          <w:sz w:val="22"/>
          <w:szCs w:val="22"/>
          <w:lang w:val="sq-AL" w:eastAsia="en-US"/>
        </w:rPr>
        <w:t>Gjetjet kryesore në sistemin e menaxhimit të burimeve njerëzore evidentohen</w:t>
      </w:r>
      <w:r w:rsidRPr="00827575">
        <w:rPr>
          <w:rFonts w:ascii="Calibri" w:eastAsia="Calibri" w:hAnsi="Calibri"/>
          <w:sz w:val="22"/>
          <w:szCs w:val="22"/>
          <w:lang w:val="sq-AL" w:eastAsia="en-US"/>
        </w:rPr>
        <w:t xml:space="preserve"> në:</w:t>
      </w:r>
    </w:p>
    <w:p w:rsidR="009E2031" w:rsidRPr="00827575" w:rsidRDefault="009E2031" w:rsidP="009A7C54">
      <w:pPr>
        <w:numPr>
          <w:ilvl w:val="0"/>
          <w:numId w:val="32"/>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Mospërputhjen e kërkesave të vendit të punës me aftësitë dhe eksperiencën e stafit;</w:t>
      </w:r>
    </w:p>
    <w:p w:rsidR="009E2031" w:rsidRPr="00827575" w:rsidRDefault="009E2031" w:rsidP="009A7C54">
      <w:pPr>
        <w:numPr>
          <w:ilvl w:val="0"/>
          <w:numId w:val="32"/>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Lëvizj</w:t>
      </w:r>
      <w:r w:rsidR="00DF45E8">
        <w:rPr>
          <w:rFonts w:ascii="Cambria" w:eastAsia="Calibri" w:hAnsi="Cambria"/>
          <w:sz w:val="22"/>
          <w:szCs w:val="22"/>
          <w:lang w:val="sq-AL" w:eastAsia="en-US"/>
        </w:rPr>
        <w:t>et e shpeshta të stafit dhe mos</w:t>
      </w:r>
      <w:r w:rsidRPr="00827575">
        <w:rPr>
          <w:rFonts w:ascii="Cambria" w:eastAsia="Calibri" w:hAnsi="Cambria"/>
          <w:sz w:val="22"/>
          <w:szCs w:val="22"/>
          <w:lang w:val="sq-AL" w:eastAsia="en-US"/>
        </w:rPr>
        <w:t xml:space="preserve">plotësimin në kohë të vendeve vakante; </w:t>
      </w:r>
    </w:p>
    <w:p w:rsidR="009E2031" w:rsidRPr="00827575" w:rsidRDefault="00C959F6" w:rsidP="009A7C54">
      <w:pPr>
        <w:numPr>
          <w:ilvl w:val="0"/>
          <w:numId w:val="32"/>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Mos</w:t>
      </w:r>
      <w:r w:rsidR="009E2031" w:rsidRPr="00827575">
        <w:rPr>
          <w:rFonts w:ascii="Cambria" w:eastAsia="Calibri" w:hAnsi="Cambria"/>
          <w:sz w:val="22"/>
          <w:szCs w:val="22"/>
          <w:lang w:val="sq-AL" w:eastAsia="en-US"/>
        </w:rPr>
        <w:t>zbatimin e procedurave lidhur me punësimin, lëvizjen dhe largimin e stafit.</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Gjetjet kryesore në sistemin e prokurimeve evidentohen në:</w:t>
      </w:r>
    </w:p>
    <w:p w:rsidR="009E2031" w:rsidRPr="00827575" w:rsidRDefault="001D5B6A" w:rsidP="009A7C54">
      <w:pPr>
        <w:numPr>
          <w:ilvl w:val="0"/>
          <w:numId w:val="33"/>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Mos</w:t>
      </w:r>
      <w:r w:rsidR="009E2031" w:rsidRPr="00827575">
        <w:rPr>
          <w:rFonts w:ascii="Cambria" w:eastAsia="Calibri" w:hAnsi="Cambria"/>
          <w:sz w:val="22"/>
          <w:szCs w:val="22"/>
          <w:lang w:val="sq-AL" w:eastAsia="en-US"/>
        </w:rPr>
        <w:t>respektimin e rregullave për argumentimin dhe dokumentimin qartësisht të llogaritjes së fondit limit;</w:t>
      </w:r>
    </w:p>
    <w:p w:rsidR="009E2031" w:rsidRPr="00827575" w:rsidRDefault="009E2031" w:rsidP="009A7C54">
      <w:pPr>
        <w:numPr>
          <w:ilvl w:val="0"/>
          <w:numId w:val="33"/>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Përcaktimin e fondeve në kundërshtim me procedurat e miratuara;</w:t>
      </w:r>
    </w:p>
    <w:p w:rsidR="009E2031" w:rsidRPr="00827575" w:rsidRDefault="009E2031" w:rsidP="009A7C54">
      <w:pPr>
        <w:numPr>
          <w:ilvl w:val="0"/>
          <w:numId w:val="33"/>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Realizimin e procedurave të prokurimit në kundërshtim me ligjet dhe aktet nenligjore;</w:t>
      </w:r>
    </w:p>
    <w:p w:rsidR="009E2031" w:rsidRPr="00827575" w:rsidRDefault="00F862EA" w:rsidP="009A7C54">
      <w:pPr>
        <w:numPr>
          <w:ilvl w:val="0"/>
          <w:numId w:val="33"/>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Mungesën e hartimit të</w:t>
      </w:r>
      <w:r w:rsidR="001D5B6A">
        <w:rPr>
          <w:rFonts w:ascii="Cambria" w:eastAsia="Calibri" w:hAnsi="Cambria"/>
          <w:sz w:val="22"/>
          <w:szCs w:val="22"/>
          <w:lang w:val="sq-AL" w:eastAsia="en-US"/>
        </w:rPr>
        <w:t xml:space="preserve"> preventivave dhe mos</w:t>
      </w:r>
      <w:r w:rsidR="009E2031" w:rsidRPr="00827575">
        <w:rPr>
          <w:rFonts w:ascii="Cambria" w:eastAsia="Calibri" w:hAnsi="Cambria"/>
          <w:sz w:val="22"/>
          <w:szCs w:val="22"/>
          <w:lang w:val="sq-AL" w:eastAsia="en-US"/>
        </w:rPr>
        <w:t>llogaritjen e fondit limit sipas të dhënave të projektit;</w:t>
      </w:r>
    </w:p>
    <w:p w:rsidR="009E2031" w:rsidRPr="00827575" w:rsidRDefault="009E2031" w:rsidP="009A7C54">
      <w:pPr>
        <w:numPr>
          <w:ilvl w:val="0"/>
          <w:numId w:val="33"/>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Pagesën e kontratave/faturave tatimore pa u realizuar punimet, kryer shërbimi, apo në kundërshtim me kontratën e firmosur.</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kontrollit të brendshëm evidentohen në: </w:t>
      </w:r>
    </w:p>
    <w:p w:rsidR="009E2031" w:rsidRPr="00827575" w:rsidRDefault="001D5B6A" w:rsidP="009A7C54">
      <w:pPr>
        <w:numPr>
          <w:ilvl w:val="0"/>
          <w:numId w:val="34"/>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Mos</w:t>
      </w:r>
      <w:r w:rsidR="009E2031" w:rsidRPr="00827575">
        <w:rPr>
          <w:rFonts w:ascii="Cambria" w:eastAsia="Calibri" w:hAnsi="Cambria"/>
          <w:sz w:val="22"/>
          <w:szCs w:val="22"/>
          <w:lang w:val="sq-AL" w:eastAsia="en-US"/>
        </w:rPr>
        <w:t xml:space="preserve">funksionimin e procesit të identifikimit, analizimit dhe menaxhimit të riskut; </w:t>
      </w:r>
    </w:p>
    <w:p w:rsidR="009E2031" w:rsidRPr="00827575" w:rsidRDefault="009E2031" w:rsidP="009A7C54">
      <w:pPr>
        <w:numPr>
          <w:ilvl w:val="0"/>
          <w:numId w:val="34"/>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Mungesën e rregulloreve të brendshme, ndarjen konkrete të detyrave dhe përgjegjësive.</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kontabilitetit dhe raportimit financiar evidentohen në: </w:t>
      </w:r>
    </w:p>
    <w:p w:rsidR="009E2031" w:rsidRPr="00827575" w:rsidRDefault="009E2031" w:rsidP="009A7C54">
      <w:pPr>
        <w:numPr>
          <w:ilvl w:val="0"/>
          <w:numId w:val="35"/>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Mungesën e kartelave të AQT sipas viteve të vënies në pune, vlerës fillestare, amortizimit të akumuluar dhe vlerës së mbetur;</w:t>
      </w:r>
    </w:p>
    <w:p w:rsidR="009E2031" w:rsidRPr="00827575" w:rsidRDefault="009E4AFE" w:rsidP="009A7C54">
      <w:pPr>
        <w:numPr>
          <w:ilvl w:val="0"/>
          <w:numId w:val="35"/>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 xml:space="preserve">Mungesën e vlerësimit të </w:t>
      </w:r>
      <w:r w:rsidR="009E2031" w:rsidRPr="00827575">
        <w:rPr>
          <w:rFonts w:ascii="Cambria" w:eastAsia="Calibri" w:hAnsi="Cambria"/>
          <w:sz w:val="22"/>
          <w:szCs w:val="22"/>
          <w:lang w:val="sq-AL" w:eastAsia="en-US"/>
        </w:rPr>
        <w:t>aseteve stok, për vënien në efi</w:t>
      </w:r>
      <w:r w:rsidR="001D5B6A">
        <w:rPr>
          <w:rFonts w:ascii="Cambria" w:eastAsia="Calibri" w:hAnsi="Cambria"/>
          <w:sz w:val="22"/>
          <w:szCs w:val="22"/>
          <w:lang w:val="sq-AL" w:eastAsia="en-US"/>
        </w:rPr>
        <w:t>ç</w:t>
      </w:r>
      <w:r w:rsidR="009E2031" w:rsidRPr="00827575">
        <w:rPr>
          <w:rFonts w:ascii="Cambria" w:eastAsia="Calibri" w:hAnsi="Cambria"/>
          <w:sz w:val="22"/>
          <w:szCs w:val="22"/>
          <w:lang w:val="sq-AL" w:eastAsia="en-US"/>
        </w:rPr>
        <w:t>en</w:t>
      </w:r>
      <w:r w:rsidR="009E2031">
        <w:rPr>
          <w:rFonts w:ascii="Cambria" w:eastAsia="Calibri" w:hAnsi="Cambria"/>
          <w:sz w:val="22"/>
          <w:szCs w:val="22"/>
          <w:lang w:val="sq-AL" w:eastAsia="en-US"/>
        </w:rPr>
        <w:t>c</w:t>
      </w:r>
      <w:r w:rsidR="009E2031" w:rsidRPr="00827575">
        <w:rPr>
          <w:rFonts w:ascii="Cambria" w:eastAsia="Calibri" w:hAnsi="Cambria"/>
          <w:sz w:val="22"/>
          <w:szCs w:val="22"/>
          <w:lang w:val="sq-AL" w:eastAsia="en-US"/>
        </w:rPr>
        <w:t>ë apo nxjerrjen jashtë përdorimit të tyre;</w:t>
      </w:r>
    </w:p>
    <w:p w:rsidR="009E2031" w:rsidRPr="00827575" w:rsidRDefault="009E2031" w:rsidP="009A7C54">
      <w:pPr>
        <w:numPr>
          <w:ilvl w:val="0"/>
          <w:numId w:val="35"/>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Mos</w:t>
      </w:r>
      <w:r w:rsidR="00924CA4">
        <w:rPr>
          <w:rFonts w:ascii="Cambria" w:eastAsia="Calibri" w:hAnsi="Cambria"/>
          <w:sz w:val="22"/>
          <w:szCs w:val="22"/>
          <w:lang w:val="sq-AL" w:eastAsia="en-US"/>
        </w:rPr>
        <w:t xml:space="preserve"> </w:t>
      </w:r>
      <w:r w:rsidRPr="00827575">
        <w:rPr>
          <w:rFonts w:ascii="Cambria" w:eastAsia="Calibri" w:hAnsi="Cambria"/>
          <w:sz w:val="22"/>
          <w:szCs w:val="22"/>
          <w:lang w:val="sq-AL" w:eastAsia="en-US"/>
        </w:rPr>
        <w:t>regjistrimin e pasurive të paluajtshme në zyrat vendore të regjistrimit të pasurive;</w:t>
      </w:r>
    </w:p>
    <w:p w:rsidR="009E2031" w:rsidRPr="00827575" w:rsidRDefault="009E2031" w:rsidP="009A7C54">
      <w:pPr>
        <w:numPr>
          <w:ilvl w:val="0"/>
          <w:numId w:val="35"/>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Plotësimin e gabuar të pasqyrave financiare. </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detyrimeve të prapambetura evidentohen në: </w:t>
      </w:r>
    </w:p>
    <w:p w:rsidR="009E2031" w:rsidRPr="00827575" w:rsidRDefault="00924CA4" w:rsidP="009A7C54">
      <w:pPr>
        <w:numPr>
          <w:ilvl w:val="0"/>
          <w:numId w:val="36"/>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Mungesën e identifikimit të</w:t>
      </w:r>
      <w:r w:rsidR="009E2031" w:rsidRPr="00827575">
        <w:rPr>
          <w:rFonts w:ascii="Cambria" w:eastAsia="Calibri" w:hAnsi="Cambria"/>
          <w:sz w:val="22"/>
          <w:szCs w:val="22"/>
          <w:lang w:val="sq-AL" w:eastAsia="en-US"/>
        </w:rPr>
        <w:t xml:space="preserve"> risqeve</w:t>
      </w:r>
      <w:r>
        <w:rPr>
          <w:rFonts w:ascii="Cambria" w:eastAsia="Calibri" w:hAnsi="Cambria"/>
          <w:sz w:val="22"/>
          <w:szCs w:val="22"/>
          <w:lang w:val="sq-AL" w:eastAsia="en-US"/>
        </w:rPr>
        <w:t>,</w:t>
      </w:r>
      <w:r w:rsidR="009E2031" w:rsidRPr="00827575">
        <w:rPr>
          <w:rFonts w:ascii="Cambria" w:eastAsia="Calibri" w:hAnsi="Cambria"/>
          <w:sz w:val="22"/>
          <w:szCs w:val="22"/>
          <w:lang w:val="sq-AL" w:eastAsia="en-US"/>
        </w:rPr>
        <w:t xml:space="preserve"> që pengojnë reduktimin, shlyerjen dhe parandalimin e detyrimeve të prapambetura;</w:t>
      </w:r>
    </w:p>
    <w:p w:rsidR="009E2031" w:rsidRPr="00827575" w:rsidRDefault="00924CA4" w:rsidP="009A7C54">
      <w:pPr>
        <w:numPr>
          <w:ilvl w:val="0"/>
          <w:numId w:val="36"/>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 xml:space="preserve">Mungesën e </w:t>
      </w:r>
      <w:r w:rsidR="009E2031" w:rsidRPr="00827575">
        <w:rPr>
          <w:rFonts w:ascii="Cambria" w:eastAsia="Calibri" w:hAnsi="Cambria"/>
          <w:sz w:val="22"/>
          <w:szCs w:val="22"/>
          <w:lang w:val="sq-AL" w:eastAsia="en-US"/>
        </w:rPr>
        <w:t>kontabilizimi</w:t>
      </w:r>
      <w:r>
        <w:rPr>
          <w:rFonts w:ascii="Cambria" w:eastAsia="Calibri" w:hAnsi="Cambria"/>
          <w:sz w:val="22"/>
          <w:szCs w:val="22"/>
          <w:lang w:val="sq-AL" w:eastAsia="en-US"/>
        </w:rPr>
        <w:t>t</w:t>
      </w:r>
      <w:r w:rsidR="009E2031" w:rsidRPr="00827575">
        <w:rPr>
          <w:rFonts w:ascii="Cambria" w:eastAsia="Calibri" w:hAnsi="Cambria"/>
          <w:sz w:val="22"/>
          <w:szCs w:val="22"/>
          <w:lang w:val="sq-AL" w:eastAsia="en-US"/>
        </w:rPr>
        <w:t xml:space="preserve"> </w:t>
      </w:r>
      <w:r>
        <w:rPr>
          <w:rFonts w:ascii="Cambria" w:eastAsia="Calibri" w:hAnsi="Cambria"/>
          <w:sz w:val="22"/>
          <w:szCs w:val="22"/>
          <w:lang w:val="sq-AL" w:eastAsia="en-US"/>
        </w:rPr>
        <w:t>të</w:t>
      </w:r>
      <w:r w:rsidR="009E2031" w:rsidRPr="00827575">
        <w:rPr>
          <w:rFonts w:ascii="Cambria" w:eastAsia="Calibri" w:hAnsi="Cambria"/>
          <w:sz w:val="22"/>
          <w:szCs w:val="22"/>
          <w:lang w:val="sq-AL" w:eastAsia="en-US"/>
        </w:rPr>
        <w:t xml:space="preserve"> plotë dhe të saktë të të gjitha detyrimeve</w:t>
      </w:r>
      <w:r>
        <w:rPr>
          <w:rFonts w:ascii="Cambria" w:eastAsia="Calibri" w:hAnsi="Cambria"/>
          <w:sz w:val="22"/>
          <w:szCs w:val="22"/>
          <w:lang w:val="sq-AL" w:eastAsia="en-US"/>
        </w:rPr>
        <w:t>,</w:t>
      </w:r>
      <w:r w:rsidR="009E2031" w:rsidRPr="00827575">
        <w:rPr>
          <w:rFonts w:ascii="Cambria" w:eastAsia="Calibri" w:hAnsi="Cambria"/>
          <w:sz w:val="22"/>
          <w:szCs w:val="22"/>
          <w:lang w:val="sq-AL" w:eastAsia="en-US"/>
        </w:rPr>
        <w:t xml:space="preserve"> që nga koha e krijimit të tyre.</w:t>
      </w:r>
    </w:p>
    <w:p w:rsidR="009E2031" w:rsidRPr="00827575" w:rsidRDefault="009E2031" w:rsidP="009E2031">
      <w:pPr>
        <w:jc w:val="both"/>
        <w:rPr>
          <w:rFonts w:ascii="Cambria" w:eastAsia="Times New Roman"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Audituesit e brendshëm në grupin e </w:t>
      </w:r>
      <w:r w:rsidR="002D603F">
        <w:rPr>
          <w:rFonts w:ascii="Cambria" w:eastAsia="Calibri" w:hAnsi="Cambria"/>
          <w:color w:val="000000"/>
          <w:sz w:val="22"/>
          <w:szCs w:val="22"/>
          <w:lang w:val="sq-AL" w:eastAsia="en-US"/>
        </w:rPr>
        <w:t xml:space="preserve">njësive shpenzuese </w:t>
      </w:r>
      <w:r w:rsidRPr="00827575">
        <w:rPr>
          <w:rFonts w:ascii="Cambria" w:eastAsia="Calibri" w:hAnsi="Cambria"/>
          <w:sz w:val="22"/>
          <w:szCs w:val="22"/>
          <w:lang w:val="sq-AL" w:eastAsia="en-US"/>
        </w:rPr>
        <w:t>me buxhet të madh në lidhje me vlerësimin e sistemit të kontrollit të brendshëm kanë evidentuar përmirësime nga auditimet e mëparshme</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por akoma evidentohen magësi në zbatimin si duhet të kontrollit të brendshëm, kjo për shkak të ndryshimit të shpeshtë të strukturave, mos zbatimin e procedurave ligjore, mos përditësimin e rregulloreve, mos identifikimin e risqeve, pa</w:t>
      </w:r>
      <w:r w:rsidR="00560D23">
        <w:rPr>
          <w:rFonts w:ascii="Cambria" w:eastAsia="Calibri" w:hAnsi="Cambria"/>
          <w:color w:val="000000"/>
          <w:sz w:val="22"/>
          <w:szCs w:val="22"/>
          <w:lang w:val="sq-AL" w:eastAsia="en-US"/>
        </w:rPr>
        <w:t>rregull</w:t>
      </w:r>
      <w:r w:rsidRPr="00827575">
        <w:rPr>
          <w:rFonts w:ascii="Cambria" w:eastAsia="Calibri" w:hAnsi="Cambria"/>
          <w:color w:val="000000"/>
          <w:sz w:val="22"/>
          <w:szCs w:val="22"/>
          <w:lang w:val="sq-AL" w:eastAsia="en-US"/>
        </w:rPr>
        <w:t xml:space="preserve">sive në menaxhimin e aseteve </w:t>
      </w:r>
      <w:r w:rsidRPr="00827575">
        <w:rPr>
          <w:rFonts w:ascii="Cambria" w:eastAsia="Calibri" w:hAnsi="Cambria"/>
          <w:sz w:val="22"/>
          <w:szCs w:val="22"/>
          <w:lang w:val="sq-AL" w:eastAsia="en-US"/>
        </w:rPr>
        <w:t>publike, etj.</w:t>
      </w:r>
      <w:r w:rsidRPr="00827575">
        <w:rPr>
          <w:rFonts w:ascii="Cambria" w:eastAsia="Calibri" w:hAnsi="Cambria"/>
          <w:color w:val="000000"/>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Pr="00FA5000" w:rsidRDefault="009E2031" w:rsidP="009E2031">
      <w:pPr>
        <w:jc w:val="both"/>
        <w:rPr>
          <w:rFonts w:ascii="Cambria" w:eastAsia="Times New Roman" w:hAnsi="Cambria"/>
          <w:sz w:val="22"/>
          <w:szCs w:val="22"/>
          <w:lang w:val="sq-AL" w:eastAsia="en-US"/>
        </w:rPr>
      </w:pPr>
      <w:r w:rsidRPr="00FA5000">
        <w:rPr>
          <w:rFonts w:ascii="Cambria" w:eastAsia="Times New Roman" w:hAnsi="Cambria"/>
          <w:sz w:val="22"/>
          <w:szCs w:val="22"/>
          <w:lang w:val="sq-AL" w:eastAsia="en-US"/>
        </w:rPr>
        <w:t xml:space="preserve">Disa nga vlerësimet e sistemeve të kontrollit të brendshëm nga NJAB e grupit të </w:t>
      </w:r>
      <w:r w:rsidR="00945509" w:rsidRPr="00FA5000">
        <w:rPr>
          <w:rFonts w:ascii="Cambria" w:eastAsia="Calibri" w:hAnsi="Cambria"/>
          <w:color w:val="000000"/>
          <w:sz w:val="22"/>
          <w:szCs w:val="22"/>
          <w:lang w:val="sq-AL" w:eastAsia="en-US"/>
        </w:rPr>
        <w:t xml:space="preserve">njësive shpenzuese </w:t>
      </w:r>
      <w:r w:rsidRPr="00FA5000">
        <w:rPr>
          <w:rFonts w:ascii="Cambria" w:eastAsia="Times New Roman" w:hAnsi="Cambria"/>
          <w:sz w:val="22"/>
          <w:szCs w:val="22"/>
          <w:lang w:val="sq-AL" w:eastAsia="en-US"/>
        </w:rPr>
        <w:t>me buxhet të madh paraqiten:</w:t>
      </w:r>
    </w:p>
    <w:p w:rsidR="009E2031" w:rsidRPr="00FA5000" w:rsidRDefault="009E2031" w:rsidP="009E2031">
      <w:pPr>
        <w:ind w:left="720"/>
        <w:jc w:val="both"/>
        <w:rPr>
          <w:rFonts w:ascii="Cambria" w:eastAsia="Times New Roman" w:hAnsi="Cambria"/>
          <w:sz w:val="8"/>
          <w:szCs w:val="8"/>
          <w:lang w:val="sq-AL" w:eastAsia="en-US"/>
        </w:rPr>
      </w:pPr>
    </w:p>
    <w:p w:rsidR="009E2031" w:rsidRPr="00FA5000" w:rsidRDefault="009E2031" w:rsidP="009A7C54">
      <w:pPr>
        <w:pStyle w:val="ListParagraph"/>
        <w:numPr>
          <w:ilvl w:val="0"/>
          <w:numId w:val="59"/>
        </w:numPr>
        <w:spacing w:after="0"/>
        <w:jc w:val="both"/>
        <w:rPr>
          <w:rFonts w:eastAsia="Times New Roman"/>
          <w:lang w:val="sq-AL"/>
        </w:rPr>
      </w:pPr>
      <w:r w:rsidRPr="00FA5000">
        <w:rPr>
          <w:rFonts w:eastAsia="Times New Roman"/>
          <w:lang w:val="sq-AL"/>
        </w:rPr>
        <w:t>Në pjesën më të madhe, sistemet e kontrollit të brendshëm janë efektive dhe të rregulluara me procedura të shkruara (Drejtoria e Përgjithshme e Tatimeve).</w:t>
      </w:r>
    </w:p>
    <w:p w:rsidR="009E2031" w:rsidRPr="00FA5000" w:rsidRDefault="009E2031" w:rsidP="009A7C54">
      <w:pPr>
        <w:ind w:left="720"/>
        <w:jc w:val="both"/>
        <w:rPr>
          <w:rFonts w:ascii="Cambria" w:eastAsia="Times New Roman" w:hAnsi="Cambria"/>
          <w:sz w:val="8"/>
          <w:szCs w:val="8"/>
          <w:lang w:val="sq-AL" w:eastAsia="en-US"/>
        </w:rPr>
      </w:pPr>
    </w:p>
    <w:p w:rsidR="009E2031" w:rsidRPr="00FA5000" w:rsidRDefault="009E2031" w:rsidP="009A7C54">
      <w:pPr>
        <w:pStyle w:val="ListParagraph"/>
        <w:numPr>
          <w:ilvl w:val="0"/>
          <w:numId w:val="59"/>
        </w:numPr>
        <w:spacing w:after="0"/>
        <w:jc w:val="both"/>
        <w:rPr>
          <w:rFonts w:eastAsia="Times New Roman"/>
          <w:lang w:val="sq-AL"/>
        </w:rPr>
      </w:pPr>
      <w:r w:rsidRPr="00FA5000">
        <w:rPr>
          <w:rFonts w:eastAsia="Times New Roman"/>
          <w:lang w:val="sq-AL"/>
        </w:rPr>
        <w:t>Sistemet e kontrollit të brendshëm, pavarësisht punës së bërë, nuk funksionojnë në formën dhe cilësinë e duhur. Ka mangësi në ngritjen dhe funksionimin e këtyre sistemeve në subjektet me kompleksitet të lartë, gjë që ka çuar në gjykimin se niveli i riskut është i lartë (Autoriteti Rrugor Shqiptar).</w:t>
      </w:r>
    </w:p>
    <w:p w:rsidR="009E2031" w:rsidRPr="00FA5000" w:rsidRDefault="009E2031" w:rsidP="009A7C54">
      <w:pPr>
        <w:ind w:left="720"/>
        <w:jc w:val="both"/>
        <w:rPr>
          <w:rFonts w:ascii="Cambria" w:eastAsia="Times New Roman" w:hAnsi="Cambria"/>
          <w:sz w:val="8"/>
          <w:szCs w:val="8"/>
          <w:lang w:val="sq-AL" w:eastAsia="en-US"/>
        </w:rPr>
      </w:pPr>
    </w:p>
    <w:p w:rsidR="009E2031" w:rsidRPr="00FA5000" w:rsidRDefault="009E2031" w:rsidP="009A7C54">
      <w:pPr>
        <w:pStyle w:val="ListParagraph"/>
        <w:numPr>
          <w:ilvl w:val="0"/>
          <w:numId w:val="59"/>
        </w:numPr>
        <w:spacing w:after="0"/>
        <w:jc w:val="both"/>
        <w:rPr>
          <w:rFonts w:eastAsia="Times New Roman"/>
          <w:lang w:val="sq-AL"/>
        </w:rPr>
      </w:pPr>
      <w:r w:rsidRPr="00FA5000">
        <w:rPr>
          <w:rFonts w:eastAsia="Times New Roman"/>
          <w:lang w:val="sq-AL"/>
        </w:rPr>
        <w:t>Në disa subjekte varësie, organizimi dhe funksionimi i kontrollit të brendshëm ka vend për përmirësime, për shkak të neglizhencës dhe mungesës së përgjegjësisë dhe ka ende mosnjohje të kuadrit rregullator për menaxhimin financiar dhe kontrollin (Drejtoria e Përgjithshme e Burgjeve).</w:t>
      </w:r>
    </w:p>
    <w:p w:rsidR="00A72464" w:rsidRDefault="00A72464" w:rsidP="009E2031">
      <w:pPr>
        <w:jc w:val="both"/>
        <w:rPr>
          <w:rFonts w:ascii="Cambria" w:eastAsia="Calibri" w:hAnsi="Cambria"/>
          <w:b/>
          <w:sz w:val="20"/>
          <w:szCs w:val="20"/>
          <w:lang w:val="sq-AL" w:eastAsia="en-US" w:bidi="en-US"/>
        </w:rPr>
      </w:pPr>
    </w:p>
    <w:p w:rsidR="00A72464" w:rsidRDefault="00A72464" w:rsidP="009E2031">
      <w:pPr>
        <w:jc w:val="both"/>
        <w:rPr>
          <w:rFonts w:ascii="Cambria" w:eastAsia="Calibri" w:hAnsi="Cambria"/>
          <w:b/>
          <w:sz w:val="20"/>
          <w:szCs w:val="20"/>
          <w:lang w:val="sq-AL" w:eastAsia="en-US" w:bidi="en-US"/>
        </w:rPr>
      </w:pPr>
    </w:p>
    <w:p w:rsidR="009E2031" w:rsidRPr="00827575" w:rsidRDefault="00C52EB8" w:rsidP="009E2031">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 xml:space="preserve">NJAB </w:t>
      </w:r>
      <w:r w:rsidRPr="00827575">
        <w:rPr>
          <w:rFonts w:ascii="Cambria" w:eastAsia="Calibri" w:hAnsi="Cambria"/>
          <w:b/>
          <w:sz w:val="20"/>
          <w:szCs w:val="20"/>
          <w:lang w:val="sq-AL" w:eastAsia="en-US" w:bidi="en-US"/>
        </w:rPr>
        <w:t xml:space="preserve">në grupin  e </w:t>
      </w:r>
      <w:r>
        <w:rPr>
          <w:rFonts w:ascii="Cambria" w:eastAsia="Calibri" w:hAnsi="Cambria"/>
          <w:b/>
          <w:color w:val="000000"/>
          <w:sz w:val="20"/>
          <w:szCs w:val="20"/>
          <w:lang w:val="sq-AL" w:eastAsia="en-US"/>
        </w:rPr>
        <w:t xml:space="preserve">njësive shpenzuese </w:t>
      </w:r>
      <w:r w:rsidRPr="00827575">
        <w:rPr>
          <w:rFonts w:ascii="Cambria" w:eastAsia="Calibri" w:hAnsi="Cambria"/>
          <w:b/>
          <w:sz w:val="20"/>
          <w:szCs w:val="20"/>
          <w:lang w:val="sq-AL" w:eastAsia="en-US" w:bidi="en-US"/>
        </w:rPr>
        <w:t>me buxhet të madh</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Rekomandimet e lëna pranë subjekteve të audituara nga NJAB e grupit të </w:t>
      </w:r>
      <w:r w:rsidR="00945509">
        <w:rPr>
          <w:rFonts w:ascii="Cambria" w:eastAsia="Calibri" w:hAnsi="Cambria"/>
          <w:color w:val="000000"/>
          <w:sz w:val="22"/>
          <w:szCs w:val="22"/>
          <w:lang w:val="sq-AL" w:eastAsia="en-US"/>
        </w:rPr>
        <w:t xml:space="preserve">njësive shpenzuese </w:t>
      </w:r>
      <w:r w:rsidRPr="00827575">
        <w:rPr>
          <w:rFonts w:ascii="Cambria" w:eastAsia="Calibri" w:hAnsi="Cambria"/>
          <w:sz w:val="22"/>
          <w:szCs w:val="22"/>
          <w:lang w:val="sq-AL" w:eastAsia="en-US" w:bidi="en-US"/>
        </w:rPr>
        <w:t>me buxhet të madh janë të sakta, realiste dhe të zbatueshme</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por disa prej rekomandimeve të lëna paraqesin referencën ligjore mbi të cilën ato janë mbështetur ose rekomandohet zbatimi i legjislacionit të fushës, duke mos dhënë opinion e rekomandim konkret për sistemin e vlerësuar (QSUT, Spitali Universitar “Shefqet Ndroqi”, DPT, DPD dhe AZHBR).</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Times New Roman" w:hAnsi="Cambria"/>
          <w:sz w:val="22"/>
          <w:szCs w:val="22"/>
          <w:lang w:val="sq-AL" w:eastAsia="en-US" w:bidi="en-US"/>
        </w:rPr>
        <w:t xml:space="preserve">Rekomandime për </w:t>
      </w:r>
      <w:r>
        <w:rPr>
          <w:rFonts w:ascii="Cambria" w:eastAsia="Times New Roman" w:hAnsi="Cambria"/>
          <w:sz w:val="22"/>
          <w:szCs w:val="22"/>
          <w:lang w:val="sq-AL" w:eastAsia="en-US" w:bidi="en-US"/>
        </w:rPr>
        <w:t>përmirësimin e kuadrit ligjor</w:t>
      </w:r>
      <w:r w:rsidRPr="00827575">
        <w:rPr>
          <w:rFonts w:ascii="Cambria" w:eastAsia="Times New Roman" w:hAnsi="Cambria"/>
          <w:sz w:val="22"/>
          <w:szCs w:val="22"/>
          <w:lang w:val="sq-AL" w:eastAsia="en-US" w:bidi="en-US"/>
        </w:rPr>
        <w:t xml:space="preserve"> lidhen me propozime</w:t>
      </w:r>
      <w:r>
        <w:rPr>
          <w:rFonts w:ascii="Cambria" w:eastAsia="Times New Roman" w:hAnsi="Cambria"/>
          <w:sz w:val="22"/>
          <w:szCs w:val="22"/>
          <w:lang w:val="sq-AL" w:eastAsia="en-US" w:bidi="en-US"/>
        </w:rPr>
        <w:t>t</w:t>
      </w:r>
      <w:r w:rsidRPr="00827575">
        <w:rPr>
          <w:rFonts w:ascii="Cambria" w:eastAsia="Times New Roman" w:hAnsi="Cambria"/>
          <w:sz w:val="22"/>
          <w:szCs w:val="22"/>
          <w:lang w:val="sq-AL" w:eastAsia="en-US" w:bidi="en-US"/>
        </w:rPr>
        <w:t xml:space="preserve"> për ndryshime </w:t>
      </w:r>
      <w:r w:rsidR="00FF363C">
        <w:rPr>
          <w:rFonts w:ascii="Cambria" w:eastAsia="Times New Roman" w:hAnsi="Cambria"/>
          <w:sz w:val="22"/>
          <w:szCs w:val="22"/>
          <w:lang w:val="sq-AL" w:eastAsia="en-US" w:bidi="en-US"/>
        </w:rPr>
        <w:t>ligjore, për përditësim të urdh</w:t>
      </w:r>
      <w:r w:rsidRPr="00827575">
        <w:rPr>
          <w:rFonts w:ascii="Cambria" w:eastAsia="Times New Roman" w:hAnsi="Cambria"/>
          <w:sz w:val="22"/>
          <w:szCs w:val="22"/>
          <w:lang w:val="sq-AL" w:eastAsia="en-US" w:bidi="en-US"/>
        </w:rPr>
        <w:t xml:space="preserve">rave, udhëzimeve dhe manualeve në fuqi, të lidhura këto me misionin dhe fushën e veprimtarisë së subjekteve të audituara </w:t>
      </w:r>
      <w:r w:rsidRPr="00827575">
        <w:rPr>
          <w:rFonts w:ascii="Cambria" w:eastAsia="Calibri" w:hAnsi="Cambria"/>
          <w:sz w:val="22"/>
          <w:szCs w:val="22"/>
          <w:lang w:val="sq-AL" w:eastAsia="en-US" w:bidi="en-US"/>
        </w:rPr>
        <w:t>(DPD, DPT, AZHBR, dhe Drejtoria e Përgjithshme Policisë së Shtetit).</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Pr>
          <w:rFonts w:ascii="Cambria" w:eastAsia="Calibri" w:hAnsi="Cambria"/>
          <w:sz w:val="22"/>
          <w:szCs w:val="22"/>
          <w:lang w:val="sq-AL" w:eastAsia="en-US" w:bidi="en-US"/>
        </w:rPr>
        <w:t xml:space="preserve">Rekomandimet për arkëtim </w:t>
      </w:r>
      <w:r w:rsidRPr="00827575">
        <w:rPr>
          <w:rFonts w:ascii="Cambria" w:eastAsia="Calibri" w:hAnsi="Cambria"/>
          <w:sz w:val="22"/>
          <w:szCs w:val="22"/>
          <w:lang w:val="sq-AL" w:eastAsia="en-US" w:bidi="en-US"/>
        </w:rPr>
        <w:t>lidhen me shkeljet e procedurave ligjore dhe financiare apo kundravajtjet administrative (D</w:t>
      </w:r>
      <w:r>
        <w:rPr>
          <w:rFonts w:ascii="Cambria" w:eastAsia="Calibri" w:hAnsi="Cambria"/>
          <w:sz w:val="22"/>
          <w:szCs w:val="22"/>
          <w:lang w:val="sq-AL" w:eastAsia="en-US" w:bidi="en-US"/>
        </w:rPr>
        <w:t xml:space="preserve">rejtoria e </w:t>
      </w:r>
      <w:r w:rsidRPr="00827575">
        <w:rPr>
          <w:rFonts w:ascii="Cambria" w:eastAsia="Calibri" w:hAnsi="Cambria"/>
          <w:sz w:val="22"/>
          <w:szCs w:val="22"/>
          <w:lang w:val="sq-AL" w:eastAsia="en-US" w:bidi="en-US"/>
        </w:rPr>
        <w:t>P</w:t>
      </w:r>
      <w:r>
        <w:rPr>
          <w:rFonts w:ascii="Cambria" w:eastAsia="Calibri" w:hAnsi="Cambria"/>
          <w:sz w:val="22"/>
          <w:szCs w:val="22"/>
          <w:lang w:val="sq-AL" w:eastAsia="en-US" w:bidi="en-US"/>
        </w:rPr>
        <w:t xml:space="preserve">ërgjithshme e </w:t>
      </w:r>
      <w:r w:rsidRPr="00827575">
        <w:rPr>
          <w:rFonts w:ascii="Cambria" w:eastAsia="Calibri" w:hAnsi="Cambria"/>
          <w:sz w:val="22"/>
          <w:szCs w:val="22"/>
          <w:lang w:val="sq-AL" w:eastAsia="en-US" w:bidi="en-US"/>
        </w:rPr>
        <w:t>D</w:t>
      </w:r>
      <w:r>
        <w:rPr>
          <w:rFonts w:ascii="Cambria" w:eastAsia="Calibri" w:hAnsi="Cambria"/>
          <w:sz w:val="22"/>
          <w:szCs w:val="22"/>
          <w:lang w:val="sq-AL" w:eastAsia="en-US" w:bidi="en-US"/>
        </w:rPr>
        <w:t>oganave</w:t>
      </w:r>
      <w:r w:rsidRPr="00827575">
        <w:rPr>
          <w:rFonts w:ascii="Cambria" w:eastAsia="Calibri" w:hAnsi="Cambria"/>
          <w:sz w:val="22"/>
          <w:szCs w:val="22"/>
          <w:lang w:val="sq-AL" w:eastAsia="en-US" w:bidi="en-US"/>
        </w:rPr>
        <w:t>, Drejtoria e Përgjithshme e Policisë së Shtetit, Autoriteti Kombëtar i Ushqimit dhe Autoriteti Rrugor Shqiptar).</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w:t>
      </w:r>
      <w:r>
        <w:rPr>
          <w:rFonts w:ascii="Cambria" w:eastAsia="Calibri" w:hAnsi="Cambria"/>
          <w:sz w:val="22"/>
          <w:szCs w:val="22"/>
          <w:lang w:val="sq-AL" w:eastAsia="en-US" w:bidi="en-US"/>
        </w:rPr>
        <w:t>t e karakterit organizativ</w:t>
      </w:r>
      <w:r w:rsidRPr="00827575">
        <w:rPr>
          <w:rFonts w:ascii="Cambria" w:eastAsia="Calibri" w:hAnsi="Cambria"/>
          <w:sz w:val="22"/>
          <w:szCs w:val="22"/>
          <w:lang w:val="sq-AL" w:eastAsia="en-US" w:bidi="en-US"/>
        </w:rPr>
        <w:t xml:space="preserve"> lidhen me përmirësim</w:t>
      </w:r>
      <w:r w:rsidR="00DC1431">
        <w:rPr>
          <w:rFonts w:ascii="Cambria" w:eastAsia="Calibri" w:hAnsi="Cambria"/>
          <w:sz w:val="22"/>
          <w:szCs w:val="22"/>
          <w:lang w:val="sq-AL" w:eastAsia="en-US" w:bidi="en-US"/>
        </w:rPr>
        <w:t>in</w:t>
      </w:r>
      <w:r w:rsidRPr="00827575">
        <w:rPr>
          <w:rFonts w:ascii="Cambria" w:eastAsia="Calibri" w:hAnsi="Cambria"/>
          <w:sz w:val="22"/>
          <w:szCs w:val="22"/>
          <w:lang w:val="sq-AL" w:eastAsia="en-US" w:bidi="en-US"/>
        </w:rPr>
        <w:t xml:space="preserve"> e rregulloreve të brendshme, miratim</w:t>
      </w:r>
      <w:r>
        <w:rPr>
          <w:rFonts w:ascii="Cambria" w:eastAsia="Calibri" w:hAnsi="Cambria"/>
          <w:sz w:val="22"/>
          <w:szCs w:val="22"/>
          <w:lang w:val="sq-AL" w:eastAsia="en-US" w:bidi="en-US"/>
        </w:rPr>
        <w:t>in e manualeve</w:t>
      </w:r>
      <w:r w:rsidRPr="00827575">
        <w:rPr>
          <w:rFonts w:ascii="Cambria" w:eastAsia="Calibri" w:hAnsi="Cambria"/>
          <w:sz w:val="22"/>
          <w:szCs w:val="22"/>
          <w:lang w:val="sq-AL" w:eastAsia="en-US" w:bidi="en-US"/>
        </w:rPr>
        <w:t xml:space="preserve"> të proceseve të punës, miratim</w:t>
      </w:r>
      <w:r>
        <w:rPr>
          <w:rFonts w:ascii="Cambria" w:eastAsia="Calibri" w:hAnsi="Cambria"/>
          <w:sz w:val="22"/>
          <w:szCs w:val="22"/>
          <w:lang w:val="sq-AL" w:eastAsia="en-US" w:bidi="en-US"/>
        </w:rPr>
        <w:t>in e</w:t>
      </w:r>
      <w:r w:rsidRPr="00827575">
        <w:rPr>
          <w:rFonts w:ascii="Cambria" w:eastAsia="Calibri" w:hAnsi="Cambria"/>
          <w:sz w:val="22"/>
          <w:szCs w:val="22"/>
          <w:lang w:val="sq-AL" w:eastAsia="en-US" w:bidi="en-US"/>
        </w:rPr>
        <w:t xml:space="preserve"> procedurave për delegimin e detyrave, (QSUT, DPT dhe AZHBR).</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w:t>
      </w:r>
      <w:r>
        <w:rPr>
          <w:rFonts w:ascii="Cambria" w:eastAsia="Calibri" w:hAnsi="Cambria"/>
          <w:sz w:val="22"/>
          <w:szCs w:val="22"/>
          <w:lang w:val="sq-AL" w:eastAsia="en-US" w:bidi="en-US"/>
        </w:rPr>
        <w:t>t për përmirësimin e sistemeve</w:t>
      </w:r>
      <w:r w:rsidRPr="00827575">
        <w:rPr>
          <w:rFonts w:ascii="Cambria" w:eastAsia="Calibri" w:hAnsi="Cambria"/>
          <w:sz w:val="22"/>
          <w:szCs w:val="22"/>
          <w:lang w:val="sq-AL" w:eastAsia="en-US" w:bidi="en-US"/>
        </w:rPr>
        <w:t xml:space="preserve"> lidhen me hartimin e regjistrit të riskut, hartimin dhe miratimin e gjurmëve të auditimit për proceset e punës, etj.</w:t>
      </w:r>
    </w:p>
    <w:p w:rsidR="009E2031" w:rsidRPr="00827575" w:rsidRDefault="009E2031" w:rsidP="009E2031">
      <w:pPr>
        <w:jc w:val="both"/>
        <w:rPr>
          <w:rFonts w:ascii="Cambria" w:eastAsia="Calibri" w:hAnsi="Cambria"/>
          <w:sz w:val="8"/>
          <w:szCs w:val="8"/>
          <w:lang w:val="sq-AL" w:eastAsia="en-US" w:bidi="en-US"/>
        </w:rPr>
      </w:pPr>
    </w:p>
    <w:p w:rsidR="009E2031"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w:t>
      </w:r>
      <w:r>
        <w:rPr>
          <w:rFonts w:ascii="Cambria" w:eastAsia="Calibri" w:hAnsi="Cambria"/>
          <w:sz w:val="22"/>
          <w:szCs w:val="22"/>
          <w:lang w:val="sq-AL" w:eastAsia="en-US" w:bidi="en-US"/>
        </w:rPr>
        <w:t>t</w:t>
      </w:r>
      <w:r w:rsidRPr="00827575">
        <w:rPr>
          <w:rFonts w:ascii="Cambria" w:eastAsia="Calibri" w:hAnsi="Cambria"/>
          <w:sz w:val="22"/>
          <w:szCs w:val="22"/>
          <w:lang w:val="sq-AL" w:eastAsia="en-US" w:bidi="en-US"/>
        </w:rPr>
        <w:t xml:space="preserve"> sipas qëllimit</w:t>
      </w:r>
      <w:r>
        <w:rPr>
          <w:rFonts w:ascii="Cambria" w:eastAsia="Calibri" w:hAnsi="Cambria"/>
          <w:sz w:val="22"/>
          <w:szCs w:val="22"/>
          <w:lang w:val="sq-AL" w:eastAsia="en-US" w:bidi="en-US"/>
        </w:rPr>
        <w:t xml:space="preserve"> dhe misionit të institucionit janë propozuar</w:t>
      </w:r>
      <w:r w:rsidRPr="00827575">
        <w:rPr>
          <w:rFonts w:ascii="Cambria" w:eastAsia="Calibri" w:hAnsi="Cambria"/>
          <w:sz w:val="22"/>
          <w:szCs w:val="22"/>
          <w:lang w:val="sq-AL" w:eastAsia="en-US" w:bidi="en-US"/>
        </w:rPr>
        <w:t xml:space="preserve"> nga NJAB pranë: QSUT, DPT, DPD, Drejtoria e Përgjithshme e Policisë së Shtetit, Spitali Universitar i Traumës, Autoriteti Kombëtar i Ushqimit, janë të lidhura me sistemet specifike sipas qëllimit dhe misionit të subjektit të audituar.  </w:t>
      </w:r>
    </w:p>
    <w:p w:rsidR="009E2031" w:rsidRPr="00E215CA" w:rsidRDefault="009E2031" w:rsidP="00E215CA">
      <w:pPr>
        <w:pStyle w:val="NoSpacing"/>
        <w:rPr>
          <w:sz w:val="12"/>
          <w:szCs w:val="12"/>
          <w:lang w:val="sq-AL" w:eastAsia="en-US"/>
        </w:rPr>
      </w:pPr>
    </w:p>
    <w:p w:rsidR="009E2031" w:rsidRPr="00065B1E" w:rsidRDefault="009E2031" w:rsidP="009E2031">
      <w:pPr>
        <w:pStyle w:val="ListParagraph"/>
        <w:numPr>
          <w:ilvl w:val="0"/>
          <w:numId w:val="2"/>
        </w:numPr>
        <w:jc w:val="both"/>
        <w:rPr>
          <w:rFonts w:eastAsia="Calibri"/>
          <w:sz w:val="12"/>
          <w:szCs w:val="12"/>
          <w:lang w:val="sq-AL"/>
        </w:rPr>
      </w:pPr>
      <w:r>
        <w:rPr>
          <w:rFonts w:eastAsia="Calibri"/>
          <w:b/>
          <w:noProof/>
          <w:sz w:val="24"/>
          <w:szCs w:val="8"/>
          <w:lang w:val="sq-AL"/>
        </w:rPr>
        <w:t>Njësitë e vetëqeverisjes vendore</w:t>
      </w:r>
    </w:p>
    <w:p w:rsidR="009E2031" w:rsidRPr="00827575" w:rsidRDefault="00C52EB8" w:rsidP="009E2031">
      <w:pPr>
        <w:jc w:val="both"/>
        <w:rPr>
          <w:rFonts w:ascii="Cambria" w:eastAsia="Calibri" w:hAnsi="Cambria"/>
          <w:b/>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 xml:space="preserve">lerësimi i riskut nga NJAB </w:t>
      </w:r>
      <w:r>
        <w:rPr>
          <w:rFonts w:ascii="Cambria" w:eastAsia="Calibri" w:hAnsi="Cambria"/>
          <w:b/>
          <w:sz w:val="20"/>
          <w:szCs w:val="20"/>
          <w:lang w:val="sq-AL" w:eastAsia="en-US"/>
        </w:rPr>
        <w:t>në njësitë e vetë</w:t>
      </w:r>
      <w:r w:rsidRPr="00827575">
        <w:rPr>
          <w:rFonts w:ascii="Cambria" w:eastAsia="Calibri" w:hAnsi="Cambria"/>
          <w:b/>
          <w:sz w:val="20"/>
          <w:szCs w:val="20"/>
          <w:lang w:val="sq-AL" w:eastAsia="en-US"/>
        </w:rPr>
        <w:t xml:space="preserve">qeverisjes vendore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NJAB në </w:t>
      </w:r>
      <w:r w:rsidRPr="00827575">
        <w:rPr>
          <w:rFonts w:ascii="Cambria" w:eastAsia="Times New Roman" w:hAnsi="Cambria"/>
          <w:sz w:val="22"/>
          <w:szCs w:val="22"/>
          <w:lang w:val="sq-AL" w:eastAsia="en-US"/>
        </w:rPr>
        <w:t xml:space="preserve">njësitë e vetëqeverisjes vendore </w:t>
      </w:r>
      <w:r w:rsidRPr="00827575">
        <w:rPr>
          <w:rFonts w:ascii="Cambria" w:eastAsia="Calibri" w:hAnsi="Cambria"/>
          <w:sz w:val="22"/>
          <w:szCs w:val="22"/>
          <w:lang w:val="sq-AL" w:eastAsia="en-US" w:bidi="en-US"/>
        </w:rPr>
        <w:t>raportojnë të vlerësuara me risk të lartë këto sisteme:</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administrimit të aseteve;   </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prokurimeve dhe blerjeve; </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Sistemin e tatim, taksave vendore.</w:t>
      </w:r>
    </w:p>
    <w:p w:rsidR="009E2031"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Nga sa më sipër, u evidentuan sistemet e prokurimeve dhe aseteve, të cilat vlerësohen me risk të lartë në veprimtarinë audituese të të gjitha grupimeve të analizuara.  </w:t>
      </w:r>
    </w:p>
    <w:p w:rsidR="009E2031" w:rsidRPr="00E215CA" w:rsidRDefault="009E2031" w:rsidP="00E215CA">
      <w:pPr>
        <w:pStyle w:val="NoSpacing"/>
        <w:rPr>
          <w:sz w:val="12"/>
          <w:szCs w:val="12"/>
          <w:lang w:val="sq-AL" w:eastAsia="en-US"/>
        </w:rPr>
      </w:pPr>
    </w:p>
    <w:p w:rsidR="009E2031" w:rsidRPr="00827575" w:rsidRDefault="00A444A1" w:rsidP="009E2031">
      <w:pPr>
        <w:jc w:val="both"/>
        <w:rPr>
          <w:rFonts w:ascii="Cambria" w:eastAsia="Calibri" w:hAnsi="Cambria"/>
          <w:b/>
          <w:sz w:val="20"/>
          <w:szCs w:val="20"/>
          <w:lang w:val="sq-AL" w:eastAsia="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w:t>
      </w:r>
      <w:r w:rsidRPr="00827575">
        <w:rPr>
          <w:rFonts w:ascii="Cambria" w:eastAsia="Calibri" w:hAnsi="Cambria"/>
          <w:b/>
          <w:sz w:val="20"/>
          <w:szCs w:val="20"/>
          <w:lang w:val="sq-AL" w:eastAsia="en-US" w:bidi="en-US"/>
        </w:rPr>
        <w:t xml:space="preserve">në </w:t>
      </w:r>
      <w:r>
        <w:rPr>
          <w:rFonts w:ascii="Cambria" w:eastAsia="Calibri" w:hAnsi="Cambria"/>
          <w:b/>
          <w:sz w:val="20"/>
          <w:szCs w:val="20"/>
          <w:lang w:val="sq-AL" w:eastAsia="en-US"/>
        </w:rPr>
        <w:t>njësitë e vetë</w:t>
      </w:r>
      <w:r w:rsidRPr="00827575">
        <w:rPr>
          <w:rFonts w:ascii="Cambria" w:eastAsia="Calibri" w:hAnsi="Cambria"/>
          <w:b/>
          <w:sz w:val="20"/>
          <w:szCs w:val="20"/>
          <w:lang w:val="sq-AL" w:eastAsia="en-US"/>
        </w:rPr>
        <w:t xml:space="preserve">qeverisjes vendore </w:t>
      </w:r>
    </w:p>
    <w:p w:rsidR="009E2031" w:rsidRPr="00827575" w:rsidRDefault="009E2031" w:rsidP="009E2031">
      <w:pPr>
        <w:jc w:val="both"/>
        <w:rPr>
          <w:rFonts w:ascii="Cambria" w:eastAsia="Calibri" w:hAnsi="Cambria"/>
          <w:b/>
          <w:sz w:val="12"/>
          <w:szCs w:val="12"/>
          <w:lang w:val="sq-AL" w:eastAsia="en-US" w:bidi="en-US"/>
        </w:rPr>
      </w:pPr>
      <w:r w:rsidRPr="00827575">
        <w:rPr>
          <w:rFonts w:ascii="Cambria" w:eastAsia="Calibri" w:hAnsi="Cambria"/>
          <w:b/>
          <w:sz w:val="22"/>
          <w:szCs w:val="22"/>
          <w:highlight w:val="yellow"/>
          <w:lang w:val="sq-AL" w:eastAsia="en-US" w:bidi="en-US"/>
        </w:rPr>
        <w:t xml:space="preserve"> </w:t>
      </w:r>
    </w:p>
    <w:p w:rsidR="009E2031" w:rsidRPr="00827575" w:rsidRDefault="009E2031" w:rsidP="009E2031">
      <w:pPr>
        <w:jc w:val="both"/>
        <w:rPr>
          <w:rFonts w:ascii="Cambria" w:eastAsia="Calibri" w:hAnsi="Cambria"/>
          <w:sz w:val="22"/>
          <w:szCs w:val="22"/>
          <w:lang w:val="sq-AL" w:eastAsia="en-US"/>
        </w:rPr>
      </w:pPr>
      <w:r w:rsidRPr="00827575">
        <w:rPr>
          <w:rFonts w:ascii="Cambria" w:eastAsia="Times New Roman" w:hAnsi="Cambria"/>
          <w:sz w:val="22"/>
          <w:szCs w:val="22"/>
          <w:lang w:val="sq-AL" w:eastAsia="en-US"/>
        </w:rPr>
        <w:t xml:space="preserve">NJAB në njësitë e vetëqeverisjes vendore </w:t>
      </w:r>
      <w:r w:rsidRPr="00827575">
        <w:rPr>
          <w:rFonts w:ascii="Cambria" w:eastAsia="Calibri" w:hAnsi="Cambria"/>
          <w:sz w:val="22"/>
          <w:szCs w:val="22"/>
          <w:lang w:val="sq-AL" w:eastAsia="en-US"/>
        </w:rPr>
        <w:t xml:space="preserve">kanë evidentuar gjetjet sipas sistemeve.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 xml:space="preserve">istemin e kontrollit të brendshëm evidentohen në: </w:t>
      </w:r>
    </w:p>
    <w:p w:rsidR="009E2031" w:rsidRPr="00827575" w:rsidRDefault="009E2031" w:rsidP="009A7C54">
      <w:pPr>
        <w:numPr>
          <w:ilvl w:val="0"/>
          <w:numId w:val="23"/>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Mospërcaktimin e saktë të objektivave strategjikë dhe risqeve</w:t>
      </w:r>
      <w:r w:rsidR="00EF3BA2">
        <w:rPr>
          <w:rFonts w:ascii="Cambria" w:eastAsia="Calibri" w:hAnsi="Cambria"/>
          <w:sz w:val="22"/>
          <w:szCs w:val="22"/>
          <w:lang w:val="sq-AL" w:eastAsia="ja-JP"/>
        </w:rPr>
        <w:t>,</w:t>
      </w:r>
      <w:r w:rsidRPr="00827575">
        <w:rPr>
          <w:rFonts w:ascii="Cambria" w:eastAsia="Calibri" w:hAnsi="Cambria"/>
          <w:sz w:val="22"/>
          <w:szCs w:val="22"/>
          <w:lang w:val="sq-AL" w:eastAsia="ja-JP"/>
        </w:rPr>
        <w:t xml:space="preserve"> që mund të cënojnë realizimin e tyre;</w:t>
      </w:r>
    </w:p>
    <w:p w:rsidR="009E2031" w:rsidRPr="00827575" w:rsidRDefault="00635E42" w:rsidP="009A7C54">
      <w:pPr>
        <w:numPr>
          <w:ilvl w:val="0"/>
          <w:numId w:val="23"/>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hartimit</w:t>
      </w:r>
      <w:r w:rsidR="009E2031" w:rsidRPr="00827575">
        <w:rPr>
          <w:rFonts w:ascii="Cambria" w:eastAsia="Calibri" w:hAnsi="Cambria"/>
          <w:sz w:val="22"/>
          <w:szCs w:val="22"/>
          <w:lang w:val="sq-AL" w:eastAsia="ja-JP"/>
        </w:rPr>
        <w:t xml:space="preserve"> dhe përditësimi</w:t>
      </w:r>
      <w:r>
        <w:rPr>
          <w:rFonts w:ascii="Cambria" w:eastAsia="Calibri" w:hAnsi="Cambria"/>
          <w:sz w:val="22"/>
          <w:szCs w:val="22"/>
          <w:lang w:val="sq-AL" w:eastAsia="ja-JP"/>
        </w:rPr>
        <w:t>t</w:t>
      </w:r>
      <w:r w:rsidR="009E2031" w:rsidRPr="00827575">
        <w:rPr>
          <w:rFonts w:ascii="Cambria" w:eastAsia="Calibri" w:hAnsi="Cambria"/>
          <w:sz w:val="22"/>
          <w:szCs w:val="22"/>
          <w:lang w:val="sq-AL" w:eastAsia="ja-JP"/>
        </w:rPr>
        <w:t xml:space="preserve"> </w:t>
      </w:r>
      <w:r>
        <w:rPr>
          <w:rFonts w:ascii="Cambria" w:eastAsia="Calibri" w:hAnsi="Cambria"/>
          <w:sz w:val="22"/>
          <w:szCs w:val="22"/>
          <w:lang w:val="sq-AL" w:eastAsia="ja-JP"/>
        </w:rPr>
        <w:t>të</w:t>
      </w:r>
      <w:r w:rsidR="009E2031" w:rsidRPr="00827575">
        <w:rPr>
          <w:rFonts w:ascii="Cambria" w:eastAsia="Calibri" w:hAnsi="Cambria"/>
          <w:sz w:val="22"/>
          <w:szCs w:val="22"/>
          <w:lang w:val="sq-AL" w:eastAsia="ja-JP"/>
        </w:rPr>
        <w:t xml:space="preserve"> përshkrimeve të punës; </w:t>
      </w:r>
    </w:p>
    <w:p w:rsidR="009E2031" w:rsidRPr="00827575" w:rsidRDefault="00AF790B" w:rsidP="009A7C54">
      <w:pPr>
        <w:numPr>
          <w:ilvl w:val="0"/>
          <w:numId w:val="23"/>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w:t>
      </w:r>
      <w:r w:rsidR="009E2031" w:rsidRPr="00827575">
        <w:rPr>
          <w:rFonts w:ascii="Cambria" w:eastAsia="Calibri" w:hAnsi="Cambria"/>
          <w:sz w:val="22"/>
          <w:szCs w:val="22"/>
          <w:lang w:val="sq-AL" w:eastAsia="ja-JP"/>
        </w:rPr>
        <w:t xml:space="preserve"> hartimi</w:t>
      </w:r>
      <w:r>
        <w:rPr>
          <w:rFonts w:ascii="Cambria" w:eastAsia="Calibri" w:hAnsi="Cambria"/>
          <w:sz w:val="22"/>
          <w:szCs w:val="22"/>
          <w:lang w:val="sq-AL" w:eastAsia="ja-JP"/>
        </w:rPr>
        <w:t>t</w:t>
      </w:r>
      <w:r w:rsidR="009E2031" w:rsidRPr="00827575">
        <w:rPr>
          <w:rFonts w:ascii="Cambria" w:eastAsia="Calibri" w:hAnsi="Cambria"/>
          <w:sz w:val="22"/>
          <w:szCs w:val="22"/>
          <w:lang w:val="sq-AL" w:eastAsia="ja-JP"/>
        </w:rPr>
        <w:t xml:space="preserve"> </w:t>
      </w:r>
      <w:r>
        <w:rPr>
          <w:rFonts w:ascii="Cambria" w:eastAsia="Calibri" w:hAnsi="Cambria"/>
          <w:sz w:val="22"/>
          <w:szCs w:val="22"/>
          <w:lang w:val="sq-AL" w:eastAsia="ja-JP"/>
        </w:rPr>
        <w:t>të</w:t>
      </w:r>
      <w:r w:rsidR="009E2031" w:rsidRPr="00827575">
        <w:rPr>
          <w:rFonts w:ascii="Cambria" w:eastAsia="Calibri" w:hAnsi="Cambria"/>
          <w:sz w:val="22"/>
          <w:szCs w:val="22"/>
          <w:lang w:val="sq-AL" w:eastAsia="ja-JP"/>
        </w:rPr>
        <w:t xml:space="preserve"> manualeve të proceseve;  </w:t>
      </w:r>
    </w:p>
    <w:p w:rsidR="009E2031" w:rsidRPr="00827575" w:rsidRDefault="00502D08" w:rsidP="009A7C54">
      <w:pPr>
        <w:numPr>
          <w:ilvl w:val="0"/>
          <w:numId w:val="23"/>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miratimit të</w:t>
      </w:r>
      <w:r w:rsidR="009E2031" w:rsidRPr="00827575">
        <w:rPr>
          <w:rFonts w:ascii="Cambria" w:eastAsia="Calibri" w:hAnsi="Cambria"/>
          <w:sz w:val="22"/>
          <w:szCs w:val="22"/>
          <w:lang w:val="sq-AL" w:eastAsia="ja-JP"/>
        </w:rPr>
        <w:t xml:space="preserve"> rregulloreve të brendshme. </w:t>
      </w:r>
    </w:p>
    <w:p w:rsidR="009E2031" w:rsidRPr="00827575" w:rsidRDefault="009E2031" w:rsidP="009E2031">
      <w:pPr>
        <w:ind w:left="720"/>
        <w:jc w:val="both"/>
        <w:rPr>
          <w:rFonts w:ascii="Cambria" w:eastAsia="Calibri" w:hAnsi="Cambria"/>
          <w:sz w:val="8"/>
          <w:szCs w:val="8"/>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istemin e programimit dhe zbatimit të buxhetit evidentohen në:</w:t>
      </w:r>
    </w:p>
    <w:p w:rsidR="009E2031" w:rsidRPr="00827575" w:rsidRDefault="009E2031" w:rsidP="009A7C54">
      <w:pPr>
        <w:numPr>
          <w:ilvl w:val="0"/>
          <w:numId w:val="24"/>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Mosplanifikimin real dhe mosrealizimin e shpenzimeve me efektivitet dhe efiçencë;</w:t>
      </w:r>
    </w:p>
    <w:p w:rsidR="009E2031" w:rsidRPr="00827575" w:rsidRDefault="009E2031" w:rsidP="009A7C54">
      <w:pPr>
        <w:numPr>
          <w:ilvl w:val="0"/>
          <w:numId w:val="24"/>
        </w:numPr>
        <w:spacing w:line="276" w:lineRule="auto"/>
        <w:jc w:val="both"/>
        <w:rPr>
          <w:rFonts w:ascii="Cambria" w:eastAsia="MingLiU-ExtB" w:hAnsi="Cambria"/>
          <w:sz w:val="22"/>
          <w:szCs w:val="22"/>
          <w:lang w:val="sq-AL" w:eastAsia="ja-JP"/>
        </w:rPr>
      </w:pPr>
      <w:r w:rsidRPr="00827575">
        <w:rPr>
          <w:rFonts w:ascii="Cambria" w:eastAsia="Calibri" w:hAnsi="Cambria"/>
          <w:sz w:val="22"/>
          <w:szCs w:val="22"/>
          <w:lang w:val="sq-AL" w:eastAsia="ja-JP"/>
        </w:rPr>
        <w:t>Mosrealizimin e buxhetit në raport me objektivat e realizuara;</w:t>
      </w:r>
    </w:p>
    <w:p w:rsidR="009E2031" w:rsidRPr="00827575" w:rsidRDefault="00AB36FC" w:rsidP="009A7C54">
      <w:pPr>
        <w:numPr>
          <w:ilvl w:val="0"/>
          <w:numId w:val="24"/>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hartimit</w:t>
      </w:r>
      <w:r w:rsidR="009E2031" w:rsidRPr="00827575">
        <w:rPr>
          <w:rFonts w:ascii="Cambria" w:eastAsia="Calibri" w:hAnsi="Cambria"/>
          <w:sz w:val="22"/>
          <w:szCs w:val="22"/>
          <w:lang w:val="sq-AL" w:eastAsia="ja-JP"/>
        </w:rPr>
        <w:t xml:space="preserve"> dhe monitorimi</w:t>
      </w:r>
      <w:r>
        <w:rPr>
          <w:rFonts w:ascii="Cambria" w:eastAsia="Calibri" w:hAnsi="Cambria"/>
          <w:sz w:val="22"/>
          <w:szCs w:val="22"/>
          <w:lang w:val="sq-AL" w:eastAsia="ja-JP"/>
        </w:rPr>
        <w:t>t</w:t>
      </w:r>
      <w:r w:rsidR="009E2031" w:rsidRPr="00827575">
        <w:rPr>
          <w:rFonts w:ascii="Cambria" w:eastAsia="Calibri" w:hAnsi="Cambria"/>
          <w:sz w:val="22"/>
          <w:szCs w:val="22"/>
          <w:lang w:val="sq-AL" w:eastAsia="ja-JP"/>
        </w:rPr>
        <w:t xml:space="preserve"> </w:t>
      </w:r>
      <w:r>
        <w:rPr>
          <w:rFonts w:ascii="Cambria" w:eastAsia="Calibri" w:hAnsi="Cambria"/>
          <w:sz w:val="22"/>
          <w:szCs w:val="22"/>
          <w:lang w:val="sq-AL" w:eastAsia="ja-JP"/>
        </w:rPr>
        <w:t>të</w:t>
      </w:r>
      <w:r w:rsidR="009E2031" w:rsidRPr="00827575">
        <w:rPr>
          <w:rFonts w:ascii="Cambria" w:eastAsia="Calibri" w:hAnsi="Cambria"/>
          <w:sz w:val="22"/>
          <w:szCs w:val="22"/>
          <w:lang w:val="sq-AL" w:eastAsia="ja-JP"/>
        </w:rPr>
        <w:t xml:space="preserve"> procedurave për përfituesit nga lehtësirat e taksave dhe tarifave vendore;</w:t>
      </w:r>
    </w:p>
    <w:p w:rsidR="009E2031" w:rsidRPr="00827575" w:rsidRDefault="003E47E5" w:rsidP="009A7C54">
      <w:pPr>
        <w:numPr>
          <w:ilvl w:val="0"/>
          <w:numId w:val="24"/>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 xml:space="preserve">Mungesën e hartimit të </w:t>
      </w:r>
      <w:r w:rsidR="009E2031" w:rsidRPr="00827575">
        <w:rPr>
          <w:rFonts w:ascii="Cambria" w:eastAsia="Calibri" w:hAnsi="Cambria"/>
          <w:sz w:val="22"/>
          <w:szCs w:val="22"/>
          <w:lang w:val="sq-AL" w:eastAsia="ja-JP"/>
        </w:rPr>
        <w:t>ditarit të shpenzimeve të kryera.</w:t>
      </w:r>
    </w:p>
    <w:p w:rsidR="009E2031" w:rsidRPr="00827575" w:rsidRDefault="009E2031" w:rsidP="009E2031">
      <w:pPr>
        <w:ind w:left="720"/>
        <w:jc w:val="both"/>
        <w:rPr>
          <w:rFonts w:ascii="Cambria" w:eastAsia="Calibri" w:hAnsi="Cambria"/>
          <w:sz w:val="8"/>
          <w:szCs w:val="8"/>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istemin e menaxhimit të aktiveve evidentohen në:</w:t>
      </w:r>
    </w:p>
    <w:p w:rsidR="009E2031" w:rsidRPr="00827575" w:rsidRDefault="00F65105" w:rsidP="009A7C54">
      <w:pPr>
        <w:numPr>
          <w:ilvl w:val="0"/>
          <w:numId w:val="25"/>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hartimit dhe përditësimit të</w:t>
      </w:r>
      <w:r w:rsidR="009E2031" w:rsidRPr="00827575">
        <w:rPr>
          <w:rFonts w:ascii="Cambria" w:eastAsia="Calibri" w:hAnsi="Cambria"/>
          <w:sz w:val="22"/>
          <w:szCs w:val="22"/>
          <w:lang w:val="sq-AL" w:eastAsia="ja-JP"/>
        </w:rPr>
        <w:t xml:space="preserve"> regjistrave të aktiveve (njësitë administrative- ish komuna;</w:t>
      </w:r>
    </w:p>
    <w:p w:rsidR="009E2031" w:rsidRPr="00827575" w:rsidRDefault="009E2031" w:rsidP="009A7C54">
      <w:pPr>
        <w:numPr>
          <w:ilvl w:val="0"/>
          <w:numId w:val="25"/>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Mosadministrimin e aktiveve për parandalimin e keqmenaxhimit të tyre;</w:t>
      </w:r>
    </w:p>
    <w:p w:rsidR="009E2031" w:rsidRPr="00827575" w:rsidRDefault="009E2031" w:rsidP="009A7C54">
      <w:pPr>
        <w:numPr>
          <w:ilvl w:val="0"/>
          <w:numId w:val="25"/>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Mosplotësimin e dokumentacionit dhe ndjekjen e procedurave të inventarizimit dhe nxjerrjes jashtë përdorimit të ndërtesave. </w:t>
      </w:r>
    </w:p>
    <w:p w:rsidR="009E2031" w:rsidRPr="00827575" w:rsidRDefault="009E2031" w:rsidP="009E2031">
      <w:pPr>
        <w:ind w:left="720"/>
        <w:jc w:val="both"/>
        <w:rPr>
          <w:rFonts w:ascii="Cambria" w:eastAsia="Calibri" w:hAnsi="Cambria"/>
          <w:sz w:val="8"/>
          <w:szCs w:val="8"/>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 xml:space="preserve">istemin e blerjeve dhe prokurimeve evidentohen në: </w:t>
      </w:r>
    </w:p>
    <w:p w:rsidR="009E2031" w:rsidRPr="00FA5000" w:rsidRDefault="005D0572" w:rsidP="009A7C54">
      <w:pPr>
        <w:numPr>
          <w:ilvl w:val="0"/>
          <w:numId w:val="26"/>
        </w:numPr>
        <w:spacing w:line="276" w:lineRule="auto"/>
        <w:jc w:val="both"/>
        <w:rPr>
          <w:rFonts w:ascii="Cambria" w:eastAsia="Calibri" w:hAnsi="Cambria"/>
          <w:sz w:val="22"/>
          <w:szCs w:val="22"/>
          <w:lang w:val="sq-AL" w:eastAsia="ja-JP"/>
        </w:rPr>
      </w:pPr>
      <w:r w:rsidRPr="00FA5000">
        <w:rPr>
          <w:rFonts w:ascii="Cambria" w:eastAsia="Calibri" w:hAnsi="Cambria"/>
          <w:sz w:val="22"/>
          <w:szCs w:val="22"/>
          <w:lang w:val="sq-AL" w:eastAsia="ja-JP"/>
        </w:rPr>
        <w:t xml:space="preserve">Mungesës së hartimit të </w:t>
      </w:r>
      <w:r w:rsidR="009E2031" w:rsidRPr="00FA5000">
        <w:rPr>
          <w:rFonts w:ascii="Cambria" w:eastAsia="Calibri" w:hAnsi="Cambria"/>
          <w:sz w:val="22"/>
          <w:szCs w:val="22"/>
          <w:lang w:val="sq-AL" w:eastAsia="ja-JP"/>
        </w:rPr>
        <w:t>regjistrave të prokurimeve</w:t>
      </w:r>
    </w:p>
    <w:p w:rsidR="009E2031" w:rsidRPr="00FA5000" w:rsidRDefault="00E11C5A" w:rsidP="009A7C54">
      <w:pPr>
        <w:numPr>
          <w:ilvl w:val="0"/>
          <w:numId w:val="26"/>
        </w:numPr>
        <w:spacing w:line="276" w:lineRule="auto"/>
        <w:jc w:val="both"/>
        <w:rPr>
          <w:rFonts w:ascii="Cambria" w:eastAsia="Calibri" w:hAnsi="Cambria"/>
          <w:sz w:val="22"/>
          <w:szCs w:val="22"/>
          <w:lang w:val="sq-AL" w:eastAsia="ja-JP"/>
        </w:rPr>
      </w:pPr>
      <w:r w:rsidRPr="00FA5000">
        <w:rPr>
          <w:rFonts w:ascii="Cambria" w:eastAsia="Calibri" w:hAnsi="Cambria"/>
          <w:sz w:val="22"/>
          <w:szCs w:val="22"/>
          <w:lang w:val="sq-AL" w:eastAsia="ja-JP"/>
        </w:rPr>
        <w:t>D</w:t>
      </w:r>
      <w:r w:rsidR="009E2031" w:rsidRPr="00FA5000">
        <w:rPr>
          <w:rFonts w:ascii="Cambria" w:eastAsia="Calibri" w:hAnsi="Cambria"/>
          <w:sz w:val="22"/>
          <w:szCs w:val="22"/>
          <w:lang w:val="sq-AL" w:eastAsia="ja-JP"/>
        </w:rPr>
        <w:t xml:space="preserve">ërgimin </w:t>
      </w:r>
      <w:r w:rsidRPr="00FA5000">
        <w:rPr>
          <w:rFonts w:ascii="Cambria" w:eastAsia="Calibri" w:hAnsi="Cambria"/>
          <w:sz w:val="22"/>
          <w:szCs w:val="22"/>
          <w:lang w:val="sq-AL" w:eastAsia="ja-JP"/>
        </w:rPr>
        <w:t xml:space="preserve">jo </w:t>
      </w:r>
      <w:r w:rsidR="009E2031" w:rsidRPr="00FA5000">
        <w:rPr>
          <w:rFonts w:ascii="Cambria" w:eastAsia="Calibri" w:hAnsi="Cambria"/>
          <w:sz w:val="22"/>
          <w:szCs w:val="22"/>
          <w:lang w:val="sq-AL" w:eastAsia="ja-JP"/>
        </w:rPr>
        <w:t xml:space="preserve">në afatet e caktuara tek institucionet e përcaktuara në kuadrin rregullator. </w:t>
      </w:r>
    </w:p>
    <w:p w:rsidR="009E2031" w:rsidRDefault="009E2031" w:rsidP="009E2031">
      <w:pPr>
        <w:jc w:val="both"/>
        <w:rPr>
          <w:rFonts w:ascii="Cambria" w:eastAsia="Calibri" w:hAnsi="Cambria"/>
          <w:color w:val="000000"/>
          <w:sz w:val="22"/>
          <w:szCs w:val="22"/>
          <w:lang w:val="sq-AL" w:eastAsia="en-US" w:bidi="en-US"/>
        </w:rPr>
      </w:pPr>
      <w:r w:rsidRPr="00827575">
        <w:rPr>
          <w:rFonts w:ascii="Cambria" w:eastAsia="Calibri" w:hAnsi="Cambria"/>
          <w:color w:val="000000"/>
          <w:sz w:val="22"/>
          <w:szCs w:val="22"/>
          <w:lang w:val="sq-AL" w:eastAsia="en-US" w:bidi="en-US"/>
        </w:rPr>
        <w:t>Evidentohet se NJAB</w:t>
      </w:r>
      <w:r w:rsidR="00E11C5A">
        <w:rPr>
          <w:rFonts w:ascii="Cambria" w:eastAsia="Calibri" w:hAnsi="Cambria"/>
          <w:color w:val="000000"/>
          <w:sz w:val="22"/>
          <w:szCs w:val="22"/>
          <w:lang w:val="sq-AL" w:eastAsia="en-US" w:bidi="en-US"/>
        </w:rPr>
        <w:t>,</w:t>
      </w:r>
      <w:r w:rsidRPr="00827575">
        <w:rPr>
          <w:rFonts w:ascii="Cambria" w:eastAsia="Calibri" w:hAnsi="Cambria"/>
          <w:color w:val="000000"/>
          <w:sz w:val="22"/>
          <w:szCs w:val="22"/>
          <w:lang w:val="sq-AL" w:eastAsia="en-US" w:bidi="en-US"/>
        </w:rPr>
        <w:t xml:space="preserve"> që funksionojnë në njësitë e vetëqeverisjes vendore</w:t>
      </w:r>
      <w:r w:rsidR="00E11C5A">
        <w:rPr>
          <w:rFonts w:ascii="Cambria" w:eastAsia="Calibri" w:hAnsi="Cambria"/>
          <w:color w:val="000000"/>
          <w:sz w:val="22"/>
          <w:szCs w:val="22"/>
          <w:lang w:val="sq-AL" w:eastAsia="en-US" w:bidi="en-US"/>
        </w:rPr>
        <w:t>,</w:t>
      </w:r>
      <w:r w:rsidRPr="00827575">
        <w:rPr>
          <w:rFonts w:ascii="Cambria" w:eastAsia="Calibri" w:hAnsi="Cambria"/>
          <w:color w:val="000000"/>
          <w:sz w:val="22"/>
          <w:szCs w:val="22"/>
          <w:lang w:val="sq-AL" w:eastAsia="en-US" w:bidi="en-US"/>
        </w:rPr>
        <w:t xml:space="preserve"> nuk kanë realizuar vlerësim real të funksionimit të sistemeve të kontrollit të brendshëm dhe nuk kanë vlerësuar risqet e identifikuara nga njësitë publike. </w:t>
      </w:r>
    </w:p>
    <w:p w:rsidR="009E2031" w:rsidRPr="00827575" w:rsidRDefault="009E2031" w:rsidP="009E2031">
      <w:pPr>
        <w:jc w:val="both"/>
        <w:rPr>
          <w:rFonts w:ascii="Cambria" w:eastAsia="Calibri" w:hAnsi="Cambria"/>
          <w:sz w:val="12"/>
          <w:szCs w:val="12"/>
          <w:lang w:val="sq-AL" w:eastAsia="en-US"/>
        </w:rPr>
      </w:pPr>
    </w:p>
    <w:p w:rsidR="009E2031" w:rsidRPr="00827575" w:rsidRDefault="00A444A1" w:rsidP="009E2031">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 xml:space="preserve">NJAB </w:t>
      </w:r>
      <w:r>
        <w:rPr>
          <w:rFonts w:ascii="Cambria" w:eastAsia="Calibri" w:hAnsi="Cambria"/>
          <w:b/>
          <w:sz w:val="20"/>
          <w:szCs w:val="20"/>
          <w:lang w:val="sq-AL" w:eastAsia="en-US"/>
        </w:rPr>
        <w:t>në njësitë e vetë</w:t>
      </w:r>
      <w:r w:rsidRPr="00827575">
        <w:rPr>
          <w:rFonts w:ascii="Cambria" w:eastAsia="Calibri" w:hAnsi="Cambria"/>
          <w:b/>
          <w:sz w:val="20"/>
          <w:szCs w:val="20"/>
          <w:lang w:val="sq-AL" w:eastAsia="en-US"/>
        </w:rPr>
        <w:t xml:space="preserve">qeverisjes vendore </w:t>
      </w:r>
    </w:p>
    <w:p w:rsidR="009E2031" w:rsidRPr="00827575" w:rsidRDefault="009E2031" w:rsidP="009E2031">
      <w:pPr>
        <w:jc w:val="both"/>
        <w:rPr>
          <w:rFonts w:ascii="Cambria" w:eastAsia="Calibri" w:hAnsi="Cambria"/>
          <w:sz w:val="12"/>
          <w:szCs w:val="12"/>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Rekomandimet më të rëndësishme të njësive të auditimit të brendshëm në </w:t>
      </w:r>
      <w:r w:rsidRPr="00827575">
        <w:rPr>
          <w:rFonts w:ascii="Cambria" w:eastAsia="Times New Roman" w:hAnsi="Cambria"/>
          <w:sz w:val="22"/>
          <w:szCs w:val="22"/>
          <w:lang w:val="sq-AL" w:eastAsia="en-US"/>
        </w:rPr>
        <w:t xml:space="preserve">njësitë e vetëqeverisjes vendore </w:t>
      </w:r>
      <w:r w:rsidRPr="00827575">
        <w:rPr>
          <w:rFonts w:ascii="Cambria" w:eastAsia="Calibri" w:hAnsi="Cambria"/>
          <w:sz w:val="22"/>
          <w:szCs w:val="22"/>
          <w:lang w:val="sq-AL" w:eastAsia="ja-JP"/>
        </w:rPr>
        <w:t xml:space="preserve">janë fokusuar në: </w:t>
      </w: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ja-JP"/>
        </w:rPr>
        <w:t>Rekomandime për përmirësime ligjore:</w:t>
      </w:r>
    </w:p>
    <w:p w:rsidR="009E2031" w:rsidRPr="00827575" w:rsidRDefault="009E2031" w:rsidP="009E2031">
      <w:pPr>
        <w:numPr>
          <w:ilvl w:val="0"/>
          <w:numId w:val="21"/>
        </w:numPr>
        <w:spacing w:after="200"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propozohen ndryshime në VKM nr.408, datë13.05.2015 “Mbi miratimin e rregullores së zhvillimit të territorit”, akt që përfshin në mënyrë specifike njësitë administrative (ish-komuna, për kushtet ndryshe nga qyteti), për të cilin nevojiten </w:t>
      </w:r>
      <w:r w:rsidRPr="00EA6864">
        <w:rPr>
          <w:rStyle w:val="NoSpacingChar"/>
          <w:rFonts w:eastAsia="Calibri"/>
        </w:rPr>
        <w:t>diferencime</w:t>
      </w:r>
      <w:r w:rsidRPr="00827575">
        <w:rPr>
          <w:rFonts w:ascii="Cambria" w:eastAsia="Calibri" w:hAnsi="Cambria"/>
          <w:sz w:val="22"/>
          <w:szCs w:val="22"/>
          <w:lang w:val="sq-AL" w:eastAsia="ja-JP"/>
        </w:rPr>
        <w:t xml:space="preserve"> lehtësuese pa dëmtuar thelbin e ligjit. </w:t>
      </w: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ja-JP"/>
        </w:rPr>
        <w:t>Rekomandime për sistemin e menaxhimit të aseteve:</w:t>
      </w:r>
    </w:p>
    <w:p w:rsidR="009E2031" w:rsidRPr="00827575" w:rsidRDefault="009E2031" w:rsidP="009A7C54">
      <w:pPr>
        <w:numPr>
          <w:ilvl w:val="0"/>
          <w:numId w:val="21"/>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hartohet dhe përditësohet regjistri i aktiveve me të dhëna për historikun e aktivit në varësi të llojit të tij, i domosdoshëm për të kryer vlerësimin e tyre; </w:t>
      </w:r>
    </w:p>
    <w:p w:rsidR="009E2031" w:rsidRPr="00827575" w:rsidRDefault="009E2031" w:rsidP="009A7C54">
      <w:pPr>
        <w:numPr>
          <w:ilvl w:val="0"/>
          <w:numId w:val="21"/>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hartohet dokumentacioni i lëvizjeve të magazinës pasi të jetë dokumentuar marrja në dorëzim e aktiveve referuar kushteve të kontratës; </w:t>
      </w:r>
    </w:p>
    <w:p w:rsidR="009E2031" w:rsidRDefault="009E2031" w:rsidP="009A7C54">
      <w:pPr>
        <w:numPr>
          <w:ilvl w:val="0"/>
          <w:numId w:val="21"/>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pasqyrohet saktë informacioni në pasqyrën “Gjendja dhe ndryshimet e aktiveve”, me qëllim paraqitjen reale të shtesave në aktive sipas burimeve. </w:t>
      </w:r>
    </w:p>
    <w:p w:rsidR="009E2031" w:rsidRPr="00EA6864" w:rsidRDefault="009E2031" w:rsidP="00EA6864">
      <w:pPr>
        <w:pStyle w:val="NoSpacing"/>
        <w:rPr>
          <w:sz w:val="12"/>
          <w:szCs w:val="12"/>
          <w:lang w:val="sq-AL" w:eastAsia="en-US"/>
        </w:rPr>
      </w:pPr>
    </w:p>
    <w:p w:rsidR="009E2031" w:rsidRPr="00551F64" w:rsidRDefault="009E2031" w:rsidP="009E2031">
      <w:pPr>
        <w:pStyle w:val="ListParagraph"/>
        <w:numPr>
          <w:ilvl w:val="0"/>
          <w:numId w:val="2"/>
        </w:numPr>
        <w:jc w:val="both"/>
        <w:rPr>
          <w:rFonts w:eastAsia="Calibri"/>
          <w:sz w:val="12"/>
          <w:szCs w:val="12"/>
          <w:lang w:val="sq-AL"/>
        </w:rPr>
      </w:pPr>
      <w:r>
        <w:rPr>
          <w:rFonts w:eastAsia="Calibri"/>
          <w:b/>
          <w:noProof/>
          <w:sz w:val="24"/>
          <w:szCs w:val="8"/>
          <w:lang w:val="sq-AL"/>
        </w:rPr>
        <w:t>Institucionet e Pavarura</w:t>
      </w:r>
    </w:p>
    <w:p w:rsidR="009E2031" w:rsidRPr="00827575" w:rsidRDefault="009E2031" w:rsidP="009E2031">
      <w:pPr>
        <w:jc w:val="both"/>
        <w:rPr>
          <w:rFonts w:ascii="Cambria" w:eastAsia="Calibri" w:hAnsi="Cambria"/>
          <w:b/>
          <w:sz w:val="8"/>
          <w:szCs w:val="8"/>
          <w:highlight w:val="yellow"/>
          <w:lang w:val="sq-AL" w:eastAsia="en-US" w:bidi="en-US"/>
        </w:rPr>
      </w:pPr>
    </w:p>
    <w:p w:rsidR="009E2031" w:rsidRPr="00827575" w:rsidRDefault="00A444A1" w:rsidP="009E2031">
      <w:pPr>
        <w:jc w:val="both"/>
        <w:rPr>
          <w:rFonts w:ascii="Cambria" w:eastAsia="Calibri" w:hAnsi="Cambria"/>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lerësimi i riskut nga NJAB e</w:t>
      </w:r>
      <w:r w:rsidRPr="00827575">
        <w:rPr>
          <w:rFonts w:ascii="Cambria" w:eastAsia="Calibri" w:hAnsi="Cambria"/>
          <w:b/>
          <w:sz w:val="20"/>
          <w:szCs w:val="20"/>
          <w:lang w:val="sq-AL" w:eastAsia="en-US"/>
        </w:rPr>
        <w:t xml:space="preserve"> i</w:t>
      </w:r>
      <w:r w:rsidRPr="00827575">
        <w:rPr>
          <w:rFonts w:ascii="Cambria" w:eastAsia="Calibri" w:hAnsi="Cambria"/>
          <w:b/>
          <w:color w:val="000000"/>
          <w:sz w:val="20"/>
          <w:szCs w:val="20"/>
          <w:lang w:val="sq-AL" w:eastAsia="en-US"/>
        </w:rPr>
        <w:t xml:space="preserve">nstitucioneve të pavarura  </w:t>
      </w:r>
    </w:p>
    <w:p w:rsidR="009E2031" w:rsidRPr="00827575" w:rsidRDefault="009E2031" w:rsidP="009E2031">
      <w:pPr>
        <w:rPr>
          <w:rFonts w:ascii="Cambria" w:eastAsia="Calibri" w:hAnsi="Cambria"/>
          <w:b/>
          <w:sz w:val="8"/>
          <w:szCs w:val="8"/>
          <w:highlight w:val="yellow"/>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NJAB në institucionet e pavaruara kanë identifikuar me risk të lartë këto sisteme:</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investimeve publike; </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Sistemin e mbik</w:t>
      </w:r>
      <w:r w:rsidR="001B1002">
        <w:rPr>
          <w:rFonts w:ascii="Cambria" w:eastAsia="Calibri" w:hAnsi="Cambria"/>
          <w:sz w:val="22"/>
          <w:szCs w:val="22"/>
          <w:lang w:val="sq-AL" w:eastAsia="en-US" w:bidi="en-US"/>
        </w:rPr>
        <w:t>ë</w:t>
      </w:r>
      <w:r w:rsidRPr="00827575">
        <w:rPr>
          <w:rFonts w:ascii="Cambria" w:eastAsia="Calibri" w:hAnsi="Cambria"/>
          <w:sz w:val="22"/>
          <w:szCs w:val="22"/>
          <w:lang w:val="sq-AL" w:eastAsia="en-US" w:bidi="en-US"/>
        </w:rPr>
        <w:t>qyrjes së projekteve</w:t>
      </w:r>
      <w:r w:rsidRPr="00827575">
        <w:rPr>
          <w:rFonts w:ascii="Cambria" w:eastAsia="Calibri" w:hAnsi="Cambria"/>
          <w:b/>
          <w:sz w:val="22"/>
          <w:szCs w:val="22"/>
          <w:lang w:val="sq-AL" w:eastAsia="en-US" w:bidi="en-US"/>
        </w:rPr>
        <w:t>.</w:t>
      </w:r>
      <w:r w:rsidRPr="00827575">
        <w:rPr>
          <w:rFonts w:ascii="Cambria" w:eastAsia="Calibri" w:hAnsi="Cambria"/>
          <w:sz w:val="22"/>
          <w:szCs w:val="22"/>
          <w:lang w:val="sq-AL" w:eastAsia="en-US" w:bidi="en-US"/>
        </w:rPr>
        <w:t xml:space="preserve">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A444A1" w:rsidP="009E2031">
      <w:pPr>
        <w:jc w:val="both"/>
        <w:rPr>
          <w:rFonts w:ascii="Cambria" w:eastAsia="Calibri" w:hAnsi="Cambria"/>
          <w:b/>
          <w:sz w:val="20"/>
          <w:szCs w:val="20"/>
          <w:lang w:val="sq-AL" w:eastAsia="en-US" w:bidi="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w:t>
      </w:r>
      <w:r w:rsidRPr="00827575">
        <w:rPr>
          <w:rFonts w:ascii="Cambria" w:eastAsia="Calibri" w:hAnsi="Cambria"/>
          <w:b/>
          <w:sz w:val="20"/>
          <w:szCs w:val="20"/>
          <w:lang w:val="sq-AL" w:eastAsia="en-US" w:bidi="en-US"/>
        </w:rPr>
        <w:t xml:space="preserve">në institucionet e pavarura </w:t>
      </w:r>
    </w:p>
    <w:p w:rsidR="009E2031" w:rsidRPr="00827575" w:rsidRDefault="009E2031" w:rsidP="009E2031">
      <w:pPr>
        <w:jc w:val="both"/>
        <w:rPr>
          <w:rFonts w:ascii="Cambria" w:eastAsia="Calibri" w:hAnsi="Cambria"/>
          <w:sz w:val="12"/>
          <w:szCs w:val="12"/>
          <w:lang w:val="sq-AL" w:eastAsia="en-US"/>
        </w:rPr>
      </w:pPr>
    </w:p>
    <w:p w:rsidR="00C12331" w:rsidRPr="00827575" w:rsidRDefault="009E2031" w:rsidP="009E2031">
      <w:pPr>
        <w:jc w:val="both"/>
        <w:rPr>
          <w:rFonts w:ascii="Cambria" w:eastAsia="Calibri" w:hAnsi="Cambria"/>
          <w:sz w:val="22"/>
          <w:szCs w:val="22"/>
          <w:lang w:val="sq-AL" w:eastAsia="en-US"/>
        </w:rPr>
      </w:pPr>
      <w:r w:rsidRPr="00827575">
        <w:rPr>
          <w:rFonts w:ascii="Cambria" w:eastAsia="Times New Roman" w:hAnsi="Cambria"/>
          <w:sz w:val="22"/>
          <w:szCs w:val="22"/>
          <w:lang w:val="sq-AL" w:eastAsia="en-US"/>
        </w:rPr>
        <w:t xml:space="preserve">NJAB në istitucionet e pavarura </w:t>
      </w:r>
      <w:r w:rsidRPr="00827575">
        <w:rPr>
          <w:rFonts w:ascii="Cambria" w:eastAsia="Calibri" w:hAnsi="Cambria"/>
          <w:sz w:val="22"/>
          <w:szCs w:val="22"/>
          <w:lang w:val="sq-AL" w:eastAsia="en-US"/>
        </w:rPr>
        <w:t xml:space="preserve">kanë evidentuar gjetjet sipas sistemeve.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Gjetjet kryesore në sistemin e menaxhimit të burimeve njerëzore evidentohen në: </w:t>
      </w:r>
    </w:p>
    <w:p w:rsidR="009E2031" w:rsidRPr="00827575" w:rsidRDefault="009E2031" w:rsidP="009A7C54">
      <w:pPr>
        <w:numPr>
          <w:ilvl w:val="0"/>
          <w:numId w:val="37"/>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Moszbatimin e procedurave të punësimit të punonjësve;</w:t>
      </w:r>
    </w:p>
    <w:p w:rsidR="009E2031" w:rsidRPr="00827575" w:rsidRDefault="009E2031" w:rsidP="009A7C54">
      <w:pPr>
        <w:numPr>
          <w:ilvl w:val="0"/>
          <w:numId w:val="37"/>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Mosplotësimin e vendeve vakante dh</w:t>
      </w:r>
      <w:r>
        <w:rPr>
          <w:rFonts w:ascii="Cambria" w:eastAsia="Calibri" w:hAnsi="Cambria"/>
          <w:sz w:val="22"/>
          <w:szCs w:val="22"/>
          <w:lang w:val="sq-AL" w:eastAsia="en-US" w:bidi="en-US"/>
        </w:rPr>
        <w:t>e rekrutimin e personelit të pa</w:t>
      </w:r>
      <w:r w:rsidRPr="00827575">
        <w:rPr>
          <w:rFonts w:ascii="Cambria" w:eastAsia="Calibri" w:hAnsi="Cambria"/>
          <w:sz w:val="22"/>
          <w:szCs w:val="22"/>
          <w:lang w:val="sq-AL" w:eastAsia="en-US" w:bidi="en-US"/>
        </w:rPr>
        <w:t>kualifikuar;</w:t>
      </w:r>
    </w:p>
    <w:p w:rsidR="009E2031" w:rsidRPr="00827575" w:rsidRDefault="00C12331" w:rsidP="009A7C54">
      <w:pPr>
        <w:numPr>
          <w:ilvl w:val="0"/>
          <w:numId w:val="37"/>
        </w:numPr>
        <w:spacing w:line="276" w:lineRule="auto"/>
        <w:jc w:val="both"/>
        <w:rPr>
          <w:rFonts w:ascii="Cambria" w:eastAsia="Times New Roman" w:hAnsi="Cambria"/>
          <w:sz w:val="22"/>
          <w:szCs w:val="22"/>
          <w:lang w:val="sq-AL" w:eastAsia="en-US" w:bidi="en-US"/>
        </w:rPr>
      </w:pPr>
      <w:r>
        <w:rPr>
          <w:rFonts w:ascii="Cambria" w:eastAsia="Calibri" w:hAnsi="Cambria"/>
          <w:sz w:val="22"/>
          <w:szCs w:val="22"/>
          <w:lang w:val="sq-AL" w:eastAsia="en-US" w:bidi="en-US"/>
        </w:rPr>
        <w:t>Mungesën e ndryshimeve</w:t>
      </w:r>
      <w:r w:rsidR="009E2031" w:rsidRPr="00827575">
        <w:rPr>
          <w:rFonts w:ascii="Cambria" w:eastAsia="Calibri" w:hAnsi="Cambria"/>
          <w:sz w:val="22"/>
          <w:szCs w:val="22"/>
          <w:lang w:val="sq-AL" w:eastAsia="en-US" w:bidi="en-US"/>
        </w:rPr>
        <w:t xml:space="preserve"> </w:t>
      </w:r>
      <w:r>
        <w:rPr>
          <w:rFonts w:ascii="Cambria" w:eastAsia="Calibri" w:hAnsi="Cambria"/>
          <w:sz w:val="22"/>
          <w:szCs w:val="22"/>
          <w:lang w:val="sq-AL" w:eastAsia="en-US" w:bidi="en-US"/>
        </w:rPr>
        <w:t>të</w:t>
      </w:r>
      <w:r w:rsidR="009E2031" w:rsidRPr="00827575">
        <w:rPr>
          <w:rFonts w:ascii="Cambria" w:eastAsia="Calibri" w:hAnsi="Cambria"/>
          <w:sz w:val="22"/>
          <w:szCs w:val="22"/>
          <w:lang w:val="sq-AL" w:eastAsia="en-US" w:bidi="en-US"/>
        </w:rPr>
        <w:t xml:space="preserve"> përshkrimeve të punës</w:t>
      </w:r>
      <w:r w:rsidR="00F24773">
        <w:rPr>
          <w:rFonts w:ascii="Cambria" w:eastAsia="Calibri" w:hAnsi="Cambria"/>
          <w:sz w:val="22"/>
          <w:szCs w:val="22"/>
          <w:lang w:val="sq-AL" w:eastAsia="en-US" w:bidi="en-US"/>
        </w:rPr>
        <w:t>,</w:t>
      </w:r>
      <w:r w:rsidR="009E2031" w:rsidRPr="00827575">
        <w:rPr>
          <w:rFonts w:ascii="Cambria" w:eastAsia="Calibri" w:hAnsi="Cambria"/>
          <w:sz w:val="22"/>
          <w:szCs w:val="22"/>
          <w:lang w:val="sq-AL" w:eastAsia="en-US" w:bidi="en-US"/>
        </w:rPr>
        <w:t xml:space="preserve"> për shkak të ndryshimeve strukturore. </w:t>
      </w:r>
    </w:p>
    <w:p w:rsidR="009E2031" w:rsidRPr="00827575" w:rsidRDefault="009E2031" w:rsidP="009E2031">
      <w:pPr>
        <w:ind w:left="720"/>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 xml:space="preserve">istemin e prokurimeve evidentohen në: </w:t>
      </w:r>
    </w:p>
    <w:p w:rsidR="009E2031" w:rsidRPr="00827575" w:rsidRDefault="009E2031" w:rsidP="009A7C54">
      <w:pPr>
        <w:numPr>
          <w:ilvl w:val="0"/>
          <w:numId w:val="38"/>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Moskryerjen e përllogaritjes së fondit limit dhe vlerës limit të kontratave publike konform kërkesave ligjore; </w:t>
      </w:r>
    </w:p>
    <w:p w:rsidR="009E2031" w:rsidRPr="00827575" w:rsidRDefault="009E2031" w:rsidP="009A7C54">
      <w:pPr>
        <w:numPr>
          <w:ilvl w:val="0"/>
          <w:numId w:val="38"/>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Copëzimin e fondit limit për blerjen e të njëjtit mall apo shërbim, për të shmangur procedurat përkatëse të tenderimit;</w:t>
      </w:r>
    </w:p>
    <w:p w:rsidR="009E2031" w:rsidRPr="009A7C54" w:rsidRDefault="007171D5" w:rsidP="009A7C54">
      <w:pPr>
        <w:numPr>
          <w:ilvl w:val="0"/>
          <w:numId w:val="38"/>
        </w:numPr>
        <w:spacing w:line="276" w:lineRule="auto"/>
        <w:jc w:val="both"/>
        <w:rPr>
          <w:rFonts w:ascii="Cambria" w:eastAsia="Calibri" w:hAnsi="Cambria"/>
          <w:sz w:val="22"/>
          <w:szCs w:val="22"/>
          <w:lang w:val="sq-AL" w:eastAsia="en-US" w:bidi="en-US"/>
        </w:rPr>
      </w:pPr>
      <w:r>
        <w:rPr>
          <w:rFonts w:ascii="Cambria" w:eastAsia="Times New Roman" w:hAnsi="Cambria"/>
          <w:sz w:val="22"/>
          <w:szCs w:val="22"/>
          <w:lang w:val="sq-AL" w:eastAsia="en-US" w:bidi="en-US"/>
        </w:rPr>
        <w:t xml:space="preserve">Mungesës së përcaktimit të </w:t>
      </w:r>
      <w:r w:rsidR="009E2031" w:rsidRPr="00827575">
        <w:rPr>
          <w:rFonts w:ascii="Cambria" w:eastAsia="Times New Roman" w:hAnsi="Cambria"/>
          <w:sz w:val="22"/>
          <w:szCs w:val="22"/>
          <w:lang w:val="sq-AL" w:eastAsia="en-US" w:bidi="en-US"/>
        </w:rPr>
        <w:t>drejtë të specifikime</w:t>
      </w:r>
      <w:r w:rsidR="00F24773">
        <w:rPr>
          <w:rFonts w:ascii="Cambria" w:eastAsia="Times New Roman" w:hAnsi="Cambria"/>
          <w:sz w:val="22"/>
          <w:szCs w:val="22"/>
          <w:lang w:val="sq-AL" w:eastAsia="en-US" w:bidi="en-US"/>
        </w:rPr>
        <w:t>ve</w:t>
      </w:r>
      <w:r w:rsidR="009E2031" w:rsidRPr="00827575">
        <w:rPr>
          <w:rFonts w:ascii="Cambria" w:eastAsia="Times New Roman" w:hAnsi="Cambria"/>
          <w:sz w:val="22"/>
          <w:szCs w:val="22"/>
          <w:lang w:val="sq-AL" w:eastAsia="en-US" w:bidi="en-US"/>
        </w:rPr>
        <w:t xml:space="preserve"> teknike.</w:t>
      </w:r>
    </w:p>
    <w:p w:rsidR="00C12331" w:rsidRDefault="00C12331" w:rsidP="009E2031">
      <w:pPr>
        <w:jc w:val="both"/>
        <w:rPr>
          <w:rFonts w:ascii="Calibri" w:eastAsia="Calibri" w:hAnsi="Calibri"/>
          <w:sz w:val="8"/>
          <w:szCs w:val="8"/>
          <w:lang w:val="sq-AL" w:eastAsia="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istemin e kontabilitetit dhe raportimit publik evidentohen në:</w:t>
      </w:r>
    </w:p>
    <w:p w:rsidR="009E2031" w:rsidRPr="00827575" w:rsidRDefault="007D2656" w:rsidP="009A7C54">
      <w:pPr>
        <w:numPr>
          <w:ilvl w:val="0"/>
          <w:numId w:val="39"/>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 xml:space="preserve">Mungesës së </w:t>
      </w:r>
      <w:r w:rsidR="009E2031" w:rsidRPr="00827575">
        <w:rPr>
          <w:rFonts w:ascii="Cambria" w:eastAsia="Times New Roman" w:hAnsi="Cambria"/>
          <w:sz w:val="22"/>
          <w:szCs w:val="22"/>
          <w:lang w:val="sq-AL" w:eastAsia="en-US" w:bidi="en-US"/>
        </w:rPr>
        <w:t>krijimi</w:t>
      </w:r>
      <w:r>
        <w:rPr>
          <w:rFonts w:ascii="Cambria" w:eastAsia="Times New Roman" w:hAnsi="Cambria"/>
          <w:sz w:val="22"/>
          <w:szCs w:val="22"/>
          <w:lang w:val="sq-AL" w:eastAsia="en-US" w:bidi="en-US"/>
        </w:rPr>
        <w:t>t</w:t>
      </w:r>
      <w:r w:rsidR="009E2031"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të</w:t>
      </w:r>
      <w:r w:rsidR="009E2031" w:rsidRPr="00827575">
        <w:rPr>
          <w:rFonts w:ascii="Cambria" w:eastAsia="Times New Roman" w:hAnsi="Cambria"/>
          <w:sz w:val="22"/>
          <w:szCs w:val="22"/>
          <w:lang w:val="sq-AL" w:eastAsia="en-US" w:bidi="en-US"/>
        </w:rPr>
        <w:t xml:space="preserve"> regjistrave kontabël të të gjitha aktiveve;</w:t>
      </w:r>
    </w:p>
    <w:p w:rsidR="009E2031" w:rsidRPr="00827575" w:rsidRDefault="009E2031" w:rsidP="009A7C54">
      <w:pPr>
        <w:numPr>
          <w:ilvl w:val="0"/>
          <w:numId w:val="39"/>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Mbajtjen në kontabilitet të vlerave të objekteve, që nuk i përkasin njësisë publike; </w:t>
      </w:r>
    </w:p>
    <w:p w:rsidR="009E2031" w:rsidRPr="00827575" w:rsidRDefault="009E2031" w:rsidP="009A7C54">
      <w:pPr>
        <w:numPr>
          <w:ilvl w:val="0"/>
          <w:numId w:val="39"/>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Moskontabilizimin në llogarinë e debitoreve të vlerës së masës së zhdëmtimeve të rekomanduar nga auditimet e mëparshme.</w:t>
      </w:r>
    </w:p>
    <w:p w:rsidR="009E2031" w:rsidRPr="00827575" w:rsidRDefault="009E2031" w:rsidP="009E2031">
      <w:pPr>
        <w:ind w:left="720"/>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istemin e kontrollit të brendshëm evidentohen në:</w:t>
      </w:r>
    </w:p>
    <w:p w:rsidR="009E2031" w:rsidRPr="00827575" w:rsidRDefault="00BA3BAD" w:rsidP="009A7C54">
      <w:pPr>
        <w:numPr>
          <w:ilvl w:val="0"/>
          <w:numId w:val="40"/>
        </w:numPr>
        <w:spacing w:line="276" w:lineRule="auto"/>
        <w:jc w:val="both"/>
        <w:rPr>
          <w:rFonts w:ascii="Cambria" w:eastAsia="Times New Roman" w:hAnsi="Cambria"/>
          <w:i/>
          <w:sz w:val="22"/>
          <w:szCs w:val="22"/>
          <w:lang w:val="sq-AL" w:eastAsia="en-US" w:bidi="en-US"/>
        </w:rPr>
      </w:pPr>
      <w:r>
        <w:rPr>
          <w:rFonts w:ascii="Cambria" w:eastAsia="Times New Roman" w:hAnsi="Cambria"/>
          <w:sz w:val="22"/>
          <w:szCs w:val="22"/>
          <w:lang w:val="sq-AL" w:eastAsia="en-US" w:bidi="en-US"/>
        </w:rPr>
        <w:t>Mungesës së hartimit të</w:t>
      </w:r>
      <w:r w:rsidR="009E2031" w:rsidRPr="00827575">
        <w:rPr>
          <w:rFonts w:ascii="Cambria" w:eastAsia="Times New Roman" w:hAnsi="Cambria"/>
          <w:sz w:val="22"/>
          <w:szCs w:val="22"/>
          <w:lang w:val="sq-AL" w:eastAsia="en-US" w:bidi="en-US"/>
        </w:rPr>
        <w:t xml:space="preserve"> gjurmëve të auditimit dhe përshkrimit të proceseve të punës;</w:t>
      </w:r>
    </w:p>
    <w:p w:rsidR="009E2031" w:rsidRPr="00827575" w:rsidRDefault="00BA3BAD" w:rsidP="009A7C54">
      <w:pPr>
        <w:numPr>
          <w:ilvl w:val="0"/>
          <w:numId w:val="40"/>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Mungesës së hartimit</w:t>
      </w:r>
      <w:r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dh</w:t>
      </w:r>
      <w:r w:rsidR="009E2031" w:rsidRPr="00827575">
        <w:rPr>
          <w:rFonts w:ascii="Cambria" w:eastAsia="Times New Roman" w:hAnsi="Cambria"/>
          <w:sz w:val="22"/>
          <w:szCs w:val="22"/>
          <w:lang w:val="sq-AL" w:eastAsia="en-US" w:bidi="en-US"/>
        </w:rPr>
        <w:t>e përditësimi</w:t>
      </w:r>
      <w:r>
        <w:rPr>
          <w:rFonts w:ascii="Cambria" w:eastAsia="Times New Roman" w:hAnsi="Cambria"/>
          <w:sz w:val="22"/>
          <w:szCs w:val="22"/>
          <w:lang w:val="sq-AL" w:eastAsia="en-US" w:bidi="en-US"/>
        </w:rPr>
        <w:t>t</w:t>
      </w:r>
      <w:r w:rsidR="009E2031"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të</w:t>
      </w:r>
      <w:r w:rsidR="009E2031" w:rsidRPr="00827575">
        <w:rPr>
          <w:rFonts w:ascii="Cambria" w:eastAsia="Times New Roman" w:hAnsi="Cambria"/>
          <w:sz w:val="22"/>
          <w:szCs w:val="22"/>
          <w:lang w:val="sq-AL" w:eastAsia="en-US" w:bidi="en-US"/>
        </w:rPr>
        <w:t xml:space="preserve"> regjistrave të riskut dhe planeve për aktivitetet e kontrollit për menaxhimin efektiv të risqeve; </w:t>
      </w:r>
    </w:p>
    <w:p w:rsidR="009E2031" w:rsidRPr="00827575" w:rsidRDefault="009E2031" w:rsidP="009A7C54">
      <w:pPr>
        <w:numPr>
          <w:ilvl w:val="0"/>
          <w:numId w:val="40"/>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Mospërditësimin e rregulloreve pas ndryshimeve strukturore.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istemin e pagesave dhe shpërblimeve të punës evidentohen në:</w:t>
      </w:r>
    </w:p>
    <w:p w:rsidR="009E2031" w:rsidRPr="00827575" w:rsidRDefault="00700561" w:rsidP="009A7C54">
      <w:pPr>
        <w:numPr>
          <w:ilvl w:val="0"/>
          <w:numId w:val="41"/>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 xml:space="preserve">Mungesën e </w:t>
      </w:r>
      <w:r w:rsidR="009E2031" w:rsidRPr="00827575">
        <w:rPr>
          <w:rFonts w:ascii="Cambria" w:eastAsia="Times New Roman" w:hAnsi="Cambria"/>
          <w:sz w:val="22"/>
          <w:szCs w:val="22"/>
          <w:lang w:val="sq-AL" w:eastAsia="en-US" w:bidi="en-US"/>
        </w:rPr>
        <w:t>interpretim</w:t>
      </w:r>
      <w:r>
        <w:rPr>
          <w:rFonts w:ascii="Cambria" w:eastAsia="Times New Roman" w:hAnsi="Cambria"/>
          <w:sz w:val="22"/>
          <w:szCs w:val="22"/>
          <w:lang w:val="sq-AL" w:eastAsia="en-US" w:bidi="en-US"/>
        </w:rPr>
        <w:t>it</w:t>
      </w:r>
      <w:r w:rsidR="009E2031"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të saktë të</w:t>
      </w:r>
      <w:r w:rsidR="009E2031" w:rsidRPr="00827575">
        <w:rPr>
          <w:rFonts w:ascii="Cambria" w:eastAsia="Times New Roman" w:hAnsi="Cambria"/>
          <w:sz w:val="22"/>
          <w:szCs w:val="22"/>
          <w:lang w:val="sq-AL" w:eastAsia="en-US" w:bidi="en-US"/>
        </w:rPr>
        <w:t xml:space="preserve"> kuadrit ligjor për pagesat për punën jashtë kohës normale, në ditët e pushimit, festave zyrtare dhe për pagesat e vështirësive; </w:t>
      </w:r>
    </w:p>
    <w:p w:rsidR="009E2031" w:rsidRPr="00827575" w:rsidRDefault="00700561" w:rsidP="009A7C54">
      <w:pPr>
        <w:numPr>
          <w:ilvl w:val="0"/>
          <w:numId w:val="41"/>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Interpretimin jo të</w:t>
      </w:r>
      <w:r w:rsidR="009E2031" w:rsidRPr="00827575">
        <w:rPr>
          <w:rFonts w:ascii="Cambria" w:eastAsia="Times New Roman" w:hAnsi="Cambria"/>
          <w:sz w:val="22"/>
          <w:szCs w:val="22"/>
          <w:lang w:val="sq-AL" w:eastAsia="en-US" w:bidi="en-US"/>
        </w:rPr>
        <w:t xml:space="preserve"> saktë </w:t>
      </w:r>
      <w:r>
        <w:rPr>
          <w:rFonts w:ascii="Cambria" w:eastAsia="Times New Roman" w:hAnsi="Cambria"/>
          <w:sz w:val="22"/>
          <w:szCs w:val="22"/>
          <w:lang w:val="sq-AL" w:eastAsia="en-US" w:bidi="en-US"/>
        </w:rPr>
        <w:t>të</w:t>
      </w:r>
      <w:r w:rsidR="009E2031" w:rsidRPr="00827575">
        <w:rPr>
          <w:rFonts w:ascii="Cambria" w:eastAsia="Times New Roman" w:hAnsi="Cambria"/>
          <w:sz w:val="22"/>
          <w:szCs w:val="22"/>
          <w:lang w:val="sq-AL" w:eastAsia="en-US" w:bidi="en-US"/>
        </w:rPr>
        <w:t xml:space="preserve"> kuadrit ligjor dhe mungesë</w:t>
      </w:r>
      <w:r>
        <w:rPr>
          <w:rFonts w:ascii="Cambria" w:eastAsia="Times New Roman" w:hAnsi="Cambria"/>
          <w:sz w:val="22"/>
          <w:szCs w:val="22"/>
          <w:lang w:val="sq-AL" w:eastAsia="en-US" w:bidi="en-US"/>
        </w:rPr>
        <w:t>n e</w:t>
      </w:r>
      <w:r w:rsidR="009E2031" w:rsidRPr="00827575">
        <w:rPr>
          <w:rFonts w:ascii="Cambria" w:eastAsia="Times New Roman" w:hAnsi="Cambria"/>
          <w:sz w:val="22"/>
          <w:szCs w:val="22"/>
          <w:lang w:val="sq-AL" w:eastAsia="en-US" w:bidi="en-US"/>
        </w:rPr>
        <w:t xml:space="preserve"> dokumentacioni</w:t>
      </w:r>
      <w:r>
        <w:rPr>
          <w:rFonts w:ascii="Cambria" w:eastAsia="Times New Roman" w:hAnsi="Cambria"/>
          <w:sz w:val="22"/>
          <w:szCs w:val="22"/>
          <w:lang w:val="sq-AL" w:eastAsia="en-US" w:bidi="en-US"/>
        </w:rPr>
        <w:t>t</w:t>
      </w:r>
      <w:r w:rsidR="009E2031" w:rsidRPr="00827575">
        <w:rPr>
          <w:rFonts w:ascii="Cambria" w:eastAsia="Times New Roman" w:hAnsi="Cambria"/>
          <w:sz w:val="22"/>
          <w:szCs w:val="22"/>
          <w:lang w:val="sq-AL" w:eastAsia="en-US" w:bidi="en-US"/>
        </w:rPr>
        <w:t xml:space="preserve"> justifikues për shpenzimet për udhëtime e dieta.</w:t>
      </w:r>
    </w:p>
    <w:p w:rsidR="009E2031" w:rsidRPr="00827575" w:rsidRDefault="009E2031" w:rsidP="009E2031">
      <w:pPr>
        <w:ind w:left="720"/>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 xml:space="preserve">istemin e menaxhimit të aktiveve evidentohen në: </w:t>
      </w:r>
    </w:p>
    <w:p w:rsidR="009E2031" w:rsidRPr="00827575" w:rsidRDefault="00700561" w:rsidP="009A7C54">
      <w:pPr>
        <w:numPr>
          <w:ilvl w:val="0"/>
          <w:numId w:val="42"/>
        </w:numPr>
        <w:spacing w:line="276" w:lineRule="auto"/>
        <w:jc w:val="both"/>
        <w:rPr>
          <w:rFonts w:ascii="Cambria" w:eastAsia="Calibri" w:hAnsi="Cambria"/>
          <w:sz w:val="22"/>
          <w:szCs w:val="22"/>
          <w:lang w:val="sq-AL" w:eastAsia="en-US" w:bidi="en-US"/>
        </w:rPr>
      </w:pPr>
      <w:r>
        <w:rPr>
          <w:rFonts w:ascii="Cambria" w:eastAsia="Calibri" w:hAnsi="Cambria"/>
          <w:sz w:val="22"/>
          <w:szCs w:val="22"/>
          <w:lang w:val="sq-AL" w:eastAsia="en-US" w:bidi="en-US"/>
        </w:rPr>
        <w:t xml:space="preserve">Mungesën e </w:t>
      </w:r>
      <w:r w:rsidR="009E2031" w:rsidRPr="00827575">
        <w:rPr>
          <w:rFonts w:ascii="Cambria" w:eastAsia="Calibri" w:hAnsi="Cambria"/>
          <w:sz w:val="22"/>
          <w:szCs w:val="22"/>
          <w:lang w:val="sq-AL" w:eastAsia="en-US" w:bidi="en-US"/>
        </w:rPr>
        <w:t>krijimi</w:t>
      </w:r>
      <w:r>
        <w:rPr>
          <w:rFonts w:ascii="Cambria" w:eastAsia="Calibri" w:hAnsi="Cambria"/>
          <w:sz w:val="22"/>
          <w:szCs w:val="22"/>
          <w:lang w:val="sq-AL" w:eastAsia="en-US" w:bidi="en-US"/>
        </w:rPr>
        <w:t>t</w:t>
      </w:r>
      <w:r w:rsidR="009E2031" w:rsidRPr="00827575">
        <w:rPr>
          <w:rFonts w:ascii="Cambria" w:eastAsia="Calibri" w:hAnsi="Cambria"/>
          <w:sz w:val="22"/>
          <w:szCs w:val="22"/>
          <w:lang w:val="sq-AL" w:eastAsia="en-US" w:bidi="en-US"/>
        </w:rPr>
        <w:t xml:space="preserve"> </w:t>
      </w:r>
      <w:r>
        <w:rPr>
          <w:rFonts w:ascii="Cambria" w:eastAsia="Calibri" w:hAnsi="Cambria"/>
          <w:sz w:val="22"/>
          <w:szCs w:val="22"/>
          <w:lang w:val="sq-AL" w:eastAsia="en-US" w:bidi="en-US"/>
        </w:rPr>
        <w:t>të</w:t>
      </w:r>
      <w:r w:rsidR="009E2031" w:rsidRPr="00827575">
        <w:rPr>
          <w:rFonts w:ascii="Cambria" w:eastAsia="Calibri" w:hAnsi="Cambria"/>
          <w:sz w:val="22"/>
          <w:szCs w:val="22"/>
          <w:lang w:val="sq-AL" w:eastAsia="en-US" w:bidi="en-US"/>
        </w:rPr>
        <w:t xml:space="preserve"> regjistrit të aseteve;</w:t>
      </w:r>
    </w:p>
    <w:p w:rsidR="009E2031" w:rsidRPr="00827575" w:rsidRDefault="009E2031" w:rsidP="009A7C54">
      <w:pPr>
        <w:numPr>
          <w:ilvl w:val="0"/>
          <w:numId w:val="4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Procesin e vlerësimit dhe nxjerrjes jashtë përdorimit të aseteve.</w:t>
      </w:r>
    </w:p>
    <w:p w:rsidR="009E2031" w:rsidRPr="00FA5000"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Audituesit e brendshëm në institucionet e pavarura në lidhje me vlerësimin e sistemit të kontrollit të brendshëm kanë evidentuar që janë efic</w:t>
      </w:r>
      <w:r>
        <w:rPr>
          <w:rFonts w:ascii="Cambria" w:eastAsia="Calibri" w:hAnsi="Cambria"/>
          <w:sz w:val="22"/>
          <w:szCs w:val="22"/>
          <w:lang w:val="sq-AL" w:eastAsia="en-US"/>
        </w:rPr>
        <w:t>i</w:t>
      </w:r>
      <w:r w:rsidRPr="00827575">
        <w:rPr>
          <w:rFonts w:ascii="Cambria" w:eastAsia="Calibri" w:hAnsi="Cambria"/>
          <w:sz w:val="22"/>
          <w:szCs w:val="22"/>
          <w:lang w:val="sq-AL" w:eastAsia="en-US"/>
        </w:rPr>
        <w:t>ente</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por gjithmonë ka nevojë për përmirësime në hartimin dhe përditësimin e rregulloreve, përcaktimin e saktë të detyrave dhe përgjegjësive, </w:t>
      </w:r>
      <w:r w:rsidRPr="00FA5000">
        <w:rPr>
          <w:rFonts w:ascii="Cambria" w:eastAsia="Calibri" w:hAnsi="Cambria"/>
          <w:sz w:val="22"/>
          <w:szCs w:val="22"/>
          <w:lang w:val="sq-AL" w:eastAsia="en-US"/>
        </w:rPr>
        <w:t xml:space="preserve">identifikimin e risqeve, etj. </w:t>
      </w:r>
      <w:r w:rsidRPr="00FA5000">
        <w:rPr>
          <w:rFonts w:ascii="Cambria" w:eastAsia="Calibri" w:hAnsi="Cambria"/>
          <w:color w:val="000000"/>
          <w:sz w:val="22"/>
          <w:szCs w:val="22"/>
          <w:lang w:val="sq-AL" w:eastAsia="en-US"/>
        </w:rPr>
        <w:t xml:space="preserve"> </w:t>
      </w:r>
    </w:p>
    <w:p w:rsidR="009E2031" w:rsidRPr="00FA5000" w:rsidRDefault="009E2031" w:rsidP="009E2031">
      <w:pPr>
        <w:jc w:val="both"/>
        <w:rPr>
          <w:rFonts w:ascii="Cambria" w:eastAsia="Calibri" w:hAnsi="Cambria"/>
          <w:sz w:val="8"/>
          <w:szCs w:val="8"/>
          <w:lang w:val="sq-AL" w:eastAsia="en-US"/>
        </w:rPr>
      </w:pPr>
    </w:p>
    <w:p w:rsidR="009E2031" w:rsidRPr="00FA5000" w:rsidRDefault="009E2031" w:rsidP="009E2031">
      <w:pPr>
        <w:jc w:val="both"/>
        <w:rPr>
          <w:rFonts w:ascii="Cambria" w:eastAsia="Calibri" w:hAnsi="Cambria"/>
          <w:sz w:val="22"/>
          <w:szCs w:val="22"/>
          <w:lang w:val="sq-AL" w:eastAsia="en-US"/>
        </w:rPr>
      </w:pPr>
      <w:r w:rsidRPr="00FA5000">
        <w:rPr>
          <w:rFonts w:ascii="Cambria" w:eastAsia="Calibri" w:hAnsi="Cambria"/>
          <w:sz w:val="22"/>
          <w:szCs w:val="22"/>
          <w:lang w:val="sq-AL" w:eastAsia="en-US"/>
        </w:rPr>
        <w:t>Disa nga vlerësimet e sistemeve të kontrollit të brendshëm nga NJAB e grupit të institucioneve të pavarura paraqiten:</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t>Sistemi i kontroll</w:t>
      </w:r>
      <w:r w:rsidR="00BE3515" w:rsidRPr="00FA5000">
        <w:rPr>
          <w:rFonts w:eastAsia="Calibri"/>
          <w:lang w:val="sq-AL"/>
        </w:rPr>
        <w:t>it të brendshëm nuk ka qënë efiç</w:t>
      </w:r>
      <w:r w:rsidRPr="00FA5000">
        <w:rPr>
          <w:rFonts w:eastAsia="Calibri"/>
          <w:lang w:val="sq-AL"/>
        </w:rPr>
        <w:t>ent, gjë që ka ndikuar në mosrealizimin në kohë të objektivave, si rezultat i mosfunksionimit të monitorimit të proceseve të kontrollit (INSTAT).</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t>Sistemi i menaxhimit financiar dhe kontrollit të brendshëm ka funksionuar në nivelin e duhur. Risqet janë të përcaktuara në strategjinë e menaxhimit të riskut, për ta mbajtur ekspozimin ndaj riskut në një nivel të pranueshëm, por nuk janë marrë masa për përditësimin e tij (Autoriteti i Mbik</w:t>
      </w:r>
      <w:r w:rsidR="004A2E67" w:rsidRPr="00FA5000">
        <w:rPr>
          <w:rFonts w:eastAsia="Calibri"/>
          <w:lang w:val="sq-AL"/>
        </w:rPr>
        <w:t>ë</w:t>
      </w:r>
      <w:r w:rsidRPr="00FA5000">
        <w:rPr>
          <w:rFonts w:eastAsia="Calibri"/>
          <w:lang w:val="sq-AL"/>
        </w:rPr>
        <w:t xml:space="preserve">qyrjes Financiare). </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t>Sistemet e kontrollit të brendshëm në të gjitha gjykatat funksionojnë dhe janë efektive (Këshilli i Lartë Gjyqësor).</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t>Vlerësimi që sistemet e kontrollit të brendshëm janë efektive dhe funksionojnë në nivelin e duhur, dhënë nga Këshilli i Lartë Gjyqësor dhe Autoriteti i Mbik</w:t>
      </w:r>
      <w:r w:rsidR="00FA383D" w:rsidRPr="00FA5000">
        <w:rPr>
          <w:rFonts w:eastAsia="Calibri"/>
          <w:lang w:val="sq-AL"/>
        </w:rPr>
        <w:t>ë</w:t>
      </w:r>
      <w:r w:rsidRPr="00FA5000">
        <w:rPr>
          <w:rFonts w:eastAsia="Calibri"/>
          <w:lang w:val="sq-AL"/>
        </w:rPr>
        <w:t xml:space="preserve">qyrjes Financiare, nuk është në konformitet me numrin e gjetjeve dhe risqet e identifikuara sipas sistemeve të raportuara nga këto njësi auditimi. </w:t>
      </w:r>
    </w:p>
    <w:p w:rsidR="009E2031" w:rsidRPr="00827575" w:rsidRDefault="009E2031" w:rsidP="009E2031">
      <w:pPr>
        <w:jc w:val="both"/>
        <w:rPr>
          <w:rFonts w:ascii="Cambria" w:eastAsia="Calibri" w:hAnsi="Cambria"/>
          <w:b/>
          <w:sz w:val="12"/>
          <w:szCs w:val="12"/>
          <w:lang w:val="sq-AL" w:eastAsia="en-US" w:bidi="en-US"/>
        </w:rPr>
      </w:pPr>
    </w:p>
    <w:p w:rsidR="009E2031" w:rsidRPr="00827575" w:rsidRDefault="00A444A1" w:rsidP="009E2031">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 xml:space="preserve">NJAB </w:t>
      </w:r>
      <w:r w:rsidRPr="00827575">
        <w:rPr>
          <w:rFonts w:ascii="Cambria" w:eastAsia="Calibri" w:hAnsi="Cambria"/>
          <w:b/>
          <w:sz w:val="20"/>
          <w:szCs w:val="20"/>
          <w:lang w:val="sq-AL" w:eastAsia="en-US"/>
        </w:rPr>
        <w:t xml:space="preserve">në  </w:t>
      </w:r>
      <w:r w:rsidRPr="00827575">
        <w:rPr>
          <w:rFonts w:ascii="Cambria" w:eastAsia="Calibri" w:hAnsi="Cambria"/>
          <w:b/>
          <w:sz w:val="20"/>
          <w:szCs w:val="20"/>
          <w:lang w:val="sq-AL" w:eastAsia="en-US" w:bidi="en-US"/>
        </w:rPr>
        <w:t xml:space="preserve">institucionet e pavarura </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Rekomandimet e lëna pranë subjekteve të audituara nga NJAB në institucionet e pavarura janë të sakta, specifike, bindëse në përmbajtje</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duke patur si qëllim </w:t>
      </w:r>
      <w:r>
        <w:rPr>
          <w:rFonts w:ascii="Cambria" w:eastAsia="Calibri" w:hAnsi="Cambria"/>
          <w:sz w:val="22"/>
          <w:szCs w:val="22"/>
          <w:lang w:val="sq-AL" w:eastAsia="en-US" w:bidi="en-US"/>
        </w:rPr>
        <w:t>përmirësimin e proceseve të punë</w:t>
      </w:r>
      <w:r w:rsidRPr="00827575">
        <w:rPr>
          <w:rFonts w:ascii="Cambria" w:eastAsia="Calibri" w:hAnsi="Cambria"/>
          <w:sz w:val="22"/>
          <w:szCs w:val="22"/>
          <w:lang w:val="sq-AL" w:eastAsia="en-US" w:bidi="en-US"/>
        </w:rPr>
        <w:t>s, duke përcaktuar “nivelin e prioritetit” dhe “afatin e zbatimit”. Por</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ndërmjet tyre</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veçojmë se disa prej rekomandimeve paraqesin referencën ligjore mbi të cilën ato janë mbështetur apo subjektit të audituar i është rekomanduar zbatimi i legjislacionit në fushën e audituar, duke mos dhënë opinion e rekomandim konkret për</w:t>
      </w:r>
      <w:r>
        <w:rPr>
          <w:rFonts w:ascii="Cambria" w:eastAsia="Calibri" w:hAnsi="Cambria"/>
          <w:sz w:val="22"/>
          <w:szCs w:val="22"/>
          <w:lang w:val="sq-AL" w:eastAsia="en-US" w:bidi="en-US"/>
        </w:rPr>
        <w:t xml:space="preserve"> sistemin specifik të vlerësuar </w:t>
      </w:r>
      <w:r w:rsidRPr="00827575">
        <w:rPr>
          <w:rFonts w:ascii="Cambria" w:eastAsia="Calibri" w:hAnsi="Cambria"/>
          <w:sz w:val="22"/>
          <w:szCs w:val="22"/>
          <w:lang w:val="sq-AL" w:eastAsia="en-US" w:bidi="en-US"/>
        </w:rPr>
        <w:t>(Prokuroria e Përgjithshme dhe Autoriteti i Mbik</w:t>
      </w:r>
      <w:r w:rsidR="00DB797E">
        <w:rPr>
          <w:rFonts w:ascii="Cambria" w:eastAsia="Calibri" w:hAnsi="Cambria"/>
          <w:sz w:val="22"/>
          <w:szCs w:val="22"/>
          <w:lang w:val="sq-AL" w:eastAsia="en-US" w:bidi="en-US"/>
        </w:rPr>
        <w:t>ë</w:t>
      </w:r>
      <w:r w:rsidRPr="00827575">
        <w:rPr>
          <w:rFonts w:ascii="Cambria" w:eastAsia="Calibri" w:hAnsi="Cambria"/>
          <w:sz w:val="22"/>
          <w:szCs w:val="22"/>
          <w:lang w:val="sq-AL" w:eastAsia="en-US" w:bidi="en-US"/>
        </w:rPr>
        <w:t xml:space="preserve">qyrjes Financiare). </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për përmirësimin e kuadrit ligjor që lidhen me propozime për ndryshime ligjore, për përditësim të urdhërave, udhëzimeve dhe manualeve në fuqi, të lidhura këto me misionin dhe fushën e veprimtarisë së subjekteve të audituara (FSDKSH, FSHZH dhe AMF).</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për përmirësimin e sistemeve që lidhen me hartimin e regjistrit të aseteve, hartimin e gjurmëve të auditimit për proceset e punës, rritjen e cilësisë së planifikimit dhe zbatimit të buxhetit të shtetit, ruajtja e aseteve, etj.</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të karakterit organizativ që lidhen me rishikim të rregulloreve të brendshme, përcaktimin e metodave dhe procedurave të unifikuara dhe dokumentacionit standard që duhet të hartohet nga çdo specialist, rishikim i hartës së proceseve të punës për çdo sektor, rishikim dhe azhornim i përshkrimeve të punës dhe ndarje e detyrave për çdo specialist. (FSDKSH, Fondi Shqiptar i Zhvillimit dhe AMF).</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sipas qëllimit dhe misionit të institucionit. Numri më i madh i rekomandimeve të propozuara nga NJAB pranë: FSDKSH, Fondi Shqiptar i Zhvillimit dhe Autoritetit të Mbik</w:t>
      </w:r>
      <w:r w:rsidR="00BA065D">
        <w:rPr>
          <w:rFonts w:ascii="Cambria" w:eastAsia="Times New Roman" w:hAnsi="Cambria"/>
          <w:sz w:val="22"/>
          <w:szCs w:val="22"/>
          <w:lang w:val="sq-AL" w:eastAsia="en-US" w:bidi="en-US"/>
        </w:rPr>
        <w:t>ë</w:t>
      </w:r>
      <w:r w:rsidRPr="00827575">
        <w:rPr>
          <w:rFonts w:ascii="Cambria" w:eastAsia="Times New Roman" w:hAnsi="Cambria"/>
          <w:sz w:val="22"/>
          <w:szCs w:val="22"/>
          <w:lang w:val="sq-AL" w:eastAsia="en-US" w:bidi="en-US"/>
        </w:rPr>
        <w:t xml:space="preserve">qyrjes Financiare, janë të lidhura me sistemet/fushat specifike sipas qëllimit dhe misionit të subjektit të audituar.  </w:t>
      </w:r>
    </w:p>
    <w:p w:rsidR="009E2031" w:rsidRPr="00827575" w:rsidRDefault="009E2031" w:rsidP="009E2031">
      <w:pPr>
        <w:jc w:val="both"/>
        <w:rPr>
          <w:rFonts w:ascii="Cambria" w:eastAsia="Times New Roman" w:hAnsi="Cambria"/>
          <w:sz w:val="8"/>
          <w:szCs w:val="8"/>
          <w:lang w:val="sq-AL" w:eastAsia="en-US" w:bidi="en-US"/>
        </w:rPr>
      </w:pPr>
    </w:p>
    <w:p w:rsidR="009E2031"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Mbi përcaktimin e përgjegjësive</w:t>
      </w:r>
      <w:r w:rsidRPr="00827575">
        <w:rPr>
          <w:rFonts w:ascii="Cambria" w:eastAsia="Times New Roman" w:hAnsi="Cambria"/>
          <w:b/>
          <w:sz w:val="22"/>
          <w:szCs w:val="22"/>
          <w:lang w:val="sq-AL" w:eastAsia="en-US" w:bidi="en-US"/>
        </w:rPr>
        <w:t xml:space="preserve">. </w:t>
      </w:r>
      <w:r w:rsidRPr="00827575">
        <w:rPr>
          <w:rFonts w:ascii="Cambria" w:eastAsia="Times New Roman" w:hAnsi="Cambria"/>
          <w:sz w:val="22"/>
          <w:szCs w:val="22"/>
          <w:lang w:val="sq-AL" w:eastAsia="en-US" w:bidi="en-US"/>
        </w:rPr>
        <w:t>Në raportin vjetor strukturat audituese janë shprehur se për gjetjet e konstatuara kanë përcaktuar plotësisht përgjegjësinë, duke e konsideruar këtë si një tregues pozitiv të performancës së auditimit të brendshëm (Këshilli i Lartë Gjyqësor ) ose që u kanë rekomanduar titullarëve të njësive të audituara dhënien e masave disiplinore për personat përgjegjës (FSDKSH), proces ky jo në funksion të misionit të auditimit të brendshëm dhe në kundërshtim me standardet ndërkombëtare.</w:t>
      </w:r>
    </w:p>
    <w:p w:rsidR="009E2031" w:rsidRPr="00983ACE" w:rsidRDefault="009E2031" w:rsidP="00983ACE">
      <w:pPr>
        <w:pStyle w:val="NoSpacing"/>
        <w:rPr>
          <w:sz w:val="12"/>
          <w:szCs w:val="12"/>
          <w:lang w:val="sq-AL" w:eastAsia="en-US"/>
        </w:rPr>
      </w:pPr>
    </w:p>
    <w:p w:rsidR="009E2031" w:rsidRPr="00624DC5" w:rsidRDefault="009E2031" w:rsidP="009E2031">
      <w:pPr>
        <w:pStyle w:val="ListParagraph"/>
        <w:numPr>
          <w:ilvl w:val="0"/>
          <w:numId w:val="2"/>
        </w:numPr>
        <w:jc w:val="both"/>
        <w:rPr>
          <w:rFonts w:eastAsia="Calibri"/>
          <w:sz w:val="12"/>
          <w:szCs w:val="12"/>
          <w:lang w:val="sq-AL"/>
        </w:rPr>
      </w:pPr>
      <w:r>
        <w:rPr>
          <w:rFonts w:eastAsia="Calibri"/>
          <w:b/>
          <w:noProof/>
          <w:sz w:val="24"/>
          <w:szCs w:val="8"/>
          <w:lang w:val="sq-AL"/>
        </w:rPr>
        <w:t>Shoqëritë Aksionare</w:t>
      </w:r>
      <w:r>
        <w:rPr>
          <w:rStyle w:val="FootnoteReference"/>
          <w:rFonts w:eastAsia="Calibri"/>
          <w:b/>
          <w:noProof/>
          <w:lang w:val="sq-AL"/>
        </w:rPr>
        <w:footnoteReference w:id="2"/>
      </w:r>
    </w:p>
    <w:p w:rsidR="006E61C7" w:rsidRPr="006E61C7" w:rsidRDefault="00A444A1" w:rsidP="006E61C7">
      <w:pPr>
        <w:jc w:val="both"/>
        <w:rPr>
          <w:rFonts w:ascii="Cambria" w:eastAsia="Calibri" w:hAnsi="Cambria"/>
          <w:sz w:val="20"/>
          <w:szCs w:val="20"/>
          <w:lang w:val="sq-AL" w:eastAsia="en-US" w:bidi="en-US"/>
        </w:rPr>
      </w:pPr>
      <w:r>
        <w:rPr>
          <w:rFonts w:ascii="Cambria" w:hAnsi="Cambria" w:cs="Bookman Old Style"/>
          <w:b/>
          <w:color w:val="000000"/>
          <w:sz w:val="20"/>
          <w:szCs w:val="20"/>
          <w:lang w:val="sq-AL" w:eastAsia="en-US"/>
        </w:rPr>
        <w:t>V</w:t>
      </w:r>
      <w:r w:rsidRPr="006E61C7">
        <w:rPr>
          <w:rFonts w:ascii="Cambria" w:hAnsi="Cambria" w:cs="Bookman Old Style"/>
          <w:b/>
          <w:color w:val="000000"/>
          <w:sz w:val="20"/>
          <w:szCs w:val="20"/>
          <w:lang w:val="sq-AL" w:eastAsia="en-US"/>
        </w:rPr>
        <w:t xml:space="preserve">lerësimi i riskut nga NJAB në </w:t>
      </w:r>
      <w:r w:rsidRPr="006E61C7">
        <w:rPr>
          <w:rFonts w:ascii="Cambria" w:eastAsia="Calibri" w:hAnsi="Cambria"/>
          <w:b/>
          <w:sz w:val="20"/>
          <w:szCs w:val="20"/>
          <w:lang w:val="sq-AL" w:eastAsia="en-US"/>
        </w:rPr>
        <w:t xml:space="preserve">shoqëritë aksionere </w:t>
      </w:r>
    </w:p>
    <w:p w:rsidR="006E61C7" w:rsidRPr="006E61C7" w:rsidRDefault="006E61C7" w:rsidP="006E61C7">
      <w:pPr>
        <w:rPr>
          <w:rFonts w:ascii="Cambria" w:eastAsia="Calibri" w:hAnsi="Cambria"/>
          <w:b/>
          <w:sz w:val="12"/>
          <w:szCs w:val="12"/>
          <w:highlight w:val="yellow"/>
          <w:lang w:val="sq-AL" w:eastAsia="en-US"/>
        </w:rPr>
      </w:pPr>
    </w:p>
    <w:p w:rsidR="006E61C7" w:rsidRPr="006E61C7" w:rsidRDefault="006E61C7" w:rsidP="006E61C7">
      <w:pPr>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 xml:space="preserve">NJAB në shoqëritë aksionere </w:t>
      </w:r>
      <w:r w:rsidRPr="006E61C7">
        <w:rPr>
          <w:rFonts w:ascii="Cambria" w:eastAsia="Calibri" w:hAnsi="Cambria"/>
          <w:color w:val="000000"/>
          <w:sz w:val="22"/>
          <w:szCs w:val="22"/>
          <w:lang w:val="sq-AL" w:eastAsia="en-US"/>
        </w:rPr>
        <w:t>kanë identifikuar me risk të lartë</w:t>
      </w:r>
      <w:r w:rsidRPr="006E61C7">
        <w:rPr>
          <w:rFonts w:ascii="Cambria" w:eastAsia="Calibri" w:hAnsi="Cambria"/>
          <w:b/>
          <w:color w:val="000000"/>
          <w:sz w:val="22"/>
          <w:szCs w:val="22"/>
          <w:lang w:val="sq-AL" w:eastAsia="en-US"/>
        </w:rPr>
        <w:t xml:space="preserve"> </w:t>
      </w:r>
      <w:r w:rsidRPr="006E61C7">
        <w:rPr>
          <w:rFonts w:ascii="Cambria" w:eastAsia="Calibri" w:hAnsi="Cambria"/>
          <w:sz w:val="22"/>
          <w:szCs w:val="22"/>
          <w:lang w:val="sq-AL" w:eastAsia="en-US" w:bidi="en-US"/>
        </w:rPr>
        <w:t>këto sisteme:</w:t>
      </w:r>
    </w:p>
    <w:p w:rsidR="006E61C7" w:rsidRPr="006E61C7" w:rsidRDefault="006E61C7" w:rsidP="006E61C7">
      <w:pPr>
        <w:jc w:val="both"/>
        <w:rPr>
          <w:rFonts w:ascii="Cambria" w:eastAsia="Calibri" w:hAnsi="Cambria"/>
          <w:sz w:val="8"/>
          <w:szCs w:val="8"/>
          <w:highlight w:val="yellow"/>
          <w:lang w:val="sq-AL" w:eastAsia="en-US" w:bidi="en-US"/>
        </w:rPr>
      </w:pPr>
    </w:p>
    <w:p w:rsidR="006E61C7" w:rsidRPr="006E61C7" w:rsidRDefault="006E61C7" w:rsidP="006E61C7">
      <w:pPr>
        <w:numPr>
          <w:ilvl w:val="0"/>
          <w:numId w:val="44"/>
        </w:numPr>
        <w:spacing w:line="276" w:lineRule="auto"/>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 xml:space="preserve">Sistemin e kontrollit të brendshëm. </w:t>
      </w:r>
    </w:p>
    <w:p w:rsidR="006E61C7" w:rsidRPr="006E61C7" w:rsidRDefault="006E61C7" w:rsidP="006E61C7">
      <w:pPr>
        <w:numPr>
          <w:ilvl w:val="0"/>
          <w:numId w:val="44"/>
        </w:numPr>
        <w:spacing w:line="276" w:lineRule="auto"/>
        <w:jc w:val="both"/>
        <w:rPr>
          <w:rFonts w:ascii="Cambria" w:eastAsia="Calibri" w:hAnsi="Cambria"/>
          <w:sz w:val="8"/>
          <w:szCs w:val="8"/>
          <w:lang w:val="sq-AL" w:eastAsia="en-US" w:bidi="en-US"/>
        </w:rPr>
      </w:pPr>
      <w:r w:rsidRPr="006E61C7">
        <w:rPr>
          <w:rFonts w:ascii="Cambria" w:eastAsia="Calibri" w:hAnsi="Cambria"/>
          <w:sz w:val="22"/>
          <w:szCs w:val="22"/>
          <w:lang w:val="sq-AL" w:eastAsia="en-US" w:bidi="en-US"/>
        </w:rPr>
        <w:t>Sistemin e programimit financiar dhe të ardhurave;</w:t>
      </w:r>
    </w:p>
    <w:p w:rsidR="006E61C7" w:rsidRPr="006E61C7" w:rsidRDefault="006E61C7" w:rsidP="006E61C7">
      <w:pPr>
        <w:numPr>
          <w:ilvl w:val="0"/>
          <w:numId w:val="44"/>
        </w:numPr>
        <w:spacing w:line="276" w:lineRule="auto"/>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 xml:space="preserve">Sistemin e prokurimeve, blerjeve dhe zbatimit të kontratave; </w:t>
      </w:r>
    </w:p>
    <w:p w:rsidR="006E61C7" w:rsidRPr="006E61C7" w:rsidRDefault="005216B7" w:rsidP="006E61C7">
      <w:pPr>
        <w:numPr>
          <w:ilvl w:val="0"/>
          <w:numId w:val="44"/>
        </w:numPr>
        <w:spacing w:line="276" w:lineRule="auto"/>
        <w:jc w:val="both"/>
        <w:rPr>
          <w:rFonts w:ascii="Cambria" w:eastAsia="Calibri" w:hAnsi="Cambria"/>
          <w:sz w:val="22"/>
          <w:szCs w:val="22"/>
          <w:lang w:val="sq-AL" w:eastAsia="en-US" w:bidi="en-US"/>
        </w:rPr>
      </w:pPr>
      <w:r>
        <w:rPr>
          <w:rFonts w:ascii="Cambria" w:eastAsia="Calibri" w:hAnsi="Cambria"/>
          <w:sz w:val="22"/>
          <w:szCs w:val="22"/>
          <w:lang w:val="sq-AL" w:eastAsia="en-US" w:bidi="en-US"/>
        </w:rPr>
        <w:t>Ndjekjen e debitorë</w:t>
      </w:r>
      <w:r w:rsidR="006E61C7" w:rsidRPr="006E61C7">
        <w:rPr>
          <w:rFonts w:ascii="Cambria" w:eastAsia="Calibri" w:hAnsi="Cambria"/>
          <w:sz w:val="22"/>
          <w:szCs w:val="22"/>
          <w:lang w:val="sq-AL" w:eastAsia="en-US" w:bidi="en-US"/>
        </w:rPr>
        <w:t>ve dhe menaxhimin e aseteve.</w:t>
      </w:r>
    </w:p>
    <w:p w:rsidR="006E61C7" w:rsidRPr="006E61C7" w:rsidRDefault="006E61C7" w:rsidP="006E61C7">
      <w:pPr>
        <w:jc w:val="both"/>
        <w:rPr>
          <w:rFonts w:ascii="Cambria" w:eastAsia="Calibri" w:hAnsi="Cambria"/>
          <w:sz w:val="12"/>
          <w:szCs w:val="12"/>
          <w:lang w:val="sq-AL" w:eastAsia="en-US" w:bidi="en-US"/>
        </w:rPr>
      </w:pPr>
    </w:p>
    <w:p w:rsidR="006E61C7" w:rsidRPr="006E61C7" w:rsidRDefault="00A444A1" w:rsidP="006E61C7">
      <w:pPr>
        <w:jc w:val="both"/>
        <w:rPr>
          <w:rFonts w:ascii="Cambria" w:eastAsia="Calibri" w:hAnsi="Cambria"/>
          <w:b/>
          <w:sz w:val="20"/>
          <w:szCs w:val="20"/>
          <w:lang w:val="sq-AL" w:eastAsia="en-US" w:bidi="en-US"/>
        </w:rPr>
      </w:pPr>
      <w:r>
        <w:rPr>
          <w:rFonts w:ascii="Cambria" w:eastAsia="Calibri" w:hAnsi="Cambria"/>
          <w:b/>
          <w:sz w:val="20"/>
          <w:szCs w:val="20"/>
          <w:lang w:val="sq-AL" w:eastAsia="en-US"/>
        </w:rPr>
        <w:t>G</w:t>
      </w:r>
      <w:r w:rsidRPr="006E61C7">
        <w:rPr>
          <w:rFonts w:ascii="Cambria" w:eastAsia="Calibri" w:hAnsi="Cambria"/>
          <w:b/>
          <w:sz w:val="20"/>
          <w:szCs w:val="20"/>
          <w:lang w:val="sq-AL" w:eastAsia="en-US"/>
        </w:rPr>
        <w:t xml:space="preserve">jetjet </w:t>
      </w:r>
      <w:r w:rsidRPr="006E61C7">
        <w:rPr>
          <w:rFonts w:ascii="Cambria" w:hAnsi="Cambria" w:cs="Bookman Old Style"/>
          <w:b/>
          <w:color w:val="000000"/>
          <w:sz w:val="20"/>
          <w:szCs w:val="20"/>
          <w:lang w:val="sq-AL" w:eastAsia="en-US"/>
        </w:rPr>
        <w:t xml:space="preserve">nga veprimtaria e NJAB </w:t>
      </w:r>
      <w:r w:rsidRPr="006E61C7">
        <w:rPr>
          <w:rFonts w:ascii="Cambria" w:eastAsia="Calibri" w:hAnsi="Cambria"/>
          <w:b/>
          <w:sz w:val="20"/>
          <w:szCs w:val="20"/>
          <w:lang w:val="sq-AL" w:eastAsia="en-US" w:bidi="en-US"/>
        </w:rPr>
        <w:t xml:space="preserve">në shoqëritë aksionere  </w:t>
      </w:r>
    </w:p>
    <w:p w:rsidR="006E61C7" w:rsidRPr="006E61C7" w:rsidRDefault="006E61C7" w:rsidP="006E61C7">
      <w:pPr>
        <w:jc w:val="both"/>
        <w:rPr>
          <w:rFonts w:ascii="Cambria" w:eastAsia="Calibri" w:hAnsi="Cambria"/>
          <w:sz w:val="12"/>
          <w:szCs w:val="12"/>
          <w:lang w:val="sq-AL" w:eastAsia="en-US"/>
        </w:rPr>
      </w:pPr>
    </w:p>
    <w:p w:rsidR="006E61C7" w:rsidRPr="006E61C7" w:rsidRDefault="006E61C7" w:rsidP="006E61C7">
      <w:pPr>
        <w:jc w:val="both"/>
        <w:rPr>
          <w:rFonts w:ascii="Cambria" w:eastAsia="Calibri" w:hAnsi="Cambria"/>
          <w:sz w:val="22"/>
          <w:szCs w:val="22"/>
          <w:lang w:val="sq-AL" w:eastAsia="en-US"/>
        </w:rPr>
      </w:pPr>
      <w:r w:rsidRPr="006E61C7">
        <w:rPr>
          <w:rFonts w:ascii="Cambria" w:eastAsia="Times New Roman" w:hAnsi="Cambria"/>
          <w:sz w:val="22"/>
          <w:szCs w:val="22"/>
          <w:lang w:val="sq-AL" w:eastAsia="en-US"/>
        </w:rPr>
        <w:t xml:space="preserve">NJAB në shoqëritë aksionere </w:t>
      </w:r>
      <w:r w:rsidRPr="006E61C7">
        <w:rPr>
          <w:rFonts w:ascii="Cambria" w:eastAsia="Calibri" w:hAnsi="Cambria"/>
          <w:sz w:val="22"/>
          <w:szCs w:val="22"/>
          <w:lang w:val="sq-AL" w:eastAsia="en-US"/>
        </w:rPr>
        <w:t xml:space="preserve">kanë evidentuar gjetjet sipas sistemeve. </w:t>
      </w:r>
    </w:p>
    <w:p w:rsidR="006E61C7" w:rsidRPr="006E61C7" w:rsidRDefault="006E61C7" w:rsidP="006E61C7">
      <w:pPr>
        <w:widowControl w:val="0"/>
        <w:jc w:val="both"/>
        <w:rPr>
          <w:rFonts w:ascii="Cambria" w:eastAsia="Times New Roman" w:hAnsi="Cambria"/>
          <w:sz w:val="8"/>
          <w:szCs w:val="8"/>
          <w:highlight w:val="yellow"/>
          <w:lang w:eastAsia="en-US" w:bidi="en-US"/>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istemin e kontrollit të brendshëm evidentohen në:</w:t>
      </w:r>
    </w:p>
    <w:p w:rsidR="006E61C7" w:rsidRPr="006E61C7" w:rsidRDefault="001C3FC7" w:rsidP="006E61C7">
      <w:pPr>
        <w:widowControl w:val="0"/>
        <w:numPr>
          <w:ilvl w:val="0"/>
          <w:numId w:val="45"/>
        </w:numPr>
        <w:spacing w:line="276" w:lineRule="auto"/>
        <w:jc w:val="both"/>
        <w:rPr>
          <w:rFonts w:ascii="Cambria" w:hAnsi="Cambria"/>
          <w:sz w:val="22"/>
          <w:szCs w:val="22"/>
          <w:lang w:eastAsia="en-US"/>
        </w:rPr>
      </w:pPr>
      <w:r>
        <w:rPr>
          <w:rFonts w:ascii="Cambria" w:hAnsi="Cambria"/>
          <w:sz w:val="22"/>
          <w:szCs w:val="22"/>
          <w:lang w:eastAsia="en-US"/>
        </w:rPr>
        <w:t xml:space="preserve">Mungesën e hartimit </w:t>
      </w:r>
      <w:r w:rsidR="006E61C7" w:rsidRPr="006E61C7">
        <w:rPr>
          <w:rFonts w:ascii="Cambria" w:hAnsi="Cambria"/>
          <w:sz w:val="22"/>
          <w:szCs w:val="22"/>
          <w:lang w:eastAsia="en-US"/>
        </w:rPr>
        <w:t xml:space="preserve">të </w:t>
      </w:r>
      <w:r w:rsidR="006E61C7" w:rsidRPr="006E61C7">
        <w:rPr>
          <w:rFonts w:ascii="Cambria" w:eastAsia="Times New Roman" w:hAnsi="Cambria"/>
          <w:sz w:val="22"/>
          <w:szCs w:val="22"/>
          <w:lang w:eastAsia="en-US" w:bidi="en-US"/>
        </w:rPr>
        <w:t xml:space="preserve">regjistrit të riskut; </w:t>
      </w:r>
      <w:r w:rsidR="006E61C7" w:rsidRPr="006E61C7">
        <w:rPr>
          <w:rFonts w:ascii="Cambria" w:hAnsi="Cambria"/>
          <w:sz w:val="22"/>
          <w:szCs w:val="22"/>
          <w:lang w:eastAsia="en-US"/>
        </w:rPr>
        <w:t xml:space="preserve"> </w:t>
      </w:r>
    </w:p>
    <w:p w:rsidR="006E61C7" w:rsidRPr="006E61C7" w:rsidRDefault="00B030C3" w:rsidP="006E61C7">
      <w:pPr>
        <w:widowControl w:val="0"/>
        <w:numPr>
          <w:ilvl w:val="0"/>
          <w:numId w:val="45"/>
        </w:numPr>
        <w:spacing w:line="276" w:lineRule="auto"/>
        <w:jc w:val="both"/>
        <w:rPr>
          <w:rFonts w:ascii="Cambria" w:hAnsi="Cambria"/>
          <w:sz w:val="22"/>
          <w:szCs w:val="22"/>
          <w:lang w:eastAsia="en-US"/>
        </w:rPr>
      </w:pPr>
      <w:r>
        <w:rPr>
          <w:rFonts w:ascii="Cambria" w:hAnsi="Cambria"/>
          <w:sz w:val="22"/>
          <w:szCs w:val="22"/>
          <w:lang w:eastAsia="en-US"/>
        </w:rPr>
        <w:t>Mungesën e hartimit të</w:t>
      </w:r>
      <w:r w:rsidR="006E61C7" w:rsidRPr="006E61C7">
        <w:rPr>
          <w:rFonts w:ascii="Cambria" w:hAnsi="Cambria"/>
          <w:sz w:val="22"/>
          <w:szCs w:val="22"/>
          <w:lang w:eastAsia="en-US"/>
        </w:rPr>
        <w:t xml:space="preserve"> strategjisë për menaxhimin e riskut; </w:t>
      </w:r>
    </w:p>
    <w:p w:rsidR="006E61C7" w:rsidRPr="006E61C7" w:rsidRDefault="006E61C7" w:rsidP="006E61C7">
      <w:pPr>
        <w:widowControl w:val="0"/>
        <w:numPr>
          <w:ilvl w:val="0"/>
          <w:numId w:val="45"/>
        </w:numPr>
        <w:spacing w:line="276" w:lineRule="auto"/>
        <w:jc w:val="both"/>
        <w:rPr>
          <w:rFonts w:ascii="Cambria" w:eastAsia="Times New Roman" w:hAnsi="Cambria"/>
          <w:sz w:val="22"/>
          <w:szCs w:val="22"/>
          <w:lang w:eastAsia="en-US" w:bidi="en-US"/>
        </w:rPr>
      </w:pPr>
      <w:r w:rsidRPr="006E61C7">
        <w:rPr>
          <w:rFonts w:ascii="Cambria" w:hAnsi="Cambria"/>
          <w:sz w:val="22"/>
          <w:szCs w:val="22"/>
          <w:lang w:eastAsia="en-US"/>
        </w:rPr>
        <w:t>Mungesën e veprimtarive të kontrollit;</w:t>
      </w:r>
      <w:r w:rsidRPr="006E61C7">
        <w:rPr>
          <w:rFonts w:ascii="Cambria" w:eastAsia="Times New Roman" w:hAnsi="Cambria"/>
          <w:sz w:val="22"/>
          <w:szCs w:val="22"/>
          <w:lang w:eastAsia="en-US" w:bidi="en-US"/>
        </w:rPr>
        <w:t xml:space="preserve"> </w:t>
      </w:r>
    </w:p>
    <w:p w:rsidR="006E61C7" w:rsidRPr="006E61C7" w:rsidRDefault="00042781" w:rsidP="006E61C7">
      <w:pPr>
        <w:widowControl w:val="0"/>
        <w:numPr>
          <w:ilvl w:val="0"/>
          <w:numId w:val="45"/>
        </w:numPr>
        <w:spacing w:line="276" w:lineRule="auto"/>
        <w:jc w:val="both"/>
        <w:rPr>
          <w:rFonts w:ascii="Cambria" w:hAnsi="Cambria"/>
          <w:sz w:val="22"/>
          <w:szCs w:val="22"/>
          <w:lang w:eastAsia="en-US"/>
        </w:rPr>
      </w:pPr>
      <w:r>
        <w:rPr>
          <w:rFonts w:ascii="Cambria" w:eastAsia="Times New Roman" w:hAnsi="Cambria"/>
          <w:sz w:val="22"/>
          <w:szCs w:val="22"/>
          <w:lang w:eastAsia="en-US" w:bidi="en-US"/>
        </w:rPr>
        <w:t>Mungesën e</w:t>
      </w:r>
      <w:r w:rsidR="006E61C7" w:rsidRPr="006E61C7">
        <w:rPr>
          <w:rFonts w:ascii="Cambria" w:eastAsia="Times New Roman" w:hAnsi="Cambria"/>
          <w:sz w:val="22"/>
          <w:szCs w:val="22"/>
          <w:lang w:eastAsia="en-US" w:bidi="en-US"/>
        </w:rPr>
        <w:t xml:space="preserve"> hartimit dhe miratimit të gjurmës së auditimit; </w:t>
      </w:r>
    </w:p>
    <w:p w:rsidR="006E61C7" w:rsidRPr="006E61C7" w:rsidRDefault="00042781" w:rsidP="006E61C7">
      <w:pPr>
        <w:widowControl w:val="0"/>
        <w:numPr>
          <w:ilvl w:val="0"/>
          <w:numId w:val="45"/>
        </w:numPr>
        <w:spacing w:line="276" w:lineRule="auto"/>
        <w:jc w:val="both"/>
        <w:rPr>
          <w:rFonts w:ascii="Cambria" w:hAnsi="Cambria"/>
          <w:sz w:val="22"/>
          <w:szCs w:val="22"/>
          <w:lang w:eastAsia="en-US"/>
        </w:rPr>
      </w:pPr>
      <w:r>
        <w:rPr>
          <w:rFonts w:ascii="Cambria" w:hAnsi="Cambria"/>
          <w:sz w:val="22"/>
          <w:szCs w:val="22"/>
          <w:lang w:eastAsia="en-US"/>
        </w:rPr>
        <w:t xml:space="preserve">Mungesën e </w:t>
      </w:r>
      <w:r w:rsidR="006E61C7" w:rsidRPr="006E61C7">
        <w:rPr>
          <w:rFonts w:ascii="Cambria" w:hAnsi="Cambria"/>
          <w:sz w:val="22"/>
          <w:szCs w:val="22"/>
          <w:lang w:eastAsia="en-US"/>
        </w:rPr>
        <w:t>hartimi</w:t>
      </w:r>
      <w:r>
        <w:rPr>
          <w:rFonts w:ascii="Cambria" w:hAnsi="Cambria"/>
          <w:sz w:val="22"/>
          <w:szCs w:val="22"/>
          <w:lang w:eastAsia="en-US"/>
        </w:rPr>
        <w:t>t</w:t>
      </w:r>
      <w:r w:rsidR="006E61C7" w:rsidRPr="006E61C7">
        <w:rPr>
          <w:rFonts w:ascii="Cambria" w:hAnsi="Cambria"/>
          <w:sz w:val="22"/>
          <w:szCs w:val="22"/>
          <w:lang w:eastAsia="en-US"/>
        </w:rPr>
        <w:t xml:space="preserve"> apo përditësimi</w:t>
      </w:r>
      <w:r>
        <w:rPr>
          <w:rFonts w:ascii="Cambria" w:hAnsi="Cambria"/>
          <w:sz w:val="22"/>
          <w:szCs w:val="22"/>
          <w:lang w:eastAsia="en-US"/>
        </w:rPr>
        <w:t>t</w:t>
      </w:r>
      <w:r w:rsidR="006E61C7" w:rsidRPr="006E61C7">
        <w:rPr>
          <w:rFonts w:ascii="Cambria" w:hAnsi="Cambria"/>
          <w:sz w:val="22"/>
          <w:szCs w:val="22"/>
          <w:lang w:eastAsia="en-US"/>
        </w:rPr>
        <w:t xml:space="preserve"> </w:t>
      </w:r>
      <w:r>
        <w:rPr>
          <w:rFonts w:ascii="Cambria" w:hAnsi="Cambria"/>
          <w:sz w:val="22"/>
          <w:szCs w:val="22"/>
          <w:lang w:eastAsia="en-US"/>
        </w:rPr>
        <w:t>të</w:t>
      </w:r>
      <w:r w:rsidR="006E61C7" w:rsidRPr="006E61C7">
        <w:rPr>
          <w:rFonts w:ascii="Cambria" w:hAnsi="Cambria"/>
          <w:sz w:val="22"/>
          <w:szCs w:val="22"/>
          <w:lang w:eastAsia="en-US"/>
        </w:rPr>
        <w:t xml:space="preserve"> manualeve të proceseve të punës.</w:t>
      </w:r>
    </w:p>
    <w:p w:rsidR="006E61C7" w:rsidRPr="006E61C7" w:rsidRDefault="006E61C7" w:rsidP="006E61C7">
      <w:pPr>
        <w:widowControl w:val="0"/>
        <w:jc w:val="both"/>
        <w:rPr>
          <w:rFonts w:ascii="Cambria" w:hAnsi="Cambria"/>
          <w:sz w:val="8"/>
          <w:szCs w:val="8"/>
          <w:highlight w:val="yellow"/>
          <w:lang w:eastAsia="en-US"/>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 xml:space="preserve">istemin e prokurimeve evidentohen në: </w:t>
      </w:r>
    </w:p>
    <w:p w:rsidR="00ED138F" w:rsidRPr="00A724AC" w:rsidRDefault="00ED138F" w:rsidP="00FC6CB6">
      <w:pPr>
        <w:pStyle w:val="NoSpacing"/>
        <w:numPr>
          <w:ilvl w:val="0"/>
          <w:numId w:val="63"/>
        </w:numPr>
      </w:pPr>
      <w:r w:rsidRPr="00A724AC">
        <w:t>moszbatim</w:t>
      </w:r>
      <w:r>
        <w:t>in e</w:t>
      </w:r>
      <w:r w:rsidRPr="00A724AC">
        <w:t xml:space="preserve"> operacioneve të punës në përputhje me procedura</w:t>
      </w:r>
      <w:r>
        <w:t>t e</w:t>
      </w:r>
      <w:r w:rsidRPr="00A724AC">
        <w:t xml:space="preserve"> blerjeve me vlera të vogla për mallra e shërbime</w:t>
      </w:r>
      <w:r>
        <w:t>;</w:t>
      </w:r>
    </w:p>
    <w:p w:rsidR="00ED138F" w:rsidRPr="00A724AC" w:rsidRDefault="00ED138F" w:rsidP="00FC6CB6">
      <w:pPr>
        <w:pStyle w:val="NoSpacing"/>
        <w:numPr>
          <w:ilvl w:val="0"/>
          <w:numId w:val="63"/>
        </w:numPr>
      </w:pPr>
      <w:r w:rsidRPr="00A724AC">
        <w:t>moslloga</w:t>
      </w:r>
      <w:r>
        <w:t xml:space="preserve">ritjen e drejtë të fondit limit </w:t>
      </w:r>
      <w:r w:rsidRPr="00A724AC">
        <w:t>dhe mangësi në zbatimin e kontratave</w:t>
      </w:r>
      <w:r>
        <w:t xml:space="preserve">; </w:t>
      </w:r>
    </w:p>
    <w:p w:rsidR="00ED138F" w:rsidRPr="0093587F" w:rsidRDefault="00ED138F" w:rsidP="00FC6CB6">
      <w:pPr>
        <w:pStyle w:val="NoSpacing"/>
        <w:numPr>
          <w:ilvl w:val="0"/>
          <w:numId w:val="63"/>
        </w:numPr>
        <w:rPr>
          <w:lang w:val="sq-AL"/>
        </w:rPr>
      </w:pPr>
      <w:r w:rsidRPr="00FC6CB6">
        <w:rPr>
          <w:rStyle w:val="NoSpacingChar"/>
          <w:rFonts w:eastAsia="MS Mincho"/>
        </w:rPr>
        <w:t>mosplotësimin me dokumentacion të dosjeve të zbatimit të punimeve të ndërtimit</w:t>
      </w:r>
      <w:r w:rsidRPr="00FC6CB6">
        <w:t>.</w:t>
      </w:r>
    </w:p>
    <w:p w:rsidR="0093587F" w:rsidRPr="0093587F" w:rsidRDefault="0093587F" w:rsidP="0093587F">
      <w:pPr>
        <w:pStyle w:val="NoSpacing"/>
        <w:ind w:left="720"/>
        <w:rPr>
          <w:sz w:val="12"/>
          <w:szCs w:val="12"/>
          <w:lang w:val="sq-AL"/>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istemin e kontabilitetit dhe raportimit publik evidentohen në:</w:t>
      </w:r>
    </w:p>
    <w:p w:rsidR="006E61C7" w:rsidRPr="006E61C7" w:rsidRDefault="005216B7" w:rsidP="006E61C7">
      <w:pPr>
        <w:widowControl w:val="0"/>
        <w:numPr>
          <w:ilvl w:val="0"/>
          <w:numId w:val="47"/>
        </w:numPr>
        <w:spacing w:line="276" w:lineRule="auto"/>
        <w:jc w:val="both"/>
        <w:rPr>
          <w:rFonts w:ascii="Cambria" w:hAnsi="Cambria"/>
          <w:sz w:val="22"/>
          <w:szCs w:val="22"/>
          <w:lang w:eastAsia="en-US"/>
        </w:rPr>
      </w:pPr>
      <w:r>
        <w:rPr>
          <w:rFonts w:ascii="Cambria" w:eastAsia="Calibri" w:hAnsi="Cambria"/>
          <w:sz w:val="22"/>
          <w:szCs w:val="22"/>
          <w:lang w:val="sq-AL" w:eastAsia="en-US" w:bidi="en-US"/>
        </w:rPr>
        <w:t>Problematika në</w:t>
      </w:r>
      <w:r w:rsidR="006E61C7" w:rsidRPr="006E61C7">
        <w:rPr>
          <w:rFonts w:ascii="Cambria" w:eastAsia="Calibri" w:hAnsi="Cambria"/>
          <w:sz w:val="22"/>
          <w:szCs w:val="22"/>
          <w:lang w:val="sq-AL" w:eastAsia="en-US" w:bidi="en-US"/>
        </w:rPr>
        <w:t xml:space="preserve"> menaxhimin e aseteve.</w:t>
      </w:r>
    </w:p>
    <w:p w:rsidR="006E61C7" w:rsidRPr="006E61C7" w:rsidRDefault="006E61C7" w:rsidP="006E61C7">
      <w:pPr>
        <w:widowControl w:val="0"/>
        <w:numPr>
          <w:ilvl w:val="0"/>
          <w:numId w:val="47"/>
        </w:numPr>
        <w:spacing w:line="276" w:lineRule="auto"/>
        <w:jc w:val="both"/>
        <w:rPr>
          <w:rFonts w:ascii="Cambria" w:hAnsi="Cambria"/>
          <w:sz w:val="22"/>
          <w:szCs w:val="22"/>
          <w:lang w:eastAsia="en-US"/>
        </w:rPr>
      </w:pPr>
      <w:r w:rsidRPr="006E61C7">
        <w:rPr>
          <w:rFonts w:ascii="Cambria" w:hAnsi="Cambria"/>
          <w:sz w:val="22"/>
          <w:szCs w:val="22"/>
          <w:lang w:eastAsia="en-US"/>
        </w:rPr>
        <w:t xml:space="preserve">Mungesën e menaxhimit të bazës materiale të dalë nga magazina; </w:t>
      </w:r>
    </w:p>
    <w:p w:rsidR="006E61C7" w:rsidRPr="006E61C7" w:rsidRDefault="006E61C7" w:rsidP="006E61C7">
      <w:pPr>
        <w:widowControl w:val="0"/>
        <w:numPr>
          <w:ilvl w:val="0"/>
          <w:numId w:val="47"/>
        </w:numPr>
        <w:spacing w:line="276" w:lineRule="auto"/>
        <w:jc w:val="both"/>
        <w:rPr>
          <w:rFonts w:ascii="Cambria" w:hAnsi="Cambria"/>
          <w:sz w:val="22"/>
          <w:szCs w:val="22"/>
          <w:lang w:eastAsia="en-US"/>
        </w:rPr>
      </w:pPr>
      <w:r w:rsidRPr="006E61C7">
        <w:rPr>
          <w:rFonts w:ascii="Cambria" w:hAnsi="Cambria"/>
          <w:sz w:val="22"/>
          <w:szCs w:val="22"/>
          <w:lang w:eastAsia="en-US"/>
        </w:rPr>
        <w:t xml:space="preserve">Mungesën e procedurave të lëvizjes së materialeve; </w:t>
      </w:r>
    </w:p>
    <w:p w:rsidR="006E61C7" w:rsidRPr="006E61C7" w:rsidRDefault="005D75B8" w:rsidP="006E61C7">
      <w:pPr>
        <w:widowControl w:val="0"/>
        <w:numPr>
          <w:ilvl w:val="0"/>
          <w:numId w:val="47"/>
        </w:numPr>
        <w:spacing w:line="276" w:lineRule="auto"/>
        <w:jc w:val="both"/>
        <w:rPr>
          <w:rFonts w:ascii="Cambria" w:hAnsi="Cambria"/>
          <w:sz w:val="22"/>
          <w:szCs w:val="22"/>
          <w:lang w:eastAsia="en-US"/>
        </w:rPr>
      </w:pPr>
      <w:r>
        <w:rPr>
          <w:rFonts w:ascii="Cambria" w:hAnsi="Cambria"/>
          <w:sz w:val="22"/>
          <w:szCs w:val="22"/>
          <w:lang w:eastAsia="en-US"/>
        </w:rPr>
        <w:t>Mos marrjen</w:t>
      </w:r>
      <w:r w:rsidR="006E61C7" w:rsidRPr="006E61C7">
        <w:rPr>
          <w:rFonts w:ascii="Cambria" w:hAnsi="Cambria"/>
          <w:sz w:val="22"/>
          <w:szCs w:val="22"/>
          <w:lang w:eastAsia="en-US"/>
        </w:rPr>
        <w:t xml:space="preserve"> në ngarkim të bazës materialo-teknike nga personat përgjegjës. </w:t>
      </w:r>
    </w:p>
    <w:p w:rsidR="006E61C7" w:rsidRPr="006E61C7" w:rsidRDefault="006E61C7" w:rsidP="006E61C7">
      <w:pPr>
        <w:widowControl w:val="0"/>
        <w:jc w:val="both"/>
        <w:rPr>
          <w:rFonts w:ascii="Cambria" w:hAnsi="Cambria"/>
          <w:sz w:val="8"/>
          <w:szCs w:val="8"/>
          <w:highlight w:val="yellow"/>
          <w:lang w:eastAsia="en-US"/>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istemin e pagesave dhe shpërblimeve të punës evidentohen në:</w:t>
      </w:r>
    </w:p>
    <w:p w:rsidR="006E61C7" w:rsidRPr="006E61C7" w:rsidRDefault="006E61C7" w:rsidP="006E61C7">
      <w:pPr>
        <w:widowControl w:val="0"/>
        <w:numPr>
          <w:ilvl w:val="0"/>
          <w:numId w:val="48"/>
        </w:numPr>
        <w:spacing w:line="276" w:lineRule="auto"/>
        <w:jc w:val="both"/>
        <w:rPr>
          <w:rFonts w:ascii="Cambria" w:eastAsia="Times New Roman" w:hAnsi="Cambria"/>
          <w:sz w:val="22"/>
          <w:szCs w:val="22"/>
          <w:lang w:eastAsia="en-US" w:bidi="en-US"/>
        </w:rPr>
      </w:pPr>
      <w:r w:rsidRPr="006E61C7">
        <w:rPr>
          <w:rFonts w:ascii="Cambria" w:eastAsia="Times New Roman" w:hAnsi="Cambria"/>
          <w:sz w:val="22"/>
          <w:szCs w:val="22"/>
          <w:lang w:eastAsia="en-US" w:bidi="en-US"/>
        </w:rPr>
        <w:t xml:space="preserve">Pagesat për punën e kryer jashtë kohës normale të punës; </w:t>
      </w:r>
    </w:p>
    <w:p w:rsidR="006E61C7" w:rsidRPr="006E61C7" w:rsidRDefault="00B34F54" w:rsidP="006E61C7">
      <w:pPr>
        <w:widowControl w:val="0"/>
        <w:numPr>
          <w:ilvl w:val="0"/>
          <w:numId w:val="48"/>
        </w:numPr>
        <w:spacing w:line="276" w:lineRule="auto"/>
        <w:jc w:val="both"/>
        <w:rPr>
          <w:rFonts w:ascii="Cambria" w:eastAsia="Times New Roman" w:hAnsi="Cambria"/>
          <w:sz w:val="22"/>
          <w:szCs w:val="22"/>
          <w:lang w:eastAsia="en-US" w:bidi="en-US"/>
        </w:rPr>
      </w:pPr>
      <w:r>
        <w:rPr>
          <w:rFonts w:ascii="Cambria" w:eastAsia="Times New Roman" w:hAnsi="Cambria"/>
          <w:sz w:val="22"/>
          <w:szCs w:val="22"/>
          <w:lang w:eastAsia="en-US" w:bidi="en-US"/>
        </w:rPr>
        <w:t>Mungesën e</w:t>
      </w:r>
      <w:r w:rsidR="006E61C7" w:rsidRPr="006E61C7">
        <w:rPr>
          <w:rFonts w:ascii="Cambria" w:eastAsia="Times New Roman" w:hAnsi="Cambria"/>
          <w:sz w:val="22"/>
          <w:szCs w:val="22"/>
          <w:lang w:eastAsia="en-US" w:bidi="en-US"/>
        </w:rPr>
        <w:t xml:space="preserve"> dokumentimi</w:t>
      </w:r>
      <w:r>
        <w:rPr>
          <w:rFonts w:ascii="Cambria" w:eastAsia="Times New Roman" w:hAnsi="Cambria"/>
          <w:sz w:val="22"/>
          <w:szCs w:val="22"/>
          <w:lang w:eastAsia="en-US" w:bidi="en-US"/>
        </w:rPr>
        <w:t>t</w:t>
      </w:r>
      <w:r w:rsidR="006E61C7" w:rsidRPr="006E61C7">
        <w:rPr>
          <w:rFonts w:ascii="Cambria" w:eastAsia="Times New Roman" w:hAnsi="Cambria"/>
          <w:sz w:val="22"/>
          <w:szCs w:val="22"/>
          <w:lang w:eastAsia="en-US" w:bidi="en-US"/>
        </w:rPr>
        <w:t xml:space="preserve"> sipas kërkesave ligjore të shpenzimeve për udhëtim e dieta;</w:t>
      </w:r>
    </w:p>
    <w:p w:rsidR="006E61C7" w:rsidRPr="006E61C7" w:rsidRDefault="005216B7" w:rsidP="006E61C7">
      <w:pPr>
        <w:widowControl w:val="0"/>
        <w:numPr>
          <w:ilvl w:val="0"/>
          <w:numId w:val="48"/>
        </w:numPr>
        <w:spacing w:line="276" w:lineRule="auto"/>
        <w:jc w:val="both"/>
        <w:rPr>
          <w:rFonts w:ascii="Cambria" w:eastAsia="Times New Roman" w:hAnsi="Cambria"/>
          <w:sz w:val="22"/>
          <w:szCs w:val="22"/>
          <w:lang w:eastAsia="en-US" w:bidi="en-US"/>
        </w:rPr>
      </w:pPr>
      <w:r>
        <w:rPr>
          <w:rFonts w:ascii="Cambria" w:eastAsia="Times New Roman" w:hAnsi="Cambria"/>
          <w:sz w:val="22"/>
          <w:szCs w:val="22"/>
          <w:lang w:eastAsia="en-US" w:bidi="en-US"/>
        </w:rPr>
        <w:t>Përfitime të pa</w:t>
      </w:r>
      <w:r w:rsidR="006E61C7" w:rsidRPr="006E61C7">
        <w:rPr>
          <w:rFonts w:ascii="Cambria" w:eastAsia="Times New Roman" w:hAnsi="Cambria"/>
          <w:sz w:val="22"/>
          <w:szCs w:val="22"/>
          <w:lang w:eastAsia="en-US" w:bidi="en-US"/>
        </w:rPr>
        <w:t>justifikuara të pagës së grupit</w:t>
      </w:r>
      <w:r w:rsidR="00266F8C">
        <w:rPr>
          <w:rFonts w:ascii="Cambria" w:eastAsia="Times New Roman" w:hAnsi="Cambria"/>
          <w:sz w:val="22"/>
          <w:szCs w:val="22"/>
          <w:lang w:eastAsia="en-US" w:bidi="en-US"/>
        </w:rPr>
        <w:t>,</w:t>
      </w:r>
      <w:r w:rsidR="006E61C7" w:rsidRPr="006E61C7">
        <w:rPr>
          <w:rFonts w:ascii="Cambria" w:eastAsia="Times New Roman" w:hAnsi="Cambria"/>
          <w:sz w:val="22"/>
          <w:szCs w:val="22"/>
          <w:lang w:eastAsia="en-US" w:bidi="en-US"/>
        </w:rPr>
        <w:t xml:space="preserve"> duke mos e argumentuar me dokumenta justifikuese. </w:t>
      </w:r>
    </w:p>
    <w:p w:rsidR="006E61C7" w:rsidRPr="006E61C7" w:rsidRDefault="006E61C7" w:rsidP="006E61C7">
      <w:pPr>
        <w:jc w:val="both"/>
        <w:rPr>
          <w:rFonts w:ascii="Cambria" w:eastAsia="Calibri" w:hAnsi="Cambria"/>
          <w:sz w:val="12"/>
          <w:szCs w:val="12"/>
          <w:lang w:val="sq-AL" w:eastAsia="en-US"/>
        </w:rPr>
      </w:pPr>
    </w:p>
    <w:p w:rsidR="006E61C7" w:rsidRPr="006E61C7" w:rsidRDefault="006E61C7" w:rsidP="006E61C7">
      <w:pPr>
        <w:widowControl w:val="0"/>
        <w:jc w:val="both"/>
        <w:rPr>
          <w:rFonts w:ascii="Cambria" w:hAnsi="Cambria"/>
          <w:sz w:val="22"/>
          <w:szCs w:val="22"/>
          <w:lang w:eastAsia="en-US"/>
        </w:rPr>
      </w:pPr>
      <w:r w:rsidRPr="006E61C7">
        <w:rPr>
          <w:rFonts w:ascii="Cambria" w:eastAsia="Times New Roman" w:hAnsi="Cambria"/>
          <w:sz w:val="22"/>
          <w:szCs w:val="22"/>
          <w:lang w:eastAsia="en-US" w:bidi="en-US"/>
        </w:rPr>
        <w:t xml:space="preserve">NJAB vlerësojnë që sistemet e kontrollit të brendshëm në </w:t>
      </w:r>
      <w:r w:rsidRPr="006E61C7">
        <w:rPr>
          <w:rFonts w:ascii="Cambria" w:hAnsi="Cambria"/>
          <w:sz w:val="22"/>
          <w:szCs w:val="22"/>
          <w:lang w:eastAsia="en-US"/>
        </w:rPr>
        <w:t xml:space="preserve">subjektet e audituara </w:t>
      </w:r>
      <w:r w:rsidRPr="006E61C7">
        <w:rPr>
          <w:rFonts w:ascii="Cambria" w:eastAsia="Times New Roman" w:hAnsi="Cambria"/>
          <w:sz w:val="22"/>
          <w:szCs w:val="22"/>
          <w:lang w:eastAsia="en-US" w:bidi="en-US"/>
        </w:rPr>
        <w:t>nuk janë efektive dhe nuk kanë të miratuara procedura për funksionimin e tyre (</w:t>
      </w:r>
      <w:r w:rsidRPr="006E61C7">
        <w:rPr>
          <w:rFonts w:ascii="Cambria" w:hAnsi="Cambria"/>
          <w:sz w:val="22"/>
          <w:szCs w:val="22"/>
          <w:lang w:eastAsia="en-US"/>
        </w:rPr>
        <w:t xml:space="preserve">OSHEE, KESH, OST, Posta Shqiptare, Albpetrol dhe Albgaz). </w:t>
      </w:r>
    </w:p>
    <w:p w:rsidR="006E61C7" w:rsidRPr="00137C35" w:rsidRDefault="006E61C7" w:rsidP="00137C35">
      <w:pPr>
        <w:pStyle w:val="NoSpacing"/>
        <w:rPr>
          <w:sz w:val="12"/>
          <w:szCs w:val="12"/>
          <w:lang w:eastAsia="en-US"/>
        </w:rPr>
      </w:pPr>
    </w:p>
    <w:p w:rsidR="006E61C7" w:rsidRPr="006E61C7" w:rsidRDefault="006E61C7" w:rsidP="006E61C7">
      <w:pPr>
        <w:widowControl w:val="0"/>
        <w:jc w:val="both"/>
        <w:rPr>
          <w:rFonts w:ascii="Cambria" w:hAnsi="Cambria"/>
          <w:sz w:val="8"/>
          <w:szCs w:val="8"/>
          <w:lang w:eastAsia="en-US"/>
        </w:rPr>
      </w:pPr>
    </w:p>
    <w:p w:rsidR="006E61C7" w:rsidRPr="006E61C7" w:rsidRDefault="00A444A1" w:rsidP="006E61C7">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6E61C7">
        <w:rPr>
          <w:rFonts w:ascii="Cambria" w:eastAsia="Calibri" w:hAnsi="Cambria"/>
          <w:b/>
          <w:sz w:val="20"/>
          <w:szCs w:val="20"/>
          <w:lang w:val="sq-AL" w:eastAsia="en-US" w:bidi="en-US"/>
        </w:rPr>
        <w:t xml:space="preserve">ekomandimet e dhëna nga </w:t>
      </w:r>
      <w:r w:rsidRPr="006E61C7">
        <w:rPr>
          <w:rFonts w:ascii="Cambria" w:hAnsi="Cambria" w:cs="Bookman Old Style"/>
          <w:b/>
          <w:color w:val="000000"/>
          <w:sz w:val="20"/>
          <w:szCs w:val="20"/>
          <w:lang w:val="sq-AL" w:eastAsia="en-US"/>
        </w:rPr>
        <w:t xml:space="preserve">NJAB </w:t>
      </w:r>
      <w:r>
        <w:rPr>
          <w:rFonts w:ascii="Cambria" w:eastAsia="Calibri" w:hAnsi="Cambria"/>
          <w:b/>
          <w:sz w:val="20"/>
          <w:szCs w:val="20"/>
          <w:lang w:val="sq-AL" w:eastAsia="en-US"/>
        </w:rPr>
        <w:t>në</w:t>
      </w:r>
      <w:r w:rsidRPr="006E61C7">
        <w:rPr>
          <w:rFonts w:ascii="Cambria" w:eastAsia="Calibri" w:hAnsi="Cambria"/>
          <w:b/>
          <w:sz w:val="20"/>
          <w:szCs w:val="20"/>
          <w:lang w:val="sq-AL" w:eastAsia="en-US"/>
        </w:rPr>
        <w:t xml:space="preserve"> shoqëritë aksionere </w:t>
      </w:r>
    </w:p>
    <w:p w:rsidR="006E61C7" w:rsidRPr="006E61C7" w:rsidRDefault="006E61C7" w:rsidP="006E61C7">
      <w:pPr>
        <w:jc w:val="both"/>
        <w:rPr>
          <w:rFonts w:ascii="Cambria" w:eastAsia="Calibri" w:hAnsi="Cambria"/>
          <w:sz w:val="12"/>
          <w:szCs w:val="12"/>
          <w:lang w:val="sq-AL" w:eastAsia="ja-JP"/>
        </w:rPr>
      </w:pPr>
    </w:p>
    <w:p w:rsidR="006E61C7" w:rsidRPr="006E61C7" w:rsidRDefault="006E61C7" w:rsidP="006E61C7">
      <w:pPr>
        <w:jc w:val="both"/>
        <w:rPr>
          <w:rFonts w:ascii="Cambria" w:eastAsia="Calibri" w:hAnsi="Cambria"/>
          <w:sz w:val="22"/>
          <w:szCs w:val="22"/>
          <w:lang w:val="sq-AL" w:eastAsia="ja-JP"/>
        </w:rPr>
      </w:pPr>
      <w:r w:rsidRPr="006E61C7">
        <w:rPr>
          <w:rFonts w:ascii="Cambria" w:eastAsia="Calibri" w:hAnsi="Cambria"/>
          <w:sz w:val="22"/>
          <w:szCs w:val="22"/>
          <w:lang w:val="sq-AL" w:eastAsia="ja-JP"/>
        </w:rPr>
        <w:t xml:space="preserve">Rekomandimet më të rëndësishme të njësive të auditimit të brendshëm janë fokusuar në: </w:t>
      </w:r>
    </w:p>
    <w:p w:rsidR="006E61C7" w:rsidRPr="006E61C7" w:rsidRDefault="006E61C7" w:rsidP="006E61C7">
      <w:pPr>
        <w:jc w:val="both"/>
        <w:rPr>
          <w:rFonts w:ascii="Cambria" w:eastAsia="Calibri" w:hAnsi="Cambria"/>
          <w:sz w:val="8"/>
          <w:szCs w:val="8"/>
          <w:lang w:val="sq-AL" w:eastAsia="ja-JP"/>
        </w:rPr>
      </w:pPr>
    </w:p>
    <w:p w:rsidR="006E61C7" w:rsidRPr="006E61C7" w:rsidRDefault="006E61C7" w:rsidP="006E61C7">
      <w:pPr>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 xml:space="preserve">Rekomandime për përmirësimin e kuadrit rregullator të fushës, të cilat lidhen me propozime për ndryshime të akteve ligjore dhe nënligjore, përditësim e ndryshim të udhëzimeve, manualeve dhe rregulloreve në fuqi. </w:t>
      </w:r>
    </w:p>
    <w:p w:rsidR="006E61C7" w:rsidRPr="006E61C7" w:rsidRDefault="006E61C7" w:rsidP="006E61C7">
      <w:pPr>
        <w:jc w:val="both"/>
        <w:rPr>
          <w:rFonts w:ascii="Cambria" w:eastAsia="Calibri" w:hAnsi="Cambria"/>
          <w:sz w:val="8"/>
          <w:szCs w:val="8"/>
          <w:lang w:val="sq-AL" w:eastAsia="en-US" w:bidi="en-US"/>
        </w:rPr>
      </w:pPr>
      <w:r w:rsidRPr="006E61C7">
        <w:rPr>
          <w:rFonts w:ascii="Cambria" w:eastAsia="Calibri" w:hAnsi="Cambria"/>
          <w:sz w:val="8"/>
          <w:szCs w:val="8"/>
          <w:lang w:val="sq-AL" w:eastAsia="en-US" w:bidi="en-US"/>
        </w:rPr>
        <w:t xml:space="preserve"> </w:t>
      </w:r>
    </w:p>
    <w:p w:rsidR="006E61C7" w:rsidRPr="006E61C7" w:rsidRDefault="006E61C7" w:rsidP="006E61C7">
      <w:pPr>
        <w:jc w:val="both"/>
        <w:rPr>
          <w:rFonts w:ascii="Cambria" w:eastAsia="Calibri" w:hAnsi="Cambria"/>
          <w:sz w:val="22"/>
          <w:szCs w:val="22"/>
          <w:lang w:val="sq-AL" w:eastAsia="en-US"/>
        </w:rPr>
      </w:pPr>
      <w:r w:rsidRPr="006E61C7">
        <w:rPr>
          <w:rFonts w:ascii="Cambria" w:eastAsia="Calibri" w:hAnsi="Cambria"/>
          <w:sz w:val="22"/>
          <w:szCs w:val="22"/>
          <w:lang w:val="sq-AL" w:eastAsia="en-US" w:bidi="en-US"/>
        </w:rPr>
        <w:t>Rekomandime për përmirësimin e sistemeve, që lidhen me hartimin</w:t>
      </w:r>
      <w:r w:rsidRPr="006E61C7">
        <w:rPr>
          <w:rFonts w:ascii="Cambria" w:eastAsia="Calibri" w:hAnsi="Cambria"/>
          <w:sz w:val="22"/>
          <w:szCs w:val="22"/>
          <w:lang w:val="sq-AL" w:eastAsia="en-US"/>
        </w:rPr>
        <w:t xml:space="preserve"> e rregulloreve të brendshme sipas përshkrimeve të punës në përshtatje me ndryshimet strukturore të shoqërive,</w:t>
      </w:r>
      <w:r w:rsidRPr="006E61C7">
        <w:rPr>
          <w:rFonts w:ascii="Cambria" w:eastAsia="Calibri" w:hAnsi="Cambria"/>
          <w:sz w:val="22"/>
          <w:szCs w:val="22"/>
          <w:lang w:val="sq-AL" w:eastAsia="en-US" w:bidi="en-US"/>
        </w:rPr>
        <w:t xml:space="preserve"> hartimin e gjurmëve të auditimit për proceset e punës, </w:t>
      </w:r>
      <w:r w:rsidRPr="006E61C7">
        <w:rPr>
          <w:rFonts w:ascii="Cambria" w:eastAsia="Calibri" w:hAnsi="Cambria"/>
          <w:sz w:val="22"/>
          <w:szCs w:val="22"/>
          <w:lang w:val="sq-AL" w:eastAsia="en-US"/>
        </w:rPr>
        <w:t>hartimin e një strategjie në funksion të minimizimit të riskut, delegimin e detyrave për koordinimin e riskut tek menaxherët në varësi direkte të administratorëve, etj.</w:t>
      </w:r>
    </w:p>
    <w:p w:rsidR="006E61C7" w:rsidRPr="006E61C7" w:rsidRDefault="006E61C7" w:rsidP="006E61C7">
      <w:pPr>
        <w:jc w:val="both"/>
        <w:rPr>
          <w:rFonts w:ascii="Cambria" w:eastAsia="Calibri" w:hAnsi="Cambria"/>
          <w:sz w:val="8"/>
          <w:szCs w:val="8"/>
          <w:lang w:val="sq-AL" w:eastAsia="en-US" w:bidi="en-US"/>
        </w:rPr>
      </w:pPr>
    </w:p>
    <w:p w:rsidR="008858C7" w:rsidRPr="00A444A1" w:rsidRDefault="006E61C7" w:rsidP="00A444A1">
      <w:pPr>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Rekomandime të karakterit organizativ, në funksion të rritjes së efektivitetit të punës, të cilat lidhen me përcaktimin e metodave dhe procedurave të unifikuara sipas një dokumentacioni standard që duhet të zbatohet nga çdo punonjës në shërbim të shoqërive aksionere, etj.</w:t>
      </w:r>
      <w:bookmarkStart w:id="63" w:name="_Toc9082371"/>
    </w:p>
    <w:p w:rsidR="00181200" w:rsidRDefault="00E7220B" w:rsidP="009E2031">
      <w:pPr>
        <w:pStyle w:val="Heading1"/>
      </w:pPr>
      <w:r>
        <w:t>K</w:t>
      </w:r>
      <w:r w:rsidR="009E2031" w:rsidRPr="00827575">
        <w:t xml:space="preserve">apitulli III- </w:t>
      </w:r>
      <w:r w:rsidR="009E2031">
        <w:t>REKOMANDIME P</w:t>
      </w:r>
      <w:r w:rsidR="0089795E">
        <w:t>Ë</w:t>
      </w:r>
      <w:r w:rsidR="009E2031">
        <w:t>R ZHVILLIMIN E M</w:t>
      </w:r>
      <w:r w:rsidR="0089795E">
        <w:t>Ë</w:t>
      </w:r>
      <w:r w:rsidR="009E2031">
        <w:t>TEJSH</w:t>
      </w:r>
      <w:r w:rsidR="0089795E">
        <w:t>Ë</w:t>
      </w:r>
      <w:r w:rsidR="009E2031">
        <w:t>M T</w:t>
      </w:r>
      <w:r w:rsidR="0089795E">
        <w:t>Ë</w:t>
      </w:r>
      <w:r w:rsidR="009E2031">
        <w:t xml:space="preserve"> SISTEMIT T</w:t>
      </w:r>
      <w:r w:rsidR="0089795E">
        <w:t>Ë</w:t>
      </w:r>
      <w:r w:rsidR="009E2031">
        <w:t xml:space="preserve"> KONTROLLIT T</w:t>
      </w:r>
      <w:r w:rsidR="0089795E">
        <w:t>Ë</w:t>
      </w:r>
      <w:r w:rsidR="009E2031">
        <w:t xml:space="preserve"> BRENDSH</w:t>
      </w:r>
      <w:r w:rsidR="0089795E">
        <w:t>Ë</w:t>
      </w:r>
      <w:r w:rsidR="009E2031">
        <w:t>M</w:t>
      </w:r>
      <w:bookmarkEnd w:id="63"/>
      <w:r w:rsidR="009E2031">
        <w:t xml:space="preserve"> </w:t>
      </w:r>
    </w:p>
    <w:p w:rsidR="009E2031" w:rsidRPr="009A7C54" w:rsidRDefault="009E2031" w:rsidP="009E2031">
      <w:pPr>
        <w:jc w:val="both"/>
        <w:rPr>
          <w:rFonts w:ascii="Cambria" w:eastAsia="Calibri" w:hAnsi="Cambria"/>
          <w:sz w:val="22"/>
          <w:szCs w:val="22"/>
          <w:lang w:val="sq-AL" w:eastAsia="en-US"/>
        </w:rPr>
      </w:pPr>
      <w:r w:rsidRPr="009A7C54">
        <w:rPr>
          <w:rFonts w:ascii="Cambria" w:eastAsia="Calibri" w:hAnsi="Cambria"/>
          <w:sz w:val="22"/>
          <w:szCs w:val="22"/>
          <w:lang w:val="sq-AL" w:eastAsia="en-US"/>
        </w:rPr>
        <w:t>Drejtoria e Harmonizimit të Kontrollit të Brendshëm Financiar Publik ka realizuar vlerësimin e sistemit të kontrollit të brendshëm</w:t>
      </w:r>
      <w:r w:rsidR="009A7C54" w:rsidRPr="009A7C54">
        <w:rPr>
          <w:rFonts w:ascii="Cambria" w:eastAsia="Calibri" w:hAnsi="Cambria"/>
          <w:sz w:val="22"/>
          <w:szCs w:val="22"/>
          <w:lang w:val="sq-AL" w:eastAsia="en-US"/>
        </w:rPr>
        <w:t>, bazuar në</w:t>
      </w:r>
      <w:r w:rsidRPr="009A7C54">
        <w:rPr>
          <w:rFonts w:ascii="Cambria" w:eastAsia="Calibri" w:hAnsi="Cambria"/>
          <w:sz w:val="22"/>
          <w:szCs w:val="22"/>
          <w:lang w:val="sq-AL" w:eastAsia="en-US"/>
        </w:rPr>
        <w:t xml:space="preserve"> </w:t>
      </w:r>
      <w:r w:rsidR="009A7C54" w:rsidRPr="009A7C54">
        <w:rPr>
          <w:rFonts w:ascii="Cambria" w:eastAsia="Calibri" w:hAnsi="Cambria"/>
          <w:sz w:val="22"/>
          <w:szCs w:val="22"/>
          <w:lang w:val="sq-AL" w:eastAsia="en-US"/>
        </w:rPr>
        <w:t xml:space="preserve">përgjigjet e pyetësorit të vetëvlerësimit të komponentëve të Menaxhimit Financiar dhe Kontrollit dhe Raportit Vjetor të vlerësimit të cilësisë së sistemit të kontrollit të brendshëm për vitin 2018, </w:t>
      </w:r>
      <w:r w:rsidRPr="009A7C54">
        <w:rPr>
          <w:rFonts w:ascii="Cambria" w:eastAsia="Calibri" w:hAnsi="Cambria"/>
          <w:sz w:val="22"/>
          <w:szCs w:val="22"/>
          <w:lang w:val="sq-AL" w:eastAsia="en-US"/>
        </w:rPr>
        <w:t>duke konkluduar në disa rekomandime për zhvillimin e mëtejshëm të sistemit, në</w:t>
      </w:r>
      <w:r w:rsidR="009D2254" w:rsidRPr="009A7C54">
        <w:rPr>
          <w:rFonts w:ascii="Cambria" w:eastAsia="Calibri" w:hAnsi="Cambria"/>
          <w:sz w:val="22"/>
          <w:szCs w:val="22"/>
          <w:lang w:val="sq-AL" w:eastAsia="en-US"/>
        </w:rPr>
        <w:t xml:space="preserve"> përputhje</w:t>
      </w:r>
      <w:r w:rsidR="009A7C54" w:rsidRPr="009A7C54">
        <w:rPr>
          <w:rFonts w:ascii="Cambria" w:eastAsia="Calibri" w:hAnsi="Cambria"/>
          <w:sz w:val="22"/>
          <w:szCs w:val="22"/>
          <w:lang w:val="sq-AL" w:eastAsia="en-US"/>
        </w:rPr>
        <w:t xml:space="preserve"> dhe</w:t>
      </w:r>
      <w:r w:rsidR="009D2254" w:rsidRPr="009A7C54">
        <w:rPr>
          <w:rFonts w:ascii="Cambria" w:eastAsia="Calibri" w:hAnsi="Cambria"/>
          <w:sz w:val="22"/>
          <w:szCs w:val="22"/>
          <w:lang w:val="sq-AL" w:eastAsia="en-US"/>
        </w:rPr>
        <w:t xml:space="preserve"> me </w:t>
      </w:r>
      <w:r w:rsidR="009A7C54" w:rsidRPr="009A7C54">
        <w:rPr>
          <w:rFonts w:ascii="Cambria" w:eastAsia="Calibri" w:hAnsi="Cambria"/>
          <w:sz w:val="22"/>
          <w:szCs w:val="22"/>
          <w:lang w:val="sq-AL" w:eastAsia="en-US"/>
        </w:rPr>
        <w:t>gjetjet</w:t>
      </w:r>
      <w:r w:rsidRPr="009A7C54">
        <w:rPr>
          <w:rFonts w:ascii="Cambria" w:eastAsia="Calibri" w:hAnsi="Cambria"/>
          <w:sz w:val="22"/>
          <w:szCs w:val="22"/>
          <w:lang w:val="sq-AL" w:eastAsia="en-US"/>
        </w:rPr>
        <w:t xml:space="preserve"> për këtë fushë të Drejt</w:t>
      </w:r>
      <w:r w:rsidR="009D2254" w:rsidRPr="009A7C54">
        <w:rPr>
          <w:rFonts w:ascii="Cambria" w:eastAsia="Calibri" w:hAnsi="Cambria"/>
          <w:sz w:val="22"/>
          <w:szCs w:val="22"/>
          <w:lang w:val="sq-AL" w:eastAsia="en-US"/>
        </w:rPr>
        <w:t>orisë së Harmonizimit të Auditi</w:t>
      </w:r>
      <w:r w:rsidRPr="009A7C54">
        <w:rPr>
          <w:rFonts w:ascii="Cambria" w:eastAsia="Calibri" w:hAnsi="Cambria"/>
          <w:sz w:val="22"/>
          <w:szCs w:val="22"/>
          <w:lang w:val="sq-AL" w:eastAsia="en-US"/>
        </w:rPr>
        <w:t xml:space="preserve">mit të Brendshëm </w:t>
      </w:r>
      <w:r w:rsidR="008943D2" w:rsidRPr="009A7C54">
        <w:rPr>
          <w:rFonts w:ascii="Cambria" w:eastAsia="Calibri" w:hAnsi="Cambria"/>
          <w:sz w:val="22"/>
          <w:szCs w:val="22"/>
          <w:lang w:val="sq-AL" w:eastAsia="en-US"/>
        </w:rPr>
        <w:t>gjat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kryerjes s</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vler</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simit 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jasht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m 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cil</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sis</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w:t>
      </w:r>
      <w:r w:rsidRPr="009A7C54">
        <w:rPr>
          <w:rFonts w:ascii="Cambria" w:eastAsia="Calibri" w:hAnsi="Cambria"/>
          <w:sz w:val="22"/>
          <w:szCs w:val="22"/>
          <w:lang w:val="sq-AL" w:eastAsia="en-US"/>
        </w:rPr>
        <w:t>dhe gjithashtu nga monitorimi i njësive publike nga Drejtoria e Menaxhimit Financiar, Kontrollit dhe Kontabilitetit.</w:t>
      </w:r>
    </w:p>
    <w:p w:rsidR="007252B1" w:rsidRPr="009A7C54" w:rsidRDefault="0089795E" w:rsidP="005B7B1D">
      <w:pPr>
        <w:pStyle w:val="NoSpacing"/>
        <w:rPr>
          <w:lang w:val="sq-AL" w:eastAsia="en-US"/>
        </w:rPr>
      </w:pPr>
      <w:r w:rsidRPr="009A7C54">
        <w:rPr>
          <w:lang w:val="sq-AL" w:eastAsia="en-US"/>
        </w:rPr>
        <w:tab/>
      </w:r>
    </w:p>
    <w:p w:rsidR="00181200" w:rsidRDefault="007252B1" w:rsidP="007252B1">
      <w:pPr>
        <w:jc w:val="both"/>
        <w:rPr>
          <w:rFonts w:asciiTheme="majorHAnsi" w:eastAsia="Calibri" w:hAnsiTheme="majorHAnsi"/>
          <w:color w:val="000000"/>
          <w:sz w:val="22"/>
          <w:szCs w:val="22"/>
          <w:lang w:val="sq-AL" w:eastAsia="en-US"/>
        </w:rPr>
      </w:pPr>
      <w:r w:rsidRPr="009A7C54">
        <w:rPr>
          <w:rFonts w:ascii="Cambria" w:eastAsia="Calibri" w:hAnsi="Cambria"/>
          <w:sz w:val="22"/>
          <w:szCs w:val="22"/>
          <w:lang w:val="sq-AL" w:eastAsia="en-US"/>
        </w:rPr>
        <w:t>N</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k</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t</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kuad</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r, p</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rmendim rekomandimet si m</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posht</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vijon:</w:t>
      </w:r>
    </w:p>
    <w:p w:rsidR="007252B1" w:rsidRPr="00A6606C" w:rsidRDefault="007252B1" w:rsidP="003142D7">
      <w:pPr>
        <w:pStyle w:val="NoSpacing"/>
        <w:rPr>
          <w:lang w:val="sq-AL" w:eastAsia="en-US"/>
        </w:rPr>
      </w:pPr>
    </w:p>
    <w:p w:rsidR="004425E8" w:rsidRPr="00A6606C" w:rsidRDefault="004425E8"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 xml:space="preserve">Kryerja e vetëvlerësimit periodik të sistemit të kontrollit të brendshëm </w:t>
      </w:r>
      <w:r w:rsidR="00F64017" w:rsidRPr="00A6606C">
        <w:rPr>
          <w:rFonts w:asciiTheme="majorHAnsi" w:eastAsia="Calibri" w:hAnsiTheme="majorHAnsi"/>
          <w:color w:val="000000"/>
          <w:lang w:val="sq-AL"/>
        </w:rPr>
        <w:t>nga ana e nivelit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lart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menaxherial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nj</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sis</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publike, </w:t>
      </w:r>
      <w:r w:rsidRPr="00A6606C">
        <w:rPr>
          <w:rFonts w:asciiTheme="majorHAnsi" w:eastAsia="Calibri" w:hAnsiTheme="majorHAnsi"/>
          <w:color w:val="000000"/>
          <w:lang w:val="sq-AL"/>
        </w:rPr>
        <w:t xml:space="preserve">për identifikimin </w:t>
      </w:r>
      <w:r w:rsidR="00F64017" w:rsidRPr="00A6606C">
        <w:rPr>
          <w:rFonts w:asciiTheme="majorHAnsi" w:eastAsia="Calibri" w:hAnsiTheme="majorHAnsi"/>
          <w:color w:val="000000"/>
          <w:lang w:val="sq-AL"/>
        </w:rPr>
        <w:t>e</w:t>
      </w:r>
      <w:r w:rsidRPr="00A6606C">
        <w:rPr>
          <w:rFonts w:asciiTheme="majorHAnsi" w:eastAsia="Calibri" w:hAnsiTheme="majorHAnsi"/>
          <w:color w:val="000000"/>
          <w:lang w:val="sq-AL"/>
        </w:rPr>
        <w:t xml:space="preserve"> mangësive të mundshme dhe zba</w:t>
      </w:r>
      <w:r w:rsidR="00303A9C">
        <w:rPr>
          <w:rFonts w:asciiTheme="majorHAnsi" w:eastAsia="Calibri" w:hAnsiTheme="majorHAnsi"/>
          <w:color w:val="000000"/>
          <w:lang w:val="sq-AL"/>
        </w:rPr>
        <w:t>timin e kontrolleve më efektive.</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Përditësimi i rregulloreve të brendshme në përputhje me ndryshimet strukturore të inst</w:t>
      </w:r>
      <w:r w:rsidR="00BC31CB" w:rsidRPr="00A6606C">
        <w:rPr>
          <w:rFonts w:asciiTheme="majorHAnsi" w:eastAsia="Calibri" w:hAnsiTheme="majorHAnsi"/>
          <w:color w:val="000000"/>
          <w:lang w:val="sq-AL"/>
        </w:rPr>
        <w:t xml:space="preserve">itucionit dhe </w:t>
      </w:r>
      <w:r w:rsidR="00C8731E" w:rsidRPr="00A6606C">
        <w:rPr>
          <w:rFonts w:asciiTheme="majorHAnsi" w:eastAsia="Calibri" w:hAnsiTheme="majorHAnsi"/>
          <w:color w:val="000000"/>
          <w:lang w:val="sq-AL"/>
        </w:rPr>
        <w:t>me baz</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n rregullatore t</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 xml:space="preserve"> kontrollit t</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 xml:space="preserve"> brendsh</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m</w:t>
      </w:r>
      <w:r w:rsidRPr="00A6606C">
        <w:rPr>
          <w:rFonts w:asciiTheme="majorHAnsi" w:eastAsia="Calibri" w:hAnsiTheme="majorHAnsi"/>
          <w:color w:val="000000"/>
          <w:lang w:val="sq-AL"/>
        </w:rPr>
        <w:t>.</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Realizimi i programeve të trajnimeve gjithëpërfshirëse për punonjësit lidhur me njohjen e ndryshimeve në bazën rregullatore apo kodin e etikës së institucionit</w:t>
      </w:r>
      <w:r w:rsidR="00F64017" w:rsidRPr="00A6606C">
        <w:rPr>
          <w:rFonts w:asciiTheme="majorHAnsi" w:eastAsia="Calibri" w:hAnsiTheme="majorHAnsi"/>
          <w:color w:val="000000"/>
          <w:lang w:val="sq-AL"/>
        </w:rPr>
        <w:t xml:space="preserve"> </w:t>
      </w:r>
      <w:r w:rsidR="00BC31CB" w:rsidRPr="00A6606C">
        <w:rPr>
          <w:rFonts w:asciiTheme="majorHAnsi" w:eastAsia="Calibri" w:hAnsiTheme="majorHAnsi"/>
          <w:color w:val="000000"/>
          <w:lang w:val="sq-AL"/>
        </w:rPr>
        <w:t xml:space="preserve">si </w:t>
      </w:r>
      <w:r w:rsidR="00F64017" w:rsidRPr="00A6606C">
        <w:rPr>
          <w:rFonts w:asciiTheme="majorHAnsi" w:eastAsia="Calibri" w:hAnsiTheme="majorHAnsi"/>
          <w:color w:val="000000"/>
          <w:lang w:val="sq-AL"/>
        </w:rPr>
        <w:t>dhe vlerësimin periodik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nevojave për trajnimin e stafit n</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lidhje </w:t>
      </w:r>
      <w:r w:rsidR="00BC31CB" w:rsidRPr="00A6606C">
        <w:rPr>
          <w:rFonts w:asciiTheme="majorHAnsi" w:eastAsia="Calibri" w:hAnsiTheme="majorHAnsi"/>
          <w:color w:val="000000"/>
          <w:lang w:val="sq-AL"/>
        </w:rPr>
        <w:t xml:space="preserve">me </w:t>
      </w:r>
      <w:r w:rsidR="00F64017" w:rsidRPr="00A6606C">
        <w:rPr>
          <w:rFonts w:asciiTheme="majorHAnsi" w:eastAsia="Calibri" w:hAnsiTheme="majorHAnsi"/>
          <w:color w:val="000000"/>
          <w:lang w:val="sq-AL"/>
        </w:rPr>
        <w:t>zbatimin e instrumentave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kontrollit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brendsh</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m</w:t>
      </w:r>
      <w:r w:rsidRPr="00A6606C">
        <w:rPr>
          <w:rFonts w:asciiTheme="majorHAnsi" w:eastAsia="Calibri" w:hAnsiTheme="majorHAnsi"/>
          <w:color w:val="000000"/>
          <w:lang w:val="sq-AL"/>
        </w:rPr>
        <w:t xml:space="preserve">. </w:t>
      </w:r>
    </w:p>
    <w:p w:rsidR="00181200" w:rsidRPr="00A6606C" w:rsidRDefault="00C8731E" w:rsidP="001B6077">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Hartimi dhe miratimi nga ana e nj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sive publike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procedurave të shkruara mbi rregullat e raportimit, </w:t>
      </w:r>
      <w:r w:rsidR="00181200" w:rsidRPr="00A6606C">
        <w:rPr>
          <w:rFonts w:asciiTheme="majorHAnsi" w:eastAsia="Calibri" w:hAnsiTheme="majorHAnsi"/>
          <w:color w:val="000000"/>
          <w:lang w:val="sq-AL"/>
        </w:rPr>
        <w:t xml:space="preserve">i cili nuk duhet të jetë i </w:t>
      </w:r>
      <w:r w:rsidRPr="00A6606C">
        <w:rPr>
          <w:rFonts w:asciiTheme="majorHAnsi" w:eastAsia="Calibri" w:hAnsiTheme="majorHAnsi"/>
          <w:color w:val="000000"/>
          <w:lang w:val="sq-AL"/>
        </w:rPr>
        <w:t xml:space="preserve">fokusuar </w:t>
      </w:r>
      <w:r w:rsidR="00181200" w:rsidRPr="00A6606C">
        <w:rPr>
          <w:rFonts w:asciiTheme="majorHAnsi" w:eastAsia="Calibri" w:hAnsiTheme="majorHAnsi"/>
          <w:color w:val="000000"/>
          <w:lang w:val="sq-AL"/>
        </w:rPr>
        <w:t xml:space="preserve">vetëm në çështjet financiare dhe buxhetore, por edhe në objektiva, tregues performance dhe risqet përkatëse mbi këto objektiva.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 xml:space="preserve">Hartimi i planeve operacionale </w:t>
      </w:r>
      <w:r w:rsidR="00DD476D" w:rsidRPr="00A6606C">
        <w:rPr>
          <w:rFonts w:asciiTheme="majorHAnsi" w:eastAsia="Calibri" w:hAnsiTheme="majorHAnsi"/>
          <w:color w:val="000000"/>
          <w:lang w:val="sq-AL"/>
        </w:rPr>
        <w:t>të konsoliduar</w:t>
      </w:r>
      <w:r w:rsidR="00DD476D">
        <w:rPr>
          <w:rFonts w:asciiTheme="majorHAnsi" w:eastAsia="Calibri" w:hAnsiTheme="majorHAnsi"/>
          <w:color w:val="000000"/>
          <w:lang w:val="sq-AL"/>
        </w:rPr>
        <w:t>a</w:t>
      </w:r>
      <w:r w:rsidR="00DD476D" w:rsidRPr="00A6606C">
        <w:rPr>
          <w:rFonts w:asciiTheme="majorHAnsi" w:eastAsia="Calibri" w:hAnsiTheme="majorHAnsi"/>
          <w:color w:val="000000"/>
          <w:lang w:val="sq-AL"/>
        </w:rPr>
        <w:t xml:space="preserve"> </w:t>
      </w:r>
      <w:r w:rsidRPr="00A6606C">
        <w:rPr>
          <w:rFonts w:asciiTheme="majorHAnsi" w:eastAsia="Calibri" w:hAnsiTheme="majorHAnsi"/>
          <w:color w:val="000000"/>
          <w:lang w:val="sq-AL"/>
        </w:rPr>
        <w:t>të punës,</w:t>
      </w:r>
      <w:r w:rsidR="00C8731E" w:rsidRPr="00A6606C">
        <w:rPr>
          <w:rFonts w:asciiTheme="majorHAnsi" w:eastAsia="Calibri" w:hAnsiTheme="majorHAnsi"/>
          <w:color w:val="000000"/>
          <w:lang w:val="sq-AL"/>
        </w:rPr>
        <w:t xml:space="preserve"> me tregues performance,</w:t>
      </w:r>
      <w:r w:rsidRPr="00A6606C">
        <w:rPr>
          <w:rFonts w:asciiTheme="majorHAnsi" w:eastAsia="Calibri" w:hAnsiTheme="majorHAnsi"/>
          <w:color w:val="000000"/>
          <w:lang w:val="sq-AL"/>
        </w:rPr>
        <w:t xml:space="preserve"> ku përgjegjësitë për zbatimin e objektivave të jenë ndarë në mënyrë të qartë dhe të monitorohen në mënyrë të vazhdueshme.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Përdorimi i mundësisë së delegimit si një element i rëndësishëm për rritjen e përgjegjshmërisë menaxheriale</w:t>
      </w:r>
      <w:r w:rsidR="00BF30D7" w:rsidRPr="00A6606C">
        <w:rPr>
          <w:rFonts w:asciiTheme="majorHAnsi" w:eastAsia="Calibri" w:hAnsiTheme="majorHAnsi"/>
          <w:color w:val="000000"/>
          <w:lang w:val="sq-AL"/>
        </w:rPr>
        <w:t xml:space="preserve"> dhe realizimin me efektivitet 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funksioneve 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nivelit 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lart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menaxherial</w:t>
      </w:r>
      <w:r w:rsidRPr="00A6606C">
        <w:rPr>
          <w:rFonts w:asciiTheme="majorHAnsi" w:eastAsia="Calibri" w:hAnsiTheme="majorHAnsi"/>
          <w:color w:val="000000"/>
          <w:lang w:val="sq-AL"/>
        </w:rPr>
        <w:t>.</w:t>
      </w:r>
    </w:p>
    <w:p w:rsidR="00181200" w:rsidRPr="00A6606C" w:rsidRDefault="00BF30D7"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P</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rfshirja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takimet e Grupit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w:t>
      </w:r>
      <w:r w:rsidR="00181200" w:rsidRPr="00A6606C">
        <w:rPr>
          <w:rFonts w:asciiTheme="majorHAnsi" w:eastAsia="Calibri" w:hAnsiTheme="majorHAnsi"/>
          <w:color w:val="000000"/>
          <w:lang w:val="sq-AL"/>
        </w:rPr>
        <w:t xml:space="preserve">Menaxhimit Strategjik, </w:t>
      </w:r>
      <w:r w:rsidRPr="00A6606C">
        <w:rPr>
          <w:rFonts w:asciiTheme="majorHAnsi" w:eastAsia="Calibri" w:hAnsiTheme="majorHAnsi"/>
          <w:color w:val="000000"/>
          <w:lang w:val="sq-AL"/>
        </w:rPr>
        <w:t>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ç</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shtjeve </w:t>
      </w:r>
      <w:r w:rsidR="00181200" w:rsidRPr="00A6606C">
        <w:rPr>
          <w:rFonts w:asciiTheme="majorHAnsi" w:eastAsia="Calibri" w:hAnsiTheme="majorHAnsi"/>
          <w:color w:val="000000"/>
          <w:lang w:val="sq-AL"/>
        </w:rPr>
        <w:t>që lidhen me kontrollin e brendshëm dhe adresimin e mangësive kryesore të konstatuar</w:t>
      </w:r>
      <w:r w:rsidRPr="00A6606C">
        <w:rPr>
          <w:rFonts w:asciiTheme="majorHAnsi" w:eastAsia="Calibri" w:hAnsiTheme="majorHAnsi"/>
          <w:color w:val="000000"/>
          <w:lang w:val="sq-AL"/>
        </w:rPr>
        <w:t>a</w:t>
      </w:r>
      <w:r w:rsidR="00181200" w:rsidRPr="00A6606C">
        <w:rPr>
          <w:rFonts w:asciiTheme="majorHAnsi" w:eastAsia="Calibri" w:hAnsiTheme="majorHAnsi"/>
          <w:color w:val="000000"/>
          <w:lang w:val="sq-AL"/>
        </w:rPr>
        <w:t xml:space="preserv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Ngritja e Grupit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Menaxhimit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Riskut, n</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kuad</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r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përcaktimit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mekanizmave të mirëorganizuar dhe funksionalë të procesit të menaxhimit të riskut. </w:t>
      </w:r>
    </w:p>
    <w:p w:rsidR="008A61BA" w:rsidRPr="00A6606C" w:rsidRDefault="00181200" w:rsidP="008A61BA">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Vlerësimin e mundësisë së riskut për mashtrime dhe kryerjen e vlerësime periodike të ekspozimit ndaj këtyre risqeve nga ana e njësive publike, në mënyrë që vlerësimi i riskut të  mashtrimit të bëhet pjesë integrale e procesit të menaxhimit të riskut.</w:t>
      </w:r>
    </w:p>
    <w:p w:rsidR="00181200" w:rsidRPr="007252B1" w:rsidRDefault="008A61BA" w:rsidP="007252B1">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Rritja e nd</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rgjegj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simit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nj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sive publike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lidhje me zbatimin e k</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rkesave ligjor</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fush</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n e korrupsionit dhe mashtrimit,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kuad</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rritjes s</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numrit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rasteve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shkeljeve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sinjalizuara.</w:t>
      </w:r>
    </w:p>
    <w:p w:rsidR="00181200" w:rsidRPr="00A6606C" w:rsidRDefault="008A61BA"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Nj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publike duhet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krijojn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dhe përditësojn</w:t>
      </w:r>
      <w:r w:rsidR="00A6606C" w:rsidRPr="00A6606C">
        <w:rPr>
          <w:rFonts w:asciiTheme="majorHAnsi" w:eastAsia="Calibri" w:hAnsiTheme="majorHAnsi"/>
          <w:color w:val="000000"/>
          <w:lang w:val="sq-AL"/>
        </w:rPr>
        <w:t>ë</w:t>
      </w:r>
      <w:r w:rsidR="00181200" w:rsidRPr="00A6606C">
        <w:rPr>
          <w:rFonts w:asciiTheme="majorHAnsi" w:eastAsia="Calibri" w:hAnsiTheme="majorHAnsi"/>
          <w:color w:val="000000"/>
          <w:lang w:val="sq-AL"/>
        </w:rPr>
        <w:t xml:space="preserve"> </w:t>
      </w:r>
      <w:r w:rsidRPr="00A6606C">
        <w:rPr>
          <w:rFonts w:asciiTheme="majorHAnsi" w:eastAsia="Calibri" w:hAnsiTheme="majorHAnsi"/>
          <w:color w:val="000000"/>
          <w:lang w:val="sq-AL"/>
        </w:rPr>
        <w:t>regjistrin e</w:t>
      </w:r>
      <w:r w:rsidR="00181200" w:rsidRPr="00A6606C">
        <w:rPr>
          <w:rFonts w:asciiTheme="majorHAnsi" w:eastAsia="Calibri" w:hAnsiTheme="majorHAnsi"/>
          <w:color w:val="000000"/>
          <w:lang w:val="sq-AL"/>
        </w:rPr>
        <w:t xml:space="preserve"> aktiveve</w:t>
      </w:r>
      <w:r w:rsidRPr="00A6606C">
        <w:rPr>
          <w:rFonts w:asciiTheme="majorHAnsi" w:eastAsia="Calibri" w:hAnsiTheme="majorHAnsi"/>
          <w:color w:val="000000"/>
          <w:lang w:val="sq-AL"/>
        </w:rPr>
        <w:t>,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rputhje me baz</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n regullatore mbi menaxhimin e aktiveve</w:t>
      </w:r>
      <w:r w:rsidR="00181200" w:rsidRPr="00A6606C">
        <w:rPr>
          <w:rFonts w:asciiTheme="majorHAnsi" w:eastAsia="Calibri" w:hAnsiTheme="majorHAnsi"/>
          <w:color w:val="000000"/>
          <w:lang w:val="sq-AL"/>
        </w:rPr>
        <w:t xml:space="preserve">. </w:t>
      </w:r>
    </w:p>
    <w:p w:rsidR="00181200" w:rsidRPr="00A6606C" w:rsidRDefault="005C4159"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Ngritja dhe përmirësimi i</w:t>
      </w:r>
      <w:r w:rsidR="00181200" w:rsidRPr="00A6606C">
        <w:rPr>
          <w:rFonts w:asciiTheme="majorHAnsi" w:eastAsia="Calibri" w:hAnsiTheme="majorHAnsi"/>
          <w:color w:val="000000"/>
          <w:lang w:val="sq-AL"/>
        </w:rPr>
        <w:t xml:space="preserve"> sistemeve të teknologjisë së informacionit, </w:t>
      </w:r>
      <w:r w:rsidRPr="00A6606C">
        <w:rPr>
          <w:rFonts w:asciiTheme="majorHAnsi" w:eastAsia="Calibri" w:hAnsiTheme="majorHAnsi"/>
          <w:color w:val="000000"/>
          <w:lang w:val="sq-AL"/>
        </w:rPr>
        <w:t>duke zbatuar</w:t>
      </w:r>
      <w:r w:rsidR="00181200" w:rsidRPr="00A6606C">
        <w:rPr>
          <w:rFonts w:asciiTheme="majorHAnsi" w:eastAsia="Calibri" w:hAnsiTheme="majorHAnsi"/>
          <w:color w:val="000000"/>
          <w:lang w:val="sq-AL"/>
        </w:rPr>
        <w:t xml:space="preserve"> procedurat e</w:t>
      </w:r>
      <w:r w:rsidRPr="00A6606C">
        <w:rPr>
          <w:rFonts w:asciiTheme="majorHAnsi" w:eastAsia="Calibri" w:hAnsiTheme="majorHAnsi"/>
          <w:color w:val="000000"/>
          <w:lang w:val="sq-AL"/>
        </w:rPr>
        <w:t xml:space="preserve"> brendshme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lidhje me ruajtjen, mbrojtjen dhe rikuperimin 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dh</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nave. </w:t>
      </w:r>
      <w:r w:rsidR="00181200" w:rsidRPr="00A6606C">
        <w:rPr>
          <w:rFonts w:asciiTheme="majorHAnsi" w:eastAsia="Calibri" w:hAnsiTheme="majorHAnsi"/>
          <w:color w:val="000000"/>
          <w:lang w:val="sq-AL"/>
        </w:rPr>
        <w:t xml:space="preserv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 xml:space="preserve">Institucionet publike duhet të </w:t>
      </w:r>
      <w:r w:rsidR="00A8700D" w:rsidRPr="00A6606C">
        <w:rPr>
          <w:rFonts w:asciiTheme="majorHAnsi" w:eastAsia="Calibri" w:hAnsiTheme="majorHAnsi"/>
          <w:color w:val="000000"/>
          <w:lang w:val="sq-AL"/>
        </w:rPr>
        <w:t xml:space="preserve">hartojnë manuale të </w:t>
      </w:r>
      <w:r w:rsidRPr="00A6606C">
        <w:rPr>
          <w:rFonts w:asciiTheme="majorHAnsi" w:eastAsia="Calibri" w:hAnsiTheme="majorHAnsi"/>
          <w:color w:val="000000"/>
          <w:lang w:val="sq-AL"/>
        </w:rPr>
        <w:t>shkruara të proceseve të punës</w:t>
      </w:r>
      <w:r w:rsidR="005C4159" w:rsidRPr="00A6606C">
        <w:rPr>
          <w:rFonts w:asciiTheme="majorHAnsi" w:eastAsia="Calibri" w:hAnsiTheme="majorHAnsi"/>
          <w:color w:val="000000"/>
          <w:lang w:val="sq-AL"/>
        </w:rPr>
        <w:t xml:space="preserve"> dhe gjurm</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t e auditimit</w:t>
      </w:r>
      <w:r w:rsidR="00A8700D" w:rsidRPr="00A6606C">
        <w:rPr>
          <w:rFonts w:asciiTheme="majorHAnsi" w:eastAsia="Calibri" w:hAnsiTheme="majorHAnsi"/>
          <w:color w:val="000000"/>
          <w:lang w:val="sq-AL"/>
        </w:rPr>
        <w:t>,</w:t>
      </w:r>
      <w:r w:rsidRPr="00A6606C">
        <w:rPr>
          <w:rFonts w:asciiTheme="majorHAnsi" w:eastAsia="Calibri" w:hAnsiTheme="majorHAnsi"/>
          <w:color w:val="000000"/>
          <w:lang w:val="sq-AL"/>
        </w:rPr>
        <w:t xml:space="preserve"> në mënyrë që të </w:t>
      </w:r>
      <w:r w:rsidR="005C4159" w:rsidRPr="00A6606C">
        <w:rPr>
          <w:rFonts w:asciiTheme="majorHAnsi" w:eastAsia="Calibri" w:hAnsiTheme="majorHAnsi"/>
          <w:color w:val="000000"/>
          <w:lang w:val="sq-AL"/>
        </w:rPr>
        <w:t>identifikojn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përgjegjësi</w:t>
      </w:r>
      <w:r w:rsidR="005C4159" w:rsidRPr="00A6606C">
        <w:rPr>
          <w:rFonts w:asciiTheme="majorHAnsi" w:eastAsia="Calibri" w:hAnsiTheme="majorHAnsi"/>
          <w:color w:val="000000"/>
          <w:lang w:val="sq-AL"/>
        </w:rPr>
        <w:t>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dhe </w:t>
      </w:r>
      <w:r w:rsidR="005C4159" w:rsidRPr="00A6606C">
        <w:rPr>
          <w:rFonts w:asciiTheme="majorHAnsi" w:eastAsia="Calibri" w:hAnsiTheme="majorHAnsi"/>
          <w:color w:val="000000"/>
          <w:lang w:val="sq-AL"/>
        </w:rPr>
        <w:t>t</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 xml:space="preserve"> p</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rcaktojn</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 xml:space="preserve"> linja t</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 xml:space="preserve"> qarta raportimi p</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r njësin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w:t>
      </w:r>
      <w:r w:rsidR="005C4159" w:rsidRPr="00A6606C">
        <w:rPr>
          <w:rFonts w:asciiTheme="majorHAnsi" w:eastAsia="Calibri" w:hAnsiTheme="majorHAnsi"/>
          <w:color w:val="000000"/>
          <w:lang w:val="sq-AL"/>
        </w:rPr>
        <w:t>publike</w:t>
      </w:r>
      <w:r w:rsidRPr="00A6606C">
        <w:rPr>
          <w:rFonts w:asciiTheme="majorHAnsi" w:eastAsia="Calibri" w:hAnsiTheme="majorHAnsi"/>
          <w:color w:val="000000"/>
          <w:lang w:val="sq-AL"/>
        </w:rPr>
        <w:t xml:space="preserv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Lidhur me sistemet e kontabilitetit, njësitë publike duhet të kenë një program të unifikuar si dhe të parashikojnë përmirësime të mëtejshme në sistemin e tyre të kontabilitetit.</w:t>
      </w:r>
    </w:p>
    <w:p w:rsidR="00181200" w:rsidRPr="00A6606C" w:rsidRDefault="00A6606C"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Kryeja e monitorimit të vazhdueshëm të sistemeve të kontrollit të brendshëm, nëpërmjet aktiviteteve të përcaktuara në planet e</w:t>
      </w:r>
      <w:r w:rsidR="00181200" w:rsidRPr="00A6606C">
        <w:rPr>
          <w:rFonts w:asciiTheme="majorHAnsi" w:eastAsia="Calibri" w:hAnsiTheme="majorHAnsi"/>
          <w:color w:val="000000"/>
          <w:lang w:val="sq-AL"/>
        </w:rPr>
        <w:t xml:space="preserve"> veprimit për MFK</w:t>
      </w:r>
      <w:r w:rsidR="00A8700D" w:rsidRPr="00A6606C">
        <w:rPr>
          <w:rFonts w:asciiTheme="majorHAnsi" w:eastAsia="Calibri" w:hAnsiTheme="majorHAnsi"/>
          <w:color w:val="000000"/>
          <w:lang w:val="sq-AL"/>
        </w:rPr>
        <w:t>-n</w:t>
      </w:r>
      <w:r w:rsidRPr="00A6606C">
        <w:rPr>
          <w:rFonts w:asciiTheme="majorHAnsi" w:eastAsia="Calibri" w:hAnsiTheme="majorHAnsi"/>
          <w:color w:val="000000"/>
          <w:lang w:val="sq-AL"/>
        </w:rPr>
        <w:t>ë.</w:t>
      </w:r>
      <w:r w:rsidR="00181200" w:rsidRPr="00A6606C">
        <w:rPr>
          <w:rFonts w:asciiTheme="majorHAnsi" w:eastAsia="Calibri" w:hAnsiTheme="majorHAnsi"/>
          <w:color w:val="000000"/>
          <w:lang w:val="sq-AL"/>
        </w:rPr>
        <w:t xml:space="preserve"> </w:t>
      </w:r>
    </w:p>
    <w:p w:rsidR="00181200" w:rsidRDefault="00AB548D" w:rsidP="004425E8">
      <w:pPr>
        <w:pStyle w:val="ListParagraph"/>
        <w:numPr>
          <w:ilvl w:val="0"/>
          <w:numId w:val="9"/>
        </w:numPr>
        <w:spacing w:after="160"/>
        <w:jc w:val="both"/>
        <w:rPr>
          <w:rFonts w:asciiTheme="majorHAnsi" w:eastAsia="Calibri" w:hAnsiTheme="majorHAnsi"/>
          <w:color w:val="000000"/>
          <w:lang w:val="sq-AL"/>
        </w:rPr>
      </w:pPr>
      <w:r>
        <w:rPr>
          <w:rFonts w:asciiTheme="majorHAnsi" w:eastAsia="Calibri" w:hAnsiTheme="majorHAnsi"/>
          <w:color w:val="000000"/>
          <w:lang w:val="sq-AL"/>
        </w:rPr>
        <w:t xml:space="preserve">Realizimi i shërbimit të </w:t>
      </w:r>
      <w:r w:rsidRPr="00A6606C">
        <w:rPr>
          <w:rFonts w:asciiTheme="majorHAnsi" w:eastAsia="Calibri" w:hAnsiTheme="majorHAnsi"/>
          <w:color w:val="000000"/>
          <w:lang w:val="sq-AL"/>
        </w:rPr>
        <w:t>auditimit të brendshëm për ato njësi publike</w:t>
      </w:r>
      <w:r w:rsidR="00A8700D" w:rsidRPr="00A6606C">
        <w:rPr>
          <w:rFonts w:asciiTheme="majorHAnsi" w:eastAsia="Calibri" w:hAnsiTheme="majorHAnsi"/>
          <w:color w:val="000000"/>
          <w:lang w:val="sq-AL"/>
        </w:rPr>
        <w:t>,</w:t>
      </w:r>
      <w:r w:rsidR="00181200" w:rsidRPr="00A6606C">
        <w:rPr>
          <w:rFonts w:asciiTheme="majorHAnsi" w:eastAsia="Calibri" w:hAnsiTheme="majorHAnsi"/>
          <w:color w:val="000000"/>
          <w:lang w:val="sq-AL"/>
        </w:rPr>
        <w:t xml:space="preserve"> të cilat nuk e kryejnë shërbimin e auditimit</w:t>
      </w:r>
      <w:r w:rsidR="00A6606C" w:rsidRPr="00A6606C">
        <w:rPr>
          <w:rFonts w:asciiTheme="majorHAnsi" w:eastAsia="Calibri" w:hAnsiTheme="majorHAnsi"/>
          <w:color w:val="000000"/>
          <w:lang w:val="sq-AL"/>
        </w:rPr>
        <w:t>,</w:t>
      </w:r>
      <w:r w:rsidRPr="00AB548D">
        <w:rPr>
          <w:rFonts w:asciiTheme="majorHAnsi" w:eastAsia="Calibri" w:hAnsiTheme="majorHAnsi"/>
          <w:color w:val="000000"/>
          <w:lang w:val="sq-AL"/>
        </w:rPr>
        <w:t xml:space="preserve"> </w:t>
      </w:r>
      <w:r>
        <w:rPr>
          <w:rFonts w:asciiTheme="majorHAnsi" w:eastAsia="Calibri" w:hAnsiTheme="majorHAnsi"/>
          <w:color w:val="000000"/>
          <w:lang w:val="sq-AL"/>
        </w:rPr>
        <w:t>me asnjë nga format e përcaktuara në kuadrin rregullator të fushës së audi</w:t>
      </w:r>
      <w:r w:rsidRPr="00A6606C">
        <w:rPr>
          <w:rFonts w:asciiTheme="majorHAnsi" w:eastAsia="Calibri" w:hAnsiTheme="majorHAnsi"/>
          <w:color w:val="000000"/>
          <w:lang w:val="sq-AL"/>
        </w:rPr>
        <w:t>timit të brendshëm</w:t>
      </w:r>
      <w:r w:rsidR="00A8700D" w:rsidRPr="00A6606C">
        <w:rPr>
          <w:rFonts w:asciiTheme="majorHAnsi" w:eastAsia="Calibri" w:hAnsiTheme="majorHAnsi"/>
          <w:color w:val="000000"/>
          <w:lang w:val="sq-AL"/>
        </w:rPr>
        <w:t>.</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Përmirësimi i metodologjive dhe udhëzimeve në kuadër të lehtësimit të procesit të inventarizimit nga ana e njësive të qeveri</w:t>
      </w:r>
      <w:r w:rsidR="00102C8F">
        <w:rPr>
          <w:rFonts w:asciiTheme="majorHAnsi" w:eastAsia="Calibri" w:hAnsiTheme="majorHAnsi"/>
          <w:color w:val="000000"/>
          <w:lang w:val="sq-AL"/>
        </w:rPr>
        <w:t>sjes së përgjithshme.</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 xml:space="preserve">Angazhimi i audituesve të brendshëm në vlerësimin e proceseve të vendimmarrjes, vendimeve strategjike dhe operacionale, mbikëqyrjen e menaxhimit të riskut, promovimin e etikës dhe vlerave të përshtatshme brenda organizatës, sigurimin e menaxhimit efektiv organizativ të performancës dhe llogaridhënies. </w:t>
      </w:r>
    </w:p>
    <w:p w:rsidR="007252B1" w:rsidRPr="007252B1" w:rsidRDefault="006A7282"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Angazhimi i audituesve të brendshëm në vlerësimin e risqeve më të rëndësishme për planifikimin dhe zbatimin e projekteve dhe programeve për arritjen e objektivave strategjikë të njësive publike</w:t>
      </w:r>
      <w:r w:rsidR="007252B1" w:rsidRPr="007252B1">
        <w:rPr>
          <w:rFonts w:asciiTheme="majorHAnsi" w:eastAsia="Calibri" w:hAnsiTheme="majorHAnsi"/>
          <w:color w:val="000000"/>
          <w:lang w:val="sq-AL"/>
        </w:rPr>
        <w:t>.</w:t>
      </w:r>
    </w:p>
    <w:p w:rsidR="007252B1" w:rsidRPr="007252B1" w:rsidRDefault="0092350F" w:rsidP="007252B1">
      <w:pPr>
        <w:pStyle w:val="ListParagraph"/>
        <w:numPr>
          <w:ilvl w:val="0"/>
          <w:numId w:val="9"/>
        </w:numPr>
        <w:spacing w:after="160"/>
        <w:jc w:val="both"/>
        <w:rPr>
          <w:rFonts w:asciiTheme="majorHAnsi" w:eastAsia="Calibri" w:hAnsiTheme="majorHAnsi"/>
          <w:color w:val="000000"/>
          <w:lang w:val="sq-AL"/>
        </w:rPr>
      </w:pPr>
      <w:r>
        <w:rPr>
          <w:rFonts w:asciiTheme="majorHAnsi" w:eastAsia="Calibri" w:hAnsiTheme="majorHAnsi"/>
          <w:color w:val="000000"/>
          <w:lang w:val="sq-AL"/>
        </w:rPr>
        <w:t>Monitorimi në vazhdimësi nga n</w:t>
      </w:r>
      <w:r w:rsidR="007252B1" w:rsidRPr="007252B1">
        <w:rPr>
          <w:rFonts w:asciiTheme="majorHAnsi" w:eastAsia="Calibri" w:hAnsiTheme="majorHAnsi"/>
          <w:color w:val="000000"/>
          <w:lang w:val="sq-AL"/>
        </w:rPr>
        <w:t>jësitë e auditimit të bre</w:t>
      </w:r>
      <w:r w:rsidR="006A7282">
        <w:rPr>
          <w:rFonts w:asciiTheme="majorHAnsi" w:eastAsia="Calibri" w:hAnsiTheme="majorHAnsi"/>
          <w:color w:val="000000"/>
          <w:lang w:val="sq-AL"/>
        </w:rPr>
        <w:t>n</w:t>
      </w:r>
      <w:r w:rsidR="007252B1" w:rsidRPr="007252B1">
        <w:rPr>
          <w:rFonts w:asciiTheme="majorHAnsi" w:eastAsia="Calibri" w:hAnsiTheme="majorHAnsi"/>
          <w:color w:val="000000"/>
          <w:lang w:val="sq-AL"/>
        </w:rPr>
        <w:t xml:space="preserve">dshëm </w:t>
      </w:r>
      <w:r>
        <w:rPr>
          <w:rFonts w:asciiTheme="majorHAnsi" w:eastAsia="Calibri" w:hAnsiTheme="majorHAnsi"/>
          <w:color w:val="000000"/>
          <w:lang w:val="sq-AL"/>
        </w:rPr>
        <w:t xml:space="preserve">i </w:t>
      </w:r>
      <w:r w:rsidR="007252B1" w:rsidRPr="007252B1">
        <w:rPr>
          <w:rFonts w:asciiTheme="majorHAnsi" w:eastAsia="Calibri" w:hAnsiTheme="majorHAnsi"/>
          <w:color w:val="000000"/>
          <w:lang w:val="sq-AL"/>
        </w:rPr>
        <w:t>niveli</w:t>
      </w:r>
      <w:r>
        <w:rPr>
          <w:rFonts w:asciiTheme="majorHAnsi" w:eastAsia="Calibri" w:hAnsiTheme="majorHAnsi"/>
          <w:color w:val="000000"/>
          <w:lang w:val="sq-AL"/>
        </w:rPr>
        <w:t xml:space="preserve">t të </w:t>
      </w:r>
      <w:r w:rsidR="007252B1" w:rsidRPr="007252B1">
        <w:rPr>
          <w:rFonts w:asciiTheme="majorHAnsi" w:eastAsia="Calibri" w:hAnsiTheme="majorHAnsi"/>
          <w:color w:val="000000"/>
          <w:lang w:val="sq-AL"/>
        </w:rPr>
        <w:t xml:space="preserve">zbatimit dhe cilësinë e rekomandimeve të dhëna, me qëllim që realizimi i shërbimit të auditimit të shihet si vlerë e shtuar nga titullarët e njësive publike dhe të gjithë grupet e interesit. </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 xml:space="preserve">Realizimi i vlerësimeve të jashtme të cilësisë së veprimtarisë së auditimit të brendshëm në sektorin publik, për monitorimin e përputhjes së kësaj veprimtarie me standardet ndërkombëtare, të pranuara.  </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Bashkëpunimi me institucione të tjera kombëtare dhe ndërkombëtare për të menaxhuar  programe sa më cilësore të trajnimit të vijueshëm profesional duke përfshirë në program tema që zhvillojnë kapacitetet profesionale të audituesve të brendshëm.</w:t>
      </w:r>
    </w:p>
    <w:p w:rsidR="007252B1" w:rsidRPr="007252B1" w:rsidRDefault="007252B1" w:rsidP="007252B1">
      <w:pPr>
        <w:spacing w:after="160"/>
        <w:ind w:left="360"/>
        <w:jc w:val="both"/>
        <w:rPr>
          <w:rFonts w:asciiTheme="majorHAnsi" w:eastAsia="Calibri" w:hAnsiTheme="majorHAnsi"/>
          <w:color w:val="000000"/>
          <w:lang w:val="sq-AL"/>
        </w:rPr>
      </w:pPr>
    </w:p>
    <w:p w:rsidR="00A8700D" w:rsidRDefault="00A8700D"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A8700D" w:rsidRDefault="00A8700D" w:rsidP="00A8700D">
      <w:pPr>
        <w:spacing w:after="160"/>
        <w:jc w:val="both"/>
        <w:rPr>
          <w:lang w:val="sq-AL"/>
        </w:rPr>
      </w:pPr>
    </w:p>
    <w:p w:rsidR="00D53194" w:rsidRDefault="00D53194" w:rsidP="00D53194">
      <w:pPr>
        <w:pStyle w:val="Heading1"/>
      </w:pPr>
      <w:bookmarkStart w:id="64" w:name="_Toc9082372"/>
      <w:r>
        <w:t xml:space="preserve">KAPITULLI Iv. </w:t>
      </w:r>
      <w:r w:rsidRPr="001977EA">
        <w:t xml:space="preserve">Vlerësimi </w:t>
      </w:r>
      <w:r>
        <w:t xml:space="preserve">NË VEND </w:t>
      </w:r>
      <w:r w:rsidRPr="001977EA">
        <w:t xml:space="preserve">i </w:t>
      </w:r>
      <w:r>
        <w:t>ZBATUESHMËRISË SË STANDARDEVE TË KONTROLLIT TË BRENDSHËM DHE AUDITIMIT</w:t>
      </w:r>
      <w:bookmarkEnd w:id="64"/>
      <w:r>
        <w:t xml:space="preserve"> </w:t>
      </w:r>
    </w:p>
    <w:p w:rsidR="00D53194" w:rsidRDefault="003D0D98" w:rsidP="00D53194">
      <w:pPr>
        <w:pStyle w:val="Heading2"/>
      </w:pPr>
      <w:bookmarkStart w:id="65" w:name="_Toc9082373"/>
      <w:r>
        <w:t>4</w:t>
      </w:r>
      <w:r w:rsidR="00D53194">
        <w:t xml:space="preserve">.1 </w:t>
      </w:r>
      <w:r w:rsidR="00D53194" w:rsidRPr="001977EA">
        <w:t xml:space="preserve">Vlerësimi i besueshmërisë së pyetësorëve të vetëvlerësimit </w:t>
      </w:r>
      <w:r w:rsidR="00D53194">
        <w:t xml:space="preserve">të MFK-së </w:t>
      </w:r>
      <w:r w:rsidR="00D53194" w:rsidRPr="001977EA">
        <w:t>për 5 institucionet e monitoruara</w:t>
      </w:r>
      <w:bookmarkEnd w:id="65"/>
    </w:p>
    <w:p w:rsidR="00D53194" w:rsidRPr="00D53194" w:rsidRDefault="00D53194" w:rsidP="00D53194">
      <w:pPr>
        <w:rPr>
          <w:lang w:val="en-GB" w:eastAsia="en-US"/>
        </w:rPr>
      </w:pPr>
    </w:p>
    <w:p w:rsidR="00D53194" w:rsidRDefault="00D53194" w:rsidP="00D53194">
      <w:pPr>
        <w:jc w:val="both"/>
        <w:rPr>
          <w:rFonts w:asciiTheme="majorHAnsi" w:hAnsiTheme="majorHAnsi"/>
          <w:sz w:val="22"/>
          <w:szCs w:val="22"/>
          <w:lang w:val="sq-AL" w:eastAsia="en-US"/>
        </w:rPr>
      </w:pPr>
      <w:r>
        <w:rPr>
          <w:rFonts w:asciiTheme="majorHAnsi" w:hAnsiTheme="majorHAnsi"/>
          <w:sz w:val="22"/>
          <w:szCs w:val="22"/>
          <w:lang w:val="sq-AL" w:eastAsia="en-US"/>
        </w:rPr>
        <w:t>B</w:t>
      </w:r>
      <w:r w:rsidRPr="00DF3D18">
        <w:rPr>
          <w:rFonts w:asciiTheme="majorHAnsi" w:hAnsiTheme="majorHAnsi"/>
          <w:sz w:val="22"/>
          <w:szCs w:val="22"/>
          <w:lang w:val="sq-AL" w:eastAsia="en-US"/>
        </w:rPr>
        <w:t xml:space="preserve">azuar në nenin 25 dhe 26, të ligjit </w:t>
      </w:r>
      <w:r>
        <w:rPr>
          <w:rFonts w:asciiTheme="majorHAnsi" w:hAnsiTheme="majorHAnsi"/>
          <w:sz w:val="22"/>
          <w:szCs w:val="22"/>
          <w:lang w:val="sq-AL" w:eastAsia="en-US"/>
        </w:rPr>
        <w:t>nr. 10296, datë 08.07.2010 “Për Menaxhimin Financiar dhe Kontrollin”, i ndryshuar</w:t>
      </w:r>
      <w:r w:rsidRPr="00DF3D18">
        <w:rPr>
          <w:rFonts w:asciiTheme="majorHAnsi" w:hAnsiTheme="majorHAnsi"/>
          <w:sz w:val="22"/>
          <w:szCs w:val="22"/>
          <w:lang w:val="sq-AL" w:eastAsia="en-US"/>
        </w:rPr>
        <w:t xml:space="preserve">, DH/MFKK </w:t>
      </w:r>
      <w:r>
        <w:rPr>
          <w:rFonts w:asciiTheme="majorHAnsi" w:hAnsiTheme="majorHAnsi"/>
          <w:sz w:val="22"/>
          <w:szCs w:val="22"/>
          <w:lang w:val="sq-AL" w:eastAsia="en-US"/>
        </w:rPr>
        <w:t xml:space="preserve">me qëllim realizimin e detyrave kryesore funksionale, </w:t>
      </w:r>
      <w:r w:rsidRPr="00DF3D18">
        <w:rPr>
          <w:rFonts w:asciiTheme="majorHAnsi" w:hAnsiTheme="majorHAnsi"/>
          <w:sz w:val="22"/>
          <w:szCs w:val="22"/>
          <w:lang w:val="sq-AL" w:eastAsia="en-US"/>
        </w:rPr>
        <w:t>ka planifikuar monitorime në disa njësi të qeverisjes së përgjithshme lidhur me zbatueshmërinë e instrumenteve të MFK-së. Ky proces monitorimi ka si synim verifikimin e besueshmërisë së informacioneve të përfshira në pyetësorët e rishikuar të vetëvlerësimit dhe inkurajimin e njësisë publike për të kryer një vetëvlerësim të hollësishëm dhe të besueshëm të sistemit të kontrollit të brendshëm.</w:t>
      </w:r>
      <w:r>
        <w:rPr>
          <w:rFonts w:asciiTheme="majorHAnsi" w:hAnsiTheme="majorHAnsi"/>
          <w:sz w:val="22"/>
          <w:szCs w:val="22"/>
          <w:lang w:val="sq-AL" w:eastAsia="en-US"/>
        </w:rPr>
        <w:t xml:space="preserve"> Gjatë periudhës Prill-Maj të vitit 2019, janë realizuar monitorime në 5 njësi publike, ku konkluzionet paraqiten si më poshtë:</w:t>
      </w:r>
    </w:p>
    <w:p w:rsidR="00D53194" w:rsidRPr="00021F30" w:rsidRDefault="00D53194" w:rsidP="00D53194">
      <w:pPr>
        <w:jc w:val="both"/>
        <w:rPr>
          <w:rFonts w:asciiTheme="majorHAnsi" w:hAnsiTheme="majorHAnsi"/>
          <w:sz w:val="22"/>
          <w:szCs w:val="22"/>
          <w:lang w:val="sq-AL" w:eastAsia="en-US"/>
        </w:rPr>
      </w:pPr>
    </w:p>
    <w:p w:rsidR="00D53194" w:rsidRDefault="00D53194" w:rsidP="00D53194">
      <w:pPr>
        <w:jc w:val="both"/>
        <w:rPr>
          <w:rFonts w:asciiTheme="majorHAnsi" w:eastAsia="Calibri" w:hAnsiTheme="majorHAnsi"/>
          <w:b/>
          <w:sz w:val="22"/>
          <w:szCs w:val="22"/>
          <w:lang w:val="sq-AL" w:eastAsia="en-US"/>
        </w:rPr>
      </w:pPr>
      <w:r w:rsidRPr="00021F30">
        <w:rPr>
          <w:rFonts w:asciiTheme="majorHAnsi" w:eastAsia="Calibri" w:hAnsiTheme="majorHAnsi"/>
          <w:b/>
          <w:sz w:val="22"/>
          <w:szCs w:val="22"/>
          <w:lang w:val="sq-AL" w:eastAsia="en-US"/>
        </w:rPr>
        <w:t>Kryeministria</w:t>
      </w:r>
    </w:p>
    <w:p w:rsidR="00D53194" w:rsidRPr="00021F30" w:rsidRDefault="00D53194" w:rsidP="00D53194">
      <w:pPr>
        <w:jc w:val="both"/>
        <w:rPr>
          <w:rFonts w:asciiTheme="majorHAnsi" w:eastAsia="Calibri" w:hAnsiTheme="majorHAnsi"/>
          <w:b/>
          <w:sz w:val="22"/>
          <w:szCs w:val="22"/>
          <w:lang w:val="sq-AL" w:eastAsia="en-US"/>
        </w:rPr>
      </w:pPr>
    </w:p>
    <w:p w:rsidR="00D53194" w:rsidRDefault="00D53194" w:rsidP="00D53194">
      <w:pPr>
        <w:jc w:val="both"/>
        <w:rPr>
          <w:rFonts w:asciiTheme="majorHAnsi" w:eastAsia="Calibri" w:hAnsiTheme="majorHAnsi"/>
          <w:sz w:val="22"/>
          <w:szCs w:val="22"/>
          <w:lang w:val="sq-AL" w:eastAsia="en-US"/>
        </w:rPr>
      </w:pPr>
      <w:r w:rsidRPr="00021F30">
        <w:rPr>
          <w:rFonts w:asciiTheme="majorHAnsi" w:eastAsia="Calibri" w:hAnsiTheme="majorHAnsi"/>
          <w:sz w:val="22"/>
          <w:szCs w:val="22"/>
          <w:lang w:val="sq-AL" w:eastAsia="en-US"/>
        </w:rPr>
        <w:t>Gjatë monitorimit të realizuar në Kryeministri u evidentua që ky institucion duhet të rrisë shkallën e përgjegjshmërisë për implementimin e kërkesave të kontrollit të brendshëm brenda institucionit. Pavarësisht efektivitetit të sistemit të kontrollit të brendshëm, pyetësori i vetëvlerësimit të këtij institucioni paraqet situatën reale të tij në lidhje me këtë fushë, ku mbi 75 % e përgjigjeve të</w:t>
      </w:r>
      <w:r>
        <w:rPr>
          <w:rFonts w:asciiTheme="majorHAnsi" w:eastAsia="Calibri" w:hAnsiTheme="majorHAnsi"/>
          <w:sz w:val="22"/>
          <w:szCs w:val="22"/>
          <w:lang w:val="sq-AL" w:eastAsia="en-US"/>
        </w:rPr>
        <w:t xml:space="preserve"> pyetësorit janë të besueshme. </w:t>
      </w:r>
      <w:r w:rsidRPr="00021F30">
        <w:rPr>
          <w:rFonts w:asciiTheme="majorHAnsi" w:eastAsia="Calibri" w:hAnsiTheme="majorHAnsi"/>
          <w:sz w:val="22"/>
          <w:szCs w:val="22"/>
          <w:lang w:val="sq-AL" w:eastAsia="en-US"/>
        </w:rPr>
        <w:t>Në vijim, ky institucion do të angazhohet në bashkëpunim me Ministrinë e Financave dhe Ekonomisë në përmirësimin e gjendjes së sistemit të kontrollit të brendshëm si dhe në implementimin e plotë të instrumentave të menaxhimit financiar dhe kontrollit.</w:t>
      </w:r>
    </w:p>
    <w:p w:rsidR="00D53194" w:rsidRDefault="00D53194" w:rsidP="00D53194">
      <w:pPr>
        <w:jc w:val="both"/>
        <w:rPr>
          <w:rFonts w:asciiTheme="majorHAnsi" w:eastAsia="Calibri" w:hAnsiTheme="majorHAnsi"/>
          <w:sz w:val="22"/>
          <w:szCs w:val="22"/>
          <w:lang w:val="sq-AL" w:eastAsia="en-US"/>
        </w:rPr>
      </w:pPr>
    </w:p>
    <w:p w:rsidR="00D53194" w:rsidRPr="00021F30" w:rsidRDefault="00D53194" w:rsidP="00D53194">
      <w:pPr>
        <w:jc w:val="both"/>
        <w:rPr>
          <w:rFonts w:asciiTheme="majorHAnsi" w:eastAsia="Calibri" w:hAnsiTheme="majorHAnsi"/>
          <w:sz w:val="22"/>
          <w:szCs w:val="22"/>
          <w:lang w:val="sq-AL" w:eastAsia="en-US"/>
        </w:rPr>
      </w:pPr>
    </w:p>
    <w:p w:rsidR="00D53194" w:rsidRPr="00021F30" w:rsidRDefault="00D53194" w:rsidP="00D53194">
      <w:pPr>
        <w:jc w:val="both"/>
        <w:rPr>
          <w:rFonts w:asciiTheme="majorHAnsi" w:hAnsiTheme="majorHAnsi"/>
          <w:b/>
          <w:sz w:val="22"/>
          <w:szCs w:val="22"/>
          <w:lang w:val="sq-AL" w:eastAsia="en-US"/>
        </w:rPr>
      </w:pPr>
      <w:r w:rsidRPr="00021F30">
        <w:rPr>
          <w:rFonts w:asciiTheme="majorHAnsi" w:hAnsiTheme="majorHAnsi"/>
          <w:b/>
          <w:sz w:val="22"/>
          <w:szCs w:val="22"/>
          <w:lang w:val="sq-AL" w:eastAsia="en-US"/>
        </w:rPr>
        <w:t>Ministria e Shëndetësisë dhe Mbrojtjes Sociale</w:t>
      </w:r>
    </w:p>
    <w:p w:rsidR="00D53194" w:rsidRPr="00021F30" w:rsidRDefault="00D53194" w:rsidP="00D53194">
      <w:pPr>
        <w:jc w:val="both"/>
        <w:rPr>
          <w:rFonts w:asciiTheme="majorHAnsi" w:hAnsiTheme="majorHAnsi"/>
          <w:b/>
          <w:sz w:val="22"/>
          <w:szCs w:val="22"/>
          <w:lang w:val="sq-AL" w:eastAsia="en-US"/>
        </w:rPr>
      </w:pPr>
    </w:p>
    <w:p w:rsidR="00D53194" w:rsidRPr="00021F30" w:rsidRDefault="00D53194" w:rsidP="00D53194">
      <w:pPr>
        <w:jc w:val="both"/>
        <w:rPr>
          <w:rFonts w:asciiTheme="majorHAnsi" w:hAnsiTheme="majorHAnsi"/>
          <w:sz w:val="22"/>
          <w:szCs w:val="22"/>
          <w:lang w:val="sq-AL" w:eastAsia="en-US"/>
        </w:rPr>
      </w:pPr>
      <w:r>
        <w:rPr>
          <w:rFonts w:asciiTheme="majorHAnsi" w:hAnsiTheme="majorHAnsi"/>
          <w:sz w:val="22"/>
          <w:szCs w:val="22"/>
          <w:lang w:val="sq-AL" w:eastAsia="en-US"/>
        </w:rPr>
        <w:t xml:space="preserve">Në Ministrinë e </w:t>
      </w:r>
      <w:r w:rsidRPr="00021F30">
        <w:rPr>
          <w:rFonts w:asciiTheme="majorHAnsi" w:hAnsiTheme="majorHAnsi"/>
          <w:sz w:val="22"/>
          <w:szCs w:val="22"/>
          <w:lang w:val="sq-AL" w:eastAsia="en-US"/>
        </w:rPr>
        <w:t xml:space="preserve">Shëndetësisë dhe Mbrojtjes Sociale është zhvilluar procesi i monitorimit në </w:t>
      </w:r>
      <w:r>
        <w:rPr>
          <w:rFonts w:asciiTheme="majorHAnsi" w:hAnsiTheme="majorHAnsi"/>
          <w:sz w:val="22"/>
          <w:szCs w:val="22"/>
          <w:lang w:val="sq-AL" w:eastAsia="en-US"/>
        </w:rPr>
        <w:t xml:space="preserve">vend, </w:t>
      </w:r>
      <w:r w:rsidRPr="00021F30">
        <w:rPr>
          <w:rFonts w:asciiTheme="majorHAnsi" w:hAnsiTheme="majorHAnsi"/>
          <w:sz w:val="22"/>
          <w:szCs w:val="22"/>
          <w:lang w:val="sq-AL" w:eastAsia="en-US"/>
        </w:rPr>
        <w:t>me qëllim vlerësimin e cilësisë dhe efektivitetit të sistemeve të kontrollit të brendshëm në këtë institucion. Baza për monitorim ishte pyetësori i rishikuar i vetëvle</w:t>
      </w:r>
      <w:r>
        <w:rPr>
          <w:rFonts w:asciiTheme="majorHAnsi" w:hAnsiTheme="majorHAnsi"/>
          <w:sz w:val="22"/>
          <w:szCs w:val="22"/>
          <w:lang w:val="sq-AL" w:eastAsia="en-US"/>
        </w:rPr>
        <w:t>rësimit të kompone</w:t>
      </w:r>
      <w:r w:rsidRPr="00021F30">
        <w:rPr>
          <w:rFonts w:asciiTheme="majorHAnsi" w:hAnsiTheme="majorHAnsi"/>
          <w:sz w:val="22"/>
          <w:szCs w:val="22"/>
          <w:lang w:val="sq-AL" w:eastAsia="en-US"/>
        </w:rPr>
        <w:t>ntëve të menaxhimit financiar dhe kontrollit, përmbajtja e të cilit nuk është në përputhje me kriteret e përcaktura për vlerësimin e 17 parimeve. Nga kontrolli në vend, evidentohet se rreth 7</w:t>
      </w:r>
      <w:r>
        <w:rPr>
          <w:rFonts w:asciiTheme="majorHAnsi" w:hAnsiTheme="majorHAnsi"/>
          <w:sz w:val="22"/>
          <w:szCs w:val="22"/>
          <w:lang w:val="sq-AL" w:eastAsia="en-US"/>
        </w:rPr>
        <w:t>0</w:t>
      </w:r>
      <w:r w:rsidRPr="00021F30">
        <w:rPr>
          <w:rFonts w:asciiTheme="majorHAnsi" w:hAnsiTheme="majorHAnsi"/>
          <w:sz w:val="22"/>
          <w:szCs w:val="22"/>
          <w:lang w:val="sq-AL" w:eastAsia="en-US"/>
        </w:rPr>
        <w:t>% e përgjigjeve të dhëna në pyetësor janë të besueshme. Në këto kushte, institucioni duhet të rrisë nivelin e angazhimit dhe përgjegjshmërisë për zbatimin e kërkesave të kontrollit të brendshëm si edhe shkallën e ndërveprimit ndërmjet strukturave brenda tij</w:t>
      </w:r>
      <w:r>
        <w:rPr>
          <w:rFonts w:asciiTheme="majorHAnsi" w:hAnsiTheme="majorHAnsi"/>
          <w:sz w:val="22"/>
          <w:szCs w:val="22"/>
          <w:lang w:val="sq-AL" w:eastAsia="en-US"/>
        </w:rPr>
        <w:t>,</w:t>
      </w:r>
      <w:r w:rsidRPr="00021F30">
        <w:rPr>
          <w:rFonts w:asciiTheme="majorHAnsi" w:hAnsiTheme="majorHAnsi"/>
          <w:sz w:val="22"/>
          <w:szCs w:val="22"/>
          <w:lang w:val="sq-AL" w:eastAsia="en-US"/>
        </w:rPr>
        <w:t xml:space="preserve"> në kuadër të hartimit të dokumentave më cilësorë dhe instrumentave efektivë të menaxhimit financiar dhe kontrollit.</w:t>
      </w:r>
    </w:p>
    <w:p w:rsidR="00D53194" w:rsidRDefault="00D53194" w:rsidP="00D53194">
      <w:pPr>
        <w:spacing w:after="160"/>
        <w:jc w:val="both"/>
        <w:rPr>
          <w:rFonts w:asciiTheme="majorHAnsi" w:eastAsia="Calibri" w:hAnsiTheme="majorHAnsi"/>
          <w:b/>
          <w:sz w:val="22"/>
          <w:szCs w:val="22"/>
          <w:lang w:val="sq-AL" w:eastAsia="en-US"/>
        </w:rPr>
      </w:pPr>
    </w:p>
    <w:p w:rsidR="00D53194" w:rsidRDefault="00D53194" w:rsidP="00D53194">
      <w:pPr>
        <w:jc w:val="both"/>
        <w:rPr>
          <w:rFonts w:asciiTheme="majorHAnsi" w:eastAsia="Calibri" w:hAnsiTheme="majorHAnsi"/>
          <w:b/>
          <w:sz w:val="22"/>
          <w:szCs w:val="22"/>
          <w:lang w:val="sq-AL" w:eastAsia="en-US"/>
        </w:rPr>
      </w:pPr>
      <w:r>
        <w:rPr>
          <w:rFonts w:asciiTheme="majorHAnsi" w:eastAsia="Calibri" w:hAnsiTheme="majorHAnsi"/>
          <w:b/>
          <w:sz w:val="22"/>
          <w:szCs w:val="22"/>
          <w:lang w:val="sq-AL" w:eastAsia="en-US"/>
        </w:rPr>
        <w:t>Bashkia</w:t>
      </w:r>
      <w:r w:rsidRPr="003E10EB">
        <w:rPr>
          <w:rFonts w:asciiTheme="majorHAnsi" w:eastAsia="Calibri" w:hAnsiTheme="majorHAnsi"/>
          <w:b/>
          <w:sz w:val="22"/>
          <w:szCs w:val="22"/>
          <w:lang w:val="sq-AL" w:eastAsia="en-US"/>
        </w:rPr>
        <w:t xml:space="preserve"> Vlor</w:t>
      </w:r>
      <w:r>
        <w:rPr>
          <w:rFonts w:asciiTheme="majorHAnsi" w:eastAsia="Calibri" w:hAnsiTheme="majorHAnsi"/>
          <w:b/>
          <w:sz w:val="22"/>
          <w:szCs w:val="22"/>
          <w:lang w:val="sq-AL" w:eastAsia="en-US"/>
        </w:rPr>
        <w:t>ë</w:t>
      </w:r>
    </w:p>
    <w:p w:rsidR="00D53194" w:rsidRPr="003E10EB" w:rsidRDefault="00D53194" w:rsidP="00D53194">
      <w:pPr>
        <w:jc w:val="both"/>
        <w:rPr>
          <w:rFonts w:asciiTheme="majorHAnsi" w:eastAsia="Calibri" w:hAnsiTheme="majorHAnsi"/>
          <w:b/>
          <w:sz w:val="22"/>
          <w:szCs w:val="22"/>
          <w:lang w:val="sq-AL" w:eastAsia="en-US"/>
        </w:rPr>
      </w:pPr>
    </w:p>
    <w:p w:rsidR="00D53194" w:rsidRDefault="00D53194" w:rsidP="00D53194">
      <w:pPr>
        <w:jc w:val="both"/>
        <w:rPr>
          <w:rFonts w:asciiTheme="majorHAnsi" w:eastAsia="Calibri" w:hAnsiTheme="majorHAnsi"/>
          <w:sz w:val="22"/>
          <w:szCs w:val="22"/>
          <w:lang w:val="sq-AL" w:eastAsia="en-US"/>
        </w:rPr>
      </w:pPr>
      <w:r w:rsidRPr="00C11397">
        <w:rPr>
          <w:rFonts w:asciiTheme="majorHAnsi" w:eastAsia="Calibri" w:hAnsiTheme="majorHAnsi"/>
          <w:sz w:val="22"/>
          <w:szCs w:val="22"/>
          <w:lang w:val="sq-AL" w:eastAsia="en-US"/>
        </w:rPr>
        <w:t>Gjatë monitorimit të kryer në Bashkinë Vlorë, u evidentua se institucioni duhet të bëjë më shumë përpjekje në implementimin e kërkesave të MFK-së, dhe të përfshihet në këtë proces i gjithë stafi i bashkisë. Pyetësori i vetëvlerësimit të këtij institucioni paraqet situatën reale të tij në lidhje me këtë fushë, ku mbi 75 % e përgjigjeve të pyetësorit janë të besueshme. Në vijim, këtij institucioni do ti dërgohen rekomandimet përkatëse dhe do të bashkëpunohet për implementimin e kërkesave të MFK.</w:t>
      </w:r>
    </w:p>
    <w:p w:rsidR="00D53194" w:rsidRPr="00021F30" w:rsidRDefault="00D53194" w:rsidP="00D53194">
      <w:pPr>
        <w:jc w:val="both"/>
        <w:rPr>
          <w:rFonts w:asciiTheme="majorHAnsi" w:eastAsia="Calibri" w:hAnsiTheme="majorHAnsi"/>
          <w:sz w:val="22"/>
          <w:szCs w:val="22"/>
          <w:lang w:val="sq-AL" w:eastAsia="en-US"/>
        </w:rPr>
      </w:pPr>
    </w:p>
    <w:p w:rsidR="00D53194" w:rsidRDefault="00D53194" w:rsidP="00D53194">
      <w:pPr>
        <w:jc w:val="both"/>
        <w:rPr>
          <w:rFonts w:asciiTheme="majorHAnsi" w:eastAsia="Calibri" w:hAnsiTheme="majorHAnsi"/>
          <w:b/>
          <w:sz w:val="22"/>
          <w:szCs w:val="22"/>
          <w:lang w:val="sq-AL" w:eastAsia="en-US"/>
        </w:rPr>
      </w:pPr>
      <w:r w:rsidRPr="00021F30">
        <w:rPr>
          <w:rFonts w:asciiTheme="majorHAnsi" w:eastAsia="Calibri" w:hAnsiTheme="majorHAnsi"/>
          <w:b/>
          <w:sz w:val="22"/>
          <w:szCs w:val="22"/>
          <w:lang w:val="sq-AL" w:eastAsia="en-US"/>
        </w:rPr>
        <w:t>Bashkia Devoll</w:t>
      </w:r>
    </w:p>
    <w:p w:rsidR="00D53194" w:rsidRPr="001977EA" w:rsidRDefault="00D53194" w:rsidP="00D53194">
      <w:pPr>
        <w:jc w:val="both"/>
        <w:rPr>
          <w:rFonts w:asciiTheme="majorHAnsi" w:eastAsia="Calibri" w:hAnsiTheme="majorHAnsi"/>
          <w:sz w:val="22"/>
          <w:szCs w:val="22"/>
          <w:lang w:val="sq-AL" w:eastAsia="en-US"/>
        </w:rPr>
      </w:pPr>
    </w:p>
    <w:p w:rsidR="00D53194" w:rsidRDefault="00D53194" w:rsidP="00D53194">
      <w:pPr>
        <w:jc w:val="both"/>
        <w:rPr>
          <w:rFonts w:asciiTheme="majorHAnsi" w:eastAsia="Calibri" w:hAnsiTheme="majorHAnsi"/>
          <w:sz w:val="22"/>
          <w:szCs w:val="22"/>
          <w:lang w:val="sq-AL" w:eastAsia="en-US"/>
        </w:rPr>
      </w:pPr>
      <w:r>
        <w:rPr>
          <w:rFonts w:asciiTheme="majorHAnsi" w:eastAsia="Calibri" w:hAnsiTheme="majorHAnsi"/>
          <w:sz w:val="22"/>
          <w:szCs w:val="22"/>
          <w:lang w:val="sq-AL" w:eastAsia="en-US"/>
        </w:rPr>
        <w:t>Nga m</w:t>
      </w:r>
      <w:r w:rsidRPr="00021F30">
        <w:rPr>
          <w:rFonts w:asciiTheme="majorHAnsi" w:eastAsia="Calibri" w:hAnsiTheme="majorHAnsi"/>
          <w:sz w:val="22"/>
          <w:szCs w:val="22"/>
          <w:lang w:val="sq-AL" w:eastAsia="en-US"/>
        </w:rPr>
        <w:t xml:space="preserve">onitorimi i realizuar në </w:t>
      </w:r>
      <w:r>
        <w:rPr>
          <w:rFonts w:asciiTheme="majorHAnsi" w:eastAsia="Calibri" w:hAnsiTheme="majorHAnsi"/>
          <w:sz w:val="22"/>
          <w:szCs w:val="22"/>
          <w:lang w:val="sq-AL" w:eastAsia="en-US"/>
        </w:rPr>
        <w:t>bashkinë Devoll,</w:t>
      </w:r>
      <w:r w:rsidRPr="00021F30">
        <w:rPr>
          <w:rFonts w:asciiTheme="majorHAnsi" w:eastAsia="Calibri" w:hAnsiTheme="majorHAnsi"/>
          <w:sz w:val="22"/>
          <w:szCs w:val="22"/>
          <w:lang w:val="sq-AL" w:eastAsia="en-US"/>
        </w:rPr>
        <w:t xml:space="preserve"> në lidhje me funksionimin e</w:t>
      </w:r>
      <w:r>
        <w:rPr>
          <w:rFonts w:asciiTheme="majorHAnsi" w:eastAsia="Calibri" w:hAnsiTheme="majorHAnsi"/>
          <w:sz w:val="22"/>
          <w:szCs w:val="22"/>
          <w:lang w:val="sq-AL" w:eastAsia="en-US"/>
        </w:rPr>
        <w:t xml:space="preserve"> sistemit të</w:t>
      </w:r>
      <w:r w:rsidRPr="00021F30">
        <w:rPr>
          <w:rFonts w:asciiTheme="majorHAnsi" w:eastAsia="Calibri" w:hAnsiTheme="majorHAnsi"/>
          <w:sz w:val="22"/>
          <w:szCs w:val="22"/>
          <w:lang w:val="sq-AL" w:eastAsia="en-US"/>
        </w:rPr>
        <w:t xml:space="preserve"> kontrollit të brendshëm</w:t>
      </w:r>
      <w:r>
        <w:rPr>
          <w:rFonts w:asciiTheme="majorHAnsi" w:eastAsia="Calibri" w:hAnsiTheme="majorHAnsi"/>
          <w:sz w:val="22"/>
          <w:szCs w:val="22"/>
          <w:lang w:val="sq-AL" w:eastAsia="en-US"/>
        </w:rPr>
        <w:t>,</w:t>
      </w:r>
      <w:r w:rsidRPr="00021F30">
        <w:rPr>
          <w:rFonts w:asciiTheme="majorHAnsi" w:eastAsia="Calibri" w:hAnsiTheme="majorHAnsi"/>
          <w:sz w:val="22"/>
          <w:szCs w:val="22"/>
          <w:lang w:val="sq-AL" w:eastAsia="en-US"/>
        </w:rPr>
        <w:t xml:space="preserve"> </w:t>
      </w:r>
      <w:r>
        <w:rPr>
          <w:rFonts w:asciiTheme="majorHAnsi" w:eastAsia="Calibri" w:hAnsiTheme="majorHAnsi"/>
          <w:sz w:val="22"/>
          <w:szCs w:val="22"/>
          <w:lang w:val="sq-AL" w:eastAsia="en-US"/>
        </w:rPr>
        <w:t>u konstatua se, pyetësori i vetëvlerësimit nuk ishte komunikuar dhe shpërndarë te të gjitha strukturat e ins</w:t>
      </w:r>
      <w:r w:rsidRPr="00021F30">
        <w:rPr>
          <w:rFonts w:asciiTheme="majorHAnsi" w:eastAsia="Calibri" w:hAnsiTheme="majorHAnsi"/>
          <w:sz w:val="22"/>
          <w:szCs w:val="22"/>
          <w:lang w:val="sq-AL" w:eastAsia="en-US"/>
        </w:rPr>
        <w:t xml:space="preserve">titucionit </w:t>
      </w:r>
      <w:r>
        <w:rPr>
          <w:rFonts w:asciiTheme="majorHAnsi" w:eastAsia="Calibri" w:hAnsiTheme="majorHAnsi"/>
          <w:sz w:val="22"/>
          <w:szCs w:val="22"/>
          <w:lang w:val="sq-AL" w:eastAsia="en-US"/>
        </w:rPr>
        <w:t>si dhe nuk ishin angazhuar</w:t>
      </w:r>
      <w:r w:rsidRPr="00021F30">
        <w:rPr>
          <w:rFonts w:asciiTheme="majorHAnsi" w:eastAsia="Calibri" w:hAnsiTheme="majorHAnsi"/>
          <w:sz w:val="22"/>
          <w:szCs w:val="22"/>
          <w:lang w:val="sq-AL" w:eastAsia="en-US"/>
        </w:rPr>
        <w:t xml:space="preserve"> në plotësimin e </w:t>
      </w:r>
      <w:r>
        <w:rPr>
          <w:rFonts w:asciiTheme="majorHAnsi" w:eastAsia="Calibri" w:hAnsiTheme="majorHAnsi"/>
          <w:sz w:val="22"/>
          <w:szCs w:val="22"/>
          <w:lang w:val="sq-AL" w:eastAsia="en-US"/>
        </w:rPr>
        <w:t>tij</w:t>
      </w:r>
      <w:r w:rsidRPr="00021F30">
        <w:rPr>
          <w:rFonts w:asciiTheme="majorHAnsi" w:eastAsia="Calibri" w:hAnsiTheme="majorHAnsi"/>
          <w:sz w:val="22"/>
          <w:szCs w:val="22"/>
          <w:lang w:val="sq-AL" w:eastAsia="en-US"/>
        </w:rPr>
        <w:t xml:space="preserve">. </w:t>
      </w:r>
      <w:r>
        <w:rPr>
          <w:rFonts w:asciiTheme="majorHAnsi" w:eastAsia="Calibri" w:hAnsiTheme="majorHAnsi"/>
          <w:sz w:val="22"/>
          <w:szCs w:val="22"/>
          <w:lang w:val="sq-AL" w:eastAsia="en-US"/>
        </w:rPr>
        <w:t>Kjo problematikë u</w:t>
      </w:r>
      <w:r w:rsidRPr="00021F30">
        <w:rPr>
          <w:rFonts w:asciiTheme="majorHAnsi" w:eastAsia="Calibri" w:hAnsiTheme="majorHAnsi"/>
          <w:sz w:val="22"/>
          <w:szCs w:val="22"/>
          <w:lang w:val="sq-AL" w:eastAsia="en-US"/>
        </w:rPr>
        <w:t xml:space="preserve"> pasqyrua dhe në plotësimin jo korrekt të pyetësorit të vetëvlerësimit</w:t>
      </w:r>
      <w:r>
        <w:rPr>
          <w:rFonts w:asciiTheme="majorHAnsi" w:eastAsia="Calibri" w:hAnsiTheme="majorHAnsi"/>
          <w:sz w:val="22"/>
          <w:szCs w:val="22"/>
          <w:lang w:val="sq-AL" w:eastAsia="en-US"/>
        </w:rPr>
        <w:t>,</w:t>
      </w:r>
      <w:r w:rsidRPr="00021F30">
        <w:rPr>
          <w:rFonts w:asciiTheme="majorHAnsi" w:eastAsia="Calibri" w:hAnsiTheme="majorHAnsi"/>
          <w:sz w:val="22"/>
          <w:szCs w:val="22"/>
          <w:lang w:val="sq-AL" w:eastAsia="en-US"/>
        </w:rPr>
        <w:t xml:space="preserve"> sipas </w:t>
      </w:r>
      <w:r>
        <w:rPr>
          <w:rFonts w:asciiTheme="majorHAnsi" w:eastAsia="Calibri" w:hAnsiTheme="majorHAnsi"/>
          <w:sz w:val="22"/>
          <w:szCs w:val="22"/>
          <w:lang w:val="sq-AL" w:eastAsia="en-US"/>
        </w:rPr>
        <w:t xml:space="preserve">evidencave mbështetëse </w:t>
      </w:r>
      <w:r w:rsidRPr="00021F30">
        <w:rPr>
          <w:rFonts w:asciiTheme="majorHAnsi" w:eastAsia="Calibri" w:hAnsiTheme="majorHAnsi"/>
          <w:sz w:val="22"/>
          <w:szCs w:val="22"/>
          <w:lang w:val="sq-AL" w:eastAsia="en-US"/>
        </w:rPr>
        <w:t>të kërkuar</w:t>
      </w:r>
      <w:r>
        <w:rPr>
          <w:rFonts w:asciiTheme="majorHAnsi" w:eastAsia="Calibri" w:hAnsiTheme="majorHAnsi"/>
          <w:sz w:val="22"/>
          <w:szCs w:val="22"/>
          <w:lang w:val="sq-AL" w:eastAsia="en-US"/>
        </w:rPr>
        <w:t>a</w:t>
      </w:r>
      <w:r w:rsidRPr="00021F30">
        <w:rPr>
          <w:rFonts w:asciiTheme="majorHAnsi" w:eastAsia="Calibri" w:hAnsiTheme="majorHAnsi"/>
          <w:sz w:val="22"/>
          <w:szCs w:val="22"/>
          <w:lang w:val="sq-AL" w:eastAsia="en-US"/>
        </w:rPr>
        <w:t>. Bazuar në situatën reale</w:t>
      </w:r>
      <w:r>
        <w:rPr>
          <w:rFonts w:asciiTheme="majorHAnsi" w:eastAsia="Calibri" w:hAnsiTheme="majorHAnsi"/>
          <w:sz w:val="22"/>
          <w:szCs w:val="22"/>
          <w:lang w:val="sq-AL" w:eastAsia="en-US"/>
        </w:rPr>
        <w:t>, sipas dokumentacionit</w:t>
      </w:r>
      <w:r w:rsidRPr="00021F30">
        <w:rPr>
          <w:rFonts w:asciiTheme="majorHAnsi" w:eastAsia="Calibri" w:hAnsiTheme="majorHAnsi"/>
          <w:sz w:val="22"/>
          <w:szCs w:val="22"/>
          <w:lang w:val="sq-AL" w:eastAsia="en-US"/>
        </w:rPr>
        <w:t xml:space="preserve"> të paraqitur</w:t>
      </w:r>
      <w:r>
        <w:rPr>
          <w:rFonts w:asciiTheme="majorHAnsi" w:eastAsia="Calibri" w:hAnsiTheme="majorHAnsi"/>
          <w:sz w:val="22"/>
          <w:szCs w:val="22"/>
          <w:lang w:val="sq-AL" w:eastAsia="en-US"/>
        </w:rPr>
        <w:t xml:space="preserve"> gjatë vizitës në terren, vlerësojmë se stafi i bashkisë u ndërgjegjësua dhe u angazhua në plotësimin e</w:t>
      </w:r>
      <w:r w:rsidRPr="00021F30">
        <w:rPr>
          <w:rFonts w:asciiTheme="majorHAnsi" w:eastAsia="Calibri" w:hAnsiTheme="majorHAnsi"/>
          <w:sz w:val="22"/>
          <w:szCs w:val="22"/>
          <w:lang w:val="sq-AL" w:eastAsia="en-US"/>
        </w:rPr>
        <w:t xml:space="preserve"> kërkesave ligjore në fushat e ndryshme</w:t>
      </w:r>
      <w:r>
        <w:rPr>
          <w:rFonts w:asciiTheme="majorHAnsi" w:eastAsia="Calibri" w:hAnsiTheme="majorHAnsi"/>
          <w:sz w:val="22"/>
          <w:szCs w:val="22"/>
          <w:lang w:val="sq-AL" w:eastAsia="en-US"/>
        </w:rPr>
        <w:t>,</w:t>
      </w:r>
      <w:r w:rsidRPr="00021F30">
        <w:rPr>
          <w:rFonts w:asciiTheme="majorHAnsi" w:eastAsia="Calibri" w:hAnsiTheme="majorHAnsi"/>
          <w:sz w:val="22"/>
          <w:szCs w:val="22"/>
          <w:lang w:val="sq-AL" w:eastAsia="en-US"/>
        </w:rPr>
        <w:t xml:space="preserve"> që pasqyrohen si kërkesa të </w:t>
      </w:r>
      <w:r>
        <w:rPr>
          <w:rFonts w:asciiTheme="majorHAnsi" w:eastAsia="Calibri" w:hAnsiTheme="majorHAnsi"/>
          <w:sz w:val="22"/>
          <w:szCs w:val="22"/>
          <w:lang w:val="sq-AL" w:eastAsia="en-US"/>
        </w:rPr>
        <w:t xml:space="preserve">sistemit të </w:t>
      </w:r>
      <w:r w:rsidRPr="00021F30">
        <w:rPr>
          <w:rFonts w:asciiTheme="majorHAnsi" w:eastAsia="Calibri" w:hAnsiTheme="majorHAnsi"/>
          <w:sz w:val="22"/>
          <w:szCs w:val="22"/>
          <w:lang w:val="sq-AL" w:eastAsia="en-US"/>
        </w:rPr>
        <w:t xml:space="preserve">kontrollit të brendshëm. </w:t>
      </w:r>
      <w:r>
        <w:rPr>
          <w:rFonts w:asciiTheme="majorHAnsi" w:eastAsia="Calibri" w:hAnsiTheme="majorHAnsi"/>
          <w:sz w:val="22"/>
          <w:szCs w:val="22"/>
          <w:lang w:val="sq-AL" w:eastAsia="en-US"/>
        </w:rPr>
        <w:t>Gjithashtu, theksojmë se nga ana e stafit k</w:t>
      </w:r>
      <w:r w:rsidRPr="00021F30">
        <w:rPr>
          <w:rFonts w:asciiTheme="majorHAnsi" w:eastAsia="Calibri" w:hAnsiTheme="majorHAnsi"/>
          <w:sz w:val="22"/>
          <w:szCs w:val="22"/>
          <w:lang w:val="sq-AL" w:eastAsia="en-US"/>
        </w:rPr>
        <w:t xml:space="preserve">ishte angazhim për plotësimin e rekomandimeve të dhëna nga monitorimi i bërë në vitit 2018, në implementimin e instrumentave </w:t>
      </w:r>
      <w:r>
        <w:rPr>
          <w:rFonts w:asciiTheme="majorHAnsi" w:eastAsia="Calibri" w:hAnsiTheme="majorHAnsi"/>
          <w:sz w:val="22"/>
          <w:szCs w:val="22"/>
          <w:lang w:val="sq-AL" w:eastAsia="en-US"/>
        </w:rPr>
        <w:t xml:space="preserve">të </w:t>
      </w:r>
      <w:r w:rsidRPr="00021F30">
        <w:rPr>
          <w:rFonts w:asciiTheme="majorHAnsi" w:eastAsia="Calibri" w:hAnsiTheme="majorHAnsi"/>
          <w:sz w:val="22"/>
          <w:szCs w:val="22"/>
          <w:lang w:val="sq-AL" w:eastAsia="en-US"/>
        </w:rPr>
        <w:t>menaxhimit financiar dhe kontrollit (në fushën e menaxhimit të risku</w:t>
      </w:r>
      <w:r>
        <w:rPr>
          <w:rFonts w:asciiTheme="majorHAnsi" w:eastAsia="Calibri" w:hAnsiTheme="majorHAnsi"/>
          <w:sz w:val="22"/>
          <w:szCs w:val="22"/>
          <w:lang w:val="sq-AL" w:eastAsia="en-US"/>
        </w:rPr>
        <w:t>t</w:t>
      </w:r>
      <w:r w:rsidRPr="00021F30">
        <w:rPr>
          <w:rFonts w:asciiTheme="majorHAnsi" w:eastAsia="Calibri" w:hAnsiTheme="majorHAnsi"/>
          <w:sz w:val="22"/>
          <w:szCs w:val="22"/>
          <w:lang w:val="sq-AL" w:eastAsia="en-US"/>
        </w:rPr>
        <w:t xml:space="preserve">,) por </w:t>
      </w:r>
      <w:r>
        <w:rPr>
          <w:rFonts w:asciiTheme="majorHAnsi" w:eastAsia="Calibri" w:hAnsiTheme="majorHAnsi"/>
          <w:sz w:val="22"/>
          <w:szCs w:val="22"/>
          <w:lang w:val="sq-AL" w:eastAsia="en-US"/>
        </w:rPr>
        <w:t xml:space="preserve">gjithashtu </w:t>
      </w:r>
      <w:r w:rsidRPr="00021F30">
        <w:rPr>
          <w:rFonts w:asciiTheme="majorHAnsi" w:eastAsia="Calibri" w:hAnsiTheme="majorHAnsi"/>
          <w:sz w:val="22"/>
          <w:szCs w:val="22"/>
          <w:lang w:val="sq-AL" w:eastAsia="en-US"/>
        </w:rPr>
        <w:t xml:space="preserve">kishte </w:t>
      </w:r>
      <w:r>
        <w:rPr>
          <w:rFonts w:asciiTheme="majorHAnsi" w:eastAsia="Calibri" w:hAnsiTheme="majorHAnsi"/>
          <w:sz w:val="22"/>
          <w:szCs w:val="22"/>
          <w:lang w:val="sq-AL" w:eastAsia="en-US"/>
        </w:rPr>
        <w:t xml:space="preserve">ende problematika përsa i përket </w:t>
      </w:r>
      <w:r w:rsidRPr="00021F30">
        <w:rPr>
          <w:rFonts w:asciiTheme="majorHAnsi" w:eastAsia="Calibri" w:hAnsiTheme="majorHAnsi"/>
          <w:sz w:val="22"/>
          <w:szCs w:val="22"/>
          <w:lang w:val="sq-AL" w:eastAsia="en-US"/>
        </w:rPr>
        <w:t xml:space="preserve">ndarjes së qartë të detyrave, inventarizimit të aktiveve , etj. </w:t>
      </w:r>
    </w:p>
    <w:p w:rsidR="00D53194" w:rsidRPr="00021F30" w:rsidRDefault="00D53194" w:rsidP="00D53194">
      <w:pPr>
        <w:jc w:val="both"/>
        <w:rPr>
          <w:rFonts w:asciiTheme="majorHAnsi" w:eastAsia="Calibri" w:hAnsiTheme="majorHAnsi"/>
          <w:sz w:val="22"/>
          <w:szCs w:val="22"/>
          <w:lang w:val="sq-AL" w:eastAsia="en-US"/>
        </w:rPr>
      </w:pPr>
    </w:p>
    <w:p w:rsidR="00D53194" w:rsidRPr="003E10EB" w:rsidRDefault="00D53194" w:rsidP="00D53194">
      <w:pPr>
        <w:spacing w:after="160"/>
        <w:jc w:val="both"/>
        <w:rPr>
          <w:rFonts w:asciiTheme="majorHAnsi" w:eastAsia="Calibri" w:hAnsiTheme="majorHAnsi"/>
          <w:b/>
          <w:sz w:val="22"/>
          <w:szCs w:val="22"/>
          <w:lang w:val="sq-AL" w:eastAsia="en-US"/>
        </w:rPr>
      </w:pPr>
      <w:r w:rsidRPr="003E10EB">
        <w:rPr>
          <w:rFonts w:asciiTheme="majorHAnsi" w:eastAsia="Calibri" w:hAnsiTheme="majorHAnsi"/>
          <w:b/>
          <w:sz w:val="22"/>
          <w:szCs w:val="22"/>
          <w:lang w:val="sq-AL" w:eastAsia="en-US"/>
        </w:rPr>
        <w:t>Zyr</w:t>
      </w:r>
      <w:r w:rsidR="00D516EC">
        <w:rPr>
          <w:rFonts w:asciiTheme="majorHAnsi" w:eastAsia="Calibri" w:hAnsiTheme="majorHAnsi"/>
          <w:b/>
          <w:sz w:val="22"/>
          <w:szCs w:val="22"/>
          <w:lang w:val="sq-AL" w:eastAsia="en-US"/>
        </w:rPr>
        <w:t>a</w:t>
      </w:r>
      <w:r w:rsidRPr="003E10EB">
        <w:rPr>
          <w:rFonts w:asciiTheme="majorHAnsi" w:eastAsia="Calibri" w:hAnsiTheme="majorHAnsi"/>
          <w:b/>
          <w:sz w:val="22"/>
          <w:szCs w:val="22"/>
          <w:lang w:val="sq-AL" w:eastAsia="en-US"/>
        </w:rPr>
        <w:t xml:space="preserve"> </w:t>
      </w:r>
      <w:r w:rsidR="00D516EC">
        <w:rPr>
          <w:rFonts w:asciiTheme="majorHAnsi" w:eastAsia="Calibri" w:hAnsiTheme="majorHAnsi"/>
          <w:b/>
          <w:sz w:val="22"/>
          <w:szCs w:val="22"/>
          <w:lang w:val="sq-AL" w:eastAsia="en-US"/>
        </w:rPr>
        <w:t>e</w:t>
      </w:r>
      <w:r w:rsidRPr="003E10EB">
        <w:rPr>
          <w:rFonts w:asciiTheme="majorHAnsi" w:eastAsia="Calibri" w:hAnsiTheme="majorHAnsi"/>
          <w:b/>
          <w:sz w:val="22"/>
          <w:szCs w:val="22"/>
          <w:lang w:val="sq-AL" w:eastAsia="en-US"/>
        </w:rPr>
        <w:t xml:space="preserve"> Administrimit t</w:t>
      </w:r>
      <w:r>
        <w:rPr>
          <w:rFonts w:asciiTheme="majorHAnsi" w:eastAsia="Calibri" w:hAnsiTheme="majorHAnsi"/>
          <w:b/>
          <w:sz w:val="22"/>
          <w:szCs w:val="22"/>
          <w:lang w:val="sq-AL" w:eastAsia="en-US"/>
        </w:rPr>
        <w:t>ë</w:t>
      </w:r>
      <w:r w:rsidRPr="003E10EB">
        <w:rPr>
          <w:rFonts w:asciiTheme="majorHAnsi" w:eastAsia="Calibri" w:hAnsiTheme="majorHAnsi"/>
          <w:b/>
          <w:sz w:val="22"/>
          <w:szCs w:val="22"/>
          <w:lang w:val="sq-AL" w:eastAsia="en-US"/>
        </w:rPr>
        <w:t xml:space="preserve"> Buxhetit Gjyq</w:t>
      </w:r>
      <w:r>
        <w:rPr>
          <w:rFonts w:asciiTheme="majorHAnsi" w:eastAsia="Calibri" w:hAnsiTheme="majorHAnsi"/>
          <w:b/>
          <w:sz w:val="22"/>
          <w:szCs w:val="22"/>
          <w:lang w:val="sq-AL" w:eastAsia="en-US"/>
        </w:rPr>
        <w:t>ë</w:t>
      </w:r>
      <w:r w:rsidRPr="003E10EB">
        <w:rPr>
          <w:rFonts w:asciiTheme="majorHAnsi" w:eastAsia="Calibri" w:hAnsiTheme="majorHAnsi"/>
          <w:b/>
          <w:sz w:val="22"/>
          <w:szCs w:val="22"/>
          <w:lang w:val="sq-AL" w:eastAsia="en-US"/>
        </w:rPr>
        <w:t>sor</w:t>
      </w:r>
    </w:p>
    <w:p w:rsidR="00D53194" w:rsidRPr="003E10EB" w:rsidRDefault="00D53194" w:rsidP="00D53194">
      <w:pPr>
        <w:spacing w:after="160"/>
        <w:jc w:val="both"/>
        <w:rPr>
          <w:rFonts w:asciiTheme="majorHAnsi" w:eastAsia="Calibri" w:hAnsiTheme="majorHAnsi"/>
          <w:sz w:val="22"/>
          <w:szCs w:val="22"/>
          <w:lang w:val="sq-AL" w:eastAsia="en-US"/>
        </w:rPr>
      </w:pPr>
      <w:r w:rsidRPr="003E10EB">
        <w:rPr>
          <w:rFonts w:asciiTheme="majorHAnsi" w:eastAsia="Calibri" w:hAnsiTheme="majorHAnsi"/>
          <w:sz w:val="22"/>
          <w:szCs w:val="22"/>
          <w:lang w:val="sq-AL" w:eastAsia="en-US"/>
        </w:rPr>
        <w:t>Gjatë monitorimit të realizuar në ZABGJ u evidentua që ky institucion ka një shkallë të lartë të  përgjegjshmërisë për implementimin e kërkesave të kontrollit të brendshëm brenda institucionit. Pyetësori i vetëvlerësimit të këtij institucioni paraqet situatën reale të tij në lidhje me këtë fushë, ku mbi 80 % e përgjigjeve të pyetësorit janë të besueshme.  Në vijim, ky institucion</w:t>
      </w:r>
      <w:r>
        <w:rPr>
          <w:rFonts w:asciiTheme="majorHAnsi" w:eastAsia="Calibri" w:hAnsiTheme="majorHAnsi"/>
          <w:sz w:val="22"/>
          <w:szCs w:val="22"/>
          <w:lang w:val="sq-AL" w:eastAsia="en-US"/>
        </w:rPr>
        <w:t>,</w:t>
      </w:r>
      <w:r w:rsidRPr="003E10EB">
        <w:rPr>
          <w:rFonts w:asciiTheme="majorHAnsi" w:eastAsia="Calibri" w:hAnsiTheme="majorHAnsi"/>
          <w:sz w:val="22"/>
          <w:szCs w:val="22"/>
          <w:lang w:val="sq-AL" w:eastAsia="en-US"/>
        </w:rPr>
        <w:t xml:space="preserve"> për shkak të bashkimit të tij më Këshillin e Lartë Gjyqësor në fund të vitit 2018, do të jetë në</w:t>
      </w:r>
      <w:r>
        <w:rPr>
          <w:rFonts w:asciiTheme="majorHAnsi" w:eastAsia="Calibri" w:hAnsiTheme="majorHAnsi"/>
          <w:sz w:val="22"/>
          <w:szCs w:val="22"/>
          <w:lang w:val="sq-AL" w:eastAsia="en-US"/>
        </w:rPr>
        <w:t xml:space="preserve"> fazë ristrukturimi dhe gjetjet</w:t>
      </w:r>
      <w:r w:rsidRPr="003E10EB">
        <w:rPr>
          <w:rFonts w:asciiTheme="majorHAnsi" w:eastAsia="Calibri" w:hAnsiTheme="majorHAnsi"/>
          <w:sz w:val="22"/>
          <w:szCs w:val="22"/>
          <w:lang w:val="sq-AL" w:eastAsia="en-US"/>
        </w:rPr>
        <w:t xml:space="preserve"> e monitorimit në vend do të ndihmojnë në implemetimin me sukses të sistemit të MFK</w:t>
      </w:r>
      <w:r>
        <w:rPr>
          <w:rFonts w:asciiTheme="majorHAnsi" w:eastAsia="Calibri" w:hAnsiTheme="majorHAnsi"/>
          <w:sz w:val="22"/>
          <w:szCs w:val="22"/>
          <w:lang w:val="sq-AL" w:eastAsia="en-US"/>
        </w:rPr>
        <w:t>-së</w:t>
      </w:r>
      <w:r w:rsidRPr="003E10EB">
        <w:rPr>
          <w:rFonts w:asciiTheme="majorHAnsi" w:eastAsia="Calibri" w:hAnsiTheme="majorHAnsi"/>
          <w:sz w:val="22"/>
          <w:szCs w:val="22"/>
          <w:lang w:val="sq-AL" w:eastAsia="en-US"/>
        </w:rPr>
        <w:t xml:space="preserve"> në KLGJ.</w:t>
      </w:r>
    </w:p>
    <w:p w:rsidR="00D53194" w:rsidRPr="00334850" w:rsidRDefault="00334850" w:rsidP="00334850">
      <w:pPr>
        <w:pStyle w:val="Heading2"/>
        <w:rPr>
          <w:rFonts w:eastAsia="Calibri"/>
        </w:rPr>
      </w:pPr>
      <w:bookmarkStart w:id="66" w:name="_Toc9082374"/>
      <w:r>
        <w:rPr>
          <w:rFonts w:eastAsia="Calibri"/>
        </w:rPr>
        <w:t>4.2</w:t>
      </w:r>
      <w:r w:rsidR="003D0D98" w:rsidRPr="00334850">
        <w:rPr>
          <w:rFonts w:eastAsia="Calibri"/>
        </w:rPr>
        <w:t xml:space="preserve"> </w:t>
      </w:r>
      <w:r w:rsidR="00D53194" w:rsidRPr="00334850">
        <w:rPr>
          <w:rFonts w:eastAsia="Calibri"/>
        </w:rPr>
        <w:t>Vlerësimi i jashtëm i cilësisë së nj</w:t>
      </w:r>
      <w:r w:rsidRPr="00334850">
        <w:rPr>
          <w:rFonts w:eastAsia="Calibri"/>
        </w:rPr>
        <w:t>ë</w:t>
      </w:r>
      <w:r w:rsidR="00D53194" w:rsidRPr="00334850">
        <w:rPr>
          <w:rFonts w:eastAsia="Calibri"/>
        </w:rPr>
        <w:t>sive t</w:t>
      </w:r>
      <w:r w:rsidRPr="00334850">
        <w:rPr>
          <w:rFonts w:eastAsia="Calibri"/>
        </w:rPr>
        <w:t>ë</w:t>
      </w:r>
      <w:r w:rsidR="00D53194" w:rsidRPr="00334850">
        <w:rPr>
          <w:rFonts w:eastAsia="Calibri"/>
        </w:rPr>
        <w:t xml:space="preserve"> auditimit t</w:t>
      </w:r>
      <w:r w:rsidRPr="00334850">
        <w:rPr>
          <w:rFonts w:eastAsia="Calibri"/>
        </w:rPr>
        <w:t>ë</w:t>
      </w:r>
      <w:r w:rsidR="00D53194" w:rsidRPr="00334850">
        <w:rPr>
          <w:rFonts w:eastAsia="Calibri"/>
        </w:rPr>
        <w:t xml:space="preserve"> brendsh</w:t>
      </w:r>
      <w:r w:rsidRPr="00334850">
        <w:rPr>
          <w:rFonts w:eastAsia="Calibri"/>
        </w:rPr>
        <w:t>ë</w:t>
      </w:r>
      <w:r w:rsidR="00D53194" w:rsidRPr="00334850">
        <w:rPr>
          <w:rFonts w:eastAsia="Calibri"/>
        </w:rPr>
        <w:t>m</w:t>
      </w:r>
      <w:bookmarkEnd w:id="66"/>
    </w:p>
    <w:p w:rsidR="00D53194" w:rsidRDefault="00D53194" w:rsidP="00D53194">
      <w:pPr>
        <w:jc w:val="both"/>
        <w:rPr>
          <w:rFonts w:ascii="Cambria" w:eastAsia="Times New Roman" w:hAnsi="Cambria"/>
          <w:bCs/>
          <w:sz w:val="22"/>
          <w:szCs w:val="22"/>
          <w:lang w:val="pt-BR" w:eastAsia="en-US"/>
        </w:rPr>
      </w:pPr>
    </w:p>
    <w:p w:rsidR="00D53194" w:rsidRPr="00D72669" w:rsidRDefault="00D53194" w:rsidP="00D53194">
      <w:pPr>
        <w:jc w:val="both"/>
        <w:rPr>
          <w:rFonts w:ascii="Cambria" w:eastAsia="Times New Roman" w:hAnsi="Cambria"/>
          <w:bCs/>
          <w:sz w:val="22"/>
          <w:szCs w:val="22"/>
          <w:lang w:val="pt-BR" w:eastAsia="en-US"/>
        </w:rPr>
      </w:pPr>
      <w:r w:rsidRPr="00D72669">
        <w:rPr>
          <w:rFonts w:ascii="Cambria" w:eastAsia="Times New Roman" w:hAnsi="Cambria"/>
          <w:bCs/>
          <w:sz w:val="22"/>
          <w:szCs w:val="22"/>
          <w:lang w:val="pt-BR" w:eastAsia="en-US"/>
        </w:rPr>
        <w:t xml:space="preserve">Bazuar në nenin 24 të ligjit nr.114, datë 22.10.2015 “Për auditimin e brendshëm në sektorin publik” dhe “Metodologjisë për vlerësimin e jashtëm të cilësisë së auditimit të brendshëm në sektorin publik”, miratuar me urdhër të Ministrit të Financave nr.22, datë 06.03.2017, DH/AB kryen monitorimin e veprimtarisë së njësive të auditimit të brendshëm që funksionojnë në njësitë publike. </w:t>
      </w:r>
    </w:p>
    <w:p w:rsidR="00D53194" w:rsidRPr="00D72669" w:rsidRDefault="00D53194" w:rsidP="00D53194">
      <w:pPr>
        <w:jc w:val="both"/>
        <w:rPr>
          <w:rFonts w:ascii="Cambria" w:eastAsia="Times New Roman" w:hAnsi="Cambria"/>
          <w:bCs/>
          <w:sz w:val="22"/>
          <w:szCs w:val="22"/>
          <w:lang w:val="pt-BR" w:eastAsia="en-US"/>
        </w:rPr>
      </w:pPr>
    </w:p>
    <w:p w:rsidR="00D53194" w:rsidRPr="00D72669" w:rsidRDefault="00D53194" w:rsidP="00D53194">
      <w:pPr>
        <w:jc w:val="both"/>
        <w:rPr>
          <w:rFonts w:ascii="Cambria" w:eastAsia="Times New Roman" w:hAnsi="Cambria"/>
          <w:bCs/>
          <w:sz w:val="22"/>
          <w:szCs w:val="22"/>
          <w:lang w:val="pt-BR" w:eastAsia="en-US"/>
        </w:rPr>
      </w:pPr>
      <w:r w:rsidRPr="00D72669">
        <w:rPr>
          <w:rFonts w:ascii="Cambria" w:eastAsia="Times New Roman" w:hAnsi="Cambria"/>
          <w:bCs/>
          <w:sz w:val="22"/>
          <w:szCs w:val="22"/>
          <w:lang w:val="pt-BR" w:eastAsia="en-US"/>
        </w:rPr>
        <w:t>Qëllimi i këtij procesi është vlerësimi i veprimtarisë së njësisë së auditimit të brendshëm, lidhur me zbatimin e standardeve të auditimit, sipas akteve ligjore në fuqi, si dhe efektiviteti dhe eficienca e këshillave dhe rekomandimeve të adresuara nga auditimi për subjektet e audituara.</w:t>
      </w:r>
    </w:p>
    <w:p w:rsidR="00D53194" w:rsidRPr="00827575" w:rsidRDefault="00D53194" w:rsidP="00D53194">
      <w:pPr>
        <w:jc w:val="both"/>
        <w:rPr>
          <w:rFonts w:ascii="Cambria" w:eastAsia="Calibri" w:hAnsi="Cambria"/>
          <w:color w:val="000000"/>
          <w:sz w:val="22"/>
          <w:szCs w:val="22"/>
          <w:lang w:val="sq-AL" w:eastAsia="it-IT"/>
        </w:rPr>
      </w:pPr>
      <w:r w:rsidRPr="00D72669">
        <w:rPr>
          <w:rFonts w:ascii="Cambria" w:eastAsia="Times New Roman" w:hAnsi="Cambria"/>
          <w:bCs/>
          <w:sz w:val="22"/>
          <w:szCs w:val="22"/>
          <w:lang w:val="pt-BR" w:eastAsia="en-US"/>
        </w:rPr>
        <w:t>Bazuar në metodologjinë e sipërcituar</w:t>
      </w:r>
      <w:r>
        <w:rPr>
          <w:rFonts w:ascii="Cambria" w:eastAsia="Times New Roman" w:hAnsi="Cambria"/>
          <w:bCs/>
          <w:sz w:val="22"/>
          <w:szCs w:val="22"/>
          <w:lang w:val="pt-BR" w:eastAsia="en-US"/>
        </w:rPr>
        <w:t>,</w:t>
      </w:r>
      <w:r w:rsidRPr="00D72669">
        <w:rPr>
          <w:rFonts w:ascii="Cambria" w:eastAsia="Times New Roman" w:hAnsi="Cambria"/>
          <w:bCs/>
          <w:sz w:val="22"/>
          <w:szCs w:val="22"/>
          <w:lang w:val="pt-BR" w:eastAsia="en-US"/>
        </w:rPr>
        <w:t xml:space="preserve"> në përfundim të vlerësimit</w:t>
      </w:r>
      <w:r>
        <w:rPr>
          <w:rFonts w:ascii="Cambria" w:eastAsia="Times New Roman" w:hAnsi="Cambria"/>
          <w:bCs/>
          <w:sz w:val="22"/>
          <w:szCs w:val="22"/>
          <w:lang w:val="pt-BR" w:eastAsia="en-US"/>
        </w:rPr>
        <w:t>,</w:t>
      </w:r>
      <w:r w:rsidRPr="00D72669">
        <w:rPr>
          <w:rFonts w:ascii="Cambria" w:eastAsia="Times New Roman" w:hAnsi="Cambria"/>
          <w:bCs/>
          <w:sz w:val="22"/>
          <w:szCs w:val="22"/>
          <w:lang w:val="pt-BR" w:eastAsia="en-US"/>
        </w:rPr>
        <w:t xml:space="preserve"> jepet një opinion i përgjithshëm lidhur me përputhshmërinë e veprimtarisë së auditimit sipas katër niveleve të mëposhtme</w:t>
      </w:r>
      <w:r w:rsidRPr="00827575">
        <w:rPr>
          <w:rFonts w:ascii="Cambria" w:eastAsia="Calibri" w:hAnsi="Cambria"/>
          <w:color w:val="000000"/>
          <w:sz w:val="22"/>
          <w:szCs w:val="22"/>
          <w:lang w:val="sq-AL" w:eastAsia="it-IT"/>
        </w:rPr>
        <w:t xml:space="preserve">:  </w:t>
      </w:r>
    </w:p>
    <w:p w:rsidR="00D53194" w:rsidRPr="00827575" w:rsidRDefault="00D53194" w:rsidP="00D53194">
      <w:pPr>
        <w:jc w:val="both"/>
        <w:rPr>
          <w:rFonts w:ascii="Cambria" w:eastAsia="Calibri" w:hAnsi="Cambria"/>
          <w:color w:val="000000"/>
          <w:sz w:val="8"/>
          <w:szCs w:val="8"/>
          <w:lang w:val="sq-AL" w:eastAsia="it-IT"/>
        </w:rPr>
      </w:pPr>
    </w:p>
    <w:p w:rsidR="00D53194" w:rsidRDefault="00D53194" w:rsidP="00D53194">
      <w:pPr>
        <w:spacing w:after="200" w:line="276" w:lineRule="auto"/>
        <w:ind w:left="720"/>
        <w:jc w:val="both"/>
        <w:rPr>
          <w:rFonts w:ascii="Cambria" w:eastAsia="Calibri" w:hAnsi="Cambria"/>
          <w:color w:val="000000"/>
          <w:sz w:val="22"/>
          <w:szCs w:val="22"/>
          <w:lang w:eastAsia="it-IT"/>
        </w:rPr>
      </w:pPr>
      <w:r w:rsidRPr="00827575">
        <w:rPr>
          <w:rFonts w:ascii="Cambria" w:eastAsia="Calibri" w:hAnsi="Cambria"/>
          <w:noProof/>
          <w:color w:val="000000"/>
          <w:sz w:val="22"/>
          <w:szCs w:val="22"/>
          <w:lang w:eastAsia="en-US"/>
        </w:rPr>
        <mc:AlternateContent>
          <mc:Choice Requires="wps">
            <w:drawing>
              <wp:anchor distT="0" distB="0" distL="114300" distR="114300" simplePos="0" relativeHeight="251615232" behindDoc="0" locked="0" layoutInCell="1" allowOverlap="1" wp14:anchorId="4E2C504D" wp14:editId="151188B8">
                <wp:simplePos x="0" y="0"/>
                <wp:positionH relativeFrom="column">
                  <wp:posOffset>-4445</wp:posOffset>
                </wp:positionH>
                <wp:positionV relativeFrom="paragraph">
                  <wp:posOffset>25400</wp:posOffset>
                </wp:positionV>
                <wp:extent cx="383540" cy="125730"/>
                <wp:effectExtent l="0" t="0" r="16510" b="266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12573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9987A" id="Rectangle 42" o:spid="_x0000_s1026" style="position:absolute;margin-left:-.35pt;margin-top:2pt;width:30.2pt;height:9.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YvJgIAAD0EAAAOAAAAZHJzL2Uyb0RvYy54bWysU9uO0zAQfUfiHyy/01zast2o6Wrpsghp&#10;gRULH+A6TmLhG2O36e7XM3ba0sIbIg/WjGd8cubMzPJmrxXZCfDSmpoWk5wSYbhtpOlq+v3b/ZsF&#10;JT4w0zBljajps/D0ZvX61XJwlShtb1UjgCCI8dXgatqH4Kos87wXmvmJdcJgsLWgWUAXuqwBNiC6&#10;VlmZ52+zwULjwHLhPd7ejUG6SvhtK3j40rZeBKJqitxCOiGdm3hmqyWrOmCul/xAg/0DC82kwZ+e&#10;oO5YYGQL8i8oLTlYb9sw4VZntm0lF6kGrKbI/6jmqWdOpFpQHO9OMvn/B8s/7x6ByKams5ISwzT2&#10;6CuqxkynBME7FGhwvsK8J/cIsUTvHiz/4Ymx6x7TxC2AHXrBGqRVxPzs4kF0PD4lm+GTbRCebYNN&#10;Wu1b0BEQVSD71JLnU0vEPhCOl9PFdD7DxnEMFeX8appalrHq+NiBDx+E1SQaNQXknsDZ7sGHSIZV&#10;x5RE3irZ3EulkgPdZq2A7FicjvxdPj+i+/M0ZchQ0+t5OU/IFzF/CZHjlyRAmc4htAw45krqmi5i&#10;zmHwomrvTZOGMDCpRhspK3OQMSo3dmBjm2dUEew4w7hzaPQWXigZcH5r6n9uGQhK1EeDnbguZlG3&#10;kJzZ/KpEB84jm/MIMxyhahooGc11GJdk60B2Pf6pSLUbe4vda2VSNnZ2ZHUgizOaBD/sU1yCcz9l&#10;/d761S8AAAD//wMAUEsDBBQABgAIAAAAIQB3T3zK2QAAAAUBAAAPAAAAZHJzL2Rvd25yZXYueG1s&#10;TI9LT8MwEITvSPwHa5G4tU5bHmmIUyEe6pm0F25OvI0j7HUUO2349ywnOI5mNPNNuZu9E2ccYx9I&#10;wWqZgUBqg+mpU3A8vC9yEDFpMtoFQgXfGGFXXV+VujDhQh94rlMnuIRioRXYlIZCytha9Douw4DE&#10;3imMXieWYyfNqC9c7p1cZ9mD9LonXrB6wBeL7Vc9eQXZxuTd3r+66bNeHZrj27ynaJW6vZmfn0Ak&#10;nNNfGH7xGR0qZmrCRCYKp2DxyEEFd3yI3fsty0bBepODrEr5n776AQAA//8DAFBLAQItABQABgAI&#10;AAAAIQC2gziS/gAAAOEBAAATAAAAAAAAAAAAAAAAAAAAAABbQ29udGVudF9UeXBlc10ueG1sUEsB&#10;Ai0AFAAGAAgAAAAhADj9If/WAAAAlAEAAAsAAAAAAAAAAAAAAAAALwEAAF9yZWxzLy5yZWxzUEsB&#10;Ai0AFAAGAAgAAAAhAEt29i8mAgAAPQQAAA4AAAAAAAAAAAAAAAAALgIAAGRycy9lMm9Eb2MueG1s&#10;UEsBAi0AFAAGAAgAAAAhAHdPfMrZAAAABQEAAA8AAAAAAAAAAAAAAAAAgAQAAGRycy9kb3ducmV2&#10;LnhtbFBLBQYAAAAABAAEAPMAAACGBQAAAAA=&#10;" fillcolor="#00b050"/>
            </w:pict>
          </mc:Fallback>
        </mc:AlternateContent>
      </w:r>
      <w:r w:rsidRPr="00827575">
        <w:rPr>
          <w:rFonts w:ascii="Cambria" w:eastAsia="Calibri" w:hAnsi="Cambria"/>
          <w:color w:val="000000"/>
          <w:sz w:val="22"/>
          <w:szCs w:val="22"/>
          <w:lang w:eastAsia="it-IT"/>
        </w:rPr>
        <w:t xml:space="preserve">      </w:t>
      </w:r>
      <w:r w:rsidRPr="00827575">
        <w:rPr>
          <w:rFonts w:ascii="Cambria" w:eastAsia="Calibri" w:hAnsi="Cambria"/>
          <w:sz w:val="22"/>
          <w:szCs w:val="22"/>
          <w:lang w:val="sq-AL" w:eastAsia="en-US"/>
        </w:rPr>
        <w:t>përputhje</w:t>
      </w:r>
      <w:r w:rsidRPr="00827575">
        <w:rPr>
          <w:rFonts w:ascii="Cambria" w:eastAsia="Calibri" w:hAnsi="Cambria"/>
          <w:color w:val="000000"/>
          <w:sz w:val="22"/>
          <w:szCs w:val="22"/>
          <w:lang w:eastAsia="it-IT"/>
        </w:rPr>
        <w:t xml:space="preserve"> e plotë me standardet;</w:t>
      </w:r>
    </w:p>
    <w:p w:rsidR="00D53194" w:rsidRPr="00827575" w:rsidRDefault="00D53194" w:rsidP="00D53194">
      <w:pPr>
        <w:rPr>
          <w:rFonts w:ascii="Cambria" w:eastAsia="Calibri" w:hAnsi="Cambria"/>
          <w:sz w:val="22"/>
          <w:szCs w:val="22"/>
          <w:lang w:val="sq-AL" w:eastAsia="it-IT"/>
        </w:rPr>
      </w:pPr>
      <w:r w:rsidRPr="00827575">
        <w:rPr>
          <w:rFonts w:ascii="Cambria" w:eastAsia="Calibri" w:hAnsi="Cambria"/>
          <w:noProof/>
          <w:sz w:val="22"/>
          <w:szCs w:val="22"/>
          <w:lang w:eastAsia="en-US"/>
        </w:rPr>
        <mc:AlternateContent>
          <mc:Choice Requires="wps">
            <w:drawing>
              <wp:anchor distT="0" distB="0" distL="114300" distR="114300" simplePos="0" relativeHeight="251625472" behindDoc="0" locked="0" layoutInCell="1" allowOverlap="1" wp14:anchorId="5CB6C027" wp14:editId="69F672AE">
                <wp:simplePos x="0" y="0"/>
                <wp:positionH relativeFrom="column">
                  <wp:posOffset>-2540</wp:posOffset>
                </wp:positionH>
                <wp:positionV relativeFrom="paragraph">
                  <wp:posOffset>42545</wp:posOffset>
                </wp:positionV>
                <wp:extent cx="369570" cy="125730"/>
                <wp:effectExtent l="0" t="0" r="11430" b="2667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2573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1B66" id="Rectangle 13" o:spid="_x0000_s1026" style="position:absolute;margin-left:-.2pt;margin-top:3.35pt;width:29.1pt;height:9.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idJQIAAD0EAAAOAAAAZHJzL2Uyb0RvYy54bWysU9uO0zAQfUfiHyy/0yS9bLdR09WqSxHS&#10;AisWPsB1nMbCN8Zu0/L1O3bakoU3hB8sj2d8fObMzPLuqBU5CPDSmooWo5wSYbitpdlV9Pu3zbtb&#10;SnxgpmbKGlHRk/D0bvX2zbJzpRjb1qpaAEEQ48vOVbQNwZVZ5nkrNPMj64RBZ2NBs4Am7LIaWIfo&#10;WmXjPL/JOgu1A8uF93j70DvpKuE3jeDhS9N4EYiqKHILaYe0b+OerZas3AFzreRnGuwfWGgmDX56&#10;hXpggZE9yL+gtORgvW3CiFud2aaRXKQcMJsi/yOb55Y5kXJBcby7yuT/Hyz/fHgCIuuKTieUGKax&#10;Rl9RNWZ2SpBiEgXqnC8x7tk9QUzRu0fLf3hi7LrFMHEPYLtWsBppFTE+e/UgGh6fkm33ydYIz/bB&#10;Jq2ODegIiCqQYyrJ6VoScQyE4+XkZjGbY+E4uorxbD5JJctYeXnswIcPwmoSDxUF5J7A2eHRh0iG&#10;lZeQRN4qWW+kUsmA3XatgBwYdscGV35B98MwZUhX0cVsPEvIr3x+CJGnlSRAmYYQWgZscyV1RW+v&#10;QayMqr03dWrCwKTqz0hZmbOMUbm+Altbn1BFsH0P48zhobXwi5IO+7ei/ueegaBEfTRYiUUxncaG&#10;T8Z0Nh+jAUPPduhhhiNURQMl/XEd+iHZO5C7Fn8qUu7G3mP1GpmUjZXtWZ3JYo8mwc/zFIdgaKeo&#10;31O/egEAAP//AwBQSwMEFAAGAAgAAAAhAAmL8/PeAAAABQEAAA8AAABkcnMvZG93bnJldi54bWxM&#10;j81OwzAQhO9IvIO1SNxah4ikIWRTofIjcakgVD27sZtEjddR7Lbp27OcynE0o5lviuVke3Eyo+8c&#10;ITzMIxCGaqc7ahA2P++zDIQPirTqHRmEi/GwLG9vCpVrd6Zvc6pCI7iEfK4Q2hCGXEpft8YqP3eD&#10;Ifb2brQqsBwbqUd15nLbyziKUmlVR7zQqsGsWlMfqqNF+NgMn4dqdYmz9VfyVmWv26f9eot4fze9&#10;PIMIZgrXMPzhMzqUzLRzR9Je9AizRw4ipAsQ7CYL/rFDiNMEZFnI//TlLwAAAP//AwBQSwECLQAU&#10;AAYACAAAACEAtoM4kv4AAADhAQAAEwAAAAAAAAAAAAAAAAAAAAAAW0NvbnRlbnRfVHlwZXNdLnht&#10;bFBLAQItABQABgAIAAAAIQA4/SH/1gAAAJQBAAALAAAAAAAAAAAAAAAAAC8BAABfcmVscy8ucmVs&#10;c1BLAQItABQABgAIAAAAIQDOGhidJQIAAD0EAAAOAAAAAAAAAAAAAAAAAC4CAABkcnMvZTJvRG9j&#10;LnhtbFBLAQItABQABgAIAAAAIQAJi/Pz3gAAAAUBAAAPAAAAAAAAAAAAAAAAAH8EAABkcnMvZG93&#10;bnJldi54bWxQSwUGAAAAAAQABADzAAAAigUAAAAA&#10;" fillcolor="yellow"/>
            </w:pict>
          </mc:Fallback>
        </mc:AlternateContent>
      </w:r>
      <w:r w:rsidRPr="00827575">
        <w:rPr>
          <w:rFonts w:ascii="Cambria" w:eastAsia="Calibri" w:hAnsi="Cambria"/>
          <w:sz w:val="22"/>
          <w:szCs w:val="22"/>
          <w:lang w:val="sq-AL" w:eastAsia="it-IT"/>
        </w:rPr>
        <w:t xml:space="preserve">                     përputhje e pjesshme me standardet, por përmirësimi është i nevojshëm në fusha të   </w:t>
      </w:r>
    </w:p>
    <w:p w:rsidR="00D53194" w:rsidRDefault="00D53194" w:rsidP="00D53194">
      <w:pPr>
        <w:rPr>
          <w:rFonts w:ascii="Cambria" w:eastAsia="Calibri" w:hAnsi="Cambria"/>
          <w:sz w:val="22"/>
          <w:szCs w:val="22"/>
          <w:lang w:val="sq-AL" w:eastAsia="it-IT"/>
        </w:rPr>
      </w:pPr>
      <w:r w:rsidRPr="00827575">
        <w:rPr>
          <w:rFonts w:ascii="Cambria" w:eastAsia="Calibri" w:hAnsi="Cambria"/>
          <w:sz w:val="22"/>
          <w:szCs w:val="22"/>
          <w:lang w:val="sq-AL" w:eastAsia="it-IT"/>
        </w:rPr>
        <w:t xml:space="preserve">                     caktuara;</w:t>
      </w:r>
    </w:p>
    <w:p w:rsidR="00D53194" w:rsidRPr="00827575" w:rsidRDefault="00D53194" w:rsidP="00D53194">
      <w:pPr>
        <w:rPr>
          <w:rFonts w:ascii="Cambria" w:eastAsia="Calibri" w:hAnsi="Cambria"/>
          <w:sz w:val="22"/>
          <w:szCs w:val="22"/>
          <w:lang w:val="sq-AL" w:eastAsia="it-IT"/>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Times New Roman" w:hAnsi="Cambria"/>
          <w:noProof/>
          <w:color w:val="000000"/>
          <w:sz w:val="22"/>
          <w:szCs w:val="22"/>
          <w:lang w:eastAsia="en-US"/>
        </w:rPr>
        <mc:AlternateContent>
          <mc:Choice Requires="wps">
            <w:drawing>
              <wp:anchor distT="0" distB="0" distL="114300" distR="114300" simplePos="0" relativeHeight="251635712" behindDoc="0" locked="0" layoutInCell="1" allowOverlap="1" wp14:anchorId="2E9A673C" wp14:editId="74774375">
                <wp:simplePos x="0" y="0"/>
                <wp:positionH relativeFrom="column">
                  <wp:posOffset>-2540</wp:posOffset>
                </wp:positionH>
                <wp:positionV relativeFrom="paragraph">
                  <wp:posOffset>20320</wp:posOffset>
                </wp:positionV>
                <wp:extent cx="369570" cy="125730"/>
                <wp:effectExtent l="0" t="0" r="11430" b="26670"/>
                <wp:wrapNone/>
                <wp:docPr id="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25730"/>
                        </a:xfrm>
                        <a:prstGeom prst="rect">
                          <a:avLst/>
                        </a:prstGeom>
                        <a:solidFill>
                          <a:srgbClr val="E36C0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6199B" id="Rectangle 12" o:spid="_x0000_s1026" style="position:absolute;margin-left:-.2pt;margin-top:1.6pt;width:29.1pt;height:9.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gJgIAAD0EAAAOAAAAZHJzL2Uyb0RvYy54bWysU9tu2zAMfR+wfxD0vviSSxsjThGk7TCg&#10;24p1+wBFlmNhuo1S4mRfX0pOs3Tb0zA/CKRJHR0ekoubg1ZkL8BLa2pajHJKhOG2kWZb029f799d&#10;U+IDMw1T1oiaHoWnN8u3bxa9q0RpO6saAQRBjK96V9MuBFdlmeed0MyPrBMGg60FzQK6sM0aYD2i&#10;a5WVeT7LeguNA8uF9/j3dgjSZcJvW8HD57b1IhBVU+QW0gnp3MQzWy5YtQXmOslPNNg/sNBMGnz0&#10;DHXLAiM7kH9AacnBetuGEbc6s20ruUg1YDVF/ls1Tx1zItWC4nh3lsn/P1j+af8IRDY1nUwoMUxj&#10;j76gasxslSBFGQXqna8w78k9QizRuwfLv3ti7LrDNLECsH0nWIO0ipifvboQHY9Xyab/aBuEZ7tg&#10;k1aHFnQERBXIIbXkeG6JOATC8ed4Np9eYeM4hopyejVOLctY9XLZgQ/vhdUkGjUF5J7A2f7Bh0iG&#10;VS8pibxVsrmXSiUHtpu1ArJnOB1349k6XyX+WONlmjKkr+l8Wk4T8quYv4TI0/c3CC0DjrmSuqbX&#10;5yRWRdXuTJOGMDCpBhspK3OSMSo3dGBjmyOqCHaYYdw5NDoLPynpcX5r6n/sGAhK1AeDnZgXk0kc&#10;+ORMplclOnAZ2VxGmOEIVdNAyWCuw7AkOwdy2+FLRard2BV2r5VJ2djZgdWJLM5oEvy0T3EJLv2U&#10;9Wvrl88AAAD//wMAUEsDBBQABgAIAAAAIQBQLtyS3QAAAAUBAAAPAAAAZHJzL2Rvd25yZXYueG1s&#10;TI9BS8NAFITvgv9heYK3dmNarcS8FFFE0CJYK6W3TfY1CWbfhuy2jf/e50mPwwwz3+TL0XXqSENo&#10;PSNcTRNQxJW3LdcIm4+nyS2oEA1b03kmhG8KsCzOz3KTWX/idzquY62khENmEJoY+0zrUDXkTJj6&#10;nli8vR+ciSKHWtvBnKTcdTpNkhvtTMuy0JieHhqqvtYHh7AbFmFjd3O3j/rx5XP7ti1Xr8+Ilxfj&#10;/R2oSGP8C8MvvqBDIUylP7ANqkOYzCWIMEtBiXu9kB8lQjpLQBe5/k9f/AAAAP//AwBQSwECLQAU&#10;AAYACAAAACEAtoM4kv4AAADhAQAAEwAAAAAAAAAAAAAAAAAAAAAAW0NvbnRlbnRfVHlwZXNdLnht&#10;bFBLAQItABQABgAIAAAAIQA4/SH/1gAAAJQBAAALAAAAAAAAAAAAAAAAAC8BAABfcmVscy8ucmVs&#10;c1BLAQItABQABgAIAAAAIQDs+7UgJgIAAD0EAAAOAAAAAAAAAAAAAAAAAC4CAABkcnMvZTJvRG9j&#10;LnhtbFBLAQItABQABgAIAAAAIQBQLtyS3QAAAAUBAAAPAAAAAAAAAAAAAAAAAIAEAABkcnMvZG93&#10;bnJldi54bWxQSwUGAAAAAAQABADzAAAAigUAAAAA&#10;" fillcolor="#e36c0a"/>
            </w:pict>
          </mc:Fallback>
        </mc:AlternateContent>
      </w:r>
      <w:r w:rsidRPr="00827575">
        <w:rPr>
          <w:rFonts w:ascii="Cambria" w:eastAsia="Calibri" w:hAnsi="Cambria"/>
          <w:color w:val="000000"/>
          <w:sz w:val="22"/>
          <w:szCs w:val="22"/>
          <w:lang w:val="sq-AL" w:eastAsia="it-IT"/>
        </w:rPr>
        <w:t xml:space="preserve">              </w:t>
      </w:r>
      <w:r w:rsidRPr="00827575">
        <w:rPr>
          <w:rFonts w:ascii="Cambria" w:eastAsia="Times New Roman" w:hAnsi="Cambria"/>
          <w:color w:val="000000"/>
          <w:sz w:val="22"/>
          <w:szCs w:val="22"/>
          <w:lang w:val="sq-AL" w:eastAsia="it-IT"/>
        </w:rPr>
        <w:t xml:space="preserve">       </w:t>
      </w:r>
      <w:r w:rsidRPr="00827575">
        <w:rPr>
          <w:rFonts w:ascii="Cambria" w:eastAsia="Calibri" w:hAnsi="Cambria"/>
          <w:sz w:val="22"/>
          <w:szCs w:val="22"/>
          <w:lang w:val="sq-AL" w:eastAsia="en-US"/>
        </w:rPr>
        <w:t xml:space="preserve">përputhje në disa fusha me standardet, por kërkohen përmirësime të domosdoshme </w:t>
      </w:r>
    </w:p>
    <w:p w:rsidR="00D53194"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                     në fushat ku janë adresuar rekomandimet;</w:t>
      </w:r>
    </w:p>
    <w:p w:rsidR="00D53194" w:rsidRPr="00827575" w:rsidRDefault="00D53194" w:rsidP="00D53194">
      <w:pPr>
        <w:jc w:val="both"/>
        <w:rPr>
          <w:rFonts w:ascii="Cambria" w:eastAsia="Calibri" w:hAnsi="Cambria"/>
          <w:sz w:val="22"/>
          <w:szCs w:val="22"/>
          <w:lang w:val="sq-AL" w:eastAsia="en-US"/>
        </w:rPr>
      </w:pPr>
    </w:p>
    <w:p w:rsidR="00D53194" w:rsidRPr="00827575" w:rsidRDefault="00D53194" w:rsidP="00D53194">
      <w:pPr>
        <w:spacing w:after="200" w:line="276" w:lineRule="auto"/>
        <w:ind w:left="720"/>
        <w:jc w:val="both"/>
        <w:rPr>
          <w:rFonts w:ascii="Cambria" w:eastAsia="Calibri" w:hAnsi="Cambria"/>
          <w:color w:val="000000"/>
          <w:sz w:val="22"/>
          <w:szCs w:val="22"/>
          <w:lang w:eastAsia="it-IT"/>
        </w:rPr>
      </w:pPr>
      <w:r w:rsidRPr="00827575">
        <w:rPr>
          <w:rFonts w:ascii="Cambria" w:eastAsia="Calibri" w:hAnsi="Cambria"/>
          <w:b/>
          <w:i/>
          <w:noProof/>
          <w:sz w:val="22"/>
          <w:szCs w:val="22"/>
          <w:lang w:eastAsia="en-US"/>
        </w:rPr>
        <mc:AlternateContent>
          <mc:Choice Requires="wps">
            <w:drawing>
              <wp:anchor distT="0" distB="0" distL="114300" distR="114300" simplePos="0" relativeHeight="251645952" behindDoc="0" locked="0" layoutInCell="1" allowOverlap="1" wp14:anchorId="1E63D777" wp14:editId="774DC2B9">
                <wp:simplePos x="0" y="0"/>
                <wp:positionH relativeFrom="column">
                  <wp:posOffset>-4445</wp:posOffset>
                </wp:positionH>
                <wp:positionV relativeFrom="paragraph">
                  <wp:posOffset>32385</wp:posOffset>
                </wp:positionV>
                <wp:extent cx="369570" cy="125730"/>
                <wp:effectExtent l="0" t="0" r="11430" b="2667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2573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D2BF" id="Rectangle 11" o:spid="_x0000_s1026" style="position:absolute;margin-left:-.35pt;margin-top:2.55pt;width:29.1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MOlIwIAAD0EAAAOAAAAZHJzL2Uyb0RvYy54bWysU1Fv0zAQfkfiP1h+p2m6dlujptPUUYQ0&#10;YGLwA1zHSSwcnzm7Tcuv5+y0pQOeEHmwfLm7z999d7e423eG7RR6Dbbk+WjMmbISKm2bkn/9sn5z&#10;y5kPwlbCgFUlPyjP75avXy16V6gJtGAqhYxArC96V/I2BFdkmZet6oQfgVOWnDVgJwKZ2GQVip7Q&#10;O5NNxuPrrAesHIJU3tPfh8HJlwm/rpUMn+raq8BMyYlbSCemcxPPbLkQRYPCtVoeaYh/YNEJbenR&#10;M9SDCIJtUf8B1WmJ4KEOIwldBnWtpUo1UDX5+LdqnlvhVKqFxPHuLJP/f7Dy4+4Jma5KPp1xZkVH&#10;PfpMqgnbGMXyPArUO19Q3LN7wliid48gv3lmYdVSmLpHhL5VoiJaKT57kRANT6ls03+AiuDFNkDS&#10;al9jFwFJBbZPLTmcW6L2gUn6eXU9n91Q4yS58sns5iq1LBPFKdmhD+8UdCxeSo7EPYGL3aMPRJ5C&#10;TyGJPBhdrbUxycBmszLIdoKmY70e0xfrpRR/GWYs60s+n01mCfmFz19CRIC/Q3Q60Jgb3ZX89hwk&#10;iqjaW1ulIQxCm+FO7xtLNE7KDR3YQHUgFRGGGaado0sL+IOznua35P77VqDizLy31Il5Pp3GgU/G&#10;dHYzIQMvPZtLj7CSoEoeOBuuqzAsydahblp6KU+1W7in7tU6KRv5DayOZGlGk3rHfYpLcGmnqF9b&#10;v/wJAAD//wMAUEsDBBQABgAIAAAAIQB0biuK2wAAAAUBAAAPAAAAZHJzL2Rvd25yZXYueG1sTI6x&#10;TsNAEER7JP7htEh0yTkBY2y8jkgkKkRBCAXdxl5sC9+edXeJzd9zVFCOZvTmlZvZDOrMzvdWEFbL&#10;BBRLbZteWoTD29PiHpQPJA0NVhjhmz1sqsuLkorGTvLK531oVYSILwihC2EstPZ1x4b80o4ssfu0&#10;zlCI0bW6cTRFuBn0OknutKFe4kNHI+86rr/2J4Mw2e3HTZrT8y4Lwbn5/WV7qHPE66v58QFU4Dn8&#10;jeFXP6pDFZ2O9iSNVwPCIotDhHQFKrZploI6Iqxvc9BVqf/bVz8AAAD//wMAUEsBAi0AFAAGAAgA&#10;AAAhALaDOJL+AAAA4QEAABMAAAAAAAAAAAAAAAAAAAAAAFtDb250ZW50X1R5cGVzXS54bWxQSwEC&#10;LQAUAAYACAAAACEAOP0h/9YAAACUAQAACwAAAAAAAAAAAAAAAAAvAQAAX3JlbHMvLnJlbHNQSwEC&#10;LQAUAAYACAAAACEAOvDDpSMCAAA9BAAADgAAAAAAAAAAAAAAAAAuAgAAZHJzL2Uyb0RvYy54bWxQ&#10;SwECLQAUAAYACAAAACEAdG4ritsAAAAFAQAADwAAAAAAAAAAAAAAAAB9BAAAZHJzL2Rvd25yZXYu&#10;eG1sUEsFBgAAAAAEAAQA8wAAAIUFAAAAAA==&#10;" fillcolor="red"/>
            </w:pict>
          </mc:Fallback>
        </mc:AlternateContent>
      </w:r>
      <w:r>
        <w:rPr>
          <w:rFonts w:ascii="Cambria" w:eastAsia="Calibri" w:hAnsi="Cambria"/>
          <w:color w:val="000000"/>
          <w:sz w:val="22"/>
          <w:szCs w:val="22"/>
          <w:lang w:eastAsia="it-IT"/>
        </w:rPr>
        <w:t xml:space="preserve">      mos</w:t>
      </w:r>
      <w:r w:rsidRPr="00827575">
        <w:rPr>
          <w:rFonts w:ascii="Cambria" w:eastAsia="Calibri" w:hAnsi="Cambria"/>
          <w:color w:val="000000"/>
          <w:sz w:val="22"/>
          <w:szCs w:val="22"/>
          <w:lang w:eastAsia="it-IT"/>
        </w:rPr>
        <w:t>përputhje e plotë me standardet.</w:t>
      </w: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Nëpërmjet këtij vlerësimi</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synohet të ndihmohen njësitë e auditimit të brendshëm, për të kryer veprimtarinë e tyre në përputhje të plotë me standardet dhe gjithashtu vlerësohet se sa në fokus të institucionit është shërbimi i auditimit të brendshëm. </w:t>
      </w:r>
    </w:p>
    <w:p w:rsidR="00D53194" w:rsidRPr="00827575" w:rsidRDefault="00D53194" w:rsidP="00D53194">
      <w:pPr>
        <w:jc w:val="both"/>
        <w:rPr>
          <w:rFonts w:ascii="Cambria" w:eastAsia="Calibri" w:hAnsi="Cambria"/>
          <w:sz w:val="8"/>
          <w:szCs w:val="8"/>
          <w:lang w:val="sq-AL" w:eastAsia="en-US"/>
        </w:rPr>
      </w:pPr>
    </w:p>
    <w:p w:rsidR="00083D26" w:rsidRDefault="00D53194" w:rsidP="00083D2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Drejtoria e Harmonizimit të Auditimit të Brendshëm bazuar në planin operacional të punës për vitin 2018 vlerësoi në total 10 njësi të auditimit të brendshëm </w:t>
      </w:r>
      <w:r w:rsidR="00083D26" w:rsidRPr="00827575">
        <w:rPr>
          <w:rFonts w:ascii="Cambria" w:eastAsia="Calibri" w:hAnsi="Cambria"/>
          <w:sz w:val="22"/>
          <w:szCs w:val="22"/>
          <w:lang w:val="sq-AL" w:eastAsia="en-US"/>
        </w:rPr>
        <w:t xml:space="preserve">(7 </w:t>
      </w:r>
      <w:r w:rsidR="00083D26">
        <w:rPr>
          <w:rFonts w:ascii="Cambria" w:eastAsia="Calibri" w:hAnsi="Cambria"/>
          <w:sz w:val="22"/>
          <w:szCs w:val="22"/>
          <w:lang w:val="sq-AL" w:eastAsia="en-US"/>
        </w:rPr>
        <w:t xml:space="preserve">NJAB në </w:t>
      </w:r>
      <w:r w:rsidR="00083D26" w:rsidRPr="00827575">
        <w:rPr>
          <w:rFonts w:ascii="Cambria" w:eastAsia="Calibri" w:hAnsi="Cambria"/>
          <w:sz w:val="22"/>
          <w:szCs w:val="22"/>
          <w:lang w:val="sq-AL" w:eastAsia="en-US"/>
        </w:rPr>
        <w:t>Ministri</w:t>
      </w:r>
      <w:r w:rsidR="00083D26">
        <w:rPr>
          <w:rFonts w:ascii="Cambria" w:eastAsia="Calibri" w:hAnsi="Cambria"/>
          <w:sz w:val="22"/>
          <w:szCs w:val="22"/>
          <w:lang w:val="sq-AL" w:eastAsia="en-US"/>
        </w:rPr>
        <w:t>të e</w:t>
      </w:r>
      <w:r w:rsidR="00083D26" w:rsidRPr="00827575">
        <w:rPr>
          <w:rFonts w:ascii="Cambria" w:eastAsia="Calibri" w:hAnsi="Cambria"/>
          <w:sz w:val="22"/>
          <w:szCs w:val="22"/>
          <w:lang w:val="sq-AL" w:eastAsia="en-US"/>
        </w:rPr>
        <w:t xml:space="preserve"> Linj</w:t>
      </w:r>
      <w:r w:rsidR="00083D26">
        <w:rPr>
          <w:rFonts w:ascii="Cambria" w:eastAsia="Calibri" w:hAnsi="Cambria"/>
          <w:sz w:val="22"/>
          <w:szCs w:val="22"/>
          <w:lang w:val="sq-AL" w:eastAsia="en-US"/>
        </w:rPr>
        <w:t>ës</w:t>
      </w:r>
      <w:r w:rsidR="00083D26" w:rsidRPr="00827575">
        <w:rPr>
          <w:rFonts w:ascii="Cambria" w:eastAsia="Calibri" w:hAnsi="Cambria"/>
          <w:sz w:val="22"/>
          <w:szCs w:val="22"/>
          <w:lang w:val="sq-AL" w:eastAsia="en-US"/>
        </w:rPr>
        <w:t xml:space="preserve">, 1 </w:t>
      </w:r>
      <w:r w:rsidR="00083D26">
        <w:rPr>
          <w:rFonts w:ascii="Cambria" w:eastAsia="Calibri" w:hAnsi="Cambria"/>
          <w:sz w:val="22"/>
          <w:szCs w:val="22"/>
          <w:lang w:val="sq-AL" w:eastAsia="en-US"/>
        </w:rPr>
        <w:t xml:space="preserve">NJAB në </w:t>
      </w:r>
      <w:r w:rsidR="00083D26" w:rsidRPr="00827575">
        <w:rPr>
          <w:rFonts w:ascii="Cambria" w:eastAsia="Calibri" w:hAnsi="Cambria"/>
          <w:sz w:val="22"/>
          <w:szCs w:val="22"/>
          <w:lang w:val="sq-AL" w:eastAsia="en-US"/>
        </w:rPr>
        <w:t xml:space="preserve">Bashki, 1 </w:t>
      </w:r>
      <w:r w:rsidR="00083D26">
        <w:rPr>
          <w:rFonts w:ascii="Cambria" w:eastAsia="Calibri" w:hAnsi="Cambria"/>
          <w:sz w:val="22"/>
          <w:szCs w:val="22"/>
          <w:lang w:val="sq-AL" w:eastAsia="en-US"/>
        </w:rPr>
        <w:t xml:space="preserve">NJAB në </w:t>
      </w:r>
      <w:r w:rsidR="00083D26" w:rsidRPr="00827575">
        <w:rPr>
          <w:rFonts w:ascii="Cambria" w:eastAsia="Calibri" w:hAnsi="Cambria"/>
          <w:sz w:val="22"/>
          <w:szCs w:val="22"/>
          <w:lang w:val="sq-AL" w:eastAsia="en-US"/>
        </w:rPr>
        <w:t>Shoqëri</w:t>
      </w:r>
      <w:r w:rsidR="00083D26">
        <w:rPr>
          <w:rFonts w:ascii="Cambria" w:eastAsia="Calibri" w:hAnsi="Cambria"/>
          <w:sz w:val="22"/>
          <w:szCs w:val="22"/>
          <w:lang w:val="sq-AL" w:eastAsia="en-US"/>
        </w:rPr>
        <w:t>të</w:t>
      </w:r>
      <w:r w:rsidR="00083D26" w:rsidRPr="00827575">
        <w:rPr>
          <w:rFonts w:ascii="Cambria" w:eastAsia="Calibri" w:hAnsi="Cambria"/>
          <w:sz w:val="22"/>
          <w:szCs w:val="22"/>
          <w:lang w:val="sq-AL" w:eastAsia="en-US"/>
        </w:rPr>
        <w:t xml:space="preserve"> Aksionere dhe 1 </w:t>
      </w:r>
      <w:r w:rsidR="00083D26">
        <w:rPr>
          <w:rFonts w:ascii="Cambria" w:eastAsia="Calibri" w:hAnsi="Cambria"/>
          <w:sz w:val="22"/>
          <w:szCs w:val="22"/>
          <w:lang w:val="sq-AL" w:eastAsia="en-US"/>
        </w:rPr>
        <w:t xml:space="preserve">NJAB të një </w:t>
      </w:r>
      <w:r w:rsidR="00083D26" w:rsidRPr="00827575">
        <w:rPr>
          <w:rFonts w:ascii="Cambria" w:eastAsia="Calibri" w:hAnsi="Cambria"/>
          <w:sz w:val="22"/>
          <w:szCs w:val="22"/>
          <w:lang w:val="sq-AL" w:eastAsia="en-US"/>
        </w:rPr>
        <w:t>njësi</w:t>
      </w:r>
      <w:r w:rsidR="00083D26">
        <w:rPr>
          <w:rFonts w:ascii="Cambria" w:eastAsia="Calibri" w:hAnsi="Cambria"/>
          <w:sz w:val="22"/>
          <w:szCs w:val="22"/>
          <w:lang w:val="sq-AL" w:eastAsia="en-US"/>
        </w:rPr>
        <w:t>e</w:t>
      </w:r>
      <w:r w:rsidR="00083D26" w:rsidRPr="00827575">
        <w:rPr>
          <w:rFonts w:ascii="Cambria" w:eastAsia="Calibri" w:hAnsi="Cambria"/>
          <w:sz w:val="22"/>
          <w:szCs w:val="22"/>
          <w:lang w:val="sq-AL" w:eastAsia="en-US"/>
        </w:rPr>
        <w:t xml:space="preserve"> varësie të Ministrisë së Shëndetësisë). </w:t>
      </w:r>
    </w:p>
    <w:p w:rsidR="00D53194" w:rsidRDefault="00D53194" w:rsidP="00D53194">
      <w:pPr>
        <w:jc w:val="both"/>
        <w:rPr>
          <w:rFonts w:ascii="Cambria" w:eastAsia="Calibri" w:hAnsi="Cambria"/>
          <w:sz w:val="22"/>
          <w:szCs w:val="22"/>
          <w:lang w:val="sq-AL" w:eastAsia="en-US"/>
        </w:rPr>
      </w:pPr>
    </w:p>
    <w:p w:rsidR="00D53194"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Vlerësimi përfundimtar i njësive të auditimit të brendshëm për vitin 2018 sipas institucioneve paraqitet në tabelën e mëposhtme:</w:t>
      </w:r>
    </w:p>
    <w:p w:rsidR="00D53194" w:rsidRDefault="00D53194" w:rsidP="00D53194">
      <w:pPr>
        <w:jc w:val="both"/>
        <w:rPr>
          <w:rFonts w:ascii="Cambria" w:eastAsia="Calibri" w:hAnsi="Cambria"/>
          <w:sz w:val="22"/>
          <w:szCs w:val="22"/>
          <w:lang w:val="sq-AL" w:eastAsia="en-US"/>
        </w:rPr>
      </w:pPr>
    </w:p>
    <w:p w:rsidR="00D53194" w:rsidRPr="008A76B7" w:rsidRDefault="00334850" w:rsidP="00334850">
      <w:pPr>
        <w:pStyle w:val="Caption"/>
        <w:rPr>
          <w:rFonts w:ascii="Cambria" w:hAnsi="Cambria"/>
          <w:b w:val="0"/>
          <w:i/>
          <w:lang w:val="sq-AL"/>
        </w:rPr>
      </w:pPr>
      <w:bookmarkStart w:id="67" w:name="_Toc9082406"/>
      <w:r w:rsidRPr="00334850">
        <w:rPr>
          <w:rFonts w:ascii="Cambria" w:hAnsi="Cambria"/>
          <w:b w:val="0"/>
          <w:i/>
          <w:lang w:val="sq-AL"/>
        </w:rPr>
        <w:t xml:space="preserve">Tabela </w:t>
      </w:r>
      <w:r w:rsidRPr="00334850">
        <w:rPr>
          <w:rFonts w:ascii="Cambria" w:hAnsi="Cambria"/>
          <w:b w:val="0"/>
          <w:i/>
          <w:lang w:val="sq-AL"/>
        </w:rPr>
        <w:fldChar w:fldCharType="begin"/>
      </w:r>
      <w:r w:rsidRPr="00334850">
        <w:rPr>
          <w:rFonts w:ascii="Cambria" w:hAnsi="Cambria"/>
          <w:b w:val="0"/>
          <w:i/>
          <w:lang w:val="sq-AL"/>
        </w:rPr>
        <w:instrText xml:space="preserve"> SEQ Tabela \* ARABIC </w:instrText>
      </w:r>
      <w:r w:rsidRPr="00334850">
        <w:rPr>
          <w:rFonts w:ascii="Cambria" w:hAnsi="Cambria"/>
          <w:b w:val="0"/>
          <w:i/>
          <w:lang w:val="sq-AL"/>
        </w:rPr>
        <w:fldChar w:fldCharType="separate"/>
      </w:r>
      <w:r w:rsidR="00036EC4">
        <w:rPr>
          <w:rFonts w:ascii="Cambria" w:hAnsi="Cambria"/>
          <w:b w:val="0"/>
          <w:i/>
          <w:noProof/>
          <w:lang w:val="sq-AL"/>
        </w:rPr>
        <w:t>9</w:t>
      </w:r>
      <w:r w:rsidRPr="00334850">
        <w:rPr>
          <w:rFonts w:ascii="Cambria" w:hAnsi="Cambria"/>
          <w:b w:val="0"/>
          <w:i/>
          <w:lang w:val="sq-AL"/>
        </w:rPr>
        <w:fldChar w:fldCharType="end"/>
      </w:r>
      <w:r w:rsidRPr="00334850">
        <w:rPr>
          <w:rFonts w:ascii="Cambria" w:hAnsi="Cambria"/>
          <w:b w:val="0"/>
          <w:i/>
          <w:lang w:val="sq-AL"/>
        </w:rPr>
        <w:t>. Vlerësimi përfundimtar i njësive të auditimit të brendshëm për vitin 2018</w:t>
      </w:r>
      <w:bookmarkEnd w:id="67"/>
    </w:p>
    <w:p w:rsidR="00D53194" w:rsidRPr="00827575" w:rsidRDefault="00D53194" w:rsidP="00D53194">
      <w:pPr>
        <w:jc w:val="both"/>
        <w:rPr>
          <w:rFonts w:ascii="Cambria" w:eastAsia="Calibri" w:hAnsi="Cambria"/>
          <w:sz w:val="12"/>
          <w:szCs w:val="12"/>
          <w:lang w:val="sq-AL" w:eastAsia="en-U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19"/>
        <w:gridCol w:w="2240"/>
        <w:gridCol w:w="3325"/>
      </w:tblGrid>
      <w:tr w:rsidR="00D53194" w:rsidRPr="00827575" w:rsidTr="00DB7961">
        <w:tc>
          <w:tcPr>
            <w:tcW w:w="556"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Nr.</w:t>
            </w:r>
          </w:p>
        </w:tc>
        <w:tc>
          <w:tcPr>
            <w:tcW w:w="2519"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INSTITUCIONI</w:t>
            </w:r>
          </w:p>
        </w:tc>
        <w:tc>
          <w:tcPr>
            <w:tcW w:w="2240"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VLERËSIMI</w:t>
            </w:r>
          </w:p>
        </w:tc>
        <w:tc>
          <w:tcPr>
            <w:tcW w:w="3325"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PËRPUTHSHMËRIA ME STANDARDET</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1</w:t>
            </w:r>
          </w:p>
        </w:tc>
        <w:tc>
          <w:tcPr>
            <w:tcW w:w="2519" w:type="dxa"/>
            <w:shd w:val="clear" w:color="auto" w:fill="auto"/>
          </w:tcPr>
          <w:p w:rsidR="00D53194" w:rsidRPr="00827575" w:rsidRDefault="00D53194" w:rsidP="00DB7961">
            <w:pPr>
              <w:spacing w:after="200" w:line="276" w:lineRule="auto"/>
              <w:rPr>
                <w:rFonts w:ascii="Cambria" w:eastAsia="Calibri" w:hAnsi="Cambria"/>
                <w:bCs/>
                <w:sz w:val="18"/>
                <w:szCs w:val="18"/>
                <w:lang w:val="pt-BR" w:eastAsia="en-US"/>
              </w:rPr>
            </w:pPr>
            <w:r w:rsidRPr="00827575">
              <w:rPr>
                <w:rFonts w:ascii="Cambria" w:eastAsia="Calibri" w:hAnsi="Cambria"/>
                <w:bCs/>
                <w:sz w:val="18"/>
                <w:szCs w:val="18"/>
                <w:lang w:val="pt-BR" w:eastAsia="en-US"/>
              </w:rPr>
              <w:t>Ministria e Turizmit dhe Mjedisit</w:t>
            </w:r>
          </w:p>
        </w:tc>
        <w:tc>
          <w:tcPr>
            <w:tcW w:w="2240"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noProof/>
                <w:sz w:val="18"/>
                <w:szCs w:val="18"/>
                <w:lang w:eastAsia="en-US"/>
              </w:rPr>
              <mc:AlternateContent>
                <mc:Choice Requires="wps">
                  <w:drawing>
                    <wp:anchor distT="0" distB="0" distL="114300" distR="114300" simplePos="0" relativeHeight="251656192" behindDoc="0" locked="0" layoutInCell="1" allowOverlap="1" wp14:anchorId="7D3432E2" wp14:editId="5690F5B8">
                      <wp:simplePos x="0" y="0"/>
                      <wp:positionH relativeFrom="column">
                        <wp:posOffset>441325</wp:posOffset>
                      </wp:positionH>
                      <wp:positionV relativeFrom="paragraph">
                        <wp:posOffset>148590</wp:posOffset>
                      </wp:positionV>
                      <wp:extent cx="486410" cy="158750"/>
                      <wp:effectExtent l="0" t="0" r="27940" b="12700"/>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17B04" id="Rectangle 10" o:spid="_x0000_s1026" style="position:absolute;margin-left:34.75pt;margin-top:11.7pt;width:38.3pt;height: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oIwIAAD0EAAAOAAAAZHJzL2Uyb0RvYy54bWysU9uO0zAQfUfiHyy/0yRV2u1GTVerLkVI&#10;C6xY+ADXcRIL3xi7TcvXM3Yvm4U3hB8sj2d8fObMzPLuoBXZC/DSmpoWk5wSYbhtpOlq+v3b5t2C&#10;Eh+YaZiyRtT0KDy9W719sxxcJaa2t6oRQBDE+GpwNe1DcFWWed4LzfzEOmHQ2VrQLKAJXdYAGxBd&#10;q2ya5/NssNA4sFx4j7cPJyddJfy2FTx8aVsvAlE1RW4h7ZD2bdyz1ZJVHTDXS36mwf6BhWbS4KdX&#10;qAcWGNmB/AtKSw7W2zZMuNWZbVvJRcoBsynyP7J57pkTKRcUx7urTP7/wfLP+ycgsqlpOafEMI01&#10;+oqqMdMpQYok0OB8hXHP7gliit49Wv7DE2PXPYaJewA79II1SKuIgmavHkTD41OyHT7ZBuHZLtik&#10;1aEFHQFRBXJIJTleSyIOgXC8LBfzElkQjq5itriZJUYZqy6PHfjwQVhN4qGmgNwTONs/+hDJsOoS&#10;kshbJZuNVCoZ0G3XCsieYXdscOUXdD8OU4YMNb2dTWcJ+ZXPjyHytJIEKNMYQsuAba6kruniGsSq&#10;qNp706QmDEyq0xkpK3OWMSoXm9lXW9scUUWwpx7GmcNDb+EXJQP2b039zx0DQYn6aLASt0VZxoZP&#10;Rjm7maIBY8927GGGI1RNAyWn4zqchmTnQHY9/lSk3I29x+q1Min7wupMFns0CX6epzgEYztFvUz9&#10;6jcAAAD//wMAUEsDBBQABgAIAAAAIQCBl5Iv3wAAAAgBAAAPAAAAZHJzL2Rvd25yZXYueG1sTI9P&#10;b4JAFMTvTfodNs+kt7pIkSDyMI39k/RiWmo8r/AEIvuWsKvit+96ssfJTGZ+k61G3YkzDbY1jDCb&#10;BiCIS1O1XCNsfz+eExDWKa5UZ5gQrmRhlT8+ZCqtzIV/6Fy4WvgStqlCaJzrUylt2ZBWdmp6Yu8d&#10;zKCV83KoZTWoiy/XnQyDIJZatewXGtXTuqHyWJw0wue2/zoW62uYbL7n70XytlscNjvEp8n4ugTh&#10;aHT3MNzwPTrknmlvTlxZ0SHEi7lPIoQvEYibH8UzEHuEKIlA5pn8fyD/AwAA//8DAFBLAQItABQA&#10;BgAIAAAAIQC2gziS/gAAAOEBAAATAAAAAAAAAAAAAAAAAAAAAABbQ29udGVudF9UeXBlc10ueG1s&#10;UEsBAi0AFAAGAAgAAAAhADj9If/WAAAAlAEAAAsAAAAAAAAAAAAAAAAALwEAAF9yZWxzLy5yZWxz&#10;UEsBAi0AFAAGAAgAAAAhAOz+NOgjAgAAPQQAAA4AAAAAAAAAAAAAAAAALgIAAGRycy9lMm9Eb2Mu&#10;eG1sUEsBAi0AFAAGAAgAAAAhAIGXki/fAAAACAEAAA8AAAAAAAAAAAAAAAAAfQQAAGRycy9kb3du&#10;cmV2LnhtbFBLBQYAAAAABAAEAPMAAACJBQ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
                <w:color w:val="000000"/>
                <w:sz w:val="18"/>
                <w:szCs w:val="18"/>
                <w:lang w:eastAsia="it-IT"/>
              </w:rPr>
              <w:t>Përputhje</w:t>
            </w:r>
            <w:r w:rsidRPr="00827575">
              <w:rPr>
                <w:rFonts w:ascii="Cambria" w:eastAsia="Calibri" w:hAnsi="Cambria"/>
                <w:color w:val="000000"/>
                <w:sz w:val="18"/>
                <w:szCs w:val="18"/>
                <w:lang w:eastAsia="it-IT"/>
              </w:rPr>
              <w:t xml:space="preserve"> </w:t>
            </w:r>
            <w:r w:rsidRPr="00827575">
              <w:rPr>
                <w:rFonts w:ascii="Cambria" w:eastAsia="Calibri" w:hAnsi="Cambria"/>
                <w:b/>
                <w:color w:val="000000"/>
                <w:sz w:val="18"/>
                <w:szCs w:val="18"/>
                <w:lang w:eastAsia="it-IT"/>
              </w:rPr>
              <w:t>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rPr>
          <w:trHeight w:val="620"/>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2</w:t>
            </w:r>
          </w:p>
        </w:tc>
        <w:tc>
          <w:tcPr>
            <w:tcW w:w="2519" w:type="dxa"/>
            <w:shd w:val="clear" w:color="auto" w:fill="auto"/>
          </w:tcPr>
          <w:p w:rsidR="00D53194" w:rsidRPr="00827575" w:rsidRDefault="00D53194" w:rsidP="00DB7961">
            <w:pPr>
              <w:spacing w:after="200" w:line="276" w:lineRule="auto"/>
              <w:rPr>
                <w:rFonts w:ascii="Cambria" w:eastAsia="Calibri" w:hAnsi="Cambria"/>
                <w:bCs/>
                <w:sz w:val="18"/>
                <w:szCs w:val="18"/>
                <w:lang w:val="pt-BR" w:eastAsia="en-US"/>
              </w:rPr>
            </w:pPr>
            <w:r w:rsidRPr="00827575">
              <w:rPr>
                <w:rFonts w:ascii="Cambria" w:eastAsia="Calibri" w:hAnsi="Cambria"/>
                <w:bCs/>
                <w:sz w:val="18"/>
                <w:szCs w:val="18"/>
                <w:lang w:val="pt-BR" w:eastAsia="en-US"/>
              </w:rPr>
              <w:t>Ministria e Mbrojtjes</w:t>
            </w:r>
          </w:p>
          <w:p w:rsidR="00D53194" w:rsidRPr="00827575" w:rsidRDefault="00D53194" w:rsidP="00DB7961">
            <w:pPr>
              <w:spacing w:after="200" w:line="276" w:lineRule="auto"/>
              <w:rPr>
                <w:rFonts w:ascii="Cambria" w:eastAsia="Calibri" w:hAnsi="Cambria"/>
                <w:b/>
                <w:bCs/>
                <w:sz w:val="18"/>
                <w:szCs w:val="18"/>
                <w:lang w:val="pt-BR" w:eastAsia="en-US"/>
              </w:rPr>
            </w:pP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48352" behindDoc="0" locked="0" layoutInCell="1" allowOverlap="1" wp14:anchorId="122F8A29" wp14:editId="44D3F31A">
                      <wp:simplePos x="0" y="0"/>
                      <wp:positionH relativeFrom="column">
                        <wp:posOffset>446405</wp:posOffset>
                      </wp:positionH>
                      <wp:positionV relativeFrom="paragraph">
                        <wp:posOffset>83820</wp:posOffset>
                      </wp:positionV>
                      <wp:extent cx="486410" cy="158750"/>
                      <wp:effectExtent l="0" t="0" r="27940" b="1270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0EC83" id="Rectangle 9" o:spid="_x0000_s1026" style="position:absolute;margin-left:35.15pt;margin-top:6.6pt;width:38.3pt;height: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2JAIAADwEAAAOAAAAZHJzL2Uyb0RvYy54bWysU9uO0zAQfUfiHyy/0yRVu22jpqtVlyKk&#10;hV2x8AGu4yQWvjF2my5fz9hpSxbeEH6wPJ7x8ZkzM+vbk1bkKMBLaypaTHJKhOG2lqat6Levu3dL&#10;SnxgpmbKGlHRF+Hp7ebtm3XvSjG1nVW1AIIgxpe9q2gXgiuzzPNOaOYn1gmDzsaCZgFNaLMaWI/o&#10;WmXTPL/Jegu1A8uF93h7PzjpJuE3jeDhsWm8CERVFLmFtEPa93HPNmtWtsBcJ/mZBvsHFppJg59e&#10;oe5ZYOQA8i8oLTlYb5sw4VZntmkkFykHzKbI/8jmuWNOpFxQHO+uMvn/B8s/H5+AyLqiswUlhmms&#10;0RdUjZlWCbKK+vTOlxj27J4gZujdg+XfPTF222GUuAOwfSdYjayKGJ+9ehANj0/Jvv9ka0Rnh2CT&#10;VKcGdAREEcgpVeTlWhFxCoTj5Wx5MyuwbhxdxXy5mKeKZay8PHbgwwdhNYmHigJST+Ds+OBDJMPK&#10;S0gib5Wsd1KpZEC73yogR4bNscOVX9D9OEwZ0ld0NZ/OE/Irnx9D5GklCVCmMYSWAbtcSV3R5TWI&#10;lVG196ZOPRiYVMMZKStzljEqN1Rgb+sXVBHs0MI4cnjoLPykpMf2raj/cWAgKFEfDVZiVcxmsd+T&#10;MZsvpmjA2LMfe5jhCFXRQMlw3IZhRg4OZNvhT0XK3dg7rF4jk7KxsgOrM1ls0ST4eZziDIztFPV7&#10;6De/AAAA//8DAFBLAwQUAAYACAAAACEA70hKod8AAAAIAQAADwAAAGRycy9kb3ducmV2LnhtbEyP&#10;QU/CQBCF7yb+h82YeJOtrWCp3RKDSuKFaCWcl+7QNnRnm+4C5d87nPT45r28902+GG0nTjj41pGC&#10;x0kEAqlypqVawebn4yEF4YMmoztHqOCCHhbF7U2uM+PO9I2nMtSCS8hnWkETQp9J6asGrfYT1yOx&#10;t3eD1YHlUEsz6DOX207GUTSTVrfEC43ucdlgdSiPVsFq038eyuUlTtdf0/cyfdvO9+utUvd34+sL&#10;iIBj+AvDFZ/RoWCmnTuS8aJT8BwlnOR7EoO4+k+zOYidgiSNQRa5/P9A8QsAAP//AwBQSwECLQAU&#10;AAYACAAAACEAtoM4kv4AAADhAQAAEwAAAAAAAAAAAAAAAAAAAAAAW0NvbnRlbnRfVHlwZXNdLnht&#10;bFBLAQItABQABgAIAAAAIQA4/SH/1gAAAJQBAAALAAAAAAAAAAAAAAAAAC8BAABfcmVscy8ucmVs&#10;c1BLAQItABQABgAIAAAAIQBYhT/2JAIAADwEAAAOAAAAAAAAAAAAAAAAAC4CAABkcnMvZTJvRG9j&#10;LnhtbFBLAQItABQABgAIAAAAIQDvSEqh3wAAAAgBAAAPAAAAAAAAAAAAAAAAAH4EAABkcnMvZG93&#10;bnJldi54bWxQSwUGAAAAAAQABADzAAAAigU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 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3</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e Arsimit, Sportit dhe Rinisë</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38112" behindDoc="0" locked="0" layoutInCell="1" allowOverlap="1" wp14:anchorId="12220CBB" wp14:editId="3F4F2512">
                      <wp:simplePos x="0" y="0"/>
                      <wp:positionH relativeFrom="column">
                        <wp:posOffset>429895</wp:posOffset>
                      </wp:positionH>
                      <wp:positionV relativeFrom="paragraph">
                        <wp:posOffset>103505</wp:posOffset>
                      </wp:positionV>
                      <wp:extent cx="486410" cy="158750"/>
                      <wp:effectExtent l="0" t="0" r="27940" b="1270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CE5D9" id="Rectangle 8" o:spid="_x0000_s1026" style="position:absolute;margin-left:33.85pt;margin-top:8.15pt;width:38.3pt;height: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UzIwIAADwEAAAOAAAAZHJzL2Uyb0RvYy54bWysU11v0zAUfUfiP1h+p0mqdOuiptPUUYQ0&#10;2MTgB7iOk1j4i2u36fj1XDttyeANkQfLN/f6+Nxzrle3R63IQYCX1tS0mOWUCMNtI01X029ft++W&#10;lPjATMOUNaKmL8LT2/XbN6vBVWJue6saAQRBjK8GV9M+BFdlmee90MzPrBMGk60FzQKG0GUNsAHR&#10;tcrmeX6VDRYaB5YL7/Hv/Zik64TftoKHx7b1IhBVU+QW0gpp3cU1W69Y1QFzveQnGuwfWGgmDV56&#10;gbpngZE9yL+gtORgvW3DjFud2baVXKQesJsi/6Ob5545kXpBcby7yOT/Hyz/fHgCIpualuiUYRo9&#10;+oKqMdMpQZZRn8H5Csue3RPEDr17sPy7J8ZueqwSdwB26AVrkFUR67NXB2Lg8SjZDZ9sg+hsH2yS&#10;6tiCjoAoAjkmR14ujohjIBx/lsurskDfOKaKxfJ6kRzLWHU+7MCHD8JqEjc1BaSewNnhwYdIhlXn&#10;kkTeKtlspVIpgG63UUAODIdji19+RvfTMmXIUNObxXyRkF/l/BQiT1+SAGWaQmgZcMqV1DVdXopY&#10;FVV7b5o0g4FJNe6RsjInGaNyowM727ygimDHEcYnh5vewk9KBhzfmvofewaCEvXRoBM3RVnGeU9B&#10;ubieYwDTzG6aYYYjVE0DJeN2E8Y3sncgux5vKlLvxt6he61MykZnR1YnsjiiSfDTc4pvYBqnqt+P&#10;fv0LAAD//wMAUEsDBBQABgAIAAAAIQBhg7iL4AAAAAgBAAAPAAAAZHJzL2Rvd25yZXYueG1sTI/N&#10;bsIwEITvlfoO1lbqrThAGtI0Dqroj9QLalPE2cRLEhGvo9hAePsup/a2uzOa/SZfjrYTJxx860jB&#10;dBKBQKqcaalWsPl5f0hB+KDJ6M4RKrigh2Vxe5PrzLgzfeOpDLXgEPKZVtCE0GdS+qpBq/3E9Uis&#10;7d1gdeB1qKUZ9JnDbSdnUZRIq1viD43ucdVgdSiPVsHHpv88lKvLLF1/Pb6V6ev2ab/eKnV/N748&#10;gwg4hj8zXPEZHQpm2rkjGS86BcliwU6+J3MQVz2OedgpiKdzkEUu/xcofgEAAP//AwBQSwECLQAU&#10;AAYACAAAACEAtoM4kv4AAADhAQAAEwAAAAAAAAAAAAAAAAAAAAAAW0NvbnRlbnRfVHlwZXNdLnht&#10;bFBLAQItABQABgAIAAAAIQA4/SH/1gAAAJQBAAALAAAAAAAAAAAAAAAAAC8BAABfcmVscy8ucmVs&#10;c1BLAQItABQABgAIAAAAIQCCeSUzIwIAADwEAAAOAAAAAAAAAAAAAAAAAC4CAABkcnMvZTJvRG9j&#10;LnhtbFBLAQItABQABgAIAAAAIQBhg7iL4AAAAAgBAAAPAAAAAAAAAAAAAAAAAH0EAABkcnMvZG93&#10;bnJldi54bWxQSwUGAAAAAAQABADzAAAAigU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 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rPr>
          <w:trHeight w:val="638"/>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4</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për Europën dhe Punët e Jashtme</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07392" behindDoc="0" locked="0" layoutInCell="1" allowOverlap="1" wp14:anchorId="5A4DF3C9" wp14:editId="7B8E5476">
                      <wp:simplePos x="0" y="0"/>
                      <wp:positionH relativeFrom="column">
                        <wp:posOffset>417195</wp:posOffset>
                      </wp:positionH>
                      <wp:positionV relativeFrom="paragraph">
                        <wp:posOffset>79375</wp:posOffset>
                      </wp:positionV>
                      <wp:extent cx="486410" cy="158750"/>
                      <wp:effectExtent l="0" t="0" r="27940" b="1270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8D74" id="Rectangle 7" o:spid="_x0000_s1026" style="position:absolute;margin-left:32.85pt;margin-top:6.25pt;width:38.3pt;height: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vqJAIAADwEAAAOAAAAZHJzL2Uyb0RvYy54bWysU9uO0zAQfUfiHyy/0yRVum2jpqulyyKk&#10;BVYsfIDrOImFb4zdpuXrGTvd0sIbIg/WTGZ8fObMzOr2oBXZC/DSmpoWk5wSYbhtpOlq+u3rw5sF&#10;JT4w0zBljajpUXh6u379ajW4Skxtb1UjgCCI8dXgatqH4Kos87wXmvmJdcJgsLWgWUAXuqwBNiC6&#10;Vtk0z2+ywULjwHLhPf69H4N0nfDbVvDwuW29CETVFLmFdEI6t/HM1itWdcBcL/mJBvsHFppJg4+e&#10;oe5ZYGQH8i8oLTlYb9sw4VZntm0lF6kGrKbI/6jmuWdOpFpQHO/OMvn/B8s/7Z+AyKam5ZISwzT2&#10;6AuqxkynBJlHfQbnK0x7dk8QK/Tu0fLvnhi76TFL3AHYoResQVZFzM+uLkTH41WyHT7aBtHZLtgk&#10;1aEFHQFRBHJIHTmeOyIOgXD8WS5uygL7xjFUzBbzWepYxqqXyw58eC+sJtGoKSD1BM72jz5EMqx6&#10;SUnkrZLNg1QqOdBtNwrInsXhyN/mZ3R/maYMGWq6nE1nCfkq5q8hcvySBCjTJYSWAadcSV3TRcw5&#10;zV1U7Z1p0gwGJtVoI2VlTjJG5cYObG1zRBXBjiOMK4dGb+EnJQOOb039jx0DQYn6YLATy6Is47wn&#10;p5zNp+jAZWR7GWGGI1RNAyWjuQnjjuwcyK7Hl4pUu7F32L1WJmVjZ0dWJ7I4oknw0zrFHbj0U9bv&#10;pV//AgAA//8DAFBLAwQUAAYACAAAACEAiC5zSNwAAAAIAQAADwAAAGRycy9kb3ducmV2LnhtbEyP&#10;wU7DMBBE70j8g7VI3KjThLRViFNVBdRz0164OfESR9jrKHba8Pe4J3qcndHM23I7W8MuOPrekYDl&#10;IgGG1DrVUyfgfPp82QDzQZKSxhEK+EUP2+rxoZSFclc64qUOHYsl5AspQIcwFJz7VqOVfuEGpOh9&#10;u9HKEOXYcTXKayy3hqdJsuJW9hQXtBxwr7H9qScrIMnUpjvYdzN91ctTc/6YD+S1EM9P8+4NWMA5&#10;/Ifhhh/RoYpMjZtIeWYErPJ1TMZ7mgO7+a9pBqwRkK1z4FXJ7x+o/gAAAP//AwBQSwECLQAUAAYA&#10;CAAAACEAtoM4kv4AAADhAQAAEwAAAAAAAAAAAAAAAAAAAAAAW0NvbnRlbnRfVHlwZXNdLnhtbFBL&#10;AQItABQABgAIAAAAIQA4/SH/1gAAAJQBAAALAAAAAAAAAAAAAAAAAC8BAABfcmVscy8ucmVsc1BL&#10;AQItABQABgAIAAAAIQAvV5vqJAIAADwEAAAOAAAAAAAAAAAAAAAAAC4CAABkcnMvZTJvRG9jLnht&#10;bFBLAQItABQABgAIAAAAIQCILnNI3AAAAAgBAAAPAAAAAAAAAAAAAAAAAH4EAABkcnMvZG93bnJl&#10;di54bWxQSwUGAAAAAAQABADzAAAAhwUAAAAA&#10;" fillcolor="#00b050"/>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 e plotë</w:t>
            </w:r>
            <w:r w:rsidRPr="00827575">
              <w:rPr>
                <w:rFonts w:ascii="Cambria" w:eastAsia="Calibri" w:hAnsi="Cambria"/>
                <w:color w:val="000000"/>
                <w:sz w:val="18"/>
                <w:szCs w:val="18"/>
                <w:lang w:eastAsia="it-IT"/>
              </w:rPr>
              <w:t xml:space="preserve"> </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5</w:t>
            </w:r>
          </w:p>
        </w:tc>
        <w:tc>
          <w:tcPr>
            <w:tcW w:w="2519" w:type="dxa"/>
            <w:shd w:val="clear" w:color="auto" w:fill="auto"/>
          </w:tcPr>
          <w:p w:rsidR="00D53194" w:rsidRPr="00827575" w:rsidRDefault="00D53194" w:rsidP="00DB7961">
            <w:pPr>
              <w:spacing w:after="200" w:line="276" w:lineRule="auto"/>
              <w:rPr>
                <w:rFonts w:ascii="Cambria" w:eastAsia="Calibri" w:hAnsi="Cambria"/>
                <w:bCs/>
                <w:sz w:val="18"/>
                <w:szCs w:val="18"/>
                <w:lang w:val="pt-BR" w:eastAsia="en-US"/>
              </w:rPr>
            </w:pPr>
            <w:r w:rsidRPr="00827575">
              <w:rPr>
                <w:rFonts w:ascii="Cambria" w:eastAsia="Calibri" w:hAnsi="Cambria"/>
                <w:bCs/>
                <w:sz w:val="18"/>
                <w:szCs w:val="18"/>
                <w:lang w:val="pt-BR" w:eastAsia="en-US"/>
              </w:rPr>
              <w:t>Ministria e Brendshme</w:t>
            </w:r>
          </w:p>
          <w:p w:rsidR="00D53194" w:rsidRPr="00827575" w:rsidRDefault="00D53194" w:rsidP="00DB7961">
            <w:pPr>
              <w:spacing w:after="200" w:line="276" w:lineRule="auto"/>
              <w:rPr>
                <w:rFonts w:ascii="Cambria" w:eastAsia="Calibri" w:hAnsi="Cambria"/>
                <w:b/>
                <w:bCs/>
                <w:sz w:val="18"/>
                <w:szCs w:val="18"/>
                <w:lang w:val="pt-BR" w:eastAsia="en-US"/>
              </w:rPr>
            </w:pP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17632" behindDoc="0" locked="0" layoutInCell="1" allowOverlap="1" wp14:anchorId="1E4B2908" wp14:editId="4471DC9E">
                      <wp:simplePos x="0" y="0"/>
                      <wp:positionH relativeFrom="column">
                        <wp:posOffset>412115</wp:posOffset>
                      </wp:positionH>
                      <wp:positionV relativeFrom="paragraph">
                        <wp:posOffset>110490</wp:posOffset>
                      </wp:positionV>
                      <wp:extent cx="486410" cy="158750"/>
                      <wp:effectExtent l="0" t="0" r="27940" b="127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FDB0" id="Rectangle 6" o:spid="_x0000_s1026" style="position:absolute;margin-left:32.45pt;margin-top:8.7pt;width:38.3pt;height: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WLIgIAADwEAAAOAAAAZHJzL2Uyb0RvYy54bWysU8Fu2zAMvQ/YPwi6L7aDJE2NOEWRLsOA&#10;bi3W7QMUWY6FyaJGKXG6rx8lJ1my3YbpIIgi9fT4SC7uDp1he4Veg614Mco5U1ZCre224t++rt/N&#10;OfNB2FoYsKrir8rzu+XbN4velWoMLZhaISMQ68veVbwNwZVZ5mWrOuFH4JQlZwPYiUAmbrMaRU/o&#10;ncnGeT7LesDaIUjlPd0+DE6+TPhNo2R4ahqvAjMVJ24h7Zj2Tdyz5UKUWxSu1fJIQ/wDi05oS5+e&#10;oR5EEGyH+i+oTksED00YSegyaBotVcqBsinyP7J5aYVTKRcSx7uzTP7/wcrP+2dkuq74lOSxoqMa&#10;fSHVhN0axWZRn975ksJe3DPGDL17BPndMwurlqLUPSL0rRI1sSpifHb1IBqenrJN/wlqQhe7AEmq&#10;Q4NdBCQR2CFV5PVcEXUITNLlZD6bFERMkquYzm+IZPxBlKfHDn34oKBj8VBxJOoJXOwffRhCTyGJ&#10;PBhdr7UxycDtZmWQ7QU1x5pWfkL3l2HGsr7it9PxNCFf+fwlRJ7WkeBVWKcDdbnRXcXn5yBRRtXe&#10;25poijIIbYYzZWfsUcao3FCBDdSvpCLC0MI0cnRoAX9y1lP7Vtz/2AlUnJmPlipxW0wmsd+TMZne&#10;jMnAS8/m0iOsJKiKB86G4yoMM7JzqLct/VSk3C3cU/UanZSNlR1YHclSi6baHMcpzsClnaJ+D/3y&#10;FwAAAP//AwBQSwMEFAAGAAgAAAAhALAPX0DfAAAACAEAAA8AAABkcnMvZG93bnJldi54bWxMj81u&#10;wjAQhO9IvIO1lXorDpGhIY2DEP2RekFtijibeEki4nUUGwhvX3OC4+yMZr7NloNp2Rl711iSMJ1E&#10;wJBKqxuqJGz/Pl8SYM4r0qq1hBKu6GCZj0eZSrW90C+eC1+xUEIuVRJq77uUc1fWaJSb2A4peAfb&#10;G+WD7Cuue3UJ5ablcRTNuVENhYVadbiusTwWJyPha9t9H4v1NU42P7OPInnfLQ6bnZTPT8PqDZjH&#10;wd/DcMMP6JAHpr09kXaslTAXi5AM91cB7OaL6QzYXoKIBfA8448P5P8AAAD//wMAUEsBAi0AFAAG&#10;AAgAAAAhALaDOJL+AAAA4QEAABMAAAAAAAAAAAAAAAAAAAAAAFtDb250ZW50X1R5cGVzXS54bWxQ&#10;SwECLQAUAAYACAAAACEAOP0h/9YAAACUAQAACwAAAAAAAAAAAAAAAAAvAQAAX3JlbHMvLnJlbHNQ&#10;SwECLQAUAAYACAAAACEAJBMFiyICAAA8BAAADgAAAAAAAAAAAAAAAAAuAgAAZHJzL2Uyb0RvYy54&#10;bWxQSwECLQAUAAYACAAAACEAsA9fQN8AAAAIAQAADwAAAAAAAAAAAAAAAAB8BAAAZHJzL2Rvd25y&#10;ZXYueG1sUEsFBgAAAAAEAAQA8wAAAIgFA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w:t>
            </w:r>
            <w:r w:rsidRPr="00827575">
              <w:rPr>
                <w:rFonts w:ascii="Cambria" w:eastAsia="Calibri" w:hAnsi="Cambria"/>
                <w:color w:val="000000"/>
                <w:sz w:val="18"/>
                <w:szCs w:val="18"/>
                <w:lang w:eastAsia="it-IT"/>
              </w:rPr>
              <w:t xml:space="preserve"> </w:t>
            </w:r>
            <w:r w:rsidRPr="00827575">
              <w:rPr>
                <w:rFonts w:ascii="Cambria" w:eastAsia="Calibri" w:hAnsi="Cambria"/>
                <w:b/>
                <w:color w:val="000000"/>
                <w:sz w:val="18"/>
                <w:szCs w:val="18"/>
                <w:lang w:eastAsia="it-IT"/>
              </w:rPr>
              <w:t>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6</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e Bujqësisë, Zhvillimit Rural dhe Administrimit të Ujërave</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27872" behindDoc="0" locked="0" layoutInCell="1" allowOverlap="1" wp14:anchorId="5F296287" wp14:editId="51B5B9AC">
                      <wp:simplePos x="0" y="0"/>
                      <wp:positionH relativeFrom="column">
                        <wp:posOffset>408305</wp:posOffset>
                      </wp:positionH>
                      <wp:positionV relativeFrom="paragraph">
                        <wp:posOffset>54610</wp:posOffset>
                      </wp:positionV>
                      <wp:extent cx="486410" cy="158750"/>
                      <wp:effectExtent l="0" t="0" r="27940" b="1270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36C8B" id="Rectangle 5" o:spid="_x0000_s1026" style="position:absolute;margin-left:32.15pt;margin-top:4.3pt;width:38.3pt;height: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yKJAIAADwEAAAOAAAAZHJzL2Uyb0RvYy54bWysU9tu2zAMfR+wfxD0vtgO4jY14hRFugwD&#10;urVYtw9QZNkWptsoJU739aPkJHO3t2F6EESROjo8JFe3R63IQYCX1tS0mOWUCMNtI01X029ft++W&#10;lPjATMOUNaKmL8LT2/XbN6vBVWJue6saAQRBjK8GV9M+BFdlmee90MzPrBMGna0FzQKa0GUNsAHR&#10;tcrmeX6VDRYaB5YL7/H2fnTSdcJvW8HDY9t6EYiqKXILaYe07+KerVes6oC5XvITDfYPLDSTBj+9&#10;QN2zwMge5F9QWnKw3rZhxq3ObNtKLlIOmE2R/5HNc8+cSLmgON5dZPL/D5Z/PjwBkU1Ny4ISwzTW&#10;6AuqxkynBCmjPoPzFYY9uyeIGXr3YPl3T4zd9Bgl7gDs0AvWIKsixmevHkTD41OyGz7ZBtHZPtgk&#10;1bEFHQFRBHJMFXm5VEQcA+F4uVheLQqsG0dXUS6vy1SxjFXnxw58+CCsJvFQU0DqCZwdHnyIZFh1&#10;DknkrZLNViqVDOh2GwXkwLA5trjyM7qfhilDhprelPMyIb/y+SlEnlaSAGWaQmgZsMuV1DVdXoJY&#10;FVV7b5rUg4FJNZ6RsjInGaNyYwV2tnlBFcGOLYwjh4fewk9KBmzfmvofewaCEvXRYCVuisUi9nsy&#10;FuX1HA2YenZTDzMcoWoaKBmPmzDOyN6B7Hr8qUi5G3uH1WtlUjZWdmR1IostmgQ/jVOcgamdon4P&#10;/foXAAAA//8DAFBLAwQUAAYACAAAACEA/CZpQ94AAAAHAQAADwAAAGRycy9kb3ducmV2LnhtbEyO&#10;TW/CMBBE75X6H6yt1FtxSmgUQjaooh9SL6gNiLOJlyQiXkexgfDva07tcTSjNy9fjqYTZxpcaxnh&#10;eRKBIK6sbrlG2G4+nlIQzivWqrNMCFdysCzu73KVaXvhHzqXvhYBwi5TCI33fSalqxoyyk1sTxy6&#10;gx2M8iEOtdSDugS46eQ0ihJpVMvhoVE9rRqqjuXJIHxu+69jubpO0/X3y3uZvu3mh/UO8fFhfF2A&#10;8DT6vzHc9IM6FMFpb0+snegQklkclghpAuJWz6I5iD1CHCcgi1z+9y9+AQAA//8DAFBLAQItABQA&#10;BgAIAAAAIQC2gziS/gAAAOEBAAATAAAAAAAAAAAAAAAAAAAAAABbQ29udGVudF9UeXBlc10ueG1s&#10;UEsBAi0AFAAGAAgAAAAhADj9If/WAAAAlAEAAAsAAAAAAAAAAAAAAAAALwEAAF9yZWxzLy5yZWxz&#10;UEsBAi0AFAAGAAgAAAAhALnB3IokAgAAPAQAAA4AAAAAAAAAAAAAAAAALgIAAGRycy9lMm9Eb2Mu&#10;eG1sUEsBAi0AFAAGAAgAAAAhAPwmaUPeAAAABwEAAA8AAAAAAAAAAAAAAAAAfgQAAGRycy9kb3du&#10;cmV2LnhtbFBLBQYAAAAABAAEAPMAAACJBQ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w:t>
            </w:r>
            <w:r w:rsidRPr="00827575">
              <w:rPr>
                <w:rFonts w:ascii="Cambria" w:eastAsia="Calibri" w:hAnsi="Cambria"/>
                <w:color w:val="000000"/>
                <w:sz w:val="18"/>
                <w:szCs w:val="18"/>
                <w:lang w:eastAsia="it-IT"/>
              </w:rPr>
              <w:t xml:space="preserve"> </w:t>
            </w:r>
            <w:r w:rsidRPr="00827575">
              <w:rPr>
                <w:rFonts w:ascii="Cambria" w:eastAsia="Calibri" w:hAnsi="Cambria"/>
                <w:b/>
                <w:color w:val="000000"/>
                <w:sz w:val="18"/>
                <w:szCs w:val="18"/>
                <w:lang w:eastAsia="it-IT"/>
              </w:rPr>
              <w:t>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rPr>
          <w:trHeight w:val="467"/>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7</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e Drejtësisë</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97152" behindDoc="0" locked="0" layoutInCell="1" allowOverlap="1" wp14:anchorId="43A0D327" wp14:editId="0BD14694">
                      <wp:simplePos x="0" y="0"/>
                      <wp:positionH relativeFrom="column">
                        <wp:posOffset>395605</wp:posOffset>
                      </wp:positionH>
                      <wp:positionV relativeFrom="paragraph">
                        <wp:posOffset>78105</wp:posOffset>
                      </wp:positionV>
                      <wp:extent cx="486410" cy="158750"/>
                      <wp:effectExtent l="0" t="0" r="27940" b="1270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1B6C" id="Rectangle 4" o:spid="_x0000_s1026" style="position:absolute;margin-left:31.15pt;margin-top:6.15pt;width:38.3pt;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XIgIAADwEAAAOAAAAZHJzL2Uyb0RvYy54bWysU1Fv0zAQfkfiP1h+p2mqdOuiptPUUYQ0&#10;YGLwA66Ok1g4tjm7Tcuv5+x0pQOeEHmw7nLnz999d7e8PfSa7SV6ZU3F88mUM2mErZVpK/71y+bN&#10;gjMfwNSgrZEVP0rPb1evXy0HV8qZ7ayuJTICMb4cXMW7EFyZZV50sgc/sU4aCjYWewjkYpvVCAOh&#10;9zqbTadX2WCxdmiF9J7+3o9Bvkr4TSNF+NQ0XgamK07cQjoxndt4ZqsllC2C65Q40YB/YNGDMvTo&#10;GeoeArAdqj+geiXQetuEibB9ZptGCZlqoGry6W/VPHXgZKqFxPHuLJP/f7Di4/4RmaorPp9xZqCn&#10;Hn0m1cC0WrIi6jM4X1Lak3vEWKF3D1Z888zYdUdZ8g7RDp2EmljlMT97cSE6nq6y7fDB1oQOu2CT&#10;VIcG+whIIrBD6sjx3BF5CEzQz2JxVeTUN0GhfL64nqeOZVA+X3bowztpexaNiiNRT+Cwf/AhkoHy&#10;OSWRt1rVG6V1crDdrjWyPdBwbDZT+hJ/qvEyTRs2VPxmPpsn5BcxfwkRAf4O0atAU65VX/HFOQnK&#10;qNpbU6cZDKD0aBNlbU4yRuXGDmxtfSQV0Y4jTCtHRmfxB2cDjW/F/fcdoORMvzfUiZu8KOK8J6eY&#10;X8/IwcvI9jICRhBUxQNno7kO447sHKq2o5fyVLuxd9S9RiVlY2dHVieyNKJJ8NM6xR249FPWr6Vf&#10;/QQAAP//AwBQSwMEFAAGAAgAAAAhABiKH3vdAAAACAEAAA8AAABkcnMvZG93bnJldi54bWxMjzFP&#10;wzAQhXck/oN1SGzUoRZtE+JUtBITYqCUge0aH0lEfI5stwn/HmeC6XT3nt59r9xOthcX8qFzrOF+&#10;kYEgrp3puNFwfH++24AIEdlg75g0/FCAbXV9VWJh3MhvdDnERqQQDgVqaGMcCilD3ZLFsHADcdK+&#10;nLcY0+obaTyOKdz2cpllK2mx4/ShxYH2LdXfh7PVMLrdp3rI8WW/jtH76eN1d6xzrW9vpqdHEJGm&#10;+GeGGT+hQ5WYTu7MJohew2qpkjPd5znrapODOGlQawWyKuX/AtUvAAAA//8DAFBLAQItABQABgAI&#10;AAAAIQC2gziS/gAAAOEBAAATAAAAAAAAAAAAAAAAAAAAAABbQ29udGVudF9UeXBlc10ueG1sUEsB&#10;Ai0AFAAGAAgAAAAhADj9If/WAAAAlAEAAAsAAAAAAAAAAAAAAAAALwEAAF9yZWxzLy5yZWxzUEsB&#10;Ai0AFAAGAAgAAAAhANz8wZciAgAAPAQAAA4AAAAAAAAAAAAAAAAALgIAAGRycy9lMm9Eb2MueG1s&#10;UEsBAi0AFAAGAAgAAAAhABiKH3vdAAAACAEAAA8AAAAAAAAAAAAAAAAAfAQAAGRycy9kb3ducmV2&#10;LnhtbFBLBQYAAAAABAAEAPMAAACGBQAAAAA=&#10;" fillcolor="red"/>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Mospërputhje e plotë</w:t>
            </w:r>
            <w:r w:rsidRPr="00827575">
              <w:rPr>
                <w:rFonts w:ascii="Cambria" w:eastAsia="Calibri" w:hAnsi="Cambria"/>
                <w:color w:val="000000"/>
                <w:sz w:val="18"/>
                <w:szCs w:val="18"/>
                <w:lang w:eastAsia="it-IT"/>
              </w:rPr>
              <w:t xml:space="preserve"> me standardet.</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8</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Bashkia Gjirokastër</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86912" behindDoc="0" locked="0" layoutInCell="1" allowOverlap="1" wp14:anchorId="768D5336" wp14:editId="26BE2858">
                      <wp:simplePos x="0" y="0"/>
                      <wp:positionH relativeFrom="column">
                        <wp:posOffset>395605</wp:posOffset>
                      </wp:positionH>
                      <wp:positionV relativeFrom="paragraph">
                        <wp:posOffset>116205</wp:posOffset>
                      </wp:positionV>
                      <wp:extent cx="486410" cy="158750"/>
                      <wp:effectExtent l="0" t="0" r="27940" b="12700"/>
                      <wp:wrapNone/>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008E3" id="Rectangle 3" o:spid="_x0000_s1026" style="position:absolute;margin-left:31.15pt;margin-top:9.15pt;width:38.3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kMJgIAADwEAAAOAAAAZHJzL2Uyb0RvYy54bWysU9tu2zAMfR+wfxD0vthOkzYx4hRFugwD&#10;uq1Ytw9QZNkWptsoJU739aXkJHO3t2F+EEiTOjo8JFe3R63IQYCX1lS0mOSUCMNtLU1b0e/ftu8W&#10;lPjATM2UNaKiz8LT2/XbN6velWJqO6tqAQRBjC97V9EuBFdmmeed0MxPrBMGg40FzQK60GY1sB7R&#10;tcqmeX6d9RZqB5YL7/Hv/RCk64TfNIKHL03jRSCqosgtpBPSuYtntl6xsgXmOslPNNg/sNBMGnz0&#10;AnXPAiN7kH9BacnBetuECbc6s00juUg1YDVF/kc1Tx1zItWC4nh3kcn/P1j++fAIRNYVnV9RYpjG&#10;Hn1F1ZhplSBXUZ/e+RLTntwjxAq9e7D8hyfGbjrMEncAtu8Eq5FVEfOzVxei4/Eq2fWfbI3obB9s&#10;kurYgI6AKAI5po48XzoijoFw/DlbXM8K7BvHUDFf3MxTxzJWni878OGDsJpEo6KA1BM4Ozz4EMmw&#10;8pySyFsl661UKjnQ7jYKyIHhcGy3y2V+RvfjNGVIX9HlfDpPyK9ifgyRpy9JgDKNIbQMOOVK6oou&#10;LkmsjKq9N3WawcCkGmykrMxJxqjc0IGdrZ9RRbDDCOPKodFZ+EVJj+NbUf9zz0BQoj4a7MSymM3i&#10;vCdnNr+ZogPjyG4cYYYjVEUDJYO5CcOO7B3ItsOXilS7sXfYvUYmZWNnB1YnsjiiSfDTOsUdGPsp&#10;6/fSr18AAAD//wMAUEsDBBQABgAIAAAAIQCpNxWO3gAAAAgBAAAPAAAAZHJzL2Rvd25yZXYueG1s&#10;TI/RSsNAEEXfC/7DMoJv7cZGShqzKSJIUaHQ1g+YZrdJNDsbdjdp9OudPunTMHMvd84tNpPtxGh8&#10;aB0puF8kIAxVTrdUK/g4vswzECEiaewcGQXfJsCmvJkVmGt3ob0ZD7EWHEIhRwVNjH0uZagaYzEs&#10;XG+ItbPzFiOvvpba44XDbSeXSbKSFlviDw325rkx1ddhsApW2Xl79OvdK9b7944+34bxZ7tT6u52&#10;enoEEc0U/8xwxWd0KJnp5AbSQXScsUzZyfeM51VPszWIk4KHNAVZFvJ/gfIXAAD//wMAUEsBAi0A&#10;FAAGAAgAAAAhALaDOJL+AAAA4QEAABMAAAAAAAAAAAAAAAAAAAAAAFtDb250ZW50X1R5cGVzXS54&#10;bWxQSwECLQAUAAYACAAAACEAOP0h/9YAAACUAQAACwAAAAAAAAAAAAAAAAAvAQAAX3JlbHMvLnJl&#10;bHNQSwECLQAUAAYACAAAACEAfAmJDCYCAAA8BAAADgAAAAAAAAAAAAAAAAAuAgAAZHJzL2Uyb0Rv&#10;Yy54bWxQSwECLQAUAAYACAAAACEAqTcVjt4AAAAIAQAADwAAAAAAAAAAAAAAAACABAAAZHJzL2Rv&#10;d25yZXYueG1sUEsFBgAAAAAEAAQA8wAAAIsFAAAAAA==&#10;" fillcolor="#f90"/>
                  </w:pict>
                </mc:Fallback>
              </mc:AlternateContent>
            </w:r>
          </w:p>
        </w:tc>
        <w:tc>
          <w:tcPr>
            <w:tcW w:w="3325" w:type="dxa"/>
            <w:shd w:val="clear" w:color="auto" w:fill="auto"/>
          </w:tcPr>
          <w:p w:rsidR="00D53194" w:rsidRPr="00827575" w:rsidRDefault="00D53194" w:rsidP="00DB7961">
            <w:pPr>
              <w:rPr>
                <w:rFonts w:ascii="Cambria" w:eastAsia="Calibri" w:hAnsi="Cambria"/>
                <w:b/>
                <w:bCs/>
                <w:sz w:val="18"/>
                <w:szCs w:val="18"/>
                <w:lang w:val="pt-BR" w:eastAsia="en-US"/>
              </w:rPr>
            </w:pPr>
            <w:r w:rsidRPr="00827575">
              <w:rPr>
                <w:rFonts w:ascii="Cambria" w:eastAsia="Calibri" w:hAnsi="Cambria"/>
                <w:b/>
                <w:sz w:val="18"/>
                <w:szCs w:val="18"/>
                <w:lang w:val="sq-AL" w:eastAsia="en-US"/>
              </w:rPr>
              <w:t>Përputhje në disa fusha</w:t>
            </w:r>
            <w:r w:rsidRPr="00827575">
              <w:rPr>
                <w:rFonts w:ascii="Cambria" w:eastAsia="Calibri" w:hAnsi="Cambria"/>
                <w:sz w:val="18"/>
                <w:szCs w:val="18"/>
                <w:lang w:val="sq-AL" w:eastAsia="en-US"/>
              </w:rPr>
              <w:t xml:space="preserve"> me standardet, por kërkohen përmirësime të domosdoshme në fushat ku janë adresuar rekomandimet.</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9</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Shoqëria e Parë Financiare e Zhvillimit FAF</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76672" behindDoc="0" locked="0" layoutInCell="1" allowOverlap="1" wp14:anchorId="681E76D5" wp14:editId="73C1B26D">
                      <wp:simplePos x="0" y="0"/>
                      <wp:positionH relativeFrom="column">
                        <wp:posOffset>389255</wp:posOffset>
                      </wp:positionH>
                      <wp:positionV relativeFrom="paragraph">
                        <wp:posOffset>97790</wp:posOffset>
                      </wp:positionV>
                      <wp:extent cx="486410" cy="158750"/>
                      <wp:effectExtent l="0" t="0" r="27940" b="1270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25FE0" id="Rectangle 2" o:spid="_x0000_s1026" style="position:absolute;margin-left:30.65pt;margin-top:7.7pt;width:38.3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DJQIAADwEAAAOAAAAZHJzL2Uyb0RvYy54bWysU8Fu2zAMvQ/YPwi6L7YDu02MOEWRLsOA&#10;bi3W7QMUWbaFyZJGKXGyrx8lJ5m73Yb5IJAm9fT4SK7ujr0iBwFOGl3RbJZSIjQ3tdRtRb993b5b&#10;UOI80zVTRouKnoSjd+u3b1aDLcXcdEbVAgiCaFcOtqKd97ZMEsc70TM3M1ZoDDYGeubRhTapgQ2I&#10;3qtknqY3yWCgtmC4cA7/PoxBuo74TSO4f2oaJzxRFUVuPp4Qz104k/WKlS0w20l+psH+gUXPpMZH&#10;r1APzDOyB/kXVC85GGcaP+OmT0zTSC5iDVhNlv5RzUvHrIi1oDjOXmVy/w+Wfz48A5F1RYucEs16&#10;7NEXVI3pVgkyD/oM1pWY9mKfIVTo7KPh3x3RZtNhlrgHMEMnWI2sspCfvLoQHIdXyW74ZGpEZ3tv&#10;olTHBvoAiCKQY+zI6doRcfSE4898cZNn2DeOoaxY3BaxYwkrL5ctOP9BmJ4Eo6KA1CM4Ozw6H8iw&#10;8pISyRsl661UKjrQ7jYKyIHhcGy3y2V6QXfTNKXJUNFlMS8i8quYm0Kk8YsSoExTiF56nHIl+4ou&#10;rkmsDKq913WcQc+kGm2krPRZxqDc2IGdqU+oIphxhHHl0OgM/KRkwPGtqPuxZyAoUR81dmKZ5XmY&#10;9+jkxe0cHZhGdtMI0xyhKuopGc2NH3dkb0G2Hb6Uxdq1ucfuNTIqGzo7sjqTxRGNgp/XKezA1I9Z&#10;v5d+/QsAAP//AwBQSwMEFAAGAAgAAAAhALFbWjPfAAAACAEAAA8AAABkcnMvZG93bnJldi54bWxM&#10;j9FOwzAMRd+R+IfISLyxdKyMrTSdEBKaYNKkbXyA13htIXGqJu0KX0/2BI/2vTo+zlejNWKgzjeO&#10;FUwnCQji0umGKwUfh9e7BQgfkDUax6TgmzysiuurHDPtzryjYR8qESHsM1RQh9BmUvqyJot+4lri&#10;mJ1cZzHEsauk7vAc4dbI+ySZS4sNxws1tvRSU/m1762C+eK0PnTL7RtWu43hz/d++Flvlbq9GZ+f&#10;QAQaw18ZLvpRHYrodHQ9ay9MZExnsRn3DymISz57XII4KkiTFGSRy/8PFL8AAAD//wMAUEsBAi0A&#10;FAAGAAgAAAAhALaDOJL+AAAA4QEAABMAAAAAAAAAAAAAAAAAAAAAAFtDb250ZW50X1R5cGVzXS54&#10;bWxQSwECLQAUAAYACAAAACEAOP0h/9YAAACUAQAACwAAAAAAAAAAAAAAAAAvAQAAX3JlbHMvLnJl&#10;bHNQSwECLQAUAAYACAAAACEAfx1QgyUCAAA8BAAADgAAAAAAAAAAAAAAAAAuAgAAZHJzL2Uyb0Rv&#10;Yy54bWxQSwECLQAUAAYACAAAACEAsVtaM98AAAAIAQAADwAAAAAAAAAAAAAAAAB/BAAAZHJzL2Rv&#10;d25yZXYueG1sUEsFBgAAAAAEAAQA8wAAAIsFAAAAAA==&#10;" fillcolor="#f90"/>
                  </w:pict>
                </mc:Fallback>
              </mc:AlternateContent>
            </w:r>
          </w:p>
        </w:tc>
        <w:tc>
          <w:tcPr>
            <w:tcW w:w="3325" w:type="dxa"/>
            <w:shd w:val="clear" w:color="auto" w:fill="auto"/>
          </w:tcPr>
          <w:p w:rsidR="00D53194" w:rsidRPr="00827575" w:rsidRDefault="00D53194" w:rsidP="00DB7961">
            <w:pPr>
              <w:rPr>
                <w:rFonts w:ascii="Cambria" w:eastAsia="Calibri" w:hAnsi="Cambria"/>
                <w:b/>
                <w:bCs/>
                <w:sz w:val="18"/>
                <w:szCs w:val="18"/>
                <w:lang w:val="pt-BR" w:eastAsia="en-US"/>
              </w:rPr>
            </w:pPr>
            <w:r w:rsidRPr="00827575">
              <w:rPr>
                <w:rFonts w:ascii="Cambria" w:eastAsia="Calibri" w:hAnsi="Cambria"/>
                <w:b/>
                <w:sz w:val="18"/>
                <w:szCs w:val="18"/>
                <w:lang w:val="sq-AL" w:eastAsia="en-US"/>
              </w:rPr>
              <w:t>Përputhje në disa fusha</w:t>
            </w:r>
            <w:r w:rsidRPr="00827575">
              <w:rPr>
                <w:rFonts w:ascii="Cambria" w:eastAsia="Calibri" w:hAnsi="Cambria"/>
                <w:sz w:val="18"/>
                <w:szCs w:val="18"/>
                <w:lang w:val="sq-AL" w:eastAsia="en-US"/>
              </w:rPr>
              <w:t xml:space="preserve"> me standardet, por kërkohen përmirësime të domosdoshme  në fushat ku janë adresuar rekomandimet.</w:t>
            </w:r>
          </w:p>
        </w:tc>
      </w:tr>
      <w:tr w:rsidR="00D53194" w:rsidRPr="00827575" w:rsidTr="00DB7961">
        <w:trPr>
          <w:trHeight w:val="485"/>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10</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Spitali Rajonal Vlorë</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66432" behindDoc="0" locked="0" layoutInCell="1" allowOverlap="1" wp14:anchorId="68E6F2C3" wp14:editId="7EFC03B8">
                      <wp:simplePos x="0" y="0"/>
                      <wp:positionH relativeFrom="column">
                        <wp:posOffset>403225</wp:posOffset>
                      </wp:positionH>
                      <wp:positionV relativeFrom="paragraph">
                        <wp:posOffset>73660</wp:posOffset>
                      </wp:positionV>
                      <wp:extent cx="486410" cy="158750"/>
                      <wp:effectExtent l="0" t="0" r="27940" b="127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063B9" id="Rectangle 55" o:spid="_x0000_s1026" style="position:absolute;margin-left:31.75pt;margin-top:5.8pt;width:38.3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3vXIwIAAD0EAAAOAAAAZHJzL2Uyb0RvYy54bWysU1Fv0zAQfkfiP1h+p2mqZuuiptPUUYQ0&#10;YGLwA66Ok1g4tjm7Tcuv5+x0pQOeEHmw7nznL999d7e8PfSa7SV6ZU3F88mUM2mErZVpK/71y+bN&#10;gjMfwNSgrZEVP0rPb1evXy0HV8qZ7ayuJTICMb4cXMW7EFyZZV50sgc/sU4aCjYWewjkYpvVCAOh&#10;9zqbTadX2WCxdmiF9J5u78cgXyX8ppEifGoaLwPTFSduIZ2Yzm08s9USyhbBdUqcaMA/sOhBGfrp&#10;GeoeArAdqj+geiXQetuEibB9ZptGCZlqoGry6W/VPHXgZKqFxPHuLJP/f7Di4/4RmaorXhScGeip&#10;R59JNTCtlozuSKDB+ZLyntwjxhK9e7Dim2fGrjtKk3eIdugk1EQrj/nZiwfR8fSUbYcPtiZ42AWb&#10;tDo02EdAUoEdUkuO55bIQ2CCLueLq3lOjRMUyovFdZFalkH5/NihD++k7Vk0Ko7EPYHD/sGHSAbK&#10;55RE3mpVb5TWycF2u9bI9kDTsdlM6Uv8qcbLNG3YUPGbYlYk5BcxfwkRAf4O0atAY65VX/HFOQnK&#10;qNpbU6chDKD0aBNlbU4yRuXGDmxtfSQV0Y4zTDtHRmfxB2cDzW/F/fcdoORMvzfUiZt8Po8Dn5x5&#10;cT0jBy8j28sIGEFQFQ+cjeY6jEuyc6jajv6Up9qNvaPuNSopGzs7sjqRpRlNgp/2KS7BpZ+yfm39&#10;6icAAAD//wMAUEsDBBQABgAIAAAAIQBZAZ613QAAAAgBAAAPAAAAZHJzL2Rvd25yZXYueG1sTI/B&#10;TsMwEETvSPyDtUjcqBNCDQ1xKlqJE+JAKQdu23hJIuJ1ZLtN+HvcExxnZzTztlrPdhAn8qF3rCFf&#10;ZCCIG2d6bjXs359vHkCEiGxwcEwafijAur68qLA0buI3Ou1iK1IJhxI1dDGOpZSh6chiWLiROHlf&#10;zluMSfpWGo9TKreDvM0yJS32nBY6HGnbUfO9O1oNk9t8FssVvmzvY/R+/njd7JuV1tdX89MjiEhz&#10;/AvDGT+hQ52YDu7IJohBgyqWKZnuuQJx9u+yHMRBQ6EUyLqS/x+ofwEAAP//AwBQSwECLQAUAAYA&#10;CAAAACEAtoM4kv4AAADhAQAAEwAAAAAAAAAAAAAAAAAAAAAAW0NvbnRlbnRfVHlwZXNdLnhtbFBL&#10;AQItABQABgAIAAAAIQA4/SH/1gAAAJQBAAALAAAAAAAAAAAAAAAAAC8BAABfcmVscy8ucmVsc1BL&#10;AQItABQABgAIAAAAIQC8Z3vXIwIAAD0EAAAOAAAAAAAAAAAAAAAAAC4CAABkcnMvZTJvRG9jLnht&#10;bFBLAQItABQABgAIAAAAIQBZAZ613QAAAAgBAAAPAAAAAAAAAAAAAAAAAH0EAABkcnMvZG93bnJl&#10;di54bWxQSwUGAAAAAAQABADzAAAAhwUAAAAA&#10;" fillcolor="red"/>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Mospërputhje e plotë</w:t>
            </w:r>
            <w:r w:rsidRPr="00827575">
              <w:rPr>
                <w:rFonts w:ascii="Cambria" w:eastAsia="Calibri" w:hAnsi="Cambria"/>
                <w:color w:val="000000"/>
                <w:sz w:val="18"/>
                <w:szCs w:val="18"/>
                <w:lang w:eastAsia="it-IT"/>
              </w:rPr>
              <w:t xml:space="preserve"> me standardet.</w:t>
            </w:r>
          </w:p>
        </w:tc>
      </w:tr>
    </w:tbl>
    <w:p w:rsidR="00D53194" w:rsidRPr="00827575" w:rsidRDefault="00D53194" w:rsidP="00D53194">
      <w:pPr>
        <w:rPr>
          <w:rFonts w:ascii="Cambria" w:eastAsia="Calibri" w:hAnsi="Cambria"/>
          <w:sz w:val="22"/>
          <w:szCs w:val="22"/>
          <w:lang w:val="sq-AL" w:eastAsia="en-US"/>
        </w:rPr>
      </w:pPr>
    </w:p>
    <w:p w:rsidR="00D53194" w:rsidRPr="00827575" w:rsidRDefault="00D53194" w:rsidP="00D53194">
      <w:pPr>
        <w:spacing w:after="200" w:line="276" w:lineRule="auto"/>
        <w:jc w:val="both"/>
        <w:rPr>
          <w:rFonts w:ascii="Cambria" w:eastAsia="Calibri" w:hAnsi="Cambria"/>
          <w:b/>
          <w:bCs/>
          <w:sz w:val="20"/>
          <w:szCs w:val="20"/>
          <w:lang w:val="pt-BR" w:eastAsia="en-US"/>
        </w:rPr>
      </w:pPr>
      <w:r w:rsidRPr="00827575">
        <w:rPr>
          <w:rFonts w:ascii="Cambria" w:eastAsia="Calibri" w:hAnsi="Cambria"/>
          <w:b/>
          <w:bCs/>
          <w:sz w:val="20"/>
          <w:szCs w:val="20"/>
          <w:lang w:val="pt-BR" w:eastAsia="en-US"/>
        </w:rPr>
        <w:t xml:space="preserve">GJETJET KRYESORE TË VLERËSIMEVE </w:t>
      </w:r>
    </w:p>
    <w:p w:rsidR="00D53194" w:rsidRPr="00827575" w:rsidRDefault="00D53194" w:rsidP="00D53194">
      <w:pPr>
        <w:spacing w:after="200"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Ndër gjetjet më të rëndësishme në këto procese vlerësimi për 10 njësitë e mësipërme u evidentuan:  </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Mosrealizim i angazhimeve të auditimit në fushat/sistemet e aparatit të njësisë publike dhe fokusimi tek auditimet e subjekteve të varësisë;</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Karta e auditimit nuk ishte në përputhje me strukturën e parashikuar në Manualin e Auditimit të Brendshëm. Ky është dokumenti bazë i funksionimit që përcakton statusin organizativ, qëllimin, misionin, objektivat e punës, përgjegjshmërinë dhe përgjegjësitë e njësisë së auditimit të brendshëm.  </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MingLiU" w:hAnsi="Cambria"/>
          <w:sz w:val="22"/>
          <w:szCs w:val="22"/>
          <w:lang w:val="sq-AL" w:eastAsia="en-US" w:bidi="en-US"/>
        </w:rPr>
        <w:t>Procedurat e përcaktuara në Manualin e Auditimit të Brendshëm, lidhur me fazat e auditimit nuk zbatohen plotësisht.</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bidi="en-US"/>
        </w:rPr>
        <w:t>Audituesit e brendshëm përfshihen në veprimtari operacionale të ndryshme nga veprimtaria e auditimit të brendshëm, në kundërshtim me kuadrin ligjor në fuqi.</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Financierë të subjekteve të varësisë përfshihen në grupe auditimi si ekspertë të jashtëm jo auditues, duke krijuar mundësi për konflikte të mundshme interesi, në kundërshtim me legjislacionin për konfliktin e interesit.  </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Audituesit e brendshëm nuk vlerësonin, në subjektet e audituara, funksionimin e sistemeve të kontrollit të brendshëm. </w:t>
      </w:r>
    </w:p>
    <w:p w:rsidR="00D53194" w:rsidRPr="00827575" w:rsidRDefault="00D53194" w:rsidP="00D53194">
      <w:pPr>
        <w:numPr>
          <w:ilvl w:val="0"/>
          <w:numId w:val="50"/>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 xml:space="preserve">Njësitë e auditimit të brendshëm nuk përcaktonin indikatorët e matjes së cilësisë së performancës dhe nuk hartonin Programin e Siguridhënies dhe Përmirësimit të Cilësisë. </w:t>
      </w:r>
    </w:p>
    <w:p w:rsidR="00D53194" w:rsidRPr="00827575" w:rsidRDefault="00D53194" w:rsidP="00D53194">
      <w:pPr>
        <w:numPr>
          <w:ilvl w:val="0"/>
          <w:numId w:val="50"/>
        </w:numPr>
        <w:spacing w:line="276" w:lineRule="auto"/>
        <w:jc w:val="both"/>
        <w:rPr>
          <w:rFonts w:ascii="Cambria" w:eastAsia="MingLiU" w:hAnsi="Cambria"/>
          <w:sz w:val="22"/>
          <w:szCs w:val="22"/>
          <w:lang w:val="sq-AL" w:eastAsia="en-US" w:bidi="en-US"/>
        </w:rPr>
      </w:pPr>
      <w:r w:rsidRPr="00827575">
        <w:rPr>
          <w:rFonts w:ascii="Cambria" w:eastAsia="Calibri" w:hAnsi="Cambria"/>
          <w:sz w:val="22"/>
          <w:szCs w:val="22"/>
          <w:lang w:val="sq-AL" w:eastAsia="en-US" w:bidi="en-US"/>
        </w:rPr>
        <w:t>Rekomandimet e dhëna nga audituesit e brendshëm nuk ishin të qartë, specifikë, të matshëm dhe në shumë raste nuk e orientonin subjektin e audituar drejt përmirësimeve efiçente.</w:t>
      </w:r>
    </w:p>
    <w:p w:rsidR="00D53194" w:rsidRPr="00D53194" w:rsidRDefault="00D53194" w:rsidP="00D53194">
      <w:pPr>
        <w:numPr>
          <w:ilvl w:val="0"/>
          <w:numId w:val="50"/>
        </w:numPr>
        <w:spacing w:line="276" w:lineRule="auto"/>
        <w:jc w:val="both"/>
        <w:rPr>
          <w:rFonts w:ascii="Cambria" w:eastAsia="MingLiU" w:hAnsi="Cambria"/>
          <w:sz w:val="22"/>
          <w:szCs w:val="22"/>
          <w:lang w:val="sq-AL" w:eastAsia="en-US" w:bidi="en-US"/>
        </w:rPr>
      </w:pPr>
      <w:r w:rsidRPr="00827575">
        <w:rPr>
          <w:rFonts w:ascii="Cambria" w:eastAsia="Calibri" w:hAnsi="Cambria"/>
          <w:sz w:val="22"/>
          <w:szCs w:val="22"/>
          <w:lang w:val="sq-AL" w:eastAsia="en-US" w:bidi="en-US"/>
        </w:rPr>
        <w:t xml:space="preserve">Monitorimi i rekomandimeve nuk kryhej në kohën e duhur, duke mos nxitur përgjegjshmërinë e subjektit të audituar për të reaguar në kohë për arritjen e objektivave të përcaktuara. </w:t>
      </w:r>
    </w:p>
    <w:p w:rsidR="00D53194" w:rsidRPr="00827575" w:rsidRDefault="00D53194" w:rsidP="00D53194">
      <w:pPr>
        <w:ind w:left="720"/>
        <w:jc w:val="both"/>
        <w:rPr>
          <w:rFonts w:ascii="Cambria" w:eastAsia="MingLiU" w:hAnsi="Cambria"/>
          <w:sz w:val="8"/>
          <w:szCs w:val="8"/>
          <w:lang w:val="sq-AL" w:eastAsia="en-US" w:bidi="en-US"/>
        </w:rPr>
      </w:pPr>
    </w:p>
    <w:p w:rsidR="00D53194" w:rsidRPr="00827575" w:rsidRDefault="001E2D8C" w:rsidP="00D53194">
      <w:pPr>
        <w:jc w:val="both"/>
        <w:rPr>
          <w:rFonts w:ascii="Cambria" w:eastAsia="Calibri" w:hAnsi="Cambria"/>
          <w:b/>
          <w:sz w:val="20"/>
          <w:szCs w:val="20"/>
          <w:lang w:val="sq-AL" w:eastAsia="en-US"/>
        </w:rPr>
      </w:pPr>
      <w:r>
        <w:rPr>
          <w:rFonts w:ascii="Cambria" w:eastAsia="Calibri" w:hAnsi="Cambria"/>
          <w:b/>
          <w:sz w:val="20"/>
          <w:szCs w:val="20"/>
          <w:lang w:val="sq-AL" w:eastAsia="en-US"/>
        </w:rPr>
        <w:t>R</w:t>
      </w:r>
      <w:r w:rsidRPr="00827575">
        <w:rPr>
          <w:rFonts w:ascii="Cambria" w:eastAsia="Calibri" w:hAnsi="Cambria"/>
          <w:b/>
          <w:sz w:val="20"/>
          <w:szCs w:val="20"/>
          <w:lang w:val="sq-AL" w:eastAsia="en-US"/>
        </w:rPr>
        <w:t xml:space="preserve">ekomandimet kryesore të vlerësimeve </w:t>
      </w:r>
    </w:p>
    <w:p w:rsidR="00D53194" w:rsidRPr="00827575" w:rsidRDefault="00D53194" w:rsidP="00D53194">
      <w:pPr>
        <w:jc w:val="both"/>
        <w:rPr>
          <w:rFonts w:ascii="Cambria" w:eastAsia="Calibri" w:hAnsi="Cambria"/>
          <w:b/>
          <w:sz w:val="8"/>
          <w:szCs w:val="8"/>
          <w:lang w:val="sq-AL" w:eastAsia="en-US"/>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Bazuar në gjetjet </w:t>
      </w:r>
      <w:r w:rsidR="00B16B7D">
        <w:rPr>
          <w:rFonts w:ascii="Cambria" w:eastAsia="Calibri" w:hAnsi="Cambria"/>
          <w:sz w:val="22"/>
          <w:szCs w:val="22"/>
          <w:lang w:val="sq-AL" w:eastAsia="en-US"/>
        </w:rPr>
        <w:t xml:space="preserve">e </w:t>
      </w:r>
      <w:r w:rsidRPr="00827575">
        <w:rPr>
          <w:rFonts w:ascii="Cambria" w:eastAsia="Calibri" w:hAnsi="Cambria"/>
          <w:sz w:val="22"/>
          <w:szCs w:val="22"/>
          <w:lang w:val="sq-AL" w:eastAsia="en-US"/>
        </w:rPr>
        <w:t>konstatuara</w:t>
      </w:r>
      <w:r w:rsidR="00B16B7D">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grupet e vlerësimit kanë dhënë rekomandime lidhur me masat që duhet të merren nga këto njësi për përmirësimin e veprimtarisë së auditimit në të ardhmen. </w:t>
      </w:r>
    </w:p>
    <w:p w:rsidR="00D53194" w:rsidRPr="00827575" w:rsidRDefault="00D53194" w:rsidP="00D53194">
      <w:pPr>
        <w:jc w:val="both"/>
        <w:rPr>
          <w:rFonts w:ascii="Cambria" w:eastAsia="Calibri" w:hAnsi="Cambria"/>
          <w:sz w:val="8"/>
          <w:szCs w:val="8"/>
          <w:lang w:val="sq-AL" w:eastAsia="en-US"/>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Rekomandimet kryesore për NJAB që lidhen me </w:t>
      </w:r>
      <w:r w:rsidRPr="00827575">
        <w:rPr>
          <w:rFonts w:ascii="Cambria" w:eastAsia="Calibri" w:hAnsi="Cambria"/>
          <w:b/>
          <w:sz w:val="22"/>
          <w:szCs w:val="22"/>
          <w:lang w:val="sq-AL" w:eastAsia="en-US"/>
        </w:rPr>
        <w:t>kriteret kryesore</w:t>
      </w:r>
      <w:r w:rsidRPr="00827575">
        <w:rPr>
          <w:rFonts w:ascii="Cambria" w:eastAsia="Calibri" w:hAnsi="Cambria"/>
          <w:sz w:val="22"/>
          <w:szCs w:val="22"/>
          <w:lang w:val="sq-AL" w:eastAsia="en-US"/>
        </w:rPr>
        <w:t xml:space="preserve"> të vlerësimit mund të përmendim:</w:t>
      </w:r>
    </w:p>
    <w:p w:rsidR="00D53194" w:rsidRPr="00827575" w:rsidRDefault="00D53194" w:rsidP="00D53194">
      <w:pPr>
        <w:jc w:val="both"/>
        <w:rPr>
          <w:rFonts w:ascii="Cambria" w:eastAsia="Calibri" w:hAnsi="Cambria"/>
          <w:sz w:val="12"/>
          <w:szCs w:val="12"/>
          <w:lang w:val="sq-AL" w:eastAsia="en-US"/>
        </w:rPr>
      </w:pPr>
    </w:p>
    <w:p w:rsidR="00D53194" w:rsidRPr="00827575" w:rsidRDefault="00D53194" w:rsidP="00D53194">
      <w:pPr>
        <w:numPr>
          <w:ilvl w:val="0"/>
          <w:numId w:val="51"/>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 xml:space="preserve">NJAB duhet të përfshijnë në planet strategjike dhe vjetore por dhe të realizojnë angazhime auditimi në të gjitha drejtoritë e njësisë publike, pjesë e organigramës së saj. </w:t>
      </w:r>
    </w:p>
    <w:p w:rsidR="00D53194" w:rsidRPr="00827575" w:rsidRDefault="00D53194" w:rsidP="00D53194">
      <w:pPr>
        <w:numPr>
          <w:ilvl w:val="0"/>
          <w:numId w:val="51"/>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NJAB duhet të realizojnë zbatimin e plotë i procedurave të Manualit të Auditimit të Brendshëm, lidhur me të gjitha fazat e auditimit.  </w:t>
      </w:r>
    </w:p>
    <w:p w:rsidR="00D53194" w:rsidRPr="00827575" w:rsidRDefault="00D53194" w:rsidP="00D53194">
      <w:pPr>
        <w:numPr>
          <w:ilvl w:val="0"/>
          <w:numId w:val="51"/>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Drejtuesit e NJAB duhet të ndjekin një procedurë të përshkallëzuar kundërshtimi lidhur me përfshirjen e audituesve të brendshëm në veprimtari operacionale në njësinë publike, me qëllim sigurimin e pavarësisë dhe objektivitetit të veprimtarisë audituese. </w:t>
      </w:r>
    </w:p>
    <w:p w:rsidR="00D53194" w:rsidRPr="00827575" w:rsidRDefault="00D53194" w:rsidP="00D53194">
      <w:pPr>
        <w:numPr>
          <w:ilvl w:val="0"/>
          <w:numId w:val="51"/>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 xml:space="preserve">Drejtuesit e NJAB duhet të shmangin përfshirjen në grupe auditimi të ekspertëve jo auditues, punonjës aktualë të drejtorive të financës në subjektet e varësisë, me qëllim mënjanimin e konflikteve të mundshme të interesit. </w:t>
      </w:r>
    </w:p>
    <w:p w:rsidR="00D53194" w:rsidRPr="00827575" w:rsidRDefault="00D53194" w:rsidP="00D53194">
      <w:pPr>
        <w:ind w:left="720"/>
        <w:jc w:val="both"/>
        <w:rPr>
          <w:rFonts w:ascii="Cambria" w:eastAsia="Calibri" w:hAnsi="Cambria"/>
          <w:b/>
          <w:sz w:val="12"/>
          <w:szCs w:val="12"/>
          <w:lang w:val="sq-AL" w:eastAsia="en-US" w:bidi="en-US"/>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Rekomandimet kryesore për NJAB që lidhen me </w:t>
      </w:r>
      <w:r w:rsidRPr="00827575">
        <w:rPr>
          <w:rFonts w:ascii="Cambria" w:eastAsia="Calibri" w:hAnsi="Cambria"/>
          <w:b/>
          <w:sz w:val="22"/>
          <w:szCs w:val="22"/>
          <w:lang w:val="sq-AL" w:eastAsia="en-US"/>
        </w:rPr>
        <w:t xml:space="preserve">kriteret dytësore </w:t>
      </w:r>
      <w:r w:rsidRPr="00827575">
        <w:rPr>
          <w:rFonts w:ascii="Cambria" w:eastAsia="Calibri" w:hAnsi="Cambria"/>
          <w:sz w:val="22"/>
          <w:szCs w:val="22"/>
          <w:lang w:val="sq-AL" w:eastAsia="en-US"/>
        </w:rPr>
        <w:t>të vlerësimit</w:t>
      </w:r>
      <w:r w:rsidRPr="00827575">
        <w:rPr>
          <w:rFonts w:ascii="Cambria" w:eastAsia="Calibri" w:hAnsi="Cambria"/>
          <w:b/>
          <w:sz w:val="22"/>
          <w:szCs w:val="22"/>
          <w:lang w:val="sq-AL" w:eastAsia="en-US"/>
        </w:rPr>
        <w:t xml:space="preserve"> </w:t>
      </w:r>
      <w:r w:rsidRPr="00827575">
        <w:rPr>
          <w:rFonts w:ascii="Cambria" w:eastAsia="Calibri" w:hAnsi="Cambria"/>
          <w:sz w:val="22"/>
          <w:szCs w:val="22"/>
          <w:lang w:val="sq-AL" w:eastAsia="en-US"/>
        </w:rPr>
        <w:t>mund të përmendim:</w:t>
      </w:r>
    </w:p>
    <w:p w:rsidR="00D53194" w:rsidRPr="00827575" w:rsidRDefault="00D53194" w:rsidP="00D53194">
      <w:pPr>
        <w:jc w:val="both"/>
        <w:rPr>
          <w:rFonts w:ascii="Cambria" w:eastAsia="Calibri" w:hAnsi="Cambria"/>
          <w:sz w:val="8"/>
          <w:szCs w:val="8"/>
          <w:lang w:val="sq-AL" w:eastAsia="en-US"/>
        </w:rPr>
      </w:pPr>
    </w:p>
    <w:p w:rsidR="00D53194" w:rsidRPr="00827575" w:rsidRDefault="00D53194" w:rsidP="00D53194">
      <w:pPr>
        <w:numPr>
          <w:ilvl w:val="0"/>
          <w:numId w:val="52"/>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NJAB duhet të përditësojnë Kartën e Auditimit të Brendshëm sipas përcaktimeve në Manualin e Auditimit të Brendshëm.</w:t>
      </w:r>
    </w:p>
    <w:p w:rsidR="00D53194" w:rsidRPr="00827575" w:rsidRDefault="00D53194" w:rsidP="00D53194">
      <w:pPr>
        <w:numPr>
          <w:ilvl w:val="0"/>
          <w:numId w:val="5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NJAB duhet të përcaktojnë indikatorët e matjes së cilësisë së performancës së veprimtarisë audituese dhe të hartojnë Programin e Siguridhënies dhe Përmirësimit të Cilësisë.</w:t>
      </w:r>
    </w:p>
    <w:p w:rsidR="00D53194" w:rsidRPr="00827575" w:rsidRDefault="00D53194" w:rsidP="00D53194">
      <w:pPr>
        <w:numPr>
          <w:ilvl w:val="0"/>
          <w:numId w:val="5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Në përfundim të çdo auditimi, audituesit e brendshëm duhet të shprehin një opinion të përgjithshëm lidhur me funksionimin e sistemit të kontrollit të brendshëm në subjektet e audituara. </w:t>
      </w:r>
    </w:p>
    <w:p w:rsidR="00D53194" w:rsidRPr="00827575" w:rsidRDefault="00D53194" w:rsidP="00D53194">
      <w:pPr>
        <w:numPr>
          <w:ilvl w:val="0"/>
          <w:numId w:val="52"/>
        </w:numPr>
        <w:spacing w:line="276" w:lineRule="auto"/>
        <w:jc w:val="both"/>
        <w:rPr>
          <w:rFonts w:ascii="Cambria" w:eastAsia="MingLiU" w:hAnsi="Cambria"/>
          <w:sz w:val="22"/>
          <w:szCs w:val="22"/>
          <w:lang w:val="sq-AL" w:eastAsia="en-US" w:bidi="en-US"/>
        </w:rPr>
      </w:pPr>
      <w:r w:rsidRPr="00827575">
        <w:rPr>
          <w:rFonts w:ascii="Cambria" w:eastAsia="Calibri" w:hAnsi="Cambria"/>
          <w:sz w:val="22"/>
          <w:szCs w:val="22"/>
          <w:lang w:val="sq-AL" w:eastAsia="en-US" w:bidi="en-US"/>
        </w:rPr>
        <w:t xml:space="preserve">NJAB duhet të rrisin cilësinë e rekomandimeve dhe kryejnë një monitorim më efektiv në lidhje me zbatimin e rekomandimeve të adresuara në subjektet e audituara, me qëllim rritjen e përgjegjshmërisë për ndikimin e mos zbatimit të tyre në arritjen e objektivave të përcaktuara. </w:t>
      </w:r>
    </w:p>
    <w:p w:rsidR="00D53194" w:rsidRPr="00827575" w:rsidRDefault="00D53194" w:rsidP="00D53194">
      <w:pPr>
        <w:ind w:left="720"/>
        <w:jc w:val="both"/>
        <w:rPr>
          <w:rFonts w:ascii="Cambria" w:eastAsia="MingLiU" w:hAnsi="Cambria"/>
          <w:sz w:val="12"/>
          <w:szCs w:val="12"/>
          <w:lang w:val="sq-AL" w:eastAsia="en-US" w:bidi="en-US"/>
        </w:rPr>
      </w:pPr>
    </w:p>
    <w:p w:rsidR="001E2D8C" w:rsidRDefault="00D53194" w:rsidP="001E2D8C">
      <w:pPr>
        <w:jc w:val="both"/>
        <w:rPr>
          <w:rFonts w:ascii="Cambria" w:eastAsia="Calibri" w:hAnsi="Cambria"/>
          <w:sz w:val="22"/>
          <w:szCs w:val="22"/>
          <w:lang w:val="sq-AL" w:eastAsia="en-US"/>
        </w:rPr>
      </w:pPr>
      <w:r w:rsidRPr="00827575">
        <w:rPr>
          <w:rFonts w:ascii="Cambria" w:eastAsia="Calibri" w:hAnsi="Cambria"/>
          <w:iCs/>
          <w:sz w:val="22"/>
          <w:szCs w:val="22"/>
          <w:lang w:val="sq-AL" w:eastAsia="en-GB"/>
        </w:rPr>
        <w:t>Njësitë e auditimit të brendshëm, të cilat janë vlerësuar me m</w:t>
      </w:r>
      <w:r w:rsidRPr="00827575">
        <w:rPr>
          <w:rFonts w:ascii="Cambria" w:eastAsia="Times New Roman" w:hAnsi="Cambria"/>
          <w:color w:val="000000"/>
          <w:sz w:val="22"/>
          <w:szCs w:val="22"/>
          <w:lang w:val="sq-AL" w:eastAsia="it-IT"/>
        </w:rPr>
        <w:t xml:space="preserve">ospërputhje të plotë me </w:t>
      </w:r>
      <w:r w:rsidRPr="00827575">
        <w:rPr>
          <w:rFonts w:ascii="Cambria" w:eastAsia="Calibri" w:hAnsi="Cambria"/>
          <w:color w:val="000000"/>
          <w:sz w:val="22"/>
          <w:szCs w:val="22"/>
          <w:lang w:val="sq-AL" w:eastAsia="it-IT"/>
        </w:rPr>
        <w:t>standardet (e kuqe) dhe p</w:t>
      </w:r>
      <w:r w:rsidRPr="00827575">
        <w:rPr>
          <w:rFonts w:ascii="Cambria" w:eastAsia="Calibri" w:hAnsi="Cambria"/>
          <w:sz w:val="22"/>
          <w:szCs w:val="22"/>
          <w:lang w:val="sq-AL" w:eastAsia="en-US"/>
        </w:rPr>
        <w:t>ërputhje në disa fusha me standardet (por</w:t>
      </w:r>
      <w:r w:rsidR="001E2D8C">
        <w:rPr>
          <w:rFonts w:ascii="Cambria" w:eastAsia="Calibri" w:hAnsi="Cambria"/>
          <w:sz w:val="22"/>
          <w:szCs w:val="22"/>
          <w:lang w:val="sq-AL" w:eastAsia="en-US"/>
        </w:rPr>
        <w:t xml:space="preserve">tokalli) do të jenë në fokus të </w:t>
      </w:r>
      <w:r w:rsidRPr="00827575">
        <w:rPr>
          <w:rFonts w:ascii="Cambria" w:eastAsia="Calibri" w:hAnsi="Cambria"/>
          <w:sz w:val="22"/>
          <w:szCs w:val="22"/>
          <w:lang w:val="sq-AL" w:eastAsia="en-US"/>
        </w:rPr>
        <w:t xml:space="preserve">vazhdueshëm të DH/AB  duke ju ofruar gjithë asistencën e nevojshme për rritjen e cilësisë së punës. </w:t>
      </w:r>
    </w:p>
    <w:p w:rsidR="0015673B" w:rsidRPr="001E2D8C" w:rsidRDefault="0015673B" w:rsidP="001E2D8C">
      <w:pPr>
        <w:jc w:val="both"/>
        <w:rPr>
          <w:rFonts w:ascii="Cambria" w:eastAsia="Calibri" w:hAnsi="Cambria"/>
          <w:sz w:val="22"/>
          <w:szCs w:val="22"/>
          <w:lang w:val="sq-AL" w:eastAsia="en-US"/>
        </w:rPr>
      </w:pPr>
      <w:r w:rsidRPr="00613BB0">
        <w:rPr>
          <w:lang w:val="pt-BR" w:eastAsia="en-US"/>
        </w:rPr>
        <w:t xml:space="preserve">Nga </w:t>
      </w:r>
      <w:r>
        <w:rPr>
          <w:lang w:val="pt-BR" w:eastAsia="en-US"/>
        </w:rPr>
        <w:t>analiza e pyetësorit të vetëvlerësimit të NJAB (trajtuar në Aneksin II të këtij raporti)</w:t>
      </w:r>
      <w:r w:rsidRPr="00613BB0">
        <w:rPr>
          <w:lang w:val="pt-BR" w:eastAsia="en-US"/>
        </w:rPr>
        <w:t xml:space="preserve">, është evidentuar se një pjesë e </w:t>
      </w:r>
      <w:r>
        <w:rPr>
          <w:lang w:val="pt-BR" w:eastAsia="en-US"/>
        </w:rPr>
        <w:t>NJAB</w:t>
      </w:r>
      <w:r w:rsidRPr="00613BB0">
        <w:rPr>
          <w:lang w:val="pt-BR" w:eastAsia="en-US"/>
        </w:rPr>
        <w:t>:</w:t>
      </w:r>
    </w:p>
    <w:p w:rsidR="0015673B" w:rsidRPr="00613BB0" w:rsidRDefault="0015673B" w:rsidP="0015673B">
      <w:pPr>
        <w:pStyle w:val="NoSpacing"/>
        <w:jc w:val="both"/>
        <w:rPr>
          <w:sz w:val="12"/>
          <w:szCs w:val="12"/>
          <w:lang w:val="pt-BR" w:eastAsia="en-US"/>
        </w:rPr>
      </w:pPr>
    </w:p>
    <w:p w:rsidR="0015673B" w:rsidRPr="00613BB0" w:rsidRDefault="0015673B" w:rsidP="0015673B">
      <w:pPr>
        <w:pStyle w:val="NoSpacing"/>
        <w:numPr>
          <w:ilvl w:val="0"/>
          <w:numId w:val="53"/>
        </w:numPr>
        <w:jc w:val="both"/>
        <w:rPr>
          <w:lang w:val="pt-BR"/>
        </w:rPr>
      </w:pPr>
      <w:r w:rsidRPr="00613BB0">
        <w:rPr>
          <w:lang w:val="pt-BR" w:eastAsia="en-US"/>
        </w:rPr>
        <w:t>nuk kan</w:t>
      </w:r>
      <w:r w:rsidRPr="00613BB0">
        <w:rPr>
          <w:lang w:val="pt-BR"/>
        </w:rPr>
        <w:t>ë</w:t>
      </w:r>
      <w:r w:rsidRPr="00613BB0">
        <w:rPr>
          <w:lang w:val="pt-BR" w:eastAsia="en-US"/>
        </w:rPr>
        <w:t xml:space="preserve"> </w:t>
      </w:r>
      <w:r w:rsidRPr="00613BB0">
        <w:rPr>
          <w:lang w:val="pt-BR"/>
        </w:rPr>
        <w:t xml:space="preserve">miratuar Programin për Përmirësimin e Cilësisë </w:t>
      </w:r>
      <w:r w:rsidRPr="00613BB0">
        <w:rPr>
          <w:lang w:val="pt-BR" w:eastAsia="en-US"/>
        </w:rPr>
        <w:t>sipas p</w:t>
      </w:r>
      <w:r w:rsidRPr="00613BB0">
        <w:rPr>
          <w:lang w:val="pt-BR"/>
        </w:rPr>
        <w:t>ë</w:t>
      </w:r>
      <w:r w:rsidRPr="00613BB0">
        <w:rPr>
          <w:lang w:val="pt-BR" w:eastAsia="en-US"/>
        </w:rPr>
        <w:t>rcaktimeve t</w:t>
      </w:r>
      <w:r w:rsidRPr="00613BB0">
        <w:rPr>
          <w:lang w:val="pt-BR"/>
        </w:rPr>
        <w:t>ë</w:t>
      </w:r>
      <w:r w:rsidRPr="00613BB0">
        <w:rPr>
          <w:lang w:val="pt-BR" w:eastAsia="en-US"/>
        </w:rPr>
        <w:t xml:space="preserve"> Manualit t</w:t>
      </w:r>
      <w:r w:rsidRPr="00613BB0">
        <w:rPr>
          <w:lang w:val="pt-BR"/>
        </w:rPr>
        <w:t xml:space="preserve">ë </w:t>
      </w:r>
      <w:r w:rsidRPr="00613BB0">
        <w:rPr>
          <w:lang w:val="pt-BR" w:eastAsia="en-US"/>
        </w:rPr>
        <w:t>Auditimit t</w:t>
      </w:r>
      <w:r w:rsidRPr="00613BB0">
        <w:rPr>
          <w:lang w:val="pt-BR"/>
        </w:rPr>
        <w:t>ë</w:t>
      </w:r>
      <w:r w:rsidRPr="00613BB0">
        <w:rPr>
          <w:lang w:val="pt-BR" w:eastAsia="en-US"/>
        </w:rPr>
        <w:t xml:space="preserve"> Brendsh</w:t>
      </w:r>
      <w:r w:rsidRPr="00613BB0">
        <w:rPr>
          <w:lang w:val="pt-BR"/>
        </w:rPr>
        <w:t>ë</w:t>
      </w:r>
      <w:r w:rsidRPr="00613BB0">
        <w:rPr>
          <w:lang w:val="pt-BR" w:eastAsia="en-US"/>
        </w:rPr>
        <w:t>m</w:t>
      </w:r>
      <w:r w:rsidRPr="00613BB0">
        <w:rPr>
          <w:lang w:val="pt-BR"/>
        </w:rPr>
        <w:t>;</w:t>
      </w:r>
    </w:p>
    <w:p w:rsidR="0015673B" w:rsidRDefault="0015673B" w:rsidP="0015673B">
      <w:pPr>
        <w:pStyle w:val="NoSpacing"/>
        <w:numPr>
          <w:ilvl w:val="0"/>
          <w:numId w:val="53"/>
        </w:numPr>
        <w:jc w:val="both"/>
        <w:rPr>
          <w:lang w:val="pt-BR"/>
        </w:rPr>
      </w:pPr>
      <w:r w:rsidRPr="0032305D">
        <w:rPr>
          <w:lang w:val="pt-BR" w:eastAsia="en-US"/>
        </w:rPr>
        <w:t>nuk është realizuar vler</w:t>
      </w:r>
      <w:r w:rsidRPr="0032305D">
        <w:rPr>
          <w:lang w:val="pt-BR"/>
        </w:rPr>
        <w:t>ë</w:t>
      </w:r>
      <w:r w:rsidRPr="0032305D">
        <w:rPr>
          <w:lang w:val="pt-BR" w:eastAsia="en-US"/>
        </w:rPr>
        <w:t>simi i brendsh</w:t>
      </w:r>
      <w:r w:rsidRPr="0032305D">
        <w:rPr>
          <w:lang w:val="pt-BR"/>
        </w:rPr>
        <w:t>ë</w:t>
      </w:r>
      <w:r w:rsidRPr="0032305D">
        <w:rPr>
          <w:lang w:val="pt-BR" w:eastAsia="en-US"/>
        </w:rPr>
        <w:t>m i cil</w:t>
      </w:r>
      <w:r w:rsidRPr="0032305D">
        <w:rPr>
          <w:lang w:val="pt-BR"/>
        </w:rPr>
        <w:t>ë</w:t>
      </w:r>
      <w:r w:rsidRPr="0032305D">
        <w:rPr>
          <w:lang w:val="pt-BR" w:eastAsia="en-US"/>
        </w:rPr>
        <w:t>sis</w:t>
      </w:r>
      <w:r w:rsidRPr="0032305D">
        <w:rPr>
          <w:lang w:val="pt-BR"/>
        </w:rPr>
        <w:t>ë</w:t>
      </w:r>
      <w:r w:rsidRPr="0032305D">
        <w:rPr>
          <w:lang w:val="pt-BR" w:eastAsia="en-US"/>
        </w:rPr>
        <w:t xml:space="preserve"> s</w:t>
      </w:r>
      <w:r w:rsidRPr="0032305D">
        <w:rPr>
          <w:lang w:val="pt-BR"/>
        </w:rPr>
        <w:t xml:space="preserve">ë veprimtarisë audituese nga </w:t>
      </w:r>
      <w:r>
        <w:rPr>
          <w:lang w:val="pt-BR"/>
        </w:rPr>
        <w:t xml:space="preserve">ana e </w:t>
      </w:r>
      <w:r w:rsidRPr="0032305D">
        <w:rPr>
          <w:lang w:val="pt-BR"/>
        </w:rPr>
        <w:t>drejtuesit e NJAB</w:t>
      </w:r>
      <w:r>
        <w:rPr>
          <w:lang w:val="pt-BR"/>
        </w:rPr>
        <w:t>;</w:t>
      </w:r>
    </w:p>
    <w:p w:rsidR="0015673B" w:rsidRPr="0032305D" w:rsidRDefault="0015673B" w:rsidP="0015673B">
      <w:pPr>
        <w:pStyle w:val="NoSpacing"/>
        <w:numPr>
          <w:ilvl w:val="0"/>
          <w:numId w:val="53"/>
        </w:numPr>
        <w:jc w:val="both"/>
        <w:rPr>
          <w:lang w:val="pt-BR"/>
        </w:rPr>
      </w:pPr>
      <w:r w:rsidRPr="0032305D">
        <w:rPr>
          <w:lang w:val="pt-BR"/>
        </w:rPr>
        <w:t>nuk kanë realizuar monitorim të vazhdueshëm të zbatimit të rekomandimeve;</w:t>
      </w:r>
    </w:p>
    <w:p w:rsidR="0015673B" w:rsidRPr="00613BB0" w:rsidRDefault="0015673B" w:rsidP="0015673B">
      <w:pPr>
        <w:pStyle w:val="NoSpacing"/>
        <w:numPr>
          <w:ilvl w:val="0"/>
          <w:numId w:val="53"/>
        </w:numPr>
        <w:jc w:val="both"/>
        <w:rPr>
          <w:lang w:val="pt-BR"/>
        </w:rPr>
      </w:pPr>
      <w:r w:rsidRPr="00613BB0">
        <w:rPr>
          <w:lang w:val="pt-BR"/>
        </w:rPr>
        <w:t>nuk kanë hartuar regjistrin e riskut të NJAB, si dhe njësia publike ku ata operojnë nuk ka hartuar dhe përditësuar regjistrin e riskut;</w:t>
      </w:r>
    </w:p>
    <w:p w:rsidR="0015673B" w:rsidRDefault="0015673B" w:rsidP="0015673B">
      <w:pPr>
        <w:pStyle w:val="NoSpacing"/>
        <w:numPr>
          <w:ilvl w:val="0"/>
          <w:numId w:val="53"/>
        </w:numPr>
        <w:jc w:val="both"/>
        <w:rPr>
          <w:lang w:val="pt-BR"/>
        </w:rPr>
      </w:pPr>
      <w:r w:rsidRPr="00613BB0">
        <w:rPr>
          <w:lang w:val="pt-BR"/>
        </w:rPr>
        <w:t>nuk kanë vlerësuar sistemet e kontrollit të brendshëm dhe nivelin e riskut t</w:t>
      </w:r>
      <w:r w:rsidRPr="00613BB0">
        <w:rPr>
          <w:lang w:val="pt-BR" w:eastAsia="ja-JP"/>
        </w:rPr>
        <w:t>ë</w:t>
      </w:r>
      <w:r w:rsidRPr="00613BB0">
        <w:rPr>
          <w:lang w:val="pt-BR"/>
        </w:rPr>
        <w:t xml:space="preserve"> tyre.</w:t>
      </w:r>
    </w:p>
    <w:p w:rsidR="0015673B" w:rsidRPr="00613BB0" w:rsidRDefault="0015673B" w:rsidP="0015673B">
      <w:pPr>
        <w:pStyle w:val="NoSpacing"/>
        <w:ind w:left="720"/>
        <w:jc w:val="both"/>
        <w:rPr>
          <w:sz w:val="12"/>
          <w:szCs w:val="12"/>
          <w:lang w:val="pt-BR"/>
        </w:rPr>
      </w:pPr>
    </w:p>
    <w:p w:rsidR="0015673B" w:rsidRPr="00613BB0" w:rsidRDefault="0015673B" w:rsidP="0015673B">
      <w:pPr>
        <w:pStyle w:val="NoSpacing"/>
        <w:jc w:val="both"/>
        <w:rPr>
          <w:lang w:val="pt-BR"/>
        </w:rPr>
      </w:pPr>
      <w:r>
        <w:rPr>
          <w:lang w:val="pt-BR"/>
        </w:rPr>
        <w:t xml:space="preserve">Në lidhje me </w:t>
      </w:r>
      <w:r w:rsidRPr="00613BB0">
        <w:rPr>
          <w:lang w:val="pt-BR"/>
        </w:rPr>
        <w:t xml:space="preserve">këto problematika </w:t>
      </w:r>
      <w:r>
        <w:rPr>
          <w:lang w:val="pt-BR"/>
        </w:rPr>
        <w:t xml:space="preserve">evidentohet se janë në një masë të konsiderueshme të njëjta me gjetjet dhe rekomandimet e rezultuara nga vlerësimet e jashtme të cilësisë të realizuara nga DH/AB gjatë periudhës që po raportohet. Nga kjo analizë evidentohet se të dhënat e këtyre pyetësorëve janë të besueshme dhe të bazuara realisht në </w:t>
      </w:r>
      <w:r w:rsidR="0064247D">
        <w:rPr>
          <w:lang w:val="pt-BR"/>
        </w:rPr>
        <w:t xml:space="preserve">performancën e </w:t>
      </w:r>
      <w:r>
        <w:rPr>
          <w:lang w:val="pt-BR"/>
        </w:rPr>
        <w:t>veprimtari</w:t>
      </w:r>
      <w:r w:rsidR="0064247D">
        <w:rPr>
          <w:lang w:val="pt-BR"/>
        </w:rPr>
        <w:t>s</w:t>
      </w:r>
      <w:r>
        <w:rPr>
          <w:lang w:val="pt-BR"/>
        </w:rPr>
        <w:t xml:space="preserve">ë </w:t>
      </w:r>
      <w:r w:rsidR="0064247D">
        <w:rPr>
          <w:lang w:val="pt-BR"/>
        </w:rPr>
        <w:t>së</w:t>
      </w:r>
      <w:r>
        <w:rPr>
          <w:lang w:val="pt-BR"/>
        </w:rPr>
        <w:t xml:space="preserve"> auditimit të brendshëm. </w:t>
      </w:r>
      <w:r w:rsidRPr="00613BB0">
        <w:rPr>
          <w:lang w:val="pt-BR"/>
        </w:rPr>
        <w:t xml:space="preserve"> </w:t>
      </w:r>
    </w:p>
    <w:p w:rsidR="00CC6FF1" w:rsidRDefault="00CC6FF1" w:rsidP="00BC4EA9">
      <w:pPr>
        <w:pStyle w:val="Heading1"/>
      </w:pPr>
      <w:bookmarkStart w:id="68" w:name="_Toc9082375"/>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sectPr w:rsidR="00CD67D3" w:rsidSect="004E497C">
          <w:pgSz w:w="11900" w:h="16840"/>
          <w:pgMar w:top="1417" w:right="1417" w:bottom="1134" w:left="1417" w:header="708" w:footer="708" w:gutter="0"/>
          <w:cols w:space="708"/>
          <w:docGrid w:linePitch="360"/>
        </w:sectPr>
      </w:pPr>
    </w:p>
    <w:p w:rsidR="006D701A" w:rsidRPr="00BC4EA9" w:rsidRDefault="006D701A" w:rsidP="00BC4EA9">
      <w:pPr>
        <w:pStyle w:val="Heading1"/>
      </w:pPr>
      <w:r w:rsidRPr="00BC4EA9">
        <w:t xml:space="preserve">Kapitulli </w:t>
      </w:r>
      <w:r w:rsidR="00827575">
        <w:t>V</w:t>
      </w:r>
      <w:r w:rsidRPr="00BC4EA9">
        <w:t xml:space="preserve">- </w:t>
      </w:r>
      <w:r w:rsidR="00EE738B" w:rsidRPr="00BC4EA9">
        <w:t>MBËSHTETJA E MFE-</w:t>
      </w:r>
      <w:r w:rsidR="00EE738B" w:rsidRPr="00E26366">
        <w:t>së</w:t>
      </w:r>
      <w:r w:rsidR="00EE738B" w:rsidRPr="00BC4EA9">
        <w:t xml:space="preserve"> PËR ZHVILLIMIN E SISTEMEVE TË KONTROLLIT TË BRENDSHËM</w:t>
      </w:r>
      <w:bookmarkEnd w:id="68"/>
    </w:p>
    <w:p w:rsidR="00E26366" w:rsidRPr="00E26366" w:rsidRDefault="00E26366" w:rsidP="00E26366">
      <w:pPr>
        <w:jc w:val="both"/>
        <w:rPr>
          <w:rFonts w:ascii="Cambria" w:eastAsia="Calibri" w:hAnsi="Cambria"/>
          <w:sz w:val="22"/>
          <w:szCs w:val="22"/>
          <w:lang w:val="sq-AL" w:eastAsia="en-US" w:bidi="en-US"/>
        </w:rPr>
      </w:pPr>
      <w:r w:rsidRPr="00E26366">
        <w:rPr>
          <w:rFonts w:ascii="Cambria" w:eastAsia="Calibri" w:hAnsi="Cambria"/>
          <w:sz w:val="22"/>
          <w:szCs w:val="22"/>
          <w:lang w:val="sq-AL" w:eastAsia="en-US" w:bidi="en-US"/>
        </w:rPr>
        <w:t>Ministria e Financave dhe Ekonomisë, nëpërmjet Drejtorisë së Harmonizimit të Kontrollit të Brendshëm Financiar Publik</w:t>
      </w:r>
      <w:r w:rsidR="00BC4EA9">
        <w:rPr>
          <w:rFonts w:ascii="Cambria" w:eastAsia="Calibri" w:hAnsi="Cambria"/>
          <w:sz w:val="22"/>
          <w:szCs w:val="22"/>
          <w:lang w:val="sq-AL" w:eastAsia="en-US" w:bidi="en-US"/>
        </w:rPr>
        <w:t>,</w:t>
      </w:r>
      <w:r w:rsidRPr="00E26366">
        <w:rPr>
          <w:rFonts w:ascii="Cambria" w:eastAsia="Calibri" w:hAnsi="Cambria"/>
          <w:sz w:val="22"/>
          <w:szCs w:val="22"/>
          <w:lang w:val="sq-AL" w:eastAsia="en-US" w:bidi="en-US"/>
        </w:rPr>
        <w:t xml:space="preserve"> analizon dhe vlerëson në mënyrë të vazhdueshme performancën e veprimtarisë së auditimit të brendshëm, menaxhimit financiar, kontrollit dhe kontabilitetit në të gjithë sektorin publik për përputhje me </w:t>
      </w:r>
      <w:r w:rsidR="00EE738B">
        <w:rPr>
          <w:rFonts w:ascii="Cambria" w:eastAsia="Calibri" w:hAnsi="Cambria"/>
          <w:sz w:val="22"/>
          <w:szCs w:val="22"/>
          <w:lang w:val="sq-AL" w:eastAsia="en-US" w:bidi="en-US"/>
        </w:rPr>
        <w:t>s</w:t>
      </w:r>
      <w:r w:rsidRPr="00E26366">
        <w:rPr>
          <w:rFonts w:ascii="Cambria" w:eastAsia="Calibri" w:hAnsi="Cambria"/>
          <w:sz w:val="22"/>
          <w:szCs w:val="22"/>
          <w:lang w:val="sq-AL" w:eastAsia="en-US" w:bidi="en-US"/>
        </w:rPr>
        <w:t xml:space="preserve">tandardet ndërkombëtare të pranuara të auditimit të brendshëm dhe kontrollit të brendshëm. </w:t>
      </w:r>
    </w:p>
    <w:p w:rsidR="00E26366" w:rsidRPr="00E26366" w:rsidRDefault="00E26366" w:rsidP="00E26366">
      <w:pPr>
        <w:jc w:val="both"/>
        <w:rPr>
          <w:rFonts w:ascii="Cambria" w:eastAsia="Calibri" w:hAnsi="Cambria"/>
          <w:sz w:val="12"/>
          <w:szCs w:val="12"/>
          <w:lang w:val="sq-AL" w:eastAsia="en-US" w:bidi="en-US"/>
        </w:rPr>
      </w:pPr>
    </w:p>
    <w:p w:rsidR="00E26366" w:rsidRDefault="00E26366" w:rsidP="00E26366">
      <w:pPr>
        <w:jc w:val="both"/>
        <w:rPr>
          <w:rFonts w:ascii="Cambria" w:eastAsia="Calibri" w:hAnsi="Cambria"/>
          <w:sz w:val="22"/>
          <w:szCs w:val="22"/>
          <w:lang w:val="sq-AL" w:eastAsia="en-US"/>
        </w:rPr>
      </w:pPr>
      <w:r w:rsidRPr="00E26366">
        <w:rPr>
          <w:rFonts w:ascii="Cambria" w:eastAsia="Calibri" w:hAnsi="Cambria"/>
          <w:sz w:val="22"/>
          <w:szCs w:val="22"/>
          <w:lang w:val="sq-AL" w:eastAsia="en-US"/>
        </w:rPr>
        <w:t xml:space="preserve">Analiza dhe vlerësimi realizohen nëpërmjet një komunikimi dhe bashkëpunimi të vazhdueshëm me NJAB e ministrive të linjës, institucioneve qendrore, institucioneve të pavarura dhe të pushtetit vendor nëpërmjet shkëmbimit të informacionit, dhënies së mendimeve për ndryshimet e akteve ligjore, vlerësimit të jashtëm të cilësisë, si dhe nëpërmjet planeve strategjike dhe vjetore dhe raporteve vjetore të veprimtarisë së strukturave audituese në sektorin publik.  Gjithashtu, ndërveprimi i vazhdueshëm ekziston edhe me menaxherët e tjerë të njësive publike, lidhur me vlerësimin e vazhdueshëm të veprimtarisë në fushën e menxhimit financiar dhe kontrollit, si dhe përditësimeve në fushën e kontabilitetit. </w:t>
      </w:r>
    </w:p>
    <w:p w:rsidR="00DC7BB6" w:rsidRPr="00827575" w:rsidRDefault="00334850" w:rsidP="00DC7BB6">
      <w:pPr>
        <w:pStyle w:val="Heading2"/>
        <w:rPr>
          <w:lang w:val="en-GB" w:eastAsia="en-US"/>
        </w:rPr>
      </w:pPr>
      <w:bookmarkStart w:id="69" w:name="_Toc9082376"/>
      <w:r>
        <w:rPr>
          <w:rFonts w:eastAsia="Calibri"/>
          <w:lang w:val="sq-AL" w:eastAsia="en-US"/>
        </w:rPr>
        <w:t>5</w:t>
      </w:r>
      <w:r w:rsidR="00DC7BB6">
        <w:rPr>
          <w:rFonts w:eastAsia="Calibri"/>
          <w:lang w:val="sq-AL" w:eastAsia="en-US"/>
        </w:rPr>
        <w:t xml:space="preserve">.1 </w:t>
      </w:r>
      <w:r w:rsidR="00DC7BB6">
        <w:rPr>
          <w:lang w:val="en-GB" w:eastAsia="en-US"/>
        </w:rPr>
        <w:t>Mbështetja e MFE-së</w:t>
      </w:r>
      <w:r w:rsidR="00DC7BB6" w:rsidRPr="00827575">
        <w:rPr>
          <w:lang w:val="en-GB" w:eastAsia="en-US"/>
        </w:rPr>
        <w:t xml:space="preserve"> për zhvillimin e </w:t>
      </w:r>
      <w:r w:rsidR="00B84FD4">
        <w:rPr>
          <w:lang w:val="en-GB" w:eastAsia="en-US"/>
        </w:rPr>
        <w:t>menaxhimit financiar dhe kontrollit</w:t>
      </w:r>
      <w:bookmarkEnd w:id="69"/>
    </w:p>
    <w:p w:rsidR="00E26366" w:rsidRPr="00E26366" w:rsidRDefault="00E26366" w:rsidP="00E26366">
      <w:pPr>
        <w:widowControl w:val="0"/>
        <w:jc w:val="both"/>
        <w:rPr>
          <w:rFonts w:ascii="Cambria" w:hAnsi="Cambria"/>
          <w:b/>
          <w:bCs/>
          <w:sz w:val="22"/>
          <w:szCs w:val="22"/>
          <w:lang w:val="sq-AL" w:eastAsia="en-US"/>
        </w:rPr>
      </w:pPr>
    </w:p>
    <w:p w:rsidR="00E26366" w:rsidRPr="00E26366" w:rsidRDefault="00F20EA5" w:rsidP="00E26366">
      <w:pPr>
        <w:jc w:val="both"/>
        <w:rPr>
          <w:rFonts w:ascii="Cambria" w:eastAsia="Calibri" w:hAnsi="Cambria"/>
          <w:color w:val="000000"/>
          <w:sz w:val="22"/>
          <w:szCs w:val="22"/>
          <w:lang w:val="sq-AL" w:eastAsia="en-US"/>
        </w:rPr>
      </w:pPr>
      <w:r>
        <w:rPr>
          <w:rFonts w:ascii="Cambria" w:eastAsia="Calibri" w:hAnsi="Cambria"/>
          <w:color w:val="000000"/>
          <w:sz w:val="22"/>
          <w:szCs w:val="22"/>
          <w:lang w:val="sq-AL" w:eastAsia="en-US"/>
        </w:rPr>
        <w:t>O</w:t>
      </w:r>
      <w:r w:rsidR="00E26366" w:rsidRPr="00E26366">
        <w:rPr>
          <w:rFonts w:ascii="Cambria" w:eastAsia="Calibri" w:hAnsi="Cambria"/>
          <w:color w:val="000000"/>
          <w:sz w:val="22"/>
          <w:szCs w:val="22"/>
          <w:lang w:val="sq-AL" w:eastAsia="en-US"/>
        </w:rPr>
        <w:t>bjektivat e DH/MFKK</w:t>
      </w:r>
      <w:r w:rsidR="00BA3E0C">
        <w:rPr>
          <w:rFonts w:ascii="Cambria" w:eastAsia="Calibri" w:hAnsi="Cambria"/>
          <w:color w:val="000000"/>
          <w:sz w:val="22"/>
          <w:szCs w:val="22"/>
          <w:lang w:val="sq-AL" w:eastAsia="en-US"/>
        </w:rPr>
        <w:t>-së</w:t>
      </w:r>
      <w:r w:rsidR="00E26366" w:rsidRPr="00E26366">
        <w:rPr>
          <w:rFonts w:ascii="Cambria" w:eastAsia="Calibri" w:hAnsi="Cambria"/>
          <w:color w:val="000000"/>
          <w:sz w:val="22"/>
          <w:szCs w:val="22"/>
          <w:lang w:val="sq-AL" w:eastAsia="en-US"/>
        </w:rPr>
        <w:t xml:space="preserve"> </w:t>
      </w:r>
      <w:r>
        <w:rPr>
          <w:rFonts w:ascii="Cambria" w:eastAsia="Calibri" w:hAnsi="Cambria"/>
          <w:color w:val="000000"/>
          <w:sz w:val="22"/>
          <w:szCs w:val="22"/>
          <w:lang w:val="sq-AL" w:eastAsia="en-US"/>
        </w:rPr>
        <w:t xml:space="preserve"> gjatë vitit 2018 </w:t>
      </w:r>
      <w:r w:rsidR="00E26366" w:rsidRPr="00E26366">
        <w:rPr>
          <w:rFonts w:ascii="Cambria" w:eastAsia="Calibri" w:hAnsi="Cambria"/>
          <w:color w:val="000000"/>
          <w:sz w:val="22"/>
          <w:szCs w:val="22"/>
          <w:lang w:val="sq-AL" w:eastAsia="en-US"/>
        </w:rPr>
        <w:t>kanë konsistuar në:</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Times New Roman" w:hAnsi="Cambria"/>
          <w:sz w:val="22"/>
          <w:szCs w:val="22"/>
          <w:lang w:val="sq-AL" w:eastAsia="en-US"/>
        </w:rPr>
        <w:t>Monitorimin e vazhdueshëm të sistemit të MFK-së për njësitë e qeverisjes së përgjithshme;</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Times New Roman" w:hAnsi="Cambria"/>
          <w:bCs/>
          <w:sz w:val="22"/>
          <w:szCs w:val="22"/>
          <w:lang w:val="sq-AL" w:eastAsia="en-US"/>
        </w:rPr>
        <w:t>Zbatimin e sistemit efektiv të kontrollit të brendshëm dhe ndërtimi i instrumentave të menaxhimit financiar dhe kontrollit nëpërmjet ofrimit të asistencës teknike;</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Calibri" w:hAnsi="Cambria"/>
          <w:color w:val="000000"/>
          <w:sz w:val="22"/>
          <w:szCs w:val="22"/>
          <w:lang w:val="sq-AL" w:eastAsia="en-US"/>
        </w:rPr>
        <w:t>Rrit</w:t>
      </w:r>
      <w:r w:rsidR="00094D58">
        <w:rPr>
          <w:rFonts w:ascii="Cambria" w:eastAsia="Calibri" w:hAnsi="Cambria"/>
          <w:color w:val="000000"/>
          <w:sz w:val="22"/>
          <w:szCs w:val="22"/>
          <w:lang w:val="sq-AL" w:eastAsia="en-US"/>
        </w:rPr>
        <w:t>j</w:t>
      </w:r>
      <w:r w:rsidRPr="00E26366">
        <w:rPr>
          <w:rFonts w:ascii="Cambria" w:eastAsia="Calibri" w:hAnsi="Cambria"/>
          <w:color w:val="000000"/>
          <w:sz w:val="22"/>
          <w:szCs w:val="22"/>
          <w:lang w:val="sq-AL" w:eastAsia="en-US"/>
        </w:rPr>
        <w:t>en e  kapaciteteve dhe ndërgjegjësimit të administratës publike dhe nivelit drejtues të njësive publike mbi rolin dhe rëndësinë e sistemit të MFK-së;</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Calibri" w:hAnsi="Cambria"/>
          <w:color w:val="000000"/>
          <w:sz w:val="22"/>
          <w:szCs w:val="22"/>
          <w:lang w:val="sq-AL" w:eastAsia="en-US"/>
        </w:rPr>
        <w:t>Lehtësimin e zbatimit të procedurave në fushën e kontabilitetit nëpërmjet përmirësimit të bazës ligjore.</w:t>
      </w:r>
    </w:p>
    <w:p w:rsidR="00E26366" w:rsidRPr="00E26366" w:rsidRDefault="00E26366" w:rsidP="00E26366">
      <w:pPr>
        <w:jc w:val="both"/>
        <w:rPr>
          <w:rFonts w:ascii="Cambria" w:eastAsia="Calibri" w:hAnsi="Cambria"/>
          <w:color w:val="000000"/>
          <w:sz w:val="22"/>
          <w:szCs w:val="22"/>
          <w:lang w:val="sq-AL" w:eastAsia="en-US"/>
        </w:rPr>
      </w:pPr>
    </w:p>
    <w:p w:rsidR="00E26366" w:rsidRPr="00E26366" w:rsidRDefault="001E2D8C" w:rsidP="00E26366">
      <w:pPr>
        <w:spacing w:after="160"/>
        <w:jc w:val="both"/>
        <w:rPr>
          <w:rFonts w:ascii="Cambria" w:eastAsia="Calibri" w:hAnsi="Cambria"/>
          <w:b/>
          <w:sz w:val="22"/>
          <w:szCs w:val="22"/>
          <w:lang w:val="sq-AL" w:eastAsia="en-US"/>
        </w:rPr>
      </w:pPr>
      <w:r>
        <w:rPr>
          <w:rFonts w:ascii="Cambria" w:eastAsia="Calibri" w:hAnsi="Cambria"/>
          <w:b/>
          <w:sz w:val="22"/>
          <w:szCs w:val="22"/>
          <w:lang w:val="sq-AL" w:eastAsia="en-US"/>
        </w:rPr>
        <w:t>M</w:t>
      </w:r>
      <w:r w:rsidRPr="00E26366">
        <w:rPr>
          <w:rFonts w:ascii="Cambria" w:eastAsia="Calibri" w:hAnsi="Cambria"/>
          <w:b/>
          <w:sz w:val="22"/>
          <w:szCs w:val="22"/>
          <w:lang w:val="sq-AL" w:eastAsia="en-US"/>
        </w:rPr>
        <w:t>onitorimi i vazhdueshëm i sistemit të MFK-së</w:t>
      </w:r>
    </w:p>
    <w:p w:rsidR="00E26366" w:rsidRPr="00B0482B" w:rsidRDefault="00E26366" w:rsidP="00E26366">
      <w:pPr>
        <w:spacing w:after="160"/>
        <w:jc w:val="both"/>
        <w:rPr>
          <w:rFonts w:ascii="Cambria" w:eastAsia="Calibri" w:hAnsi="Cambria"/>
          <w:sz w:val="22"/>
          <w:szCs w:val="22"/>
          <w:lang w:val="sq-AL" w:eastAsia="en-US"/>
        </w:rPr>
      </w:pPr>
      <w:r w:rsidRPr="00E26366">
        <w:rPr>
          <w:rFonts w:ascii="Cambria" w:eastAsia="Calibri" w:hAnsi="Cambria"/>
          <w:sz w:val="22"/>
          <w:szCs w:val="22"/>
          <w:lang w:val="sq-AL" w:eastAsia="en-US"/>
        </w:rPr>
        <w:t xml:space="preserve">Drejtoria e Harmonizimit të Menaxhimit Financiar, Kontrollit dhe Kontabilitetit në përputhje me nenin 25 dhe 26 të ligjit nr. 10296, datë 08.07.2010 “Për Menaxhimin Financiar dhe Kontrollin”, i ndryshuar, siguron monitorimin sistematik të sistemeve të menaxhimit financiar dhe kontrollit në njësitë e sektorit publik me qëllim mbledhjen e informacionit për të përmirësuar metodologjinë dhe standardet e punës. Gjithashtu, ky proces monitorimi ka si synim verifikimin e besueshmërisë së informacioneve të përfshira në pyetësorët e vetëvlerësimit dhe inkurajimin </w:t>
      </w:r>
      <w:r w:rsidRPr="00B0482B">
        <w:rPr>
          <w:rFonts w:ascii="Cambria" w:eastAsia="Calibri" w:hAnsi="Cambria"/>
          <w:sz w:val="22"/>
          <w:szCs w:val="22"/>
          <w:lang w:val="sq-AL" w:eastAsia="en-US"/>
        </w:rPr>
        <w:t>e njësisë publike për të kryer një vetëvlerësim të hollësishëm dhe të besueshëm të sistemit të kontrollit të brendshëm.  Në përfundim të këtij procesi, njësive të monitoruara, i’u dërgohet një raport i hollësishëm me gjetjet dhe rekomandimet përkatëse.</w:t>
      </w:r>
    </w:p>
    <w:p w:rsidR="00B0482B" w:rsidRDefault="00E26366" w:rsidP="00B0482B">
      <w:pPr>
        <w:spacing w:after="160" w:line="259" w:lineRule="auto"/>
        <w:jc w:val="both"/>
        <w:rPr>
          <w:rFonts w:ascii="Cambria" w:eastAsia="Times New Roman" w:hAnsi="Cambria"/>
          <w:sz w:val="22"/>
          <w:szCs w:val="22"/>
          <w:lang w:val="sq-AL" w:eastAsia="en-US"/>
        </w:rPr>
      </w:pPr>
      <w:r w:rsidRPr="00B0482B">
        <w:rPr>
          <w:rFonts w:ascii="Cambria" w:eastAsia="Calibri" w:hAnsi="Cambria"/>
          <w:sz w:val="22"/>
          <w:szCs w:val="22"/>
          <w:lang w:val="sq-AL" w:eastAsia="en-US"/>
        </w:rPr>
        <w:t>Për vitin 2018, bazuar në planin operacional të punës, janë realizuar monitorime në 20 njësi publike</w:t>
      </w:r>
      <w:r w:rsidR="00094D58" w:rsidRPr="00B0482B">
        <w:rPr>
          <w:rFonts w:ascii="Cambria" w:eastAsia="Calibri" w:hAnsi="Cambria"/>
          <w:sz w:val="22"/>
          <w:szCs w:val="22"/>
          <w:lang w:val="sq-AL" w:eastAsia="en-US"/>
        </w:rPr>
        <w:t xml:space="preserve"> (</w:t>
      </w:r>
      <w:r w:rsidRPr="00B0482B">
        <w:rPr>
          <w:rFonts w:ascii="Cambria" w:eastAsia="Calibri" w:hAnsi="Cambria"/>
          <w:sz w:val="22"/>
          <w:szCs w:val="22"/>
          <w:lang w:val="sq-AL" w:eastAsia="en-US"/>
        </w:rPr>
        <w:t>5 ministri linje, 11 bashki dhe 4 institucione të pavarura)</w:t>
      </w:r>
      <w:r w:rsidR="00094D58" w:rsidRPr="00B0482B">
        <w:rPr>
          <w:rFonts w:ascii="Cambria" w:eastAsia="Calibri" w:hAnsi="Cambria"/>
          <w:sz w:val="22"/>
          <w:szCs w:val="22"/>
          <w:lang w:val="sq-AL" w:eastAsia="en-US"/>
        </w:rPr>
        <w:t>,</w:t>
      </w:r>
      <w:r w:rsidRPr="00B0482B">
        <w:rPr>
          <w:rFonts w:ascii="Cambria" w:eastAsia="Calibri" w:hAnsi="Cambria"/>
          <w:sz w:val="22"/>
          <w:szCs w:val="22"/>
          <w:lang w:val="sq-AL" w:eastAsia="en-US"/>
        </w:rPr>
        <w:t xml:space="preserve"> </w:t>
      </w:r>
      <w:r w:rsidR="00B0482B" w:rsidRPr="00B0482B">
        <w:rPr>
          <w:rFonts w:ascii="Cambria" w:eastAsia="Calibri" w:hAnsi="Cambria"/>
          <w:sz w:val="22"/>
          <w:szCs w:val="22"/>
          <w:lang w:val="sq-AL" w:eastAsia="en-US"/>
        </w:rPr>
        <w:t>t</w:t>
      </w:r>
      <w:r w:rsidR="00B0482B">
        <w:rPr>
          <w:rFonts w:ascii="Cambria" w:eastAsia="Calibri" w:hAnsi="Cambria"/>
          <w:sz w:val="22"/>
          <w:szCs w:val="22"/>
          <w:lang w:val="sq-AL" w:eastAsia="en-US"/>
        </w:rPr>
        <w:t>ë</w:t>
      </w:r>
      <w:r w:rsidR="00B0482B" w:rsidRPr="00B0482B">
        <w:rPr>
          <w:rFonts w:ascii="Cambria" w:eastAsia="Calibri" w:hAnsi="Cambria"/>
          <w:sz w:val="22"/>
          <w:szCs w:val="22"/>
          <w:lang w:val="sq-AL" w:eastAsia="en-US"/>
        </w:rPr>
        <w:t xml:space="preserve"> cilat karakterizohen kryesisht nga </w:t>
      </w:r>
      <w:r w:rsidR="00B0482B" w:rsidRPr="00B0482B">
        <w:rPr>
          <w:rFonts w:ascii="Cambria" w:eastAsia="Times New Roman" w:hAnsi="Cambria"/>
          <w:sz w:val="22"/>
          <w:szCs w:val="22"/>
          <w:lang w:val="sq-AL" w:eastAsia="en-US"/>
        </w:rPr>
        <w:t>m</w:t>
      </w:r>
      <w:r w:rsidRPr="00B0482B">
        <w:rPr>
          <w:rFonts w:ascii="Cambria" w:eastAsia="Times New Roman" w:hAnsi="Cambria"/>
          <w:sz w:val="22"/>
          <w:szCs w:val="22"/>
          <w:lang w:val="sq-AL" w:eastAsia="en-US"/>
        </w:rPr>
        <w:t>ungesa e instrumentave</w:t>
      </w:r>
      <w:r w:rsidR="00094D58" w:rsidRPr="00B0482B">
        <w:rPr>
          <w:rFonts w:ascii="Cambria" w:eastAsia="Times New Roman" w:hAnsi="Cambria"/>
          <w:sz w:val="22"/>
          <w:szCs w:val="22"/>
          <w:lang w:val="sq-AL" w:eastAsia="en-US"/>
        </w:rPr>
        <w:t xml:space="preserve"> të</w:t>
      </w:r>
      <w:r w:rsidRPr="00B0482B">
        <w:rPr>
          <w:rFonts w:ascii="Cambria" w:eastAsia="Times New Roman" w:hAnsi="Cambria"/>
          <w:sz w:val="22"/>
          <w:szCs w:val="22"/>
          <w:lang w:val="sq-AL" w:eastAsia="en-US"/>
        </w:rPr>
        <w:t xml:space="preserve"> konsoliduar të menaxhimit financiar dhe kontrollit dhe zbatimi i tyre nga të gjitha strukturat brenda njësisë</w:t>
      </w:r>
      <w:r w:rsidR="00B0482B">
        <w:rPr>
          <w:rFonts w:ascii="Cambria" w:eastAsia="Times New Roman" w:hAnsi="Cambria"/>
          <w:sz w:val="22"/>
          <w:szCs w:val="22"/>
          <w:lang w:val="sq-AL" w:eastAsia="en-US"/>
        </w:rPr>
        <w:t>,</w:t>
      </w:r>
      <w:r w:rsidR="00B0482B" w:rsidRPr="00B0482B">
        <w:rPr>
          <w:rFonts w:ascii="Cambria" w:eastAsia="Times New Roman" w:hAnsi="Cambria"/>
          <w:sz w:val="22"/>
          <w:szCs w:val="22"/>
          <w:lang w:val="sq-AL" w:eastAsia="en-US"/>
        </w:rPr>
        <w:t xml:space="preserve"> mungesa e ndërgjegjësimit për përfitimet e zbatimit të procedurave të delegimit si dhe nga mungesa e e vlerësimeve periodike të sistemit të kontrollit të brendshëm nga menaxherët dhe komunikimi i gjetjeve tek nëpunësi autorizues.</w:t>
      </w:r>
    </w:p>
    <w:p w:rsidR="00E26366" w:rsidRPr="00E26366" w:rsidRDefault="001E2D8C" w:rsidP="00E26366">
      <w:pPr>
        <w:spacing w:after="160"/>
        <w:jc w:val="both"/>
        <w:rPr>
          <w:rFonts w:ascii="Cambria" w:eastAsia="Times New Roman" w:hAnsi="Cambria"/>
          <w:b/>
          <w:bCs/>
          <w:sz w:val="22"/>
          <w:szCs w:val="22"/>
          <w:lang w:val="sq-AL" w:eastAsia="en-US"/>
        </w:rPr>
      </w:pPr>
      <w:r>
        <w:rPr>
          <w:rFonts w:ascii="Cambria" w:eastAsia="Times New Roman" w:hAnsi="Cambria"/>
          <w:b/>
          <w:bCs/>
          <w:sz w:val="22"/>
          <w:szCs w:val="22"/>
          <w:lang w:val="sq-AL" w:eastAsia="en-US"/>
        </w:rPr>
        <w:t>Z</w:t>
      </w:r>
      <w:r w:rsidRPr="00E26366">
        <w:rPr>
          <w:rFonts w:ascii="Cambria" w:eastAsia="Times New Roman" w:hAnsi="Cambria"/>
          <w:b/>
          <w:bCs/>
          <w:sz w:val="22"/>
          <w:szCs w:val="22"/>
          <w:lang w:val="sq-AL" w:eastAsia="en-US"/>
        </w:rPr>
        <w:t>batimi i sistemit efektiv të kontrollit të brendshëm bazuar në asistencën teknike të ofruar nga DH/MFKK</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DH/MFKK në kuadër të implementimit të një sistemi modern të menaxhimit financiar dhe kontrollit, ka ofruar asistencë teknike në 4 institucione të përzgjedhura: Ministrinë e Brendshme, Ministrinë e Infrastrukturës dhe Energjisë, Bashkinë Vlorë dhe Autoritetin Rrugor Shqiptar. Këto institucione janë përzgjedhur duke marrë në konsideratë kompleksitetin dhe natyrën e veprimtarisë së tyre. Plani i miratuar i aktiviteteve, u realizua i ndarë në 5 misione specifike, duke siguruar një mbulim të plotë të të gjithë hallkave të sistemit të kontrollit të brendshëm</w:t>
      </w:r>
      <w:r w:rsidR="002B06EF">
        <w:rPr>
          <w:rFonts w:ascii="Cambria" w:eastAsia="Times New Roman" w:hAnsi="Cambria"/>
          <w:bCs/>
          <w:sz w:val="22"/>
          <w:szCs w:val="22"/>
          <w:lang w:val="pt-BR" w:eastAsia="en-US"/>
        </w:rPr>
        <w:t>.</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Vlen të theksojmë bashkëpunimin me A</w:t>
      </w:r>
      <w:r w:rsidR="0012513A">
        <w:rPr>
          <w:rFonts w:ascii="Cambria" w:eastAsia="Times New Roman" w:hAnsi="Cambria"/>
          <w:bCs/>
          <w:sz w:val="22"/>
          <w:szCs w:val="22"/>
          <w:lang w:val="pt-BR" w:eastAsia="en-US"/>
        </w:rPr>
        <w:t xml:space="preserve">utoritetin </w:t>
      </w:r>
      <w:r w:rsidRPr="00E26366">
        <w:rPr>
          <w:rFonts w:ascii="Cambria" w:eastAsia="Times New Roman" w:hAnsi="Cambria"/>
          <w:bCs/>
          <w:sz w:val="22"/>
          <w:szCs w:val="22"/>
          <w:lang w:val="pt-BR" w:eastAsia="en-US"/>
        </w:rPr>
        <w:t>Rrugor Shqiptar, ku është punuar intensivisht për zbatimin dhe përmirësimin e instrumenteve të kontrollit të brendshëm. Vëmendje e veçantë i është kushtuar përcaktimit dhe hartimit të procedurave të shkruara dhe manualeve të proceseve të punës, kryesisht në sektorin e lidhjes së kontratave, me qëllim parandalimin e krijimit të detyrimeve të prapambetura</w:t>
      </w:r>
      <w:r w:rsidR="0012513A">
        <w:rPr>
          <w:rFonts w:ascii="Cambria" w:eastAsia="Times New Roman" w:hAnsi="Cambria"/>
          <w:bCs/>
          <w:sz w:val="22"/>
          <w:szCs w:val="22"/>
          <w:lang w:val="pt-BR" w:eastAsia="en-US"/>
        </w:rPr>
        <w:t>,</w:t>
      </w:r>
      <w:r w:rsidRPr="00E26366">
        <w:rPr>
          <w:rFonts w:ascii="Cambria" w:eastAsia="Times New Roman" w:hAnsi="Cambria"/>
          <w:bCs/>
          <w:sz w:val="22"/>
          <w:szCs w:val="22"/>
          <w:lang w:val="pt-BR" w:eastAsia="en-US"/>
        </w:rPr>
        <w:t xml:space="preserve"> si një nga fushat më problematike të këtij institucioni. Ndërkohë, në Bashkinë Vlorë është përfunduar procesi i pilotimit, duke evidentuar faktin që pjesa më e madhe e strukturave në këtë njësi kanë hartuar instrumentat e MFK-së si dhe po punohet për konsolidimin e tyre dhe zbatimin e mëtejshëm.</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 xml:space="preserve">Përsa i përket procesit të ofrimit të asistencës në Ministrinë e Brendshme dhe Ministrinë e Infrastrukturës dhe Energjisë, evidentojmë se ndryshimet e shpeshta strukturore dhe mosangazhimi i duhur i nivelit drejtues kanë sjellë ndërprerjen e realizimit të aktiviteteve në këto institucione. </w:t>
      </w:r>
    </w:p>
    <w:p w:rsidR="00E26366" w:rsidRPr="00AF5513" w:rsidRDefault="00E26366" w:rsidP="00AF5513">
      <w:pPr>
        <w:pStyle w:val="NoSpacing"/>
        <w:rPr>
          <w:sz w:val="12"/>
          <w:szCs w:val="12"/>
          <w:lang w:val="pt-BR" w:eastAsia="en-US"/>
        </w:rPr>
      </w:pPr>
    </w:p>
    <w:p w:rsidR="00E26366" w:rsidRPr="00E26366" w:rsidRDefault="001E2D8C" w:rsidP="00E26366">
      <w:pPr>
        <w:jc w:val="both"/>
        <w:rPr>
          <w:rFonts w:ascii="Cambria" w:eastAsia="Calibri" w:hAnsi="Cambria"/>
          <w:b/>
          <w:color w:val="000000"/>
          <w:sz w:val="22"/>
          <w:szCs w:val="22"/>
          <w:lang w:val="sq-AL" w:eastAsia="en-US"/>
        </w:rPr>
      </w:pPr>
      <w:r>
        <w:rPr>
          <w:rFonts w:ascii="Cambria" w:eastAsia="Calibri" w:hAnsi="Cambria"/>
          <w:b/>
          <w:color w:val="000000"/>
          <w:sz w:val="22"/>
          <w:szCs w:val="22"/>
          <w:lang w:val="sq-AL" w:eastAsia="en-US"/>
        </w:rPr>
        <w:t>R</w:t>
      </w:r>
      <w:r w:rsidRPr="00E26366">
        <w:rPr>
          <w:rFonts w:ascii="Cambria" w:eastAsia="Calibri" w:hAnsi="Cambria"/>
          <w:b/>
          <w:color w:val="000000"/>
          <w:sz w:val="22"/>
          <w:szCs w:val="22"/>
          <w:lang w:val="sq-AL" w:eastAsia="en-US"/>
        </w:rPr>
        <w:t>ritja e  kapaciteteve dhe ndërgjegjësimit të administratës publike dhe nivelit drejtues të njësive publike mbi rolin dhe rëndësinë e sistemit të MFK-së</w:t>
      </w:r>
    </w:p>
    <w:p w:rsidR="00E26366" w:rsidRPr="00AF5513" w:rsidRDefault="00E26366" w:rsidP="00AF5513">
      <w:pPr>
        <w:pStyle w:val="NoSpacing"/>
        <w:rPr>
          <w:sz w:val="12"/>
          <w:szCs w:val="12"/>
          <w:lang w:val="sq-AL" w:eastAsia="en-US"/>
        </w:rPr>
      </w:pP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Në funksion të detyrave kryesore të drejtorisë si dhe adresimit të rekomandimeve kryesore të organizmave ndërkombëtare mbi zhvillimin e kapaciteteve të administratës publike</w:t>
      </w:r>
      <w:r w:rsidR="0012513A">
        <w:rPr>
          <w:rFonts w:ascii="Cambria" w:eastAsia="Times New Roman" w:hAnsi="Cambria"/>
          <w:bCs/>
          <w:sz w:val="22"/>
          <w:szCs w:val="22"/>
          <w:lang w:val="pt-BR" w:eastAsia="en-US"/>
        </w:rPr>
        <w:t>,</w:t>
      </w:r>
      <w:r w:rsidRPr="00E26366">
        <w:rPr>
          <w:rFonts w:ascii="Cambria" w:eastAsia="Times New Roman" w:hAnsi="Cambria"/>
          <w:bCs/>
          <w:sz w:val="22"/>
          <w:szCs w:val="22"/>
          <w:lang w:val="pt-BR" w:eastAsia="en-US"/>
        </w:rPr>
        <w:t xml:space="preserve"> për zbatimin me efektivitet të sistemeve të kontrollit të brendshëm, gjatë vitit 2018, janë realizuar seminare ndërgjegjësimi dhe trajnime të vazhdueshme në fushën e menaxhimit financiar dhe kontrollit dhe të përgjegjshmërisë menaxheriale.</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Audienca e synuar për këto trajnime ishte niveli i lartë menaxherial dhe stafi i njësive publike.</w:t>
      </w:r>
    </w:p>
    <w:p w:rsidR="00E26366" w:rsidRPr="00AF5513" w:rsidRDefault="00E26366" w:rsidP="00AF5513">
      <w:pPr>
        <w:pStyle w:val="NoSpacing"/>
        <w:rPr>
          <w:sz w:val="12"/>
          <w:szCs w:val="1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Trajnime të organizuara në bashkëpunim me Shkollën Shqiptare të Administratës Publike (ASPA)</w:t>
      </w:r>
    </w:p>
    <w:p w:rsidR="00E26366" w:rsidRDefault="00E26366" w:rsidP="00E26366">
      <w:pPr>
        <w:jc w:val="both"/>
        <w:rPr>
          <w:rFonts w:ascii="Cambria" w:hAnsi="Cambria"/>
          <w:sz w:val="22"/>
          <w:szCs w:val="22"/>
          <w:lang w:val="sq-AL"/>
        </w:rPr>
      </w:pPr>
      <w:r w:rsidRPr="00E26366">
        <w:rPr>
          <w:rFonts w:ascii="Cambria" w:hAnsi="Cambria"/>
          <w:sz w:val="22"/>
          <w:szCs w:val="22"/>
          <w:lang w:val="sq-AL"/>
        </w:rPr>
        <w:t xml:space="preserve">Në kuadër të realizimit me sukses të objektivave të përcaktuar në Strategjinë e Menaxhimit të Financave Publike  mbi rëndësinë e zhvillimit të sistemit të kontrollit të brendshëm dhe konceptit të përgjegjshmërisë menaxheriale, DH/MFKK në bashkëpunim me ASPA-n, realizoi tre cikle trajnimesh 5-ditore, për nivele të ndryshme manaxheriale (gjithsej 56 pjesëmarrës). </w:t>
      </w:r>
    </w:p>
    <w:p w:rsidR="00AF5513" w:rsidRDefault="00AF5513" w:rsidP="00E26366">
      <w:pPr>
        <w:jc w:val="both"/>
        <w:rPr>
          <w:rFonts w:ascii="Cambria" w:hAnsi="Cambria"/>
          <w:sz w:val="22"/>
          <w:szCs w:val="2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Trajnime mbi informimin e njësive të qeverisjes vendore me kërkesat e ligjit të MFK</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Me synim informimin dhe ndërgjegjësimin e menaxherëve dhe stafit të njësive të vetëqeverisjes vendore mbi rëndësinë e implementimit të një sistemi efektiv të menaxhimit financiar dhe kontrollit, si dhe zbatimin në praktikë të instrumentave të MFK-së, u zhvilluan 2 cikle trajnimi 3 ditore në Qarkun e Shkodrës dhe Elbasanit ku morën pjesë rreth 66 pjesëmarrës.</w:t>
      </w:r>
    </w:p>
    <w:p w:rsidR="00E26366" w:rsidRPr="00E26366" w:rsidRDefault="00E26366" w:rsidP="00E26366">
      <w:pPr>
        <w:jc w:val="both"/>
        <w:rPr>
          <w:rFonts w:ascii="Cambria" w:hAnsi="Cambria"/>
          <w:sz w:val="22"/>
          <w:szCs w:val="2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 xml:space="preserve">Takime me titullarët e institucioneve publike përgjatë monitorimeve mbi vlerësimin e performancës </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Gjatë vitit 2018, drejtuesit e DPH/KBFP realizuan takime ndërgjegjësuese me menaxherët e nivelit të lartë të disa prej ministrive të linjës, mbi vlerësimin e performancës së këtyre institucioneve për vit</w:t>
      </w:r>
      <w:r w:rsidR="007E5261">
        <w:rPr>
          <w:rFonts w:ascii="Cambria" w:hAnsi="Cambria"/>
          <w:sz w:val="22"/>
          <w:szCs w:val="22"/>
          <w:lang w:val="sq-AL"/>
        </w:rPr>
        <w:t>in 2017. Kjo praktikë e ndjekur</w:t>
      </w:r>
      <w:r w:rsidRPr="00E26366">
        <w:rPr>
          <w:rFonts w:ascii="Cambria" w:hAnsi="Cambria"/>
          <w:sz w:val="22"/>
          <w:szCs w:val="22"/>
          <w:lang w:val="sq-AL"/>
        </w:rPr>
        <w:t xml:space="preserve"> ka si synim evidentimin e gjetjeve kryesore lidhur me sistemin e kontrollit të brendshëm, bazuar në treguesit e performancës </w:t>
      </w:r>
      <w:r w:rsidR="00811746">
        <w:rPr>
          <w:rFonts w:ascii="Cambria" w:hAnsi="Cambria"/>
          <w:sz w:val="22"/>
          <w:szCs w:val="22"/>
          <w:lang w:val="sq-AL"/>
        </w:rPr>
        <w:t xml:space="preserve">të vlerësuar </w:t>
      </w:r>
      <w:r w:rsidRPr="00E26366">
        <w:rPr>
          <w:rFonts w:ascii="Cambria" w:hAnsi="Cambria"/>
          <w:sz w:val="22"/>
          <w:szCs w:val="22"/>
          <w:lang w:val="sq-AL"/>
        </w:rPr>
        <w:t xml:space="preserve">sipas metodologjisë së monitorimit. </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Nëpërmjet këtyre takimeve ndërgjegjësuese, sugjerohen dhe rekomandimet përkatëse për përmirësimin e sistemit të kontrollit të brendshëm.</w:t>
      </w:r>
    </w:p>
    <w:p w:rsidR="00E26366" w:rsidRPr="00E26366" w:rsidRDefault="00E26366" w:rsidP="00E26366">
      <w:pPr>
        <w:jc w:val="both"/>
        <w:rPr>
          <w:rFonts w:ascii="Cambria" w:hAnsi="Cambria"/>
          <w:sz w:val="22"/>
          <w:szCs w:val="2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Trajnime  në disa institucone të qeverisjes së përgjithshme lidhur me implementimin e instrumentave të MFK-së, bazuar në kërkesat e tyre për asistencë</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 xml:space="preserve">Gjatë vitit 2018, është vënë re një rritje e dukshme e institucioneve të cilat kërkojnë asistencë direkte për informimin </w:t>
      </w:r>
      <w:r w:rsidRPr="002B06EF">
        <w:rPr>
          <w:rFonts w:ascii="Cambria" w:hAnsi="Cambria"/>
          <w:sz w:val="22"/>
          <w:szCs w:val="22"/>
          <w:lang w:val="sq-AL"/>
        </w:rPr>
        <w:t>dhe zbatimin në praktikë të instrumentave të MFK-së. DH/MFKK realizoi trajnimin në Agjencinë e Administrimit të Pasurive të Sekuestruara dhe të Ko</w:t>
      </w:r>
      <w:r w:rsidRPr="000C39DD">
        <w:rPr>
          <w:rFonts w:ascii="Cambria" w:hAnsi="Cambria"/>
          <w:sz w:val="22"/>
          <w:szCs w:val="22"/>
          <w:lang w:val="sq-AL"/>
        </w:rPr>
        <w:t>nfiskuara, ku mori pjesë i gjithë stafi i</w:t>
      </w:r>
      <w:r w:rsidR="00BE1366">
        <w:rPr>
          <w:rFonts w:ascii="Cambria" w:hAnsi="Cambria"/>
          <w:sz w:val="22"/>
          <w:szCs w:val="22"/>
          <w:lang w:val="sq-AL"/>
        </w:rPr>
        <w:t xml:space="preserve"> këtij institucioni si dhe në Qe</w:t>
      </w:r>
      <w:r w:rsidRPr="000C39DD">
        <w:rPr>
          <w:rFonts w:ascii="Cambria" w:hAnsi="Cambria"/>
          <w:sz w:val="22"/>
          <w:szCs w:val="22"/>
          <w:lang w:val="sq-AL"/>
        </w:rPr>
        <w:t>ndrën për Trajnimin e Administratës Tatimore dhe Dogano</w:t>
      </w:r>
      <w:r w:rsidR="0084124F" w:rsidRPr="00BB70F1">
        <w:rPr>
          <w:rFonts w:ascii="Cambria" w:hAnsi="Cambria"/>
          <w:sz w:val="22"/>
          <w:szCs w:val="22"/>
          <w:lang w:val="sq-AL"/>
        </w:rPr>
        <w:t xml:space="preserve">re, ku morën pjesë rreth </w:t>
      </w:r>
      <w:r w:rsidR="002B06EF" w:rsidRPr="00B0482B">
        <w:rPr>
          <w:rFonts w:ascii="Cambria" w:hAnsi="Cambria"/>
          <w:sz w:val="22"/>
          <w:szCs w:val="22"/>
          <w:lang w:val="sq-AL"/>
        </w:rPr>
        <w:t>6</w:t>
      </w:r>
      <w:r w:rsidRPr="00B0482B">
        <w:rPr>
          <w:rFonts w:ascii="Cambria" w:hAnsi="Cambria"/>
          <w:sz w:val="22"/>
          <w:szCs w:val="22"/>
          <w:lang w:val="sq-AL"/>
        </w:rPr>
        <w:t>0</w:t>
      </w:r>
      <w:r w:rsidRPr="002B06EF">
        <w:rPr>
          <w:rFonts w:ascii="Cambria" w:hAnsi="Cambria"/>
          <w:sz w:val="22"/>
          <w:szCs w:val="22"/>
          <w:lang w:val="sq-AL"/>
        </w:rPr>
        <w:t xml:space="preserve"> pjesëmarrës.</w:t>
      </w:r>
    </w:p>
    <w:p w:rsidR="00E26366" w:rsidRPr="00E26366" w:rsidRDefault="00E26366" w:rsidP="00E26366">
      <w:pPr>
        <w:jc w:val="both"/>
        <w:rPr>
          <w:rFonts w:ascii="Cambria" w:eastAsia="Times New Roman" w:hAnsi="Cambria"/>
          <w:bCs/>
          <w:sz w:val="22"/>
          <w:szCs w:val="22"/>
          <w:lang w:val="pt-BR" w:eastAsia="en-US"/>
        </w:rPr>
      </w:pPr>
    </w:p>
    <w:p w:rsidR="00E26366" w:rsidRPr="00E26366" w:rsidRDefault="001E2D8C" w:rsidP="00E26366">
      <w:pPr>
        <w:jc w:val="both"/>
        <w:rPr>
          <w:rFonts w:ascii="Cambria" w:eastAsia="Times New Roman" w:hAnsi="Cambria"/>
          <w:b/>
          <w:color w:val="000000"/>
          <w:sz w:val="22"/>
          <w:szCs w:val="22"/>
          <w:lang w:val="sq-AL" w:eastAsia="en-US"/>
        </w:rPr>
      </w:pPr>
      <w:r>
        <w:rPr>
          <w:rFonts w:ascii="Cambria" w:eastAsia="Calibri" w:hAnsi="Cambria"/>
          <w:b/>
          <w:color w:val="000000"/>
          <w:sz w:val="22"/>
          <w:szCs w:val="22"/>
          <w:lang w:val="sq-AL" w:eastAsia="en-US"/>
        </w:rPr>
        <w:t>L</w:t>
      </w:r>
      <w:r w:rsidRPr="00E26366">
        <w:rPr>
          <w:rFonts w:ascii="Cambria" w:eastAsia="Calibri" w:hAnsi="Cambria"/>
          <w:b/>
          <w:color w:val="000000"/>
          <w:sz w:val="22"/>
          <w:szCs w:val="22"/>
          <w:lang w:val="sq-AL" w:eastAsia="en-US"/>
        </w:rPr>
        <w:t xml:space="preserve">ehtësimi i zbatimit të procedurave në fushën e kontabilitetit nëpërmjet përmirësimit të bazës </w:t>
      </w:r>
      <w:r>
        <w:rPr>
          <w:rFonts w:ascii="Cambria" w:eastAsia="Calibri" w:hAnsi="Cambria"/>
          <w:b/>
          <w:color w:val="000000"/>
          <w:sz w:val="22"/>
          <w:szCs w:val="22"/>
          <w:lang w:val="sq-AL" w:eastAsia="en-US"/>
        </w:rPr>
        <w:t xml:space="preserve"> </w:t>
      </w:r>
      <w:r w:rsidRPr="00E26366">
        <w:rPr>
          <w:rFonts w:ascii="Cambria" w:eastAsia="Calibri" w:hAnsi="Cambria"/>
          <w:b/>
          <w:color w:val="000000"/>
          <w:sz w:val="22"/>
          <w:szCs w:val="22"/>
          <w:lang w:val="sq-AL" w:eastAsia="en-US"/>
        </w:rPr>
        <w:t>ligjore</w:t>
      </w:r>
    </w:p>
    <w:p w:rsidR="00E26366" w:rsidRPr="00E26366" w:rsidRDefault="00E26366" w:rsidP="00E26366">
      <w:pPr>
        <w:jc w:val="both"/>
        <w:rPr>
          <w:rFonts w:ascii="Calibri" w:eastAsia="Calibri" w:hAnsi="Calibri"/>
          <w:sz w:val="22"/>
          <w:szCs w:val="22"/>
          <w:lang w:eastAsia="en-US"/>
        </w:rPr>
      </w:pPr>
    </w:p>
    <w:p w:rsidR="00E26366" w:rsidRPr="00E26366" w:rsidRDefault="00E26366" w:rsidP="002B06EF">
      <w:pPr>
        <w:spacing w:after="160" w:line="259" w:lineRule="auto"/>
        <w:contextualSpacing/>
        <w:jc w:val="both"/>
        <w:rPr>
          <w:rFonts w:ascii="Cambria" w:hAnsi="Cambria"/>
          <w:sz w:val="22"/>
          <w:szCs w:val="22"/>
          <w:lang w:val="sq-AL" w:eastAsia="en-US" w:bidi="en-US"/>
        </w:rPr>
      </w:pPr>
      <w:r w:rsidRPr="00E26366">
        <w:rPr>
          <w:rFonts w:ascii="Cambria" w:hAnsi="Cambria"/>
          <w:sz w:val="22"/>
          <w:szCs w:val="22"/>
          <w:lang w:val="sq-AL" w:eastAsia="en-US" w:bidi="en-US"/>
        </w:rPr>
        <w:t>Në kuadër të procesit të zhvillimit të fushës së raportimit financiar dhe kontabilitetit të sektorit publik dhe privat në vendin tonë si dhe në mbështetje të angazhimeve strategjike të vendit për anëtarësim në Bashkimin Evropian, Ministria e Financave dhe Ekonomisë, me anë të Drejtorisë së Harmonizimit për Menaxhimin Financiar, Kontrollin dhe Kontabilitetin, ka përmirësuar bazën rregullatore të fushës së mësipërme, nëpërmjet nxjerrjes së Udhëzimi</w:t>
      </w:r>
      <w:r w:rsidR="002B06EF">
        <w:rPr>
          <w:rFonts w:ascii="Cambria" w:hAnsi="Cambria"/>
          <w:sz w:val="22"/>
          <w:szCs w:val="22"/>
          <w:lang w:val="sq-AL" w:eastAsia="en-US" w:bidi="en-US"/>
        </w:rPr>
        <w:t>t</w:t>
      </w:r>
      <w:r w:rsidRPr="00E26366">
        <w:rPr>
          <w:rFonts w:ascii="Cambria" w:hAnsi="Cambria"/>
          <w:sz w:val="22"/>
          <w:szCs w:val="22"/>
          <w:lang w:val="sq-AL" w:eastAsia="en-US" w:bidi="en-US"/>
        </w:rPr>
        <w:t xml:space="preserve"> nr. 8, datë 09.03.2018 "Për procedurat e përgatitjes, paraqitjes dhe raportimit të pasqyrave financiare vjetore në njësitë e qeverisjes së përgjithshme", i cili shërben si një bazë rregullatore tranzitore për kontabilitetin në sektorin publik, deri në implementimin e plotë të Standardeve Ndërkombëtare të Kontabilitetit të Sektorit Publik (IPSAS). </w:t>
      </w:r>
    </w:p>
    <w:p w:rsidR="00E26366" w:rsidRPr="00E26366" w:rsidRDefault="00E26366" w:rsidP="00E26366">
      <w:pPr>
        <w:jc w:val="both"/>
        <w:rPr>
          <w:rFonts w:ascii="Cambria" w:hAnsi="Cambria"/>
          <w:sz w:val="22"/>
          <w:szCs w:val="22"/>
          <w:lang w:val="sq-AL" w:eastAsia="en-US" w:bidi="en-US"/>
        </w:rPr>
      </w:pPr>
      <w:r w:rsidRPr="00E26366">
        <w:rPr>
          <w:rFonts w:ascii="Cambria" w:hAnsi="Cambria"/>
          <w:sz w:val="22"/>
          <w:szCs w:val="22"/>
          <w:lang w:val="sq-AL" w:eastAsia="en-US" w:bidi="en-US"/>
        </w:rPr>
        <w:t>Gjithashtu, në fund të vitit 2018, ka nisur puna për realizimin e aktiviteteve në kuadër të projektit “Për zhvillimin e Kontabilitetit në Sektorin Publik”, i cili synon të arrijë këto dy objektiva kryesore:</w:t>
      </w:r>
    </w:p>
    <w:p w:rsidR="00E26366" w:rsidRPr="00E26366" w:rsidRDefault="00E26366" w:rsidP="00F9432E">
      <w:pPr>
        <w:numPr>
          <w:ilvl w:val="0"/>
          <w:numId w:val="7"/>
        </w:numPr>
        <w:spacing w:after="160" w:line="259" w:lineRule="auto"/>
        <w:contextualSpacing/>
        <w:jc w:val="both"/>
        <w:rPr>
          <w:rFonts w:ascii="Cambria" w:hAnsi="Cambria"/>
          <w:sz w:val="22"/>
          <w:szCs w:val="22"/>
          <w:lang w:val="sq-AL" w:eastAsia="en-US" w:bidi="en-US"/>
        </w:rPr>
      </w:pPr>
      <w:r w:rsidRPr="00E26366">
        <w:rPr>
          <w:rFonts w:ascii="Cambria" w:hAnsi="Cambria"/>
          <w:sz w:val="22"/>
          <w:szCs w:val="22"/>
          <w:lang w:val="sq-AL" w:eastAsia="en-US" w:bidi="en-US"/>
        </w:rPr>
        <w:t>Zhvillimin e kontabilitetit dhe raportimit financiar të sektorit publik në përputhje me Standardet Ndërkombëtare të Kontabilitetit të Sektorit Publik (IPSAS); si dhe</w:t>
      </w:r>
    </w:p>
    <w:p w:rsidR="00E26366" w:rsidRPr="00E26366" w:rsidRDefault="00E26366" w:rsidP="00F9432E">
      <w:pPr>
        <w:numPr>
          <w:ilvl w:val="0"/>
          <w:numId w:val="7"/>
        </w:numPr>
        <w:spacing w:after="160" w:line="259" w:lineRule="auto"/>
        <w:contextualSpacing/>
        <w:jc w:val="both"/>
        <w:rPr>
          <w:rFonts w:ascii="Cambria" w:hAnsi="Cambria"/>
          <w:sz w:val="22"/>
          <w:szCs w:val="22"/>
          <w:lang w:val="sq-AL" w:eastAsia="en-US" w:bidi="en-US"/>
        </w:rPr>
      </w:pPr>
      <w:r w:rsidRPr="00E26366">
        <w:rPr>
          <w:rFonts w:ascii="Cambria" w:hAnsi="Cambria"/>
          <w:sz w:val="22"/>
          <w:szCs w:val="22"/>
          <w:lang w:val="sq-AL" w:eastAsia="en-US" w:bidi="en-US"/>
        </w:rPr>
        <w:t>Zhvillimin e kapaciteteve dhe aftësive profesionale në fushën e kontabilitetit për Ministrinë e Financave dhe Ekonomisë dhe për financierët e sektorit publik.</w:t>
      </w:r>
    </w:p>
    <w:p w:rsidR="00930240" w:rsidRDefault="00E26366" w:rsidP="002B06EF">
      <w:pPr>
        <w:jc w:val="both"/>
        <w:rPr>
          <w:rFonts w:ascii="Cambria" w:hAnsi="Cambria"/>
          <w:sz w:val="22"/>
          <w:szCs w:val="22"/>
          <w:lang w:val="sq-AL" w:eastAsia="en-US" w:bidi="en-US"/>
        </w:rPr>
      </w:pPr>
      <w:r w:rsidRPr="00E26366">
        <w:rPr>
          <w:rFonts w:ascii="Cambria" w:hAnsi="Cambria"/>
          <w:sz w:val="22"/>
          <w:szCs w:val="22"/>
          <w:lang w:val="sq-AL" w:eastAsia="en-US" w:bidi="en-US"/>
        </w:rPr>
        <w:t xml:space="preserve">Mbi sa më sipër, në kuadër të implementimit me sukses të reformës së kontabilitetit në sektorin publik, vlerësojmë se </w:t>
      </w:r>
      <w:r w:rsidR="002B06EF" w:rsidRPr="00E26366">
        <w:rPr>
          <w:rFonts w:ascii="Cambria" w:hAnsi="Cambria"/>
          <w:sz w:val="22"/>
          <w:szCs w:val="22"/>
          <w:lang w:val="sq-AL" w:eastAsia="en-US" w:bidi="en-US"/>
        </w:rPr>
        <w:t xml:space="preserve">MFE </w:t>
      </w:r>
      <w:r w:rsidR="002B06EF">
        <w:rPr>
          <w:rFonts w:ascii="Cambria" w:hAnsi="Cambria"/>
          <w:sz w:val="22"/>
          <w:szCs w:val="22"/>
          <w:lang w:val="sq-AL" w:eastAsia="en-US" w:bidi="en-US"/>
        </w:rPr>
        <w:t>do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w:t>
      </w:r>
      <w:r w:rsidRPr="00E26366">
        <w:rPr>
          <w:rFonts w:ascii="Cambria" w:hAnsi="Cambria"/>
          <w:sz w:val="22"/>
          <w:szCs w:val="22"/>
          <w:lang w:val="sq-AL" w:eastAsia="en-US" w:bidi="en-US"/>
        </w:rPr>
        <w:t xml:space="preserve">ndërmarrë </w:t>
      </w:r>
      <w:r w:rsidR="002B06EF">
        <w:rPr>
          <w:rFonts w:ascii="Cambria" w:hAnsi="Cambria"/>
          <w:sz w:val="22"/>
          <w:szCs w:val="22"/>
          <w:lang w:val="sq-AL" w:eastAsia="en-US" w:bidi="en-US"/>
        </w:rPr>
        <w:t>nj</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s</w:t>
      </w:r>
      <w:r w:rsidR="00B0482B">
        <w:rPr>
          <w:rFonts w:ascii="Cambria" w:hAnsi="Cambria"/>
          <w:sz w:val="22"/>
          <w:szCs w:val="22"/>
          <w:lang w:val="sq-AL" w:eastAsia="en-US" w:bidi="en-US"/>
        </w:rPr>
        <w:t>ë</w:t>
      </w:r>
      <w:r w:rsidR="002B06EF">
        <w:rPr>
          <w:rFonts w:ascii="Cambria" w:hAnsi="Cambria"/>
          <w:sz w:val="22"/>
          <w:szCs w:val="22"/>
          <w:lang w:val="sq-AL" w:eastAsia="en-US" w:bidi="en-US"/>
        </w:rPr>
        <w:t>r</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hapash n</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d</w:t>
      </w:r>
      <w:r w:rsidR="00B0482B">
        <w:rPr>
          <w:rFonts w:ascii="Cambria" w:hAnsi="Cambria"/>
          <w:sz w:val="22"/>
          <w:szCs w:val="22"/>
          <w:lang w:val="sq-AL" w:eastAsia="en-US" w:bidi="en-US"/>
        </w:rPr>
        <w:t>re</w:t>
      </w:r>
      <w:r w:rsidR="002B06EF">
        <w:rPr>
          <w:rFonts w:ascii="Cambria" w:hAnsi="Cambria"/>
          <w:sz w:val="22"/>
          <w:szCs w:val="22"/>
          <w:lang w:val="sq-AL" w:eastAsia="en-US" w:bidi="en-US"/>
        </w:rPr>
        <w:t>jtim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p</w:t>
      </w:r>
      <w:r w:rsidR="00B0482B">
        <w:rPr>
          <w:rFonts w:ascii="Cambria" w:hAnsi="Cambria"/>
          <w:sz w:val="22"/>
          <w:szCs w:val="22"/>
          <w:lang w:val="sq-AL" w:eastAsia="en-US" w:bidi="en-US"/>
        </w:rPr>
        <w:t>ë</w:t>
      </w:r>
      <w:r w:rsidR="002B06EF">
        <w:rPr>
          <w:rFonts w:ascii="Cambria" w:hAnsi="Cambria"/>
          <w:sz w:val="22"/>
          <w:szCs w:val="22"/>
          <w:lang w:val="sq-AL" w:eastAsia="en-US" w:bidi="en-US"/>
        </w:rPr>
        <w:t>rm</w:t>
      </w:r>
      <w:r w:rsidR="00B0482B">
        <w:rPr>
          <w:rFonts w:ascii="Cambria" w:hAnsi="Cambria"/>
          <w:sz w:val="22"/>
          <w:szCs w:val="22"/>
          <w:lang w:val="sq-AL" w:eastAsia="en-US" w:bidi="en-US"/>
        </w:rPr>
        <w:t>irë</w:t>
      </w:r>
      <w:r w:rsidR="002B06EF">
        <w:rPr>
          <w:rFonts w:ascii="Cambria" w:hAnsi="Cambria"/>
          <w:sz w:val="22"/>
          <w:szCs w:val="22"/>
          <w:lang w:val="sq-AL" w:eastAsia="en-US" w:bidi="en-US"/>
        </w:rPr>
        <w:t>simit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baz</w:t>
      </w:r>
      <w:r w:rsidR="00B0482B">
        <w:rPr>
          <w:rFonts w:ascii="Cambria" w:hAnsi="Cambria"/>
          <w:sz w:val="22"/>
          <w:szCs w:val="22"/>
          <w:lang w:val="sq-AL" w:eastAsia="en-US" w:bidi="en-US"/>
        </w:rPr>
        <w:t>ë</w:t>
      </w:r>
      <w:r w:rsidR="002B06EF">
        <w:rPr>
          <w:rFonts w:ascii="Cambria" w:hAnsi="Cambria"/>
          <w:sz w:val="22"/>
          <w:szCs w:val="22"/>
          <w:lang w:val="sq-AL" w:eastAsia="en-US" w:bidi="en-US"/>
        </w:rPr>
        <w:t>s rregullatore, p</w:t>
      </w:r>
      <w:r w:rsidR="00B0482B">
        <w:rPr>
          <w:rFonts w:ascii="Cambria" w:hAnsi="Cambria"/>
          <w:sz w:val="22"/>
          <w:szCs w:val="22"/>
          <w:lang w:val="sq-AL" w:eastAsia="en-US" w:bidi="en-US"/>
        </w:rPr>
        <w:t>ë</w:t>
      </w:r>
      <w:r w:rsidR="002B06EF">
        <w:rPr>
          <w:rFonts w:ascii="Cambria" w:hAnsi="Cambria"/>
          <w:sz w:val="22"/>
          <w:szCs w:val="22"/>
          <w:lang w:val="sq-AL" w:eastAsia="en-US" w:bidi="en-US"/>
        </w:rPr>
        <w:t>rgatitjes 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nj</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plani </w:t>
      </w:r>
      <w:r w:rsidR="00B0482B">
        <w:rPr>
          <w:rFonts w:ascii="Cambria" w:hAnsi="Cambria"/>
          <w:sz w:val="22"/>
          <w:szCs w:val="22"/>
          <w:lang w:val="sq-AL" w:eastAsia="en-US" w:bidi="en-US"/>
        </w:rPr>
        <w:t xml:space="preserve">kontabël </w:t>
      </w:r>
      <w:r w:rsidR="00D90B70">
        <w:rPr>
          <w:rFonts w:ascii="Cambria" w:hAnsi="Cambria"/>
          <w:sz w:val="22"/>
          <w:szCs w:val="22"/>
          <w:lang w:val="sq-AL" w:eastAsia="en-US" w:bidi="en-US"/>
        </w:rPr>
        <w:t xml:space="preserve">të </w:t>
      </w:r>
      <w:r w:rsidR="00555A2A">
        <w:rPr>
          <w:rFonts w:ascii="Cambria" w:hAnsi="Cambria"/>
          <w:sz w:val="22"/>
          <w:szCs w:val="22"/>
          <w:lang w:val="sq-AL" w:eastAsia="en-US" w:bidi="en-US"/>
        </w:rPr>
        <w:t>uni</w:t>
      </w:r>
      <w:r w:rsidR="00D90B70">
        <w:rPr>
          <w:rFonts w:ascii="Cambria" w:hAnsi="Cambria"/>
          <w:sz w:val="22"/>
          <w:szCs w:val="22"/>
          <w:lang w:val="sq-AL" w:eastAsia="en-US" w:bidi="en-US"/>
        </w:rPr>
        <w:t>fi</w:t>
      </w:r>
      <w:r w:rsidR="002B06EF">
        <w:rPr>
          <w:rFonts w:ascii="Cambria" w:hAnsi="Cambria"/>
          <w:sz w:val="22"/>
          <w:szCs w:val="22"/>
          <w:lang w:val="sq-AL" w:eastAsia="en-US" w:bidi="en-US"/>
        </w:rPr>
        <w:t>k</w:t>
      </w:r>
      <w:r w:rsidR="00D90B70">
        <w:rPr>
          <w:rFonts w:ascii="Cambria" w:hAnsi="Cambria"/>
          <w:sz w:val="22"/>
          <w:szCs w:val="22"/>
          <w:lang w:val="sq-AL" w:eastAsia="en-US" w:bidi="en-US"/>
        </w:rPr>
        <w:t>uar</w:t>
      </w:r>
      <w:r w:rsidR="002B06EF">
        <w:rPr>
          <w:rFonts w:ascii="Cambria" w:hAnsi="Cambria"/>
          <w:sz w:val="22"/>
          <w:szCs w:val="22"/>
          <w:lang w:val="sq-AL" w:eastAsia="en-US" w:bidi="en-US"/>
        </w:rPr>
        <w:t xml:space="preserve"> dhe gjith</w:t>
      </w:r>
      <w:r w:rsidR="00B0482B">
        <w:rPr>
          <w:rFonts w:ascii="Cambria" w:hAnsi="Cambria"/>
          <w:sz w:val="22"/>
          <w:szCs w:val="22"/>
          <w:lang w:val="sq-AL" w:eastAsia="en-US" w:bidi="en-US"/>
        </w:rPr>
        <w:t>ë</w:t>
      </w:r>
      <w:r w:rsidR="002B06EF">
        <w:rPr>
          <w:rFonts w:ascii="Cambria" w:hAnsi="Cambria"/>
          <w:sz w:val="22"/>
          <w:szCs w:val="22"/>
          <w:lang w:val="sq-AL" w:eastAsia="en-US" w:bidi="en-US"/>
        </w:rPr>
        <w:t>p</w:t>
      </w:r>
      <w:r w:rsidR="00B0482B">
        <w:rPr>
          <w:rFonts w:ascii="Cambria" w:hAnsi="Cambria"/>
          <w:sz w:val="22"/>
          <w:szCs w:val="22"/>
          <w:lang w:val="sq-AL" w:eastAsia="en-US" w:bidi="en-US"/>
        </w:rPr>
        <w:t>ë</w:t>
      </w:r>
      <w:r w:rsidR="002B06EF">
        <w:rPr>
          <w:rFonts w:ascii="Cambria" w:hAnsi="Cambria"/>
          <w:sz w:val="22"/>
          <w:szCs w:val="22"/>
          <w:lang w:val="sq-AL" w:eastAsia="en-US" w:bidi="en-US"/>
        </w:rPr>
        <w:t>rfshir</w:t>
      </w:r>
      <w:r w:rsidR="00B0482B">
        <w:rPr>
          <w:rFonts w:ascii="Cambria" w:hAnsi="Cambria"/>
          <w:sz w:val="22"/>
          <w:szCs w:val="22"/>
          <w:lang w:val="sq-AL" w:eastAsia="en-US" w:bidi="en-US"/>
        </w:rPr>
        <w:t>ë</w:t>
      </w:r>
      <w:r w:rsidR="002B06EF">
        <w:rPr>
          <w:rFonts w:ascii="Cambria" w:hAnsi="Cambria"/>
          <w:sz w:val="22"/>
          <w:szCs w:val="22"/>
          <w:lang w:val="sq-AL" w:eastAsia="en-US" w:bidi="en-US"/>
        </w:rPr>
        <w:t>s si dhe ngritjes 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nj</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sistemi efektiv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teknologjis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informacionit (IT). </w:t>
      </w:r>
    </w:p>
    <w:p w:rsidR="00B0482B" w:rsidRDefault="00B0482B" w:rsidP="002B06EF">
      <w:pPr>
        <w:jc w:val="both"/>
        <w:rPr>
          <w:rFonts w:ascii="Cambria" w:hAnsi="Cambria"/>
          <w:sz w:val="22"/>
          <w:szCs w:val="22"/>
          <w:lang w:val="sq-AL" w:eastAsia="en-US" w:bidi="en-US"/>
        </w:rPr>
      </w:pPr>
    </w:p>
    <w:p w:rsidR="00930240" w:rsidRDefault="00930240" w:rsidP="00930240">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Në përfundim, mund të themi se, DH/MFK</w:t>
      </w:r>
      <w:r>
        <w:rPr>
          <w:rFonts w:ascii="Cambria" w:eastAsia="Times New Roman" w:hAnsi="Cambria"/>
          <w:bCs/>
          <w:sz w:val="22"/>
          <w:szCs w:val="22"/>
          <w:lang w:val="pt-BR" w:eastAsia="en-US"/>
        </w:rPr>
        <w:t>K</w:t>
      </w:r>
      <w:r w:rsidRPr="00E26366">
        <w:rPr>
          <w:rFonts w:ascii="Cambria" w:eastAsia="Times New Roman" w:hAnsi="Cambria"/>
          <w:bCs/>
          <w:sz w:val="22"/>
          <w:szCs w:val="22"/>
          <w:lang w:val="pt-BR" w:eastAsia="en-US"/>
        </w:rPr>
        <w:t xml:space="preserve"> ka kryer një sërë aktivitetesh me synimin kryesor mbështetjen e njësive publike për garantimin e një sistemi të financave publike që nxit transparencën, përgjegjshmërinë, disiplinën fiskale dhe efikasitetin në menaxhimin dhe përdorimin e burimeve publike për ofrimin e shërbimeve të përmirësuara dhe zhvillimin ekonomik. </w:t>
      </w:r>
    </w:p>
    <w:p w:rsidR="00DC7BB6" w:rsidRDefault="00930240" w:rsidP="00DC7BB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Impakti i aktiviteteve të ndërmarra ka sjellë një evoluim të sistemit të MFK-së në disa institucione publike, të cilat kanë arritur të implementojnë pjesën më të madhe të instrumenteve (</w:t>
      </w:r>
      <w:r w:rsidRPr="00E26366">
        <w:rPr>
          <w:rFonts w:ascii="Cambria" w:eastAsia="Times New Roman" w:hAnsi="Cambria"/>
          <w:bCs/>
          <w:i/>
          <w:sz w:val="22"/>
          <w:szCs w:val="22"/>
          <w:lang w:val="pt-BR" w:eastAsia="en-US"/>
        </w:rPr>
        <w:t>planifikimin e objektivave duke mbajtur në konsideratë risqet e mundshme, hartimin e manualeve të proceseve të punës, regjistrin e risqeve të shoqëruar me planin e veprimit për shmangien e tyre</w:t>
      </w:r>
      <w:r w:rsidRPr="00E26366">
        <w:rPr>
          <w:rFonts w:ascii="Cambria" w:eastAsia="Times New Roman" w:hAnsi="Cambria"/>
          <w:bCs/>
          <w:sz w:val="22"/>
          <w:szCs w:val="22"/>
          <w:lang w:val="pt-BR" w:eastAsia="en-US"/>
        </w:rPr>
        <w:t>). Sistemet efektive të MFK-së kanë rezultuar në një performancë më të mirë të këtyre institucioneve të karakterizuar nga operacione të përmirësuara të sistemit të thesarit dhe forcimin e mekanizmave për garantimin e përgjegjshmërisë menaxheriale.</w:t>
      </w:r>
      <w:r w:rsidR="00B0482B">
        <w:rPr>
          <w:rFonts w:ascii="Cambria" w:eastAsia="Times New Roman" w:hAnsi="Cambria"/>
          <w:bCs/>
          <w:sz w:val="22"/>
          <w:szCs w:val="22"/>
          <w:lang w:val="pt-BR" w:eastAsia="en-US"/>
        </w:rPr>
        <w:t xml:space="preserve"> </w:t>
      </w:r>
      <w:r w:rsidRPr="00E26366">
        <w:rPr>
          <w:rFonts w:ascii="Cambria" w:eastAsia="Times New Roman" w:hAnsi="Cambria"/>
          <w:bCs/>
          <w:sz w:val="22"/>
          <w:szCs w:val="22"/>
          <w:lang w:val="pt-BR" w:eastAsia="en-US"/>
        </w:rPr>
        <w:t xml:space="preserve">Gjithashtu, plotësimi dhe përmirësimi i bazës rregullatore në fushën e kontrollit të brendshëm dhe kontabilitetit ka rezultuar në procedura të përmirësuara për menaxhimin e fondeve publike si dhe përmirësimin e transparencës </w:t>
      </w:r>
      <w:r>
        <w:rPr>
          <w:rFonts w:ascii="Cambria" w:eastAsia="Times New Roman" w:hAnsi="Cambria"/>
          <w:bCs/>
          <w:sz w:val="22"/>
          <w:szCs w:val="22"/>
          <w:lang w:val="pt-BR" w:eastAsia="en-US"/>
        </w:rPr>
        <w:t xml:space="preserve">dhe llogaridhënies </w:t>
      </w:r>
      <w:r w:rsidRPr="00E26366">
        <w:rPr>
          <w:rFonts w:ascii="Cambria" w:eastAsia="Times New Roman" w:hAnsi="Cambria"/>
          <w:bCs/>
          <w:sz w:val="22"/>
          <w:szCs w:val="22"/>
          <w:lang w:val="pt-BR" w:eastAsia="en-US"/>
        </w:rPr>
        <w:t>në lidhje me parandalimin e krijimit të detyrimeve të prapambetura për njësitë publike.</w:t>
      </w:r>
    </w:p>
    <w:p w:rsidR="00A85F66" w:rsidRPr="00827575" w:rsidRDefault="00334850" w:rsidP="00DC7BB6">
      <w:pPr>
        <w:pStyle w:val="Heading2"/>
        <w:rPr>
          <w:lang w:val="en-GB" w:eastAsia="en-US"/>
        </w:rPr>
      </w:pPr>
      <w:bookmarkStart w:id="70" w:name="_Toc9082377"/>
      <w:r>
        <w:rPr>
          <w:lang w:val="en-GB" w:eastAsia="en-US"/>
        </w:rPr>
        <w:t>5</w:t>
      </w:r>
      <w:r w:rsidR="00DC7BB6">
        <w:rPr>
          <w:lang w:val="en-GB" w:eastAsia="en-US"/>
        </w:rPr>
        <w:t>.2 Mbështetja e MFE-së</w:t>
      </w:r>
      <w:r w:rsidR="00DC7BB6" w:rsidRPr="00827575">
        <w:rPr>
          <w:lang w:val="en-GB" w:eastAsia="en-US"/>
        </w:rPr>
        <w:t xml:space="preserve"> për zhvillimin e auditimit të brendshëm</w:t>
      </w:r>
      <w:bookmarkEnd w:id="70"/>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bCs/>
          <w:sz w:val="22"/>
          <w:szCs w:val="22"/>
          <w:lang w:val="en-GB" w:eastAsia="en-US"/>
        </w:rPr>
      </w:pPr>
      <w:r w:rsidRPr="00827575">
        <w:rPr>
          <w:rFonts w:ascii="Cambria" w:eastAsia="Calibri" w:hAnsi="Cambria"/>
          <w:bCs/>
          <w:sz w:val="22"/>
          <w:szCs w:val="22"/>
          <w:lang w:val="en-GB" w:eastAsia="en-US"/>
        </w:rPr>
        <w:t>Gjatë vitit 2018</w:t>
      </w:r>
      <w:r w:rsidR="00AA6D5B">
        <w:rPr>
          <w:rFonts w:ascii="Cambria" w:eastAsia="Calibri" w:hAnsi="Cambria"/>
          <w:bCs/>
          <w:sz w:val="22"/>
          <w:szCs w:val="22"/>
          <w:lang w:val="en-GB" w:eastAsia="en-US"/>
        </w:rPr>
        <w:t>,</w:t>
      </w:r>
      <w:r w:rsidRPr="00827575">
        <w:rPr>
          <w:rFonts w:ascii="Cambria" w:eastAsia="Calibri" w:hAnsi="Cambria"/>
          <w:bCs/>
          <w:sz w:val="22"/>
          <w:szCs w:val="22"/>
          <w:lang w:val="en-GB" w:eastAsia="en-US"/>
        </w:rPr>
        <w:t xml:space="preserve"> DH/AB ka patur si objektiva kryesorë: </w:t>
      </w:r>
    </w:p>
    <w:p w:rsidR="00A85F66" w:rsidRPr="00827575" w:rsidRDefault="00A85F66" w:rsidP="00A85F66">
      <w:pPr>
        <w:jc w:val="both"/>
        <w:rPr>
          <w:rFonts w:ascii="Cambria" w:eastAsia="Calibri" w:hAnsi="Cambria"/>
          <w:bCs/>
          <w:sz w:val="12"/>
          <w:szCs w:val="12"/>
          <w:lang w:val="en-GB" w:eastAsia="en-US"/>
        </w:rPr>
      </w:pPr>
    </w:p>
    <w:p w:rsidR="00A85F66" w:rsidRPr="00827575" w:rsidRDefault="00A85F66" w:rsidP="00FB752D">
      <w:pPr>
        <w:numPr>
          <w:ilvl w:val="0"/>
          <w:numId w:val="49"/>
        </w:numPr>
        <w:spacing w:line="276" w:lineRule="auto"/>
        <w:jc w:val="both"/>
        <w:rPr>
          <w:rFonts w:ascii="Cambria" w:eastAsia="Calibri" w:hAnsi="Cambria"/>
          <w:bCs/>
          <w:sz w:val="22"/>
          <w:szCs w:val="22"/>
          <w:lang w:val="pt-BR" w:eastAsia="en-US"/>
        </w:rPr>
      </w:pPr>
      <w:r w:rsidRPr="00827575">
        <w:rPr>
          <w:rFonts w:ascii="Cambria" w:eastAsia="Calibri" w:hAnsi="Cambria"/>
          <w:sz w:val="22"/>
          <w:szCs w:val="22"/>
          <w:lang w:val="sq-AL" w:eastAsia="en-US"/>
        </w:rPr>
        <w:t>Zbatimin e metodologjisë së vlerësimit të jashtëm të cilësisë së veprimtarisë audituese;</w:t>
      </w:r>
    </w:p>
    <w:p w:rsidR="00A85F66" w:rsidRPr="00827575" w:rsidRDefault="00A85F66" w:rsidP="00FB752D">
      <w:pPr>
        <w:numPr>
          <w:ilvl w:val="0"/>
          <w:numId w:val="49"/>
        </w:numPr>
        <w:spacing w:line="276" w:lineRule="auto"/>
        <w:jc w:val="both"/>
        <w:rPr>
          <w:rFonts w:ascii="Cambria" w:eastAsia="Calibri" w:hAnsi="Cambria"/>
          <w:bCs/>
          <w:sz w:val="22"/>
          <w:szCs w:val="22"/>
          <w:lang w:val="pt-BR" w:eastAsia="en-US"/>
        </w:rPr>
      </w:pPr>
      <w:r w:rsidRPr="00827575">
        <w:rPr>
          <w:rFonts w:ascii="Cambria" w:eastAsia="Calibri" w:hAnsi="Cambria"/>
          <w:sz w:val="22"/>
          <w:szCs w:val="22"/>
          <w:lang w:val="sq-AL" w:eastAsia="en-US"/>
        </w:rPr>
        <w:t>Mbështetjen për zhvillimin e auditimit të brendshëm në sektorin publik;</w:t>
      </w:r>
    </w:p>
    <w:p w:rsidR="00A85F66" w:rsidRPr="00827575" w:rsidRDefault="00A85F66" w:rsidP="00FB752D">
      <w:pPr>
        <w:numPr>
          <w:ilvl w:val="0"/>
          <w:numId w:val="49"/>
        </w:numPr>
        <w:spacing w:line="276" w:lineRule="auto"/>
        <w:jc w:val="both"/>
        <w:rPr>
          <w:rFonts w:ascii="Cambria" w:eastAsia="Calibri" w:hAnsi="Cambria"/>
          <w:b/>
          <w:bCs/>
          <w:sz w:val="22"/>
          <w:szCs w:val="22"/>
          <w:lang w:val="pt-BR" w:eastAsia="en-US"/>
        </w:rPr>
      </w:pPr>
      <w:r w:rsidRPr="00827575">
        <w:rPr>
          <w:rFonts w:ascii="Cambria" w:eastAsia="Calibri" w:hAnsi="Cambria"/>
          <w:bCs/>
          <w:sz w:val="22"/>
          <w:szCs w:val="22"/>
          <w:lang w:val="pt-BR" w:eastAsia="en-US"/>
        </w:rPr>
        <w:t>Zhvillimin e vazhdueshëm profesional të audituesve të brendshëm në detyrë;</w:t>
      </w:r>
    </w:p>
    <w:p w:rsidR="00A85F66" w:rsidRPr="00827575" w:rsidRDefault="00765614" w:rsidP="00FB752D">
      <w:pPr>
        <w:numPr>
          <w:ilvl w:val="0"/>
          <w:numId w:val="49"/>
        </w:numPr>
        <w:spacing w:line="276" w:lineRule="auto"/>
        <w:jc w:val="both"/>
        <w:rPr>
          <w:rFonts w:ascii="Cambria" w:eastAsia="Calibri" w:hAnsi="Cambria"/>
          <w:b/>
          <w:bCs/>
          <w:sz w:val="22"/>
          <w:szCs w:val="22"/>
          <w:lang w:val="pt-BR" w:eastAsia="en-US"/>
        </w:rPr>
      </w:pPr>
      <w:r>
        <w:rPr>
          <w:rFonts w:ascii="Cambria" w:eastAsia="Calibri" w:hAnsi="Cambria"/>
          <w:bCs/>
          <w:sz w:val="22"/>
          <w:szCs w:val="22"/>
          <w:lang w:val="pt-BR" w:eastAsia="en-US"/>
        </w:rPr>
        <w:t>C</w:t>
      </w:r>
      <w:r w:rsidR="00A85F66" w:rsidRPr="00827575">
        <w:rPr>
          <w:rFonts w:ascii="Cambria" w:eastAsia="Calibri" w:hAnsi="Cambria"/>
          <w:bCs/>
          <w:sz w:val="22"/>
          <w:szCs w:val="22"/>
          <w:lang w:val="pt-BR" w:eastAsia="en-US"/>
        </w:rPr>
        <w:t>ertifikimin e punonjësve të njësive të auditimit të brendshëm, bazuar në programin e miratuar.</w:t>
      </w:r>
    </w:p>
    <w:p w:rsidR="00A85F66" w:rsidRPr="00827575" w:rsidRDefault="00A85F66" w:rsidP="00A85F66">
      <w:pPr>
        <w:jc w:val="both"/>
        <w:rPr>
          <w:rFonts w:ascii="Cambria" w:eastAsia="Calibri" w:hAnsi="Cambria"/>
          <w:bCs/>
          <w:sz w:val="12"/>
          <w:szCs w:val="12"/>
          <w:lang w:val="pt-BR" w:eastAsia="en-US"/>
        </w:rPr>
      </w:pPr>
    </w:p>
    <w:p w:rsidR="00A85F66" w:rsidRPr="00827575" w:rsidRDefault="001E2D8C" w:rsidP="00A85F66">
      <w:pPr>
        <w:spacing w:after="200" w:line="276" w:lineRule="auto"/>
        <w:jc w:val="both"/>
        <w:rPr>
          <w:rFonts w:ascii="Cambria" w:eastAsia="Calibri" w:hAnsi="Cambria"/>
          <w:b/>
          <w:sz w:val="22"/>
          <w:szCs w:val="22"/>
          <w:lang w:eastAsia="en-US"/>
        </w:rPr>
      </w:pPr>
      <w:r>
        <w:rPr>
          <w:rFonts w:ascii="Cambria" w:eastAsia="Calibri" w:hAnsi="Cambria"/>
          <w:b/>
          <w:sz w:val="22"/>
          <w:szCs w:val="22"/>
          <w:lang w:eastAsia="en-US"/>
        </w:rPr>
        <w:t>V</w:t>
      </w:r>
      <w:r w:rsidRPr="00827575">
        <w:rPr>
          <w:rFonts w:ascii="Cambria" w:eastAsia="Calibri" w:hAnsi="Cambria"/>
          <w:b/>
          <w:sz w:val="22"/>
          <w:szCs w:val="22"/>
          <w:lang w:eastAsia="en-US"/>
        </w:rPr>
        <w:t xml:space="preserve">lerësimi i jashtëm i cilësisë së NJAB </w:t>
      </w:r>
    </w:p>
    <w:p w:rsidR="00E76CB7" w:rsidRPr="009D066B" w:rsidRDefault="00E76CB7" w:rsidP="00E76CB7">
      <w:pPr>
        <w:jc w:val="both"/>
        <w:rPr>
          <w:rFonts w:ascii="Cambria" w:eastAsia="Times New Roman" w:hAnsi="Cambria"/>
          <w:bCs/>
          <w:sz w:val="22"/>
          <w:szCs w:val="22"/>
          <w:lang w:val="pt-BR" w:eastAsia="en-US"/>
        </w:rPr>
      </w:pPr>
      <w:r w:rsidRPr="009D066B">
        <w:rPr>
          <w:rFonts w:ascii="Cambria" w:eastAsia="Times New Roman" w:hAnsi="Cambria"/>
          <w:bCs/>
          <w:sz w:val="22"/>
          <w:szCs w:val="22"/>
          <w:lang w:val="pt-BR" w:eastAsia="en-US"/>
        </w:rPr>
        <w:t xml:space="preserve">Bazuar në kuadrin ligjor për auditimin e brendshëm në sektorin publik dhe specifikisht në “Metodologjinë për vlerësimin e jashtëm të cilësisë së auditimit të brendshëm në sektorin publik”, miratuar me urdhër të Ministrit të Financave nr.22, datë 06.03.2017, DH/AB kryen monitorimin e veprimtarisë së njësive të auditimit të brendshëm që funksionojnë në njësitë publike. </w:t>
      </w:r>
    </w:p>
    <w:p w:rsidR="00E76CB7" w:rsidRPr="009D066B" w:rsidRDefault="00E76CB7" w:rsidP="00E76CB7">
      <w:pPr>
        <w:jc w:val="both"/>
        <w:rPr>
          <w:rFonts w:ascii="Cambria" w:eastAsia="Times New Roman" w:hAnsi="Cambria"/>
          <w:bCs/>
          <w:sz w:val="12"/>
          <w:szCs w:val="12"/>
          <w:lang w:val="pt-BR" w:eastAsia="en-US"/>
        </w:rPr>
      </w:pPr>
    </w:p>
    <w:p w:rsidR="00E76CB7" w:rsidRPr="009D066B" w:rsidRDefault="00E76CB7" w:rsidP="00E76CB7">
      <w:pPr>
        <w:jc w:val="both"/>
        <w:rPr>
          <w:rFonts w:ascii="Cambria" w:eastAsia="Times New Roman" w:hAnsi="Cambria"/>
          <w:bCs/>
          <w:sz w:val="22"/>
          <w:szCs w:val="22"/>
          <w:lang w:val="pt-BR" w:eastAsia="en-US"/>
        </w:rPr>
      </w:pPr>
      <w:r w:rsidRPr="009D066B">
        <w:rPr>
          <w:rFonts w:ascii="Cambria" w:eastAsia="Times New Roman" w:hAnsi="Cambria"/>
          <w:bCs/>
          <w:sz w:val="22"/>
          <w:szCs w:val="22"/>
          <w:lang w:val="pt-BR" w:eastAsia="en-US"/>
        </w:rPr>
        <w:t>Gjat</w:t>
      </w:r>
      <w:r>
        <w:rPr>
          <w:rFonts w:ascii="Cambria" w:eastAsia="Times New Roman" w:hAnsi="Cambria"/>
          <w:bCs/>
          <w:sz w:val="22"/>
          <w:szCs w:val="22"/>
          <w:lang w:val="pt-BR" w:eastAsia="en-US"/>
        </w:rPr>
        <w:t>ë</w:t>
      </w:r>
      <w:r w:rsidRPr="009D066B">
        <w:rPr>
          <w:rFonts w:ascii="Cambria" w:eastAsia="Times New Roman" w:hAnsi="Cambria"/>
          <w:bCs/>
          <w:sz w:val="22"/>
          <w:szCs w:val="22"/>
          <w:lang w:val="pt-BR" w:eastAsia="en-US"/>
        </w:rPr>
        <w:t xml:space="preserve"> vitit 2018, DH/AB ka vlerësuar veprimtarinë e dhjetë njësive të auditimit të brendshëm</w:t>
      </w:r>
      <w:r>
        <w:rPr>
          <w:rFonts w:ascii="Cambria" w:eastAsia="Times New Roman" w:hAnsi="Cambria"/>
          <w:bCs/>
          <w:sz w:val="22"/>
          <w:szCs w:val="22"/>
          <w:lang w:val="pt-BR" w:eastAsia="en-US"/>
        </w:rPr>
        <w:t xml:space="preserve"> (trajtuar më gjerësisht në Kapitullin IV të këtij raporti)</w:t>
      </w:r>
      <w:r w:rsidRPr="009D066B">
        <w:rPr>
          <w:rFonts w:ascii="Cambria" w:eastAsia="Times New Roman" w:hAnsi="Cambria"/>
          <w:bCs/>
          <w:sz w:val="22"/>
          <w:szCs w:val="22"/>
          <w:lang w:val="pt-BR" w:eastAsia="en-US"/>
        </w:rPr>
        <w:t>, lidhur me përputhjen e plotë, të pjesshme dhe mospërputhjen me standardet ndërkombëtare të auditimit të brendshëm, si dhe efektivitetin e rekomandimeve të adresuara nga këto struktura për subjektet e audituara.</w:t>
      </w:r>
    </w:p>
    <w:p w:rsidR="00E76CB7" w:rsidRPr="009D066B" w:rsidRDefault="00E76CB7" w:rsidP="00E76CB7">
      <w:pPr>
        <w:rPr>
          <w:rFonts w:ascii="Cambria" w:eastAsia="Calibri" w:hAnsi="Cambria"/>
          <w:sz w:val="12"/>
          <w:szCs w:val="12"/>
          <w:lang w:val="sq-AL" w:eastAsia="it-IT"/>
        </w:rPr>
      </w:pPr>
    </w:p>
    <w:p w:rsidR="00E76CB7" w:rsidRDefault="00E76CB7" w:rsidP="00E76CB7">
      <w:pPr>
        <w:jc w:val="both"/>
        <w:rPr>
          <w:rFonts w:ascii="Cambria" w:eastAsia="Calibri" w:hAnsi="Cambria"/>
          <w:sz w:val="22"/>
          <w:szCs w:val="22"/>
          <w:lang w:val="sq-AL" w:eastAsia="en-US"/>
        </w:rPr>
      </w:pPr>
      <w:r>
        <w:rPr>
          <w:rFonts w:ascii="Cambria" w:eastAsia="Calibri" w:hAnsi="Cambria"/>
          <w:sz w:val="22"/>
          <w:szCs w:val="22"/>
          <w:lang w:val="sq-AL" w:eastAsia="en-US"/>
        </w:rPr>
        <w:t xml:space="preserve">Rekomandimet e këtij </w:t>
      </w:r>
      <w:r w:rsidRPr="009D066B">
        <w:rPr>
          <w:rFonts w:ascii="Cambria" w:eastAsia="Calibri" w:hAnsi="Cambria"/>
          <w:sz w:val="22"/>
          <w:szCs w:val="22"/>
          <w:lang w:val="sq-AL" w:eastAsia="en-US"/>
        </w:rPr>
        <w:t>vlerësim</w:t>
      </w:r>
      <w:r>
        <w:rPr>
          <w:rFonts w:ascii="Cambria" w:eastAsia="Calibri" w:hAnsi="Cambria"/>
          <w:sz w:val="22"/>
          <w:szCs w:val="22"/>
          <w:lang w:val="sq-AL" w:eastAsia="en-US"/>
        </w:rPr>
        <w:t>i</w:t>
      </w:r>
      <w:r w:rsidRPr="009D066B">
        <w:rPr>
          <w:rFonts w:ascii="Cambria" w:eastAsia="Calibri" w:hAnsi="Cambria"/>
          <w:sz w:val="22"/>
          <w:szCs w:val="22"/>
          <w:lang w:val="sq-AL" w:eastAsia="en-US"/>
        </w:rPr>
        <w:t xml:space="preserve"> </w:t>
      </w:r>
      <w:r>
        <w:rPr>
          <w:rFonts w:ascii="Cambria" w:eastAsia="Calibri" w:hAnsi="Cambria"/>
          <w:sz w:val="22"/>
          <w:szCs w:val="22"/>
          <w:lang w:val="sq-AL" w:eastAsia="en-US"/>
        </w:rPr>
        <w:t xml:space="preserve">do </w:t>
      </w:r>
      <w:r w:rsidRPr="009D066B">
        <w:rPr>
          <w:rFonts w:ascii="Cambria" w:eastAsia="Calibri" w:hAnsi="Cambria"/>
          <w:sz w:val="22"/>
          <w:szCs w:val="22"/>
          <w:lang w:val="sq-AL" w:eastAsia="en-US"/>
        </w:rPr>
        <w:t>t</w:t>
      </w:r>
      <w:r>
        <w:rPr>
          <w:rFonts w:ascii="Cambria" w:eastAsia="Calibri" w:hAnsi="Cambria"/>
          <w:sz w:val="22"/>
          <w:szCs w:val="22"/>
          <w:lang w:val="sq-AL" w:eastAsia="en-US"/>
        </w:rPr>
        <w:t xml:space="preserve">ë </w:t>
      </w:r>
      <w:r w:rsidRPr="009D066B">
        <w:rPr>
          <w:rFonts w:ascii="Cambria" w:eastAsia="Calibri" w:hAnsi="Cambria"/>
          <w:sz w:val="22"/>
          <w:szCs w:val="22"/>
          <w:lang w:val="sq-AL" w:eastAsia="en-US"/>
        </w:rPr>
        <w:t>ndihm</w:t>
      </w:r>
      <w:r>
        <w:rPr>
          <w:rFonts w:ascii="Cambria" w:eastAsia="Calibri" w:hAnsi="Cambria"/>
          <w:sz w:val="22"/>
          <w:szCs w:val="22"/>
          <w:lang w:val="sq-AL" w:eastAsia="en-US"/>
        </w:rPr>
        <w:t xml:space="preserve">ojnë </w:t>
      </w:r>
      <w:r w:rsidRPr="009D066B">
        <w:rPr>
          <w:rFonts w:ascii="Cambria" w:eastAsia="Calibri" w:hAnsi="Cambria"/>
          <w:sz w:val="22"/>
          <w:szCs w:val="22"/>
          <w:lang w:val="sq-AL" w:eastAsia="en-US"/>
        </w:rPr>
        <w:t>njësi</w:t>
      </w:r>
      <w:r>
        <w:rPr>
          <w:rFonts w:ascii="Cambria" w:eastAsia="Calibri" w:hAnsi="Cambria"/>
          <w:sz w:val="22"/>
          <w:szCs w:val="22"/>
          <w:lang w:val="sq-AL" w:eastAsia="en-US"/>
        </w:rPr>
        <w:t>të e</w:t>
      </w:r>
      <w:r w:rsidRPr="009D066B">
        <w:rPr>
          <w:rFonts w:ascii="Cambria" w:eastAsia="Calibri" w:hAnsi="Cambria"/>
          <w:sz w:val="22"/>
          <w:szCs w:val="22"/>
          <w:lang w:val="sq-AL" w:eastAsia="en-US"/>
        </w:rPr>
        <w:t xml:space="preserve"> auditimit të brendshëm, për të kryer veprimtarinë e tyre në përputhje me kuadrin rregullator</w:t>
      </w:r>
      <w:r>
        <w:rPr>
          <w:rFonts w:ascii="Cambria" w:eastAsia="Calibri" w:hAnsi="Cambria"/>
          <w:sz w:val="22"/>
          <w:szCs w:val="22"/>
          <w:lang w:val="sq-AL" w:eastAsia="en-US"/>
        </w:rPr>
        <w:t xml:space="preserve"> dhe nga ana e DH?AB do të </w:t>
      </w:r>
      <w:r w:rsidRPr="009D066B">
        <w:rPr>
          <w:rFonts w:ascii="Cambria" w:eastAsia="Calibri" w:hAnsi="Cambria"/>
          <w:sz w:val="22"/>
          <w:szCs w:val="22"/>
          <w:lang w:val="sq-AL" w:eastAsia="en-US"/>
        </w:rPr>
        <w:t xml:space="preserve">vlerësohet nëse këshillat dhe rekomandimet e dhëna nga auditimi i brendshëm janë të vlefshme për menaxhimin e njësive publike. </w:t>
      </w:r>
      <w:r w:rsidRPr="00827575">
        <w:rPr>
          <w:rFonts w:ascii="Cambria" w:eastAsia="Calibri" w:hAnsi="Cambria"/>
          <w:sz w:val="22"/>
          <w:szCs w:val="22"/>
          <w:lang w:val="sq-AL" w:eastAsia="en-US"/>
        </w:rPr>
        <w:t xml:space="preserve"> </w:t>
      </w:r>
    </w:p>
    <w:p w:rsidR="00E76CB7" w:rsidRPr="00827575" w:rsidRDefault="00E76CB7" w:rsidP="00E76CB7">
      <w:pPr>
        <w:jc w:val="both"/>
        <w:rPr>
          <w:rFonts w:ascii="Cambria" w:eastAsia="Calibri" w:hAnsi="Cambria"/>
          <w:sz w:val="22"/>
          <w:szCs w:val="22"/>
          <w:lang w:val="sq-AL" w:eastAsia="en-US"/>
        </w:rPr>
      </w:pPr>
    </w:p>
    <w:p w:rsidR="00A85F66" w:rsidRPr="008A76B7" w:rsidRDefault="001E2D8C" w:rsidP="00A85F66">
      <w:pPr>
        <w:jc w:val="both"/>
        <w:rPr>
          <w:rFonts w:ascii="Cambria" w:eastAsia="Calibri" w:hAnsi="Cambria"/>
          <w:b/>
          <w:sz w:val="22"/>
          <w:szCs w:val="20"/>
          <w:lang w:val="sq-AL" w:eastAsia="en-US"/>
        </w:rPr>
      </w:pPr>
      <w:r>
        <w:rPr>
          <w:rFonts w:ascii="Cambria" w:eastAsia="Calibri" w:hAnsi="Cambria"/>
          <w:b/>
          <w:sz w:val="22"/>
          <w:szCs w:val="20"/>
          <w:lang w:val="sq-AL" w:eastAsia="en-US"/>
        </w:rPr>
        <w:t>A</w:t>
      </w:r>
      <w:r w:rsidRPr="008A76B7">
        <w:rPr>
          <w:rFonts w:ascii="Cambria" w:eastAsia="Calibri" w:hAnsi="Cambria"/>
          <w:b/>
          <w:sz w:val="22"/>
          <w:szCs w:val="20"/>
          <w:lang w:val="sq-AL" w:eastAsia="en-US"/>
        </w:rPr>
        <w:t>sistenca e MFE</w:t>
      </w:r>
      <w:r>
        <w:rPr>
          <w:rFonts w:ascii="Cambria" w:eastAsia="Calibri" w:hAnsi="Cambria"/>
          <w:b/>
          <w:sz w:val="22"/>
          <w:szCs w:val="20"/>
          <w:lang w:val="sq-AL" w:eastAsia="en-US"/>
        </w:rPr>
        <w:t>-së</w:t>
      </w:r>
      <w:r w:rsidRPr="008A76B7">
        <w:rPr>
          <w:rFonts w:ascii="Cambria" w:eastAsia="Calibri" w:hAnsi="Cambria"/>
          <w:b/>
          <w:sz w:val="22"/>
          <w:szCs w:val="20"/>
          <w:lang w:val="sq-AL" w:eastAsia="en-US"/>
        </w:rPr>
        <w:t xml:space="preserve"> për vlerësimin e</w:t>
      </w:r>
      <w:bookmarkStart w:id="71" w:name="_Toc451510103"/>
      <w:bookmarkStart w:id="72" w:name="_Toc451511595"/>
      <w:r w:rsidRPr="008A76B7">
        <w:rPr>
          <w:rFonts w:ascii="Cambria" w:eastAsia="Calibri" w:hAnsi="Cambria"/>
          <w:b/>
          <w:sz w:val="22"/>
          <w:szCs w:val="20"/>
          <w:lang w:val="sq-AL" w:eastAsia="en-US"/>
        </w:rPr>
        <w:t xml:space="preserve"> sistemit të detyrimeve të prapambetura në njësitë e qeverisjes së përgjithshme</w:t>
      </w:r>
    </w:p>
    <w:p w:rsidR="00A85F66" w:rsidRPr="00827575" w:rsidRDefault="00A85F66" w:rsidP="00A85F66">
      <w:pPr>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 kuadër të forcimit të disiplinës financiare për të parandaluar akumulimin e detyrimeve të prapambetura, të cilat mund të kthehen në një risk serioz potencial për financat publike dhe me impakt negativ në ekonominë e vendit, MFE ka krijuar mekanizma të posaçëm për të monitoruar detyrimet e prapambetura në shpenzimet publike, ku përfshihet një sistem vetë raportimi nga njësitë e vartësisë të ngritura në çdo ministri të linjës, të cilave u kërkohet t’i paraqesin MFE informacione të konsoliduara për sektorët përkatës.</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 këtë kontekst, për t</w:t>
      </w:r>
      <w:r w:rsidR="00743FEB">
        <w:rPr>
          <w:rFonts w:ascii="Cambria" w:eastAsia="Calibri" w:hAnsi="Cambria"/>
          <w:sz w:val="22"/>
          <w:szCs w:val="22"/>
          <w:lang w:val="sq-AL" w:eastAsia="en-US"/>
        </w:rPr>
        <w:t>’i dhënë një rrugë</w:t>
      </w:r>
      <w:r w:rsidRPr="00827575">
        <w:rPr>
          <w:rFonts w:ascii="Cambria" w:eastAsia="Calibri" w:hAnsi="Cambria"/>
          <w:sz w:val="22"/>
          <w:szCs w:val="22"/>
          <w:lang w:val="sq-AL" w:eastAsia="en-US"/>
        </w:rPr>
        <w:t xml:space="preserve">zgjidhje përfundimtare këtij problemi, MFE në fund të vitit 2018 </w:t>
      </w:r>
      <w:r w:rsidR="00743FEB">
        <w:rPr>
          <w:rFonts w:ascii="Cambria" w:eastAsia="Calibri" w:hAnsi="Cambria"/>
          <w:sz w:val="22"/>
          <w:szCs w:val="22"/>
          <w:lang w:val="sq-AL" w:eastAsia="en-US"/>
        </w:rPr>
        <w:t>i</w:t>
      </w:r>
      <w:r w:rsidRPr="00827575">
        <w:rPr>
          <w:rFonts w:ascii="Cambria" w:eastAsia="Calibri" w:hAnsi="Cambria"/>
          <w:sz w:val="22"/>
          <w:szCs w:val="22"/>
          <w:lang w:val="sq-AL" w:eastAsia="en-US"/>
        </w:rPr>
        <w:t>u dërgoi zyrtarisht të gjitha strukturave të auditimit të brendshëm të njësive publike</w:t>
      </w:r>
      <w:r w:rsidR="00743FEB">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të cilat kishin të akumuluara ndër vite detyrime të prapambetura, një program angazhimi auditimi të standardizuar, të bazuar në gjurmën e auditimit të procesit për shlyerjen e detyrimeve të prapambetura, miratuar nga Ministri i Financave dhe Ekonomisë, sipas shkresës nr.22772, datë 27.12.2018.</w:t>
      </w:r>
    </w:p>
    <w:p w:rsidR="00A85F66" w:rsidRPr="00827575" w:rsidRDefault="00A85F66" w:rsidP="00A85F66">
      <w:pPr>
        <w:jc w:val="both"/>
        <w:rPr>
          <w:rFonts w:ascii="Cambria" w:eastAsia="Calibri" w:hAnsi="Cambria"/>
          <w:sz w:val="8"/>
          <w:szCs w:val="8"/>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monitorimi i progresit të bërë për këtë proces, megjithëse është në fillimet e tij, nga ana e disa njësive të auditimit ka filluar zbatimi i programit dhe gjurmës standarde të auditimit, duke patur në fokus vlerësimin e procedurave që lidhen me planifikimin buxhetor, si dhe kryerjen e kontrolleve financiare paraprake. Për këtë çështje iu është rekomanduar njësive publike të bëjnë planifikimin dhe auditimin e këtij sistemi, si një mjet efikas në drejtim të parandalimit të krijimit të detyrimeve të prapambetura në të ardhmen.</w:t>
      </w:r>
    </w:p>
    <w:p w:rsidR="00A85F66" w:rsidRDefault="00A85F66" w:rsidP="00A85F66">
      <w:pPr>
        <w:jc w:val="both"/>
        <w:rPr>
          <w:rFonts w:ascii="Cambria" w:eastAsia="Calibri" w:hAnsi="Cambria"/>
          <w:sz w:val="22"/>
          <w:szCs w:val="22"/>
          <w:highlight w:val="yellow"/>
          <w:lang w:val="sq-AL" w:eastAsia="en-US"/>
        </w:rPr>
      </w:pPr>
    </w:p>
    <w:p w:rsidR="00A85F66" w:rsidRPr="006C5413" w:rsidRDefault="001E2D8C" w:rsidP="00A85F66">
      <w:pPr>
        <w:jc w:val="both"/>
        <w:rPr>
          <w:rFonts w:ascii="Cambria" w:eastAsia="Calibri" w:hAnsi="Cambria"/>
          <w:b/>
          <w:sz w:val="22"/>
          <w:szCs w:val="20"/>
          <w:lang w:val="sq-AL" w:eastAsia="en-US"/>
        </w:rPr>
      </w:pPr>
      <w:r>
        <w:rPr>
          <w:rFonts w:ascii="Cambria" w:eastAsia="Calibri" w:hAnsi="Cambria"/>
          <w:b/>
          <w:sz w:val="22"/>
          <w:szCs w:val="20"/>
          <w:lang w:val="sq-AL" w:eastAsia="en-US"/>
        </w:rPr>
        <w:t>Z</w:t>
      </w:r>
      <w:r w:rsidRPr="006C5413">
        <w:rPr>
          <w:rFonts w:ascii="Cambria" w:eastAsia="Calibri" w:hAnsi="Cambria"/>
          <w:b/>
          <w:sz w:val="22"/>
          <w:szCs w:val="20"/>
          <w:lang w:val="sq-AL" w:eastAsia="en-US"/>
        </w:rPr>
        <w:t>hvillimet e mëtejshme të kapaciteteve të AB bazuar në vl</w:t>
      </w:r>
      <w:r>
        <w:rPr>
          <w:rFonts w:ascii="Cambria" w:eastAsia="Calibri" w:hAnsi="Cambria"/>
          <w:b/>
          <w:sz w:val="22"/>
          <w:szCs w:val="20"/>
          <w:lang w:val="sq-AL" w:eastAsia="en-US"/>
        </w:rPr>
        <w:t>e</w:t>
      </w:r>
      <w:r w:rsidRPr="006C5413">
        <w:rPr>
          <w:rFonts w:ascii="Cambria" w:eastAsia="Calibri" w:hAnsi="Cambria"/>
          <w:b/>
          <w:sz w:val="22"/>
          <w:szCs w:val="20"/>
          <w:lang w:val="sq-AL" w:eastAsia="en-US"/>
        </w:rPr>
        <w:t>rësimet nga BE</w:t>
      </w:r>
    </w:p>
    <w:p w:rsidR="00A85F66" w:rsidRPr="00827575" w:rsidRDefault="00A85F66" w:rsidP="00A85F66">
      <w:pPr>
        <w:jc w:val="both"/>
        <w:rPr>
          <w:rFonts w:ascii="Cambria" w:eastAsia="Calibri" w:hAnsi="Cambria"/>
          <w:sz w:val="12"/>
          <w:szCs w:val="12"/>
          <w:lang w:val="sq-AL" w:eastAsia="en-US"/>
        </w:rPr>
      </w:pPr>
      <w:r w:rsidRPr="00827575">
        <w:rPr>
          <w:rFonts w:ascii="Cambria" w:eastAsia="Calibri" w:hAnsi="Cambria"/>
          <w:sz w:val="22"/>
          <w:szCs w:val="22"/>
          <w:lang w:val="sq-AL" w:eastAsia="en-US"/>
        </w:rPr>
        <w:t xml:space="preserve"> </w:t>
      </w: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Në Qershor të vitit 2018, u zhvillua një auditim, i inicuar nga BE, për vlerësimin e “Kapaciteteve të auditimit të brendshëm në konteks të kuadrit të kontrollit të brendshëm për instrumentët e para aderimit”. </w:t>
      </w:r>
    </w:p>
    <w:p w:rsidR="00A85F66" w:rsidRPr="00827575" w:rsidRDefault="00A85F66" w:rsidP="00A85F66">
      <w:pPr>
        <w:jc w:val="both"/>
        <w:rPr>
          <w:rFonts w:ascii="Cambria" w:eastAsia="Calibri" w:hAnsi="Cambria"/>
          <w:sz w:val="8"/>
          <w:szCs w:val="8"/>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Ky auditim vlerësoi kapacitetet e auditimit të brendshëm me përputhshmërinë me përkufizimin e auditimit të brendshëm, Standardet Ndërkombëtare, Parimet Themelore dhe Kodin e Etikës. Raporti final me gjetjet, konkluzionet, rekomandimet dhe afatet e zbatimit u dërgua nga strukturat e BE në muajin Mars 2019. MFE bazuar në rekomandimet e këtij raporti hartoi planin e veprimit. Në këtë plan u përcaktuan njësitë publike përgjegjëse dhe afatet konkrete për secilin rekomandim.</w:t>
      </w:r>
    </w:p>
    <w:p w:rsidR="00A85F66" w:rsidRPr="00827575" w:rsidRDefault="00A85F66" w:rsidP="00A85F66">
      <w:pPr>
        <w:jc w:val="both"/>
        <w:rPr>
          <w:rFonts w:ascii="Cambria" w:eastAsia="Calibri" w:hAnsi="Cambria"/>
          <w:sz w:val="8"/>
          <w:szCs w:val="8"/>
          <w:highlight w:val="yellow"/>
          <w:lang w:val="sq-AL" w:eastAsia="ja-JP"/>
        </w:rPr>
      </w:pPr>
    </w:p>
    <w:p w:rsidR="00A85F66" w:rsidRPr="00827575" w:rsidRDefault="00A85F66" w:rsidP="00A85F66">
      <w:pPr>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Rekomandimet më kryesore nga auditimi i BE janë: </w:t>
      </w:r>
    </w:p>
    <w:p w:rsidR="00A85F66" w:rsidRPr="003040B6" w:rsidRDefault="00A85F66" w:rsidP="00326E59">
      <w:pPr>
        <w:numPr>
          <w:ilvl w:val="0"/>
          <w:numId w:val="43"/>
        </w:numPr>
        <w:spacing w:after="200" w:line="276" w:lineRule="auto"/>
        <w:jc w:val="both"/>
        <w:rPr>
          <w:rFonts w:ascii="Cambria" w:eastAsia="Calibri" w:hAnsi="Cambria"/>
          <w:sz w:val="22"/>
          <w:szCs w:val="22"/>
          <w:lang w:val="sq-AL" w:eastAsia="en-US"/>
        </w:rPr>
      </w:pPr>
      <w:r w:rsidRPr="00827575">
        <w:rPr>
          <w:rFonts w:ascii="Cambria" w:eastAsia="Calibri" w:hAnsi="Cambria"/>
          <w:bCs/>
          <w:sz w:val="22"/>
          <w:szCs w:val="22"/>
          <w:lang w:val="sq-AL" w:eastAsia="en-US"/>
        </w:rPr>
        <w:t>Rekomandohet fuqizimi i rolit të Komitetit të Auditimit të Brendshëm, si një organ i pavarur, i cili vlerëson rezultatet e auditimit të brendshëm, duke lejuar auditimin e brendshëm të raportojë planet, veprimtarinë  dhe rezultatet e tij, si dhe duke forcuar  pavarësinë e njësisë së auditimit të brendshëm nga titullari i njësisë publike</w:t>
      </w:r>
      <w:r w:rsidRPr="00827575">
        <w:rPr>
          <w:rFonts w:ascii="Cambria" w:eastAsia="Calibri" w:hAnsi="Cambria"/>
          <w:b/>
          <w:bCs/>
          <w:sz w:val="22"/>
          <w:szCs w:val="22"/>
          <w:lang w:val="sq-AL" w:eastAsia="en-US"/>
        </w:rPr>
        <w:t xml:space="preserve">. </w:t>
      </w:r>
    </w:p>
    <w:p w:rsidR="00A85F66" w:rsidRPr="00827575" w:rsidRDefault="00A85F66" w:rsidP="00326E59">
      <w:pPr>
        <w:numPr>
          <w:ilvl w:val="0"/>
          <w:numId w:val="43"/>
        </w:numPr>
        <w:spacing w:after="200" w:line="276" w:lineRule="auto"/>
        <w:jc w:val="both"/>
        <w:rPr>
          <w:rFonts w:ascii="Cambria" w:eastAsia="Calibri" w:hAnsi="Cambria"/>
          <w:sz w:val="22"/>
          <w:szCs w:val="22"/>
          <w:lang w:eastAsia="en-US"/>
        </w:rPr>
      </w:pPr>
      <w:r w:rsidRPr="00827575">
        <w:rPr>
          <w:rFonts w:ascii="Cambria" w:eastAsia="Calibri" w:hAnsi="Cambria"/>
          <w:sz w:val="22"/>
          <w:szCs w:val="22"/>
          <w:lang w:val="sq-AL" w:eastAsia="en-US"/>
        </w:rPr>
        <w:t xml:space="preserve">Rekomandohet që veprimtaria e auditimit të bazohet në vlerësimin e riskut dhe të mos fokusohet vetëm në auditimet e përputhshmërisë. NJAB duhet të shqyrtojnë risqet më të rëndësishëm për planifikimin dhe zbatimin e projekteve, programeve në të cilat janë fokusuar objektivat strategjikë, të secilës njësi publike. Në lidhje me këtë rekomandim duhet të </w:t>
      </w:r>
      <w:r w:rsidRPr="00827575">
        <w:rPr>
          <w:rFonts w:ascii="Cambria" w:eastAsia="Calibri" w:hAnsi="Cambria"/>
          <w:sz w:val="22"/>
          <w:szCs w:val="22"/>
          <w:lang w:eastAsia="en-US"/>
        </w:rPr>
        <w:t>hartohet dhe të zbatohet një plan i detajuar trajnimi që duhet të përfshijë:</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Trajnime të mëtejshme për IPA II për të mbuluar bazën ligjore, objektivat, risqet dhe planet për zbatimin e tij, të shoqëruar me raste praktike; </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Trajnime mbi auditimin e bazuar në risk, duke përfshirë risqet e mashtrimit;</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Trajnime mbi auditimet e marrëveshjeve të qeverisjes; </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4A6893">
        <w:rPr>
          <w:rFonts w:ascii="Cambria" w:eastAsia="Calibri" w:hAnsi="Cambria"/>
          <w:sz w:val="22"/>
          <w:szCs w:val="22"/>
          <w:lang w:eastAsia="en-US"/>
        </w:rPr>
        <w:t>Udhëzime</w:t>
      </w:r>
      <w:r w:rsidRPr="00827575">
        <w:rPr>
          <w:rFonts w:ascii="Cambria" w:eastAsia="Calibri" w:hAnsi="Cambria"/>
          <w:sz w:val="22"/>
          <w:szCs w:val="22"/>
          <w:lang w:eastAsia="en-US"/>
        </w:rPr>
        <w:t xml:space="preserve"> dhe trajnime për të kaluar nga auditimi i përputhshmërisë në auditimin e bazuar në risk; </w:t>
      </w:r>
    </w:p>
    <w:p w:rsidR="00A85F66" w:rsidRPr="00827575" w:rsidRDefault="00A85F66" w:rsidP="00FB752D">
      <w:pPr>
        <w:numPr>
          <w:ilvl w:val="1"/>
          <w:numId w:val="43"/>
        </w:numPr>
        <w:spacing w:line="276" w:lineRule="auto"/>
        <w:jc w:val="both"/>
        <w:rPr>
          <w:rFonts w:ascii="Cambria" w:eastAsia="Calibri" w:hAnsi="Cambria"/>
          <w:sz w:val="8"/>
          <w:szCs w:val="8"/>
          <w:lang w:val="sq-AL" w:eastAsia="en-US"/>
        </w:rPr>
      </w:pPr>
      <w:r w:rsidRPr="00827575">
        <w:rPr>
          <w:rFonts w:ascii="Cambria" w:eastAsia="Calibri" w:hAnsi="Cambria"/>
          <w:sz w:val="22"/>
          <w:szCs w:val="22"/>
          <w:lang w:eastAsia="en-US"/>
        </w:rPr>
        <w:t xml:space="preserve">Blerjen e shërbimit të auditimit të Teknologjisë së Informacionit nga ekspertë të jashtëm meqë trajnimet e audituesve të brendshëm mbi auditimet e Teknologjisë së Informacionit japin efektet e tyre në një periudhë afatgjatë. </w:t>
      </w:r>
    </w:p>
    <w:p w:rsidR="00A85F66" w:rsidRPr="00827575" w:rsidRDefault="00A85F66" w:rsidP="00326E59">
      <w:pPr>
        <w:numPr>
          <w:ilvl w:val="0"/>
          <w:numId w:val="43"/>
        </w:numPr>
        <w:spacing w:after="200" w:line="276" w:lineRule="auto"/>
        <w:jc w:val="both"/>
        <w:rPr>
          <w:rFonts w:ascii="Cambria" w:eastAsia="Calibri" w:hAnsi="Cambria"/>
          <w:sz w:val="22"/>
          <w:szCs w:val="22"/>
          <w:lang w:eastAsia="en-US"/>
        </w:rPr>
      </w:pPr>
      <w:r w:rsidRPr="00827575">
        <w:rPr>
          <w:rFonts w:ascii="Cambria" w:eastAsia="Calibri" w:hAnsi="Cambria"/>
          <w:sz w:val="22"/>
          <w:szCs w:val="22"/>
          <w:lang w:eastAsia="en-US"/>
        </w:rPr>
        <w:t>Rekomandohet që të:</w:t>
      </w:r>
    </w:p>
    <w:p w:rsidR="00A85F66" w:rsidRPr="00827575"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Merren parasysh modele alternative të punësimit, për shembull, pozicionet afatshkurtra </w:t>
      </w:r>
      <w:r w:rsidRPr="001E2D8C">
        <w:rPr>
          <w:rFonts w:ascii="Cambria" w:eastAsia="Calibri" w:hAnsi="Cambria"/>
          <w:sz w:val="22"/>
          <w:szCs w:val="22"/>
          <w:lang w:eastAsia="en-US"/>
        </w:rPr>
        <w:t>(me kontratë) si pjesë</w:t>
      </w:r>
      <w:r w:rsidRPr="00827575">
        <w:rPr>
          <w:rFonts w:ascii="Cambria" w:eastAsia="Calibri" w:hAnsi="Cambria"/>
          <w:sz w:val="22"/>
          <w:szCs w:val="22"/>
          <w:lang w:eastAsia="en-US"/>
        </w:rPr>
        <w:t xml:space="preserve"> e një trajnimi më të gjerë të menaxhimit;</w:t>
      </w:r>
    </w:p>
    <w:p w:rsidR="00A85F66" w:rsidRPr="00827575"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Zgjerohen kriteret e punësimit për audituesit, duke u fokusuar në aftësitë specifike në fushën e auditimit të brendshëm dhe jo në kualifikime të tjera; </w:t>
      </w:r>
    </w:p>
    <w:p w:rsidR="00A85F66" w:rsidRPr="00827575"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Punësohen auditues me aftësi në menaxhimin e projekteve, do të ishte i dobishëm për auditimin e IPA;</w:t>
      </w:r>
    </w:p>
    <w:p w:rsidR="00A85F66"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Ofrohen trajnime për rritjen e nivelit të njohurive në gjuhën angleze për audituesit e brendshëm ekzistues dhe vendosjen si kriter kryesor për punësimet e reja. </w:t>
      </w:r>
    </w:p>
    <w:p w:rsidR="00600729" w:rsidRDefault="00600729" w:rsidP="00EB4235">
      <w:pPr>
        <w:spacing w:line="276" w:lineRule="auto"/>
        <w:jc w:val="both"/>
        <w:rPr>
          <w:rFonts w:ascii="Cambria" w:eastAsia="Calibri" w:hAnsi="Cambria"/>
          <w:sz w:val="22"/>
          <w:szCs w:val="22"/>
          <w:lang w:eastAsia="en-US"/>
        </w:rPr>
      </w:pPr>
    </w:p>
    <w:p w:rsidR="00A85F66" w:rsidRPr="00827575" w:rsidRDefault="001E2D8C" w:rsidP="00A85F66">
      <w:pPr>
        <w:jc w:val="both"/>
        <w:rPr>
          <w:rFonts w:ascii="Cambria" w:eastAsia="Calibri" w:hAnsi="Cambria"/>
          <w:b/>
          <w:sz w:val="22"/>
          <w:szCs w:val="22"/>
          <w:lang w:val="sq-AL" w:eastAsia="en-US"/>
        </w:rPr>
      </w:pPr>
      <w:r>
        <w:rPr>
          <w:rFonts w:ascii="Cambria" w:eastAsia="Calibri" w:hAnsi="Cambria"/>
          <w:b/>
          <w:sz w:val="22"/>
          <w:szCs w:val="22"/>
          <w:lang w:val="sq-AL" w:eastAsia="en-US"/>
        </w:rPr>
        <w:t>Z</w:t>
      </w:r>
      <w:r w:rsidRPr="00827575">
        <w:rPr>
          <w:rFonts w:ascii="Cambria" w:eastAsia="Calibri" w:hAnsi="Cambria"/>
          <w:b/>
          <w:sz w:val="22"/>
          <w:szCs w:val="22"/>
          <w:lang w:val="sq-AL" w:eastAsia="en-US"/>
        </w:rPr>
        <w:t>hvillimi  profesional i audituesve të brendshëm</w:t>
      </w:r>
    </w:p>
    <w:p w:rsidR="00A85F66" w:rsidRPr="00827575" w:rsidRDefault="00A85F66" w:rsidP="00A85F66">
      <w:pPr>
        <w:jc w:val="both"/>
        <w:rPr>
          <w:rFonts w:ascii="Cambria" w:eastAsia="Calibri" w:hAnsi="Cambria"/>
          <w:b/>
          <w:sz w:val="12"/>
          <w:szCs w:val="12"/>
          <w:lang w:val="sq-AL" w:eastAsia="en-US"/>
        </w:rPr>
      </w:pPr>
    </w:p>
    <w:p w:rsidR="00A85F66" w:rsidRPr="00827575" w:rsidRDefault="00A85F66" w:rsidP="00A85F66">
      <w:pPr>
        <w:jc w:val="both"/>
        <w:rPr>
          <w:rFonts w:ascii="Cambria" w:eastAsia="Calibri" w:hAnsi="Cambria"/>
          <w:b/>
          <w:sz w:val="22"/>
          <w:szCs w:val="22"/>
          <w:lang w:val="sq-AL" w:eastAsia="en-US"/>
        </w:rPr>
      </w:pPr>
      <w:r w:rsidRPr="00827575">
        <w:rPr>
          <w:rFonts w:ascii="Cambria" w:eastAsia="Calibri" w:hAnsi="Cambria"/>
          <w:b/>
          <w:sz w:val="22"/>
          <w:szCs w:val="22"/>
          <w:lang w:val="sq-AL" w:eastAsia="en-US"/>
        </w:rPr>
        <w:t xml:space="preserve">Procesi i certifikimit të audituesve të brendshëm  </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DH/AB në bashkëpunim me Komisionin e Kualifikimit të Audituesve të Brendshëm (KKAB) organizojnë dhe menaxhojnë procesin e certifikimit të audituesve të brendshëm në sektorin publik. Në muajin Korrik 2018</w:t>
      </w:r>
      <w:r w:rsidR="00E91212">
        <w:rPr>
          <w:rFonts w:ascii="Cambria" w:eastAsia="Calibri" w:hAnsi="Cambria"/>
          <w:sz w:val="22"/>
          <w:szCs w:val="22"/>
          <w:lang w:val="sq-AL" w:eastAsia="en-US"/>
        </w:rPr>
        <w:t>, u finalizua procesi i</w:t>
      </w:r>
      <w:r w:rsidRPr="00827575">
        <w:rPr>
          <w:rFonts w:ascii="Cambria" w:eastAsia="Calibri" w:hAnsi="Cambria"/>
          <w:sz w:val="22"/>
          <w:szCs w:val="22"/>
          <w:lang w:val="sq-AL" w:eastAsia="en-US"/>
        </w:rPr>
        <w:t xml:space="preserve"> certifikimit të audituesve të brendshëm për sezonin 2017-2018 në të cilin 47 kandidatë pjesëmarrës u certifikuan si “Auditues të brendshëm në sektorin publik”. Këta auditues me njohuritë e fituara do të japin kontributin e tyre në veprimtarinë e njësive të auditimit të brendshëm në njësitë publike ku janë të punësuar. </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Në zbatim të akteve ligjore në fuqi dhe urdhërit të Minisrit të  Financave dhe Ekonomisë nr.162, datë 29.05.2018 “Për fillimin e procesit të certifikimit të audituesve të brendshem ne sektorin publik për sezonin 2018-2019”, DH/AB në bashkëpunim me KKAB kanë vazhduar angazhimin me organizimin e procesit të certifikimit të audituesve të brendshëm në sektorin publik për sezonin 2018-2019. Ky proces ka </w:t>
      </w:r>
      <w:r w:rsidR="000B3075">
        <w:rPr>
          <w:rFonts w:ascii="Cambria" w:eastAsia="Calibri" w:hAnsi="Cambria"/>
          <w:sz w:val="22"/>
          <w:szCs w:val="22"/>
          <w:lang w:val="sq-AL" w:eastAsia="en-US"/>
        </w:rPr>
        <w:t>filluar</w:t>
      </w:r>
      <w:r w:rsidRPr="00827575">
        <w:rPr>
          <w:rFonts w:ascii="Cambria" w:eastAsia="Calibri" w:hAnsi="Cambria"/>
          <w:sz w:val="22"/>
          <w:szCs w:val="22"/>
          <w:lang w:val="sq-AL" w:eastAsia="en-US"/>
        </w:rPr>
        <w:t xml:space="preserve"> në muajin maj 2018 dhe do të finalizohet në muajin korrik </w:t>
      </w:r>
      <w:r w:rsidR="00425EB5">
        <w:rPr>
          <w:rFonts w:ascii="Cambria" w:eastAsia="Calibri" w:hAnsi="Cambria"/>
          <w:sz w:val="22"/>
          <w:szCs w:val="22"/>
          <w:lang w:val="sq-AL" w:eastAsia="en-US"/>
        </w:rPr>
        <w:t>2019. Në këtë sezon certifikimi</w:t>
      </w:r>
      <w:r w:rsidRPr="00827575">
        <w:rPr>
          <w:rFonts w:ascii="Cambria" w:eastAsia="Calibri" w:hAnsi="Cambria"/>
          <w:sz w:val="22"/>
          <w:szCs w:val="22"/>
          <w:lang w:val="sq-AL" w:eastAsia="en-US"/>
        </w:rPr>
        <w:t xml:space="preserve"> kanë aplikuar 80 kandidatë, nga të cilët vetëm 48 kandidatë përmbushën kriteret e përcaktuara në kuadrin rregullator përkatës. </w:t>
      </w:r>
    </w:p>
    <w:p w:rsidR="00A85F66" w:rsidRPr="00827575" w:rsidRDefault="00A85F66" w:rsidP="00A85F66">
      <w:pPr>
        <w:jc w:val="both"/>
        <w:rPr>
          <w:rFonts w:ascii="Cambria" w:eastAsia="Calibri" w:hAnsi="Cambria"/>
          <w:sz w:val="12"/>
          <w:szCs w:val="12"/>
          <w:lang w:val="sq-AL" w:eastAsia="en-US"/>
        </w:rPr>
      </w:pPr>
      <w:r w:rsidRPr="00827575">
        <w:rPr>
          <w:rFonts w:ascii="Cambria" w:eastAsia="Calibri" w:hAnsi="Cambria"/>
          <w:sz w:val="22"/>
          <w:szCs w:val="22"/>
          <w:lang w:val="sq-AL" w:eastAsia="en-US"/>
        </w:rPr>
        <w:t xml:space="preserve"> </w:t>
      </w:r>
    </w:p>
    <w:p w:rsidR="00A85F66" w:rsidRPr="00827575" w:rsidRDefault="00A85F66" w:rsidP="00A85F66">
      <w:pPr>
        <w:jc w:val="both"/>
        <w:rPr>
          <w:rFonts w:ascii="Calibri" w:eastAsia="Calibri" w:hAnsi="Calibri"/>
          <w:sz w:val="22"/>
          <w:szCs w:val="22"/>
          <w:lang w:val="sq-AL" w:eastAsia="en-US"/>
        </w:rPr>
      </w:pPr>
      <w:r w:rsidRPr="00827575">
        <w:rPr>
          <w:rFonts w:ascii="Cambria" w:eastAsia="Calibri" w:hAnsi="Cambria"/>
          <w:sz w:val="22"/>
          <w:szCs w:val="22"/>
          <w:lang w:val="sq-AL" w:eastAsia="en-US"/>
        </w:rPr>
        <w:t>Gjatë vitit 2018</w:t>
      </w:r>
      <w:r w:rsidR="00425EB5">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kandidatët përfunduan 3 modulet e para dhe ky proces do të vazhdojë me implementimin gjatë vitit 2019 me pjesën tjetër të programit të miratuar. Është evdentuar që ky program certifikimi është një program bashkëkohor, i fokusuar vetëm në fushën e auditimit të brendshëm, që vlerësohet si nga trajnerët e përfshirë në proces ashtu dhe nga kandidatët për auditues të brendshëm. Audituesit e rinj të certifikuar me njohuritë e bashkëkohore të përfituara do të për</w:t>
      </w:r>
      <w:r w:rsidR="002F3A7E">
        <w:rPr>
          <w:rFonts w:ascii="Cambria" w:eastAsia="Calibri" w:hAnsi="Cambria"/>
          <w:sz w:val="22"/>
          <w:szCs w:val="22"/>
          <w:lang w:val="sq-AL" w:eastAsia="en-US"/>
        </w:rPr>
        <w:t>ç</w:t>
      </w:r>
      <w:r w:rsidRPr="00827575">
        <w:rPr>
          <w:rFonts w:ascii="Cambria" w:eastAsia="Calibri" w:hAnsi="Cambria"/>
          <w:sz w:val="22"/>
          <w:szCs w:val="22"/>
          <w:lang w:val="sq-AL" w:eastAsia="en-US"/>
        </w:rPr>
        <w:t>ojnë një frymë të re në njësitë e auditimit të brendshëm</w:t>
      </w:r>
      <w:r w:rsidRPr="00827575">
        <w:rPr>
          <w:rFonts w:ascii="Calibri" w:eastAsia="Calibri" w:hAnsi="Calibri"/>
          <w:sz w:val="22"/>
          <w:szCs w:val="22"/>
          <w:lang w:val="sq-AL" w:eastAsia="en-US"/>
        </w:rPr>
        <w:t xml:space="preserve">.  </w:t>
      </w:r>
    </w:p>
    <w:p w:rsidR="00A85F66" w:rsidRPr="00827575" w:rsidRDefault="00A85F66" w:rsidP="00A85F66">
      <w:pPr>
        <w:ind w:left="-90"/>
        <w:jc w:val="both"/>
        <w:rPr>
          <w:rFonts w:ascii="Cambria" w:eastAsia="Times New Roman" w:hAnsi="Cambria"/>
          <w:bCs/>
          <w:sz w:val="12"/>
          <w:szCs w:val="12"/>
          <w:lang w:val="pt-BR" w:eastAsia="en-US"/>
        </w:rPr>
      </w:pPr>
    </w:p>
    <w:p w:rsidR="001E2D8C" w:rsidRDefault="001E2D8C" w:rsidP="00A85F66">
      <w:pPr>
        <w:rPr>
          <w:rFonts w:ascii="Cambria" w:eastAsia="Calibri" w:hAnsi="Cambria"/>
          <w:b/>
          <w:sz w:val="22"/>
          <w:szCs w:val="20"/>
          <w:lang w:val="sq-AL" w:eastAsia="en-US"/>
        </w:rPr>
      </w:pPr>
    </w:p>
    <w:p w:rsidR="00A85F66" w:rsidRPr="00827575" w:rsidRDefault="00A85F66" w:rsidP="00A85F66">
      <w:pPr>
        <w:rPr>
          <w:rFonts w:ascii="Cambria" w:eastAsia="Times New Roman" w:hAnsi="Cambria"/>
          <w:b/>
          <w:bCs/>
          <w:sz w:val="22"/>
          <w:szCs w:val="20"/>
          <w:lang w:val="pt-BR" w:eastAsia="en-US"/>
        </w:rPr>
      </w:pPr>
      <w:r w:rsidRPr="00827575">
        <w:rPr>
          <w:rFonts w:ascii="Cambria" w:eastAsia="Calibri" w:hAnsi="Cambria"/>
          <w:b/>
          <w:sz w:val="22"/>
          <w:szCs w:val="20"/>
          <w:lang w:val="sq-AL" w:eastAsia="en-US"/>
        </w:rPr>
        <w:t xml:space="preserve">Trajnimi i vijueshëm profesional i audituesve të brendshëm </w:t>
      </w:r>
    </w:p>
    <w:p w:rsidR="00A85F66" w:rsidRPr="00827575" w:rsidRDefault="00A85F66" w:rsidP="00A85F66">
      <w:pPr>
        <w:ind w:left="-90"/>
        <w:jc w:val="both"/>
        <w:rPr>
          <w:rFonts w:ascii="Cambria" w:eastAsia="Times New Roman" w:hAnsi="Cambria"/>
          <w:bCs/>
          <w:sz w:val="14"/>
          <w:szCs w:val="12"/>
          <w:lang w:val="pt-BR" w:eastAsia="en-US"/>
        </w:rPr>
      </w:pPr>
    </w:p>
    <w:p w:rsidR="00A85F66" w:rsidRPr="00827575" w:rsidRDefault="00A85F66" w:rsidP="00A85F66">
      <w:pPr>
        <w:jc w:val="both"/>
        <w:rPr>
          <w:rFonts w:ascii="Cambria" w:eastAsia="Times New Roman" w:hAnsi="Cambria"/>
          <w:bCs/>
          <w:sz w:val="22"/>
          <w:szCs w:val="22"/>
          <w:lang w:val="pt-BR" w:eastAsia="en-US"/>
        </w:rPr>
      </w:pPr>
      <w:r w:rsidRPr="00827575">
        <w:rPr>
          <w:rFonts w:ascii="Cambria" w:eastAsia="Calibri" w:hAnsi="Cambria"/>
          <w:sz w:val="22"/>
          <w:szCs w:val="22"/>
          <w:lang w:val="sq-AL" w:eastAsia="en-US"/>
        </w:rPr>
        <w:t>Në funksion të zhvillimit të vijueshëm profesional të audituesve të brendshëm për përafrim të performancës së veprimtarisë në përputhje të plotë me s</w:t>
      </w:r>
      <w:r w:rsidRPr="00827575">
        <w:rPr>
          <w:rFonts w:ascii="Cambria" w:eastAsia="Times New Roman" w:hAnsi="Cambria"/>
          <w:sz w:val="22"/>
          <w:szCs w:val="22"/>
          <w:lang w:val="sq-AL" w:eastAsia="sq-AL"/>
        </w:rPr>
        <w:t xml:space="preserve">tandardet ndërkombëtare, për praktikat profesionale, si dhe përditësimit të njohurive me zhvillimet e reja në këtë fushë, </w:t>
      </w:r>
      <w:r w:rsidRPr="00827575">
        <w:rPr>
          <w:rFonts w:ascii="Cambria" w:eastAsia="Times New Roman" w:hAnsi="Cambria"/>
          <w:bCs/>
          <w:sz w:val="22"/>
          <w:szCs w:val="22"/>
          <w:lang w:val="pt-BR" w:eastAsia="en-US"/>
        </w:rPr>
        <w:t xml:space="preserve">bazuar në “Programin e trajnimit të vijueshëm profesional për audituesit e brendshëm në sektorin publik për vitin 2018”, i miratuar me urdhër të Ministrit të Financave nr.168, datë 26.12.2017, DH/AB në bashkëpunim me Shkollën Shqiptare të Administratës Publike ka organizuar trajnimin e vijueshëm profesional të 320 audituesve të brendshëm në detyrë. </w:t>
      </w:r>
    </w:p>
    <w:p w:rsidR="00A85F66" w:rsidRPr="00827575" w:rsidRDefault="00A85F66" w:rsidP="00A85F66">
      <w:pPr>
        <w:jc w:val="both"/>
        <w:rPr>
          <w:rFonts w:ascii="Cambria" w:eastAsia="Times New Roman" w:hAnsi="Cambria"/>
          <w:bCs/>
          <w:sz w:val="8"/>
          <w:szCs w:val="8"/>
          <w:lang w:val="pt-BR" w:eastAsia="en-US"/>
        </w:rPr>
      </w:pPr>
    </w:p>
    <w:p w:rsidR="00A85F66" w:rsidRPr="00827575" w:rsidRDefault="00A85F66" w:rsidP="00A85F66">
      <w:pPr>
        <w:jc w:val="both"/>
        <w:rPr>
          <w:rFonts w:ascii="Cambria" w:eastAsia="Times New Roman" w:hAnsi="Cambria"/>
          <w:bCs/>
          <w:sz w:val="22"/>
          <w:szCs w:val="22"/>
          <w:lang w:val="pt-BR" w:eastAsia="en-US"/>
        </w:rPr>
      </w:pPr>
      <w:r w:rsidRPr="00827575">
        <w:rPr>
          <w:rFonts w:ascii="Cambria" w:eastAsia="Times New Roman" w:hAnsi="Cambria"/>
          <w:bCs/>
          <w:sz w:val="22"/>
          <w:szCs w:val="22"/>
          <w:lang w:val="pt-BR" w:eastAsia="en-US"/>
        </w:rPr>
        <w:t xml:space="preserve">Ky program u zhvillua </w:t>
      </w:r>
      <w:r w:rsidRPr="00827575">
        <w:rPr>
          <w:rFonts w:ascii="Cambria" w:eastAsia="Times New Roman" w:hAnsi="Cambria"/>
          <w:sz w:val="22"/>
          <w:szCs w:val="22"/>
          <w:lang w:val="sq-AL" w:eastAsia="sq-AL"/>
        </w:rPr>
        <w:t xml:space="preserve">në </w:t>
      </w:r>
      <w:r w:rsidRPr="00827575">
        <w:rPr>
          <w:rFonts w:ascii="Cambria" w:eastAsia="Times New Roman" w:hAnsi="Cambria"/>
          <w:bCs/>
          <w:sz w:val="22"/>
          <w:szCs w:val="22"/>
          <w:lang w:val="pt-BR" w:eastAsia="en-US"/>
        </w:rPr>
        <w:t xml:space="preserve">periudhën Mars–Tetor 2018 përgjatë 13 fazave (javë trajnimi). Kurrikulat u përgatitën nga trajnerët të përzgjedhur nga Komisioni i Kualifikimit të Audituesve të Brendshëm, të cilët me temat e prezantuara ndanë me pjesëmarrësit në trajnim eksperiencat e tyre në këtë fushë. </w:t>
      </w:r>
    </w:p>
    <w:p w:rsidR="00A85F66" w:rsidRPr="00827575" w:rsidRDefault="00A85F66" w:rsidP="00A85F66">
      <w:pPr>
        <w:jc w:val="both"/>
        <w:rPr>
          <w:rFonts w:ascii="Cambria" w:eastAsia="Times New Roman" w:hAnsi="Cambria"/>
          <w:bCs/>
          <w:sz w:val="8"/>
          <w:szCs w:val="8"/>
          <w:lang w:val="pt-BR"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Organizimi dhe monitorimi i procesit të trajnimit ka qenë një nga objektivat kryesorë të DH/AB, </w:t>
      </w:r>
      <w:r w:rsidR="005102CB">
        <w:rPr>
          <w:rFonts w:ascii="Cambria" w:eastAsia="Calibri" w:hAnsi="Cambria"/>
          <w:sz w:val="22"/>
          <w:szCs w:val="22"/>
          <w:lang w:val="sq-AL" w:eastAsia="en-US"/>
        </w:rPr>
        <w:t>i cili</w:t>
      </w:r>
      <w:r w:rsidRPr="00827575">
        <w:rPr>
          <w:rFonts w:ascii="Cambria" w:eastAsia="Calibri" w:hAnsi="Cambria"/>
          <w:sz w:val="22"/>
          <w:szCs w:val="22"/>
          <w:lang w:val="sq-AL" w:eastAsia="en-US"/>
        </w:rPr>
        <w:t xml:space="preserve"> është trajtuar jo vetëm si detyrim ligjor për audituesit e brendshëm në detyrë, por edhe si ofrues i njohurive shtesë në fushën e auditimit të brendshëm, me qëllim që shërbimet e sigurisë dhe këshillimit të realizojnë performancë gjithnjë e në rritje të veprimtarisë audituese.   </w:t>
      </w:r>
    </w:p>
    <w:p w:rsidR="00A85F66" w:rsidRPr="00827575" w:rsidRDefault="00A85F66" w:rsidP="00A85F66">
      <w:pPr>
        <w:jc w:val="both"/>
        <w:rPr>
          <w:rFonts w:ascii="Cambria" w:eastAsia="Calibri" w:hAnsi="Cambria"/>
          <w:sz w:val="8"/>
          <w:szCs w:val="8"/>
          <w:lang w:val="sq-AL" w:eastAsia="en-US"/>
        </w:rPr>
      </w:pPr>
    </w:p>
    <w:p w:rsidR="00A85F66" w:rsidRPr="00827575" w:rsidRDefault="00A85F66" w:rsidP="00A85F66">
      <w:pPr>
        <w:jc w:val="both"/>
        <w:rPr>
          <w:rFonts w:ascii="Cambria" w:eastAsia="Times New Roman" w:hAnsi="Cambria"/>
          <w:sz w:val="22"/>
          <w:szCs w:val="22"/>
          <w:lang w:val="sq-AL" w:eastAsia="sq-AL"/>
        </w:rPr>
      </w:pPr>
      <w:r w:rsidRPr="00827575">
        <w:rPr>
          <w:rFonts w:ascii="Cambria" w:eastAsia="Times New Roman" w:hAnsi="Cambria"/>
          <w:sz w:val="22"/>
          <w:szCs w:val="22"/>
          <w:lang w:val="sq-AL" w:eastAsia="sq-AL"/>
        </w:rPr>
        <w:t xml:space="preserve">Komisioni i Kualifikimit të Audituesve të Brendshëm si një faktor i rëndësishëm në këtë  proces, në përmbushje të përgjegjësive të përcaktuara </w:t>
      </w:r>
      <w:r w:rsidR="00AF0276">
        <w:rPr>
          <w:rFonts w:ascii="Cambria" w:eastAsia="Times New Roman" w:hAnsi="Cambria"/>
          <w:sz w:val="22"/>
          <w:szCs w:val="22"/>
          <w:lang w:val="sq-AL" w:eastAsia="sq-AL"/>
        </w:rPr>
        <w:t>në aktet ligjore,</w:t>
      </w:r>
      <w:r w:rsidRPr="00827575">
        <w:rPr>
          <w:rFonts w:ascii="Cambria" w:eastAsia="Times New Roman" w:hAnsi="Cambria"/>
          <w:sz w:val="22"/>
          <w:szCs w:val="22"/>
          <w:lang w:val="sq-AL" w:eastAsia="sq-AL"/>
        </w:rPr>
        <w:t xml:space="preserve"> zhvilloi procedurën e përzgjedhjes, duke vlerësuar materialet e përgatitura dhe aftësitë prezantuese për secilin trajner.</w:t>
      </w:r>
    </w:p>
    <w:p w:rsidR="00A85F66" w:rsidRPr="00827575" w:rsidRDefault="00A85F66" w:rsidP="00A85F66">
      <w:pPr>
        <w:jc w:val="both"/>
        <w:rPr>
          <w:rFonts w:ascii="Cambria" w:eastAsia="Times New Roman" w:hAnsi="Cambria"/>
          <w:sz w:val="8"/>
          <w:szCs w:val="8"/>
          <w:lang w:val="sq-AL" w:eastAsia="sq-AL"/>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Grupi i trajnerëve të përzgjedhur përbëhej nga auditues të brendshëm të kualifikuar dhe</w:t>
      </w:r>
      <w:r w:rsidR="005708C4">
        <w:rPr>
          <w:rFonts w:ascii="Cambria" w:eastAsia="Calibri" w:hAnsi="Cambria"/>
          <w:sz w:val="22"/>
          <w:szCs w:val="22"/>
          <w:lang w:val="sq-AL" w:eastAsia="en-US"/>
        </w:rPr>
        <w:t xml:space="preserve"> me </w:t>
      </w:r>
      <w:r w:rsidRPr="00827575">
        <w:rPr>
          <w:rFonts w:ascii="Cambria" w:eastAsia="Calibri" w:hAnsi="Cambria"/>
          <w:sz w:val="22"/>
          <w:szCs w:val="22"/>
          <w:lang w:val="sq-AL" w:eastAsia="en-US"/>
        </w:rPr>
        <w:t xml:space="preserve"> eksperienca të mëparshme si trajnues apo edhe si pedagogë në institucione të arsimit të lartë. Me temat e prezantuara dhe rastet studimore, trajnerët nxitën shkëmbimin e eksperiencave duke iu dhënë mundësi audituesve të jenë në kontakt me praktikat më të mira të fushës së auditimit në sektorin publik me qëllim përditësimin e njohurive. </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Programi u implementua i ndarë sipas katër moduleve të hartuara në përshtatje me grupet e synuara, si më poshtë:</w:t>
      </w:r>
    </w:p>
    <w:p w:rsidR="00A85F66" w:rsidRPr="00827575" w:rsidRDefault="00A85F66" w:rsidP="00A85F66">
      <w:pPr>
        <w:spacing w:line="276" w:lineRule="auto"/>
        <w:jc w:val="both"/>
        <w:rPr>
          <w:rFonts w:ascii="Cambria" w:eastAsia="Calibri" w:hAnsi="Cambria"/>
          <w:sz w:val="12"/>
          <w:szCs w:val="12"/>
          <w:lang w:eastAsia="en-US"/>
        </w:rPr>
      </w:pPr>
    </w:p>
    <w:p w:rsidR="00F7671B" w:rsidRDefault="00A85F66" w:rsidP="00A85F66">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 I</w:t>
      </w:r>
      <w:r w:rsidRPr="00827575">
        <w:rPr>
          <w:rFonts w:ascii="Cambria" w:eastAsia="Calibri" w:hAnsi="Cambria"/>
          <w:sz w:val="22"/>
          <w:szCs w:val="22"/>
          <w:lang w:eastAsia="en-US"/>
        </w:rPr>
        <w:t>:     Drejtues të njësive të auditimit të brendshëm në ministri</w:t>
      </w:r>
      <w:r w:rsidR="00F7671B">
        <w:rPr>
          <w:rFonts w:ascii="Cambria" w:eastAsia="Calibri" w:hAnsi="Cambria"/>
          <w:sz w:val="22"/>
          <w:szCs w:val="22"/>
          <w:lang w:eastAsia="en-US"/>
        </w:rPr>
        <w:t xml:space="preserve"> dhe institucione qendrore  </w:t>
      </w:r>
    </w:p>
    <w:p w:rsidR="00A85F66" w:rsidRPr="00827575" w:rsidRDefault="00F7671B" w:rsidP="00A85F66">
      <w:p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                       (44 p</w:t>
      </w:r>
      <w:r w:rsidR="00A85F66" w:rsidRPr="00827575">
        <w:rPr>
          <w:rFonts w:ascii="Cambria" w:eastAsia="Calibri" w:hAnsi="Cambria"/>
          <w:sz w:val="22"/>
          <w:szCs w:val="22"/>
          <w:lang w:eastAsia="en-US"/>
        </w:rPr>
        <w:t>jesëmarrës përgjatë 2 javëve);</w:t>
      </w:r>
    </w:p>
    <w:p w:rsidR="00F7671B" w:rsidRDefault="00A85F66" w:rsidP="00F7671B">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 II</w:t>
      </w:r>
      <w:r w:rsidRPr="00827575">
        <w:rPr>
          <w:rFonts w:ascii="Cambria" w:eastAsia="Calibri" w:hAnsi="Cambria"/>
          <w:sz w:val="22"/>
          <w:szCs w:val="22"/>
          <w:lang w:eastAsia="en-US"/>
        </w:rPr>
        <w:t xml:space="preserve">:   Auditues të njësive të auditimit të brendshëm në ministri e institucione qendrore </w:t>
      </w:r>
    </w:p>
    <w:p w:rsidR="00A85F66" w:rsidRPr="00827575" w:rsidRDefault="00F7671B" w:rsidP="00F7671B">
      <w:p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                      </w:t>
      </w:r>
      <w:r w:rsidR="00A85F66" w:rsidRPr="00827575">
        <w:rPr>
          <w:rFonts w:ascii="Cambria" w:eastAsia="Calibri" w:hAnsi="Cambria"/>
          <w:sz w:val="22"/>
          <w:szCs w:val="22"/>
          <w:lang w:eastAsia="en-US"/>
        </w:rPr>
        <w:t xml:space="preserve">(163 </w:t>
      </w:r>
      <w:r>
        <w:rPr>
          <w:rFonts w:ascii="Cambria" w:eastAsia="Calibri" w:hAnsi="Cambria"/>
          <w:sz w:val="22"/>
          <w:szCs w:val="22"/>
          <w:lang w:eastAsia="en-US"/>
        </w:rPr>
        <w:t>p</w:t>
      </w:r>
      <w:r w:rsidR="00A85F66" w:rsidRPr="00827575">
        <w:rPr>
          <w:rFonts w:ascii="Cambria" w:eastAsia="Calibri" w:hAnsi="Cambria"/>
          <w:sz w:val="22"/>
          <w:szCs w:val="22"/>
          <w:lang w:eastAsia="en-US"/>
        </w:rPr>
        <w:t>jesëmarrës përgjatë 7 javëve);</w:t>
      </w:r>
    </w:p>
    <w:p w:rsidR="00A85F66" w:rsidRPr="00827575" w:rsidRDefault="00A85F66" w:rsidP="00A85F66">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 III</w:t>
      </w:r>
      <w:r w:rsidRPr="00827575">
        <w:rPr>
          <w:rFonts w:ascii="Cambria" w:eastAsia="Calibri" w:hAnsi="Cambria"/>
          <w:sz w:val="22"/>
          <w:szCs w:val="22"/>
          <w:lang w:eastAsia="en-US"/>
        </w:rPr>
        <w:t xml:space="preserve">:  Drejtues dhe auditues të njësive të auditimit të brendshëm në njësitë e qeverisjes  </w:t>
      </w:r>
    </w:p>
    <w:p w:rsidR="00A85F66" w:rsidRPr="00827575" w:rsidRDefault="00A85F66" w:rsidP="00A85F66">
      <w:p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                       Vendore (90 pjesëmarrës përgjatë 3 javëve);</w:t>
      </w:r>
    </w:p>
    <w:p w:rsidR="00A85F66" w:rsidRPr="00827575" w:rsidRDefault="00A85F66" w:rsidP="00A85F66">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ModuliIV</w:t>
      </w:r>
      <w:r w:rsidRPr="00827575">
        <w:rPr>
          <w:rFonts w:ascii="Cambria" w:eastAsia="Calibri" w:hAnsi="Cambria"/>
          <w:sz w:val="22"/>
          <w:szCs w:val="22"/>
          <w:lang w:eastAsia="en-US"/>
        </w:rPr>
        <w:t>:   Auditues të brendshëm në institucionet përftuese të fondeve IPA (23</w:t>
      </w:r>
      <w:r w:rsidR="00206108">
        <w:rPr>
          <w:rFonts w:ascii="Cambria" w:eastAsia="Calibri" w:hAnsi="Cambria"/>
          <w:sz w:val="22"/>
          <w:szCs w:val="22"/>
          <w:lang w:eastAsia="en-US"/>
        </w:rPr>
        <w:t xml:space="preserve"> </w:t>
      </w:r>
      <w:r w:rsidRPr="00827575">
        <w:rPr>
          <w:rFonts w:ascii="Cambria" w:eastAsia="Calibri" w:hAnsi="Cambria"/>
          <w:sz w:val="22"/>
          <w:szCs w:val="22"/>
          <w:lang w:eastAsia="en-US"/>
        </w:rPr>
        <w:t xml:space="preserve">Pjesëmarrës </w:t>
      </w:r>
      <w:r w:rsidR="00206108">
        <w:rPr>
          <w:rFonts w:ascii="Cambria" w:eastAsia="Calibri" w:hAnsi="Cambria"/>
          <w:sz w:val="22"/>
          <w:szCs w:val="22"/>
          <w:lang w:eastAsia="en-US"/>
        </w:rPr>
        <w:t xml:space="preserve">       </w:t>
      </w:r>
      <w:r w:rsidRPr="00827575">
        <w:rPr>
          <w:rFonts w:ascii="Cambria" w:eastAsia="Calibri" w:hAnsi="Cambria"/>
          <w:sz w:val="22"/>
          <w:szCs w:val="22"/>
          <w:lang w:eastAsia="en-US"/>
        </w:rPr>
        <w:t>përgjatë 1 jave);</w:t>
      </w:r>
    </w:p>
    <w:p w:rsidR="00A85F66" w:rsidRPr="00827575" w:rsidRDefault="00A85F66" w:rsidP="00A85F66">
      <w:pPr>
        <w:spacing w:line="276" w:lineRule="auto"/>
        <w:jc w:val="both"/>
        <w:rPr>
          <w:rFonts w:ascii="Cambria" w:eastAsia="Calibri" w:hAnsi="Cambria"/>
          <w:sz w:val="8"/>
          <w:szCs w:val="8"/>
          <w:lang w:eastAsia="en-US"/>
        </w:rPr>
      </w:pPr>
    </w:p>
    <w:p w:rsidR="00A85F66" w:rsidRPr="00827575" w:rsidRDefault="00A85F66" w:rsidP="00A85F66">
      <w:pPr>
        <w:widowControl w:val="0"/>
        <w:jc w:val="both"/>
        <w:rPr>
          <w:rFonts w:ascii="Cambria" w:hAnsi="Cambria"/>
          <w:sz w:val="22"/>
          <w:szCs w:val="22"/>
          <w:lang w:eastAsia="en-US"/>
        </w:rPr>
      </w:pPr>
      <w:r w:rsidRPr="00827575">
        <w:rPr>
          <w:rFonts w:ascii="Cambria" w:hAnsi="Cambria"/>
          <w:sz w:val="22"/>
          <w:szCs w:val="22"/>
          <w:lang w:eastAsia="en-US"/>
        </w:rPr>
        <w:t>Gjatë vitit 2018</w:t>
      </w:r>
      <w:r w:rsidR="00CC05EB">
        <w:rPr>
          <w:rFonts w:ascii="Cambria" w:hAnsi="Cambria"/>
          <w:sz w:val="22"/>
          <w:szCs w:val="22"/>
          <w:lang w:eastAsia="en-US"/>
        </w:rPr>
        <w:t>,</w:t>
      </w:r>
      <w:r w:rsidRPr="00827575">
        <w:rPr>
          <w:rFonts w:ascii="Cambria" w:hAnsi="Cambria"/>
          <w:sz w:val="22"/>
          <w:szCs w:val="22"/>
          <w:lang w:eastAsia="en-US"/>
        </w:rPr>
        <w:t xml:space="preserve"> trajnimi i vijueshëm profesional ka pasur dinamikat e tij të zhvillimit lidhur me pjesëmarrjen, ku përmendim faktin se në të gjitha rastet kur janë dokumentuar punësimet rishtas të audituesve, këta të fundit janë bërë pjesë e procesit duke ju mundësuar përditësimin e njohurive lidhur me zbatueshmërinë e standardeve ndërkombëtare të auditimit dhe njohjen me praktikat më të mira. Po kështu pjesë e procesit u bënë edhe kandidatët që fituan titullin “Auditues i Brendshëm në sektorin publik”, në procesin e certifikimit 2017-2018.</w:t>
      </w:r>
    </w:p>
    <w:p w:rsidR="00A85F66" w:rsidRPr="00827575" w:rsidRDefault="00A85F66" w:rsidP="00A85F66">
      <w:pPr>
        <w:widowControl w:val="0"/>
        <w:jc w:val="both"/>
        <w:rPr>
          <w:rFonts w:ascii="Cambria" w:hAnsi="Cambria"/>
          <w:sz w:val="8"/>
          <w:szCs w:val="8"/>
          <w:lang w:eastAsia="en-US"/>
        </w:rPr>
      </w:pPr>
    </w:p>
    <w:p w:rsidR="00A85F66" w:rsidRPr="00827575" w:rsidRDefault="00A85F66" w:rsidP="00A85F66">
      <w:pPr>
        <w:widowControl w:val="0"/>
        <w:jc w:val="both"/>
        <w:rPr>
          <w:rFonts w:ascii="Cambria" w:hAnsi="Cambria"/>
          <w:sz w:val="22"/>
          <w:szCs w:val="22"/>
          <w:lang w:eastAsia="en-US"/>
        </w:rPr>
      </w:pPr>
      <w:r w:rsidRPr="00827575">
        <w:rPr>
          <w:rFonts w:ascii="Cambria" w:hAnsi="Cambria"/>
          <w:sz w:val="22"/>
          <w:szCs w:val="22"/>
          <w:lang w:eastAsia="en-US"/>
        </w:rPr>
        <w:t>Bashkëpunimi i suksesshëm me Shkollën Shqiptare të Administratës Publike (ASPA) i dha një vlerë të shtuar rëndësisë dhe impaktit të këtij programi trajnimi. Për të garantuar efektivitet të lartë të përfitimit të njohurive si dhe realizimin me sukses të procesit, audituesit kanë sugjeruar përfshirjen në programet e ardhshme të trajnimit, trajtimin praktik të një angazhimi auditimi në të gjitha hapat e tij, trajtimin praktik të auditimit të performancës, identifikimin e rasteve të mashtrimit, auditimin e sistemeve të teknologjisë së informacionit, etj.</w:t>
      </w:r>
    </w:p>
    <w:p w:rsidR="007252B1" w:rsidRDefault="007D1506" w:rsidP="007252B1">
      <w:pPr>
        <w:pStyle w:val="Heading1"/>
      </w:pPr>
      <w:bookmarkStart w:id="73" w:name="_Toc9082378"/>
      <w:bookmarkEnd w:id="58"/>
      <w:bookmarkEnd w:id="59"/>
      <w:bookmarkEnd w:id="71"/>
      <w:bookmarkEnd w:id="72"/>
      <w:r>
        <w:t xml:space="preserve">ANEKSI </w:t>
      </w:r>
      <w:r w:rsidR="007252B1" w:rsidRPr="00DC729F">
        <w:t>I</w:t>
      </w:r>
      <w:r w:rsidR="007252B1">
        <w:t xml:space="preserve">. </w:t>
      </w:r>
      <w:r w:rsidR="007252B1" w:rsidRPr="00DC729F">
        <w:t>VLERËSIMI I SISTEMIT TË MFK</w:t>
      </w:r>
      <w:r w:rsidR="007252B1">
        <w:t>-së</w:t>
      </w:r>
      <w:r w:rsidR="007252B1" w:rsidRPr="00DC729F">
        <w:t xml:space="preserve"> NË NJËSITË </w:t>
      </w:r>
      <w:r w:rsidR="007252B1">
        <w:t xml:space="preserve">SHPENZUESE </w:t>
      </w:r>
      <w:r w:rsidR="007252B1" w:rsidRPr="00DC729F">
        <w:t>ME BUXHET TË MADH</w:t>
      </w:r>
      <w:bookmarkEnd w:id="73"/>
    </w:p>
    <w:p w:rsidR="007252B1" w:rsidRPr="00604C05" w:rsidRDefault="007252B1" w:rsidP="007252B1">
      <w:pPr>
        <w:jc w:val="both"/>
        <w:rPr>
          <w:rFonts w:ascii="Cambria" w:hAnsi="Cambria"/>
          <w:sz w:val="22"/>
          <w:szCs w:val="22"/>
          <w:lang w:val="sq-AL"/>
        </w:rPr>
      </w:pPr>
      <w:r w:rsidRPr="00604C05">
        <w:rPr>
          <w:rFonts w:ascii="Cambria" w:hAnsi="Cambria"/>
          <w:sz w:val="22"/>
          <w:szCs w:val="22"/>
          <w:lang w:val="sq-AL"/>
        </w:rPr>
        <w:t>Në vijim të procesit të rëndësishëm të implementimit të sistemit të kontrollit të brendshëm në njësitë publike si dhe në kuadër të rekomandimeve të vazhdueshme të organizmave ndërkombëtare, DH/MFKK ka zgjeruar gamën e institucioneve që plotësojnë pyetësorin e vetëvlerësimit të MFK-së, duke përfshirë një grup institucionesh varësie, me qëllim sigurimin e një pamje më të qartë të progresit. Për këtë arsye, janë përzgjedhur 15 institucione publike bazuar në dy kritere:</w:t>
      </w:r>
    </w:p>
    <w:p w:rsidR="007252B1" w:rsidRPr="00604C05" w:rsidRDefault="007252B1" w:rsidP="007252B1">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sa 10% e totalit të buxhetit të grupit; dhe/ose</w:t>
      </w:r>
    </w:p>
    <w:p w:rsidR="007252B1" w:rsidRDefault="007252B1" w:rsidP="007252B1">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1 miliard lekë.</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 xml:space="preserve">Vlerësimi i sistemit të MFK-së në këto institucione varësie për vitin 2018 u bazua në pyetësorët e rishikuar të vetëvlerësimit të MFK-së, të cilët gjenerojnë 3 tregues performance gjithëpërfshirës; në treguesit e performancës së strukturës përgjegjëse për thesarin si dhe treguesit e performancës së strukturës përgjegjëse për buxhetin, në total 16 tregues nga 18 të parashikuar në metodologjinë e monitorimit. Sqarojmë se, dy tregues të lidhur me përshkrimin e situatës së menaxhimit të detyrimeve të prapambetura (përkatësisht treguesi nr. 3 dhe treguesi nr. 7), nuk janë përfshirë në analizën e përgjithshme të përformancës për këto njësi për arsye se strukturat përgjegjëse për gjenerimin e këtyre të dhënave evidentojnë se ka ende mangësi në raportimin e kryer nga njësitë publike. </w:t>
      </w:r>
    </w:p>
    <w:p w:rsidR="007252B1" w:rsidRPr="006337FD"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Gjatë kësaj analize u vlerësuan edhe 17 parimet e MFK-së me qëllim evidentimin e progresit të sistemit të kontrollit të brendshëm në tërësi dhe adresimin e problematikave të cilat kufizojnë zhvillimin e mëtejshëm të këtij sistemi, përfundimet e së cilës janë paraqitur në Kapitullin nr. 2.</w:t>
      </w:r>
    </w:p>
    <w:p w:rsidR="007252B1" w:rsidRPr="006337FD" w:rsidRDefault="007252B1" w:rsidP="007252B1">
      <w:pPr>
        <w:jc w:val="both"/>
        <w:rPr>
          <w:rFonts w:asciiTheme="majorHAnsi" w:hAnsiTheme="majorHAnsi"/>
          <w:sz w:val="22"/>
          <w:szCs w:val="22"/>
          <w:lang w:val="sq-AL" w:eastAsia="en-US"/>
        </w:rPr>
      </w:pPr>
    </w:p>
    <w:p w:rsidR="007252B1"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Nga vlerës</w:t>
      </w:r>
      <w:r w:rsidR="008B75DC">
        <w:rPr>
          <w:rFonts w:asciiTheme="majorHAnsi" w:hAnsiTheme="majorHAnsi"/>
          <w:sz w:val="22"/>
          <w:szCs w:val="22"/>
          <w:lang w:val="sq-AL" w:eastAsia="en-US"/>
        </w:rPr>
        <w:t>imi i treguesve të përformancës</w:t>
      </w:r>
      <w:r w:rsidRPr="006337FD">
        <w:rPr>
          <w:rFonts w:asciiTheme="majorHAnsi" w:hAnsiTheme="majorHAnsi"/>
          <w:sz w:val="22"/>
          <w:szCs w:val="22"/>
          <w:lang w:val="sq-AL" w:eastAsia="en-US"/>
        </w:rPr>
        <w:t xml:space="preserve"> institucioni</w:t>
      </w:r>
      <w:r w:rsidR="008B75DC">
        <w:rPr>
          <w:rFonts w:asciiTheme="majorHAnsi" w:hAnsiTheme="majorHAnsi"/>
          <w:sz w:val="22"/>
          <w:szCs w:val="22"/>
          <w:lang w:val="sq-AL" w:eastAsia="en-US"/>
        </w:rPr>
        <w:t>,</w:t>
      </w:r>
      <w:r w:rsidRPr="006337FD">
        <w:rPr>
          <w:rFonts w:asciiTheme="majorHAnsi" w:hAnsiTheme="majorHAnsi"/>
          <w:sz w:val="22"/>
          <w:szCs w:val="22"/>
          <w:lang w:val="sq-AL" w:eastAsia="en-US"/>
        </w:rPr>
        <w:t xml:space="preserve"> i cili paraqet një nivel të kënaqshëm të efektivitetit të sistemit të kontrollit të brendshëm</w:t>
      </w:r>
      <w:r w:rsidR="008B75DC">
        <w:rPr>
          <w:rFonts w:asciiTheme="majorHAnsi" w:hAnsiTheme="majorHAnsi"/>
          <w:sz w:val="22"/>
          <w:szCs w:val="22"/>
          <w:lang w:val="sq-AL" w:eastAsia="en-US"/>
        </w:rPr>
        <w:t>,</w:t>
      </w:r>
      <w:r w:rsidRPr="006337FD">
        <w:rPr>
          <w:rFonts w:asciiTheme="majorHAnsi" w:hAnsiTheme="majorHAnsi"/>
          <w:sz w:val="22"/>
          <w:szCs w:val="22"/>
          <w:lang w:val="sq-AL" w:eastAsia="en-US"/>
        </w:rPr>
        <w:t xml:space="preserve"> është Qendra Spitalore Universitare “Nënë Tereza”</w:t>
      </w:r>
      <w:r w:rsidR="00DC709A">
        <w:rPr>
          <w:rFonts w:asciiTheme="majorHAnsi" w:hAnsiTheme="majorHAnsi"/>
          <w:sz w:val="22"/>
          <w:szCs w:val="22"/>
          <w:lang w:val="sq-AL" w:eastAsia="en-US"/>
        </w:rPr>
        <w:t>,</w:t>
      </w:r>
      <w:r w:rsidRPr="006337FD">
        <w:rPr>
          <w:rFonts w:asciiTheme="majorHAnsi" w:hAnsiTheme="majorHAnsi"/>
          <w:sz w:val="22"/>
          <w:szCs w:val="22"/>
          <w:lang w:val="sq-AL" w:eastAsia="en-US"/>
        </w:rPr>
        <w:t xml:space="preserve"> duke u renditur në vendin e parë me 52 pikë nga 64 pikë </w:t>
      </w:r>
      <w:r w:rsidR="00DC709A">
        <w:rPr>
          <w:rFonts w:asciiTheme="majorHAnsi" w:hAnsiTheme="majorHAnsi"/>
          <w:sz w:val="22"/>
          <w:szCs w:val="22"/>
          <w:lang w:val="sq-AL" w:eastAsia="en-US"/>
        </w:rPr>
        <w:t>maksimale të mundshme</w:t>
      </w:r>
      <w:r w:rsidRPr="006337FD">
        <w:rPr>
          <w:rFonts w:asciiTheme="majorHAnsi" w:hAnsiTheme="majorHAnsi"/>
          <w:sz w:val="22"/>
          <w:szCs w:val="22"/>
          <w:lang w:val="sq-AL" w:eastAsia="en-US"/>
        </w:rPr>
        <w:t xml:space="preserve"> dhe me një realizim performance prej 81%. Gjithashtu, vlerësohet se performanca e Agjencisë Kombëtare të Ujësjellës Kanalizimeve është në nivele mjaft të ul</w:t>
      </w:r>
      <w:r w:rsidR="00EA1BCE">
        <w:rPr>
          <w:rFonts w:asciiTheme="majorHAnsi" w:hAnsiTheme="majorHAnsi"/>
          <w:sz w:val="22"/>
          <w:szCs w:val="22"/>
          <w:lang w:val="sq-AL" w:eastAsia="en-US"/>
        </w:rPr>
        <w:t>ë</w:t>
      </w:r>
      <w:r w:rsidRPr="006337FD">
        <w:rPr>
          <w:rFonts w:asciiTheme="majorHAnsi" w:hAnsiTheme="majorHAnsi"/>
          <w:sz w:val="22"/>
          <w:szCs w:val="22"/>
          <w:lang w:val="sq-AL" w:eastAsia="en-US"/>
        </w:rPr>
        <w:t xml:space="preserve">ta, duke </w:t>
      </w:r>
      <w:r w:rsidR="008B75DC">
        <w:rPr>
          <w:rFonts w:asciiTheme="majorHAnsi" w:hAnsiTheme="majorHAnsi"/>
          <w:sz w:val="22"/>
          <w:szCs w:val="22"/>
          <w:lang w:val="sq-AL" w:eastAsia="en-US"/>
        </w:rPr>
        <w:t>u</w:t>
      </w:r>
      <w:r w:rsidRPr="006337FD">
        <w:rPr>
          <w:rFonts w:asciiTheme="majorHAnsi" w:hAnsiTheme="majorHAnsi"/>
          <w:sz w:val="22"/>
          <w:szCs w:val="22"/>
          <w:lang w:val="sq-AL" w:eastAsia="en-US"/>
        </w:rPr>
        <w:t xml:space="preserve"> pozicionuar në vendin e fundit me 22 pikë, ndërmjet 15 njësive të marra në analizë. </w:t>
      </w:r>
    </w:p>
    <w:p w:rsidR="007252B1" w:rsidRPr="006337FD" w:rsidRDefault="007252B1" w:rsidP="007252B1">
      <w:pPr>
        <w:jc w:val="both"/>
        <w:rPr>
          <w:rFonts w:asciiTheme="majorHAnsi" w:hAnsiTheme="majorHAnsi"/>
          <w:sz w:val="22"/>
          <w:szCs w:val="22"/>
          <w:lang w:val="sq-AL" w:eastAsia="en-US"/>
        </w:rPr>
      </w:pPr>
    </w:p>
    <w:p w:rsidR="007252B1" w:rsidRPr="006337FD"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Një vështrim i përgjithshëm për treguesit e performancës për këto njësi varësie paraqitet si më poshtë vijon:</w:t>
      </w:r>
    </w:p>
    <w:p w:rsidR="007252B1" w:rsidRPr="006337FD"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 xml:space="preserve"> </w:t>
      </w:r>
    </w:p>
    <w:p w:rsidR="007252B1" w:rsidRPr="006337FD" w:rsidRDefault="007252B1" w:rsidP="007252B1">
      <w:pPr>
        <w:tabs>
          <w:tab w:val="left" w:pos="360"/>
        </w:tabs>
        <w:jc w:val="both"/>
        <w:rPr>
          <w:rFonts w:asciiTheme="majorHAnsi" w:hAnsiTheme="majorHAnsi"/>
          <w:sz w:val="22"/>
          <w:szCs w:val="22"/>
          <w:lang w:val="sq-AL" w:eastAsia="en-US" w:bidi="en-US"/>
        </w:rPr>
      </w:pPr>
      <w:r w:rsidRPr="006337FD">
        <w:rPr>
          <w:rFonts w:asciiTheme="majorHAnsi" w:hAnsiTheme="majorHAnsi"/>
          <w:sz w:val="22"/>
          <w:szCs w:val="22"/>
          <w:lang w:val="sq-AL" w:eastAsia="en-US" w:bidi="en-US"/>
        </w:rPr>
        <w:t>1.</w:t>
      </w:r>
      <w:r w:rsidRPr="006337FD">
        <w:rPr>
          <w:rFonts w:asciiTheme="majorHAnsi" w:hAnsiTheme="majorHAnsi"/>
          <w:sz w:val="22"/>
          <w:szCs w:val="22"/>
          <w:lang w:val="sq-AL" w:eastAsia="en-US" w:bidi="en-US"/>
        </w:rPr>
        <w:tab/>
        <w:t xml:space="preserve">Treguesi i parë i analizuar nga struktura përgjegjëse për buxhetin në Ministrinë e Financave dhe Ekonomisë është </w:t>
      </w:r>
      <w:r w:rsidRPr="0073029C">
        <w:rPr>
          <w:rFonts w:asciiTheme="majorHAnsi" w:hAnsiTheme="majorHAnsi"/>
          <w:b/>
          <w:sz w:val="22"/>
          <w:szCs w:val="22"/>
          <w:lang w:val="sq-AL" w:eastAsia="en-US" w:bidi="en-US"/>
        </w:rPr>
        <w:t>“Realizimi i shpenzimeve buxhetore”,</w:t>
      </w:r>
      <w:r w:rsidRPr="006337FD">
        <w:rPr>
          <w:rFonts w:asciiTheme="majorHAnsi" w:hAnsiTheme="majorHAnsi"/>
          <w:sz w:val="22"/>
          <w:szCs w:val="22"/>
          <w:lang w:val="sq-AL" w:eastAsia="en-US" w:bidi="en-US"/>
        </w:rPr>
        <w:t xml:space="preserve"> i cili përcakton masën në të cilën janë realizuar shpenzimet buxhetore gjatë vitit kundrejt planit të buxhetit të miratuar nga Kuvendi. Për vitin 2018, ky tregues është vlerësuar mesatarisht në nivelin 2.87 pikë nga 4 pikë të mundshme (ose 72%), duke reflektuar një performancë të mirë të tij për njësitë e marra në analizë. Rezultati evidenton faktin se, pjesa më e madhe e njësive janë efiçiente dhe efektive në përdorimin e buxhetit dhe realizimin e shpenzimeve të planifikuara për mbarëvajtjen </w:t>
      </w:r>
      <w:r w:rsidR="00851267">
        <w:rPr>
          <w:rFonts w:asciiTheme="majorHAnsi" w:hAnsiTheme="majorHAnsi"/>
          <w:sz w:val="22"/>
          <w:szCs w:val="22"/>
          <w:lang w:val="sq-AL" w:eastAsia="en-US" w:bidi="en-US"/>
        </w:rPr>
        <w:t>e veprimtarisë së institucionit, n</w:t>
      </w:r>
      <w:r w:rsidRPr="006337FD">
        <w:rPr>
          <w:rFonts w:asciiTheme="majorHAnsi" w:hAnsiTheme="majorHAnsi"/>
          <w:sz w:val="22"/>
          <w:szCs w:val="22"/>
          <w:lang w:val="sq-AL" w:eastAsia="en-US" w:bidi="en-US"/>
        </w:rPr>
        <w:t xml:space="preserve">dërkohë që, arsyet  për mosrealizimin e këtij treguesi vijnë kryesisht si pasojë e shtyrjes së afateve të realizimit nga procesi i prokurimit, apo edhe nga vonesat në paraqitjen e dokumentacionit teknik e financiar për lëvrimin e fondeve. </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2.</w:t>
      </w:r>
      <w:r w:rsidRPr="006337FD">
        <w:rPr>
          <w:rFonts w:asciiTheme="majorHAnsi" w:hAnsiTheme="majorHAnsi"/>
          <w:sz w:val="22"/>
          <w:szCs w:val="22"/>
          <w:lang w:val="sq-AL" w:eastAsia="en-US"/>
        </w:rPr>
        <w:tab/>
        <w:t xml:space="preserve">Një tregues tjetër është </w:t>
      </w:r>
      <w:r w:rsidRPr="0073029C">
        <w:rPr>
          <w:rFonts w:asciiTheme="majorHAnsi" w:hAnsiTheme="majorHAnsi"/>
          <w:b/>
          <w:sz w:val="22"/>
          <w:szCs w:val="22"/>
          <w:lang w:val="sq-AL" w:eastAsia="en-US"/>
        </w:rPr>
        <w:t>“Realizimi i shpenzimeve buxhetore sipas klasifikimit ekonomik”</w:t>
      </w:r>
      <w:r w:rsidRPr="006337FD">
        <w:rPr>
          <w:rFonts w:asciiTheme="majorHAnsi" w:hAnsiTheme="majorHAnsi"/>
          <w:sz w:val="22"/>
          <w:szCs w:val="22"/>
          <w:lang w:val="sq-AL" w:eastAsia="en-US"/>
        </w:rPr>
        <w:t>, i cili mat diferencën midis buxhetit të miratuar dhe buxhetit faktik në fund të vitit për çdo grup të shpenzimeve buxhetore të ndara sipas klasifikimit ekonomik. Nga vlerësimi i kryer për këtë tregues, rezultati është 2.26 pikë os</w:t>
      </w:r>
      <w:r w:rsidR="0056190C">
        <w:rPr>
          <w:rFonts w:asciiTheme="majorHAnsi" w:hAnsiTheme="majorHAnsi"/>
          <w:sz w:val="22"/>
          <w:szCs w:val="22"/>
          <w:lang w:val="sq-AL" w:eastAsia="en-US"/>
        </w:rPr>
        <w:t>e</w:t>
      </w:r>
      <w:r w:rsidRPr="006337FD">
        <w:rPr>
          <w:rFonts w:asciiTheme="majorHAnsi" w:hAnsiTheme="majorHAnsi"/>
          <w:sz w:val="22"/>
          <w:szCs w:val="22"/>
          <w:lang w:val="sq-AL" w:eastAsia="en-US"/>
        </w:rPr>
        <w:t xml:space="preserve"> 56%, duke paraqitur një nivel mesatar të performancës së njësive lidhur</w:t>
      </w:r>
      <w:r w:rsidR="00AF1447">
        <w:rPr>
          <w:rFonts w:asciiTheme="majorHAnsi" w:hAnsiTheme="majorHAnsi"/>
          <w:sz w:val="22"/>
          <w:szCs w:val="22"/>
          <w:lang w:val="sq-AL" w:eastAsia="en-US"/>
        </w:rPr>
        <w:t xml:space="preserve"> me këtë tregues. Për ato njësi, </w:t>
      </w:r>
      <w:r w:rsidRPr="006337FD">
        <w:rPr>
          <w:rFonts w:asciiTheme="majorHAnsi" w:hAnsiTheme="majorHAnsi"/>
          <w:sz w:val="22"/>
          <w:szCs w:val="22"/>
          <w:lang w:val="sq-AL" w:eastAsia="en-US"/>
        </w:rPr>
        <w:t xml:space="preserve">që paraqiten me një nivel të realizimit të shpenzimeve më të ulët se plani fillestar i mirtuar në Kuvend, evidentojmë se shkaqet kryesore që ndikojnë në performancë, konsistojnë në mosrealizimin e shpenzimeve për paga, sigurim si edhe rastet e mosplotësimit të punonjësve në organikë. Gjithashtu, mund të përmendim problematikat e krijuara nga mosrealizimi i shpenzimeve për “Mallra e shërbime”, për shkak të mosrealizimit të zërave të tillë si shpenzime për udhëtim </w:t>
      </w:r>
      <w:r w:rsidR="00AF1447">
        <w:rPr>
          <w:rFonts w:asciiTheme="majorHAnsi" w:hAnsiTheme="majorHAnsi"/>
          <w:sz w:val="22"/>
          <w:szCs w:val="22"/>
          <w:lang w:val="sq-AL" w:eastAsia="en-US"/>
        </w:rPr>
        <w:t xml:space="preserve">dhe </w:t>
      </w:r>
      <w:r w:rsidRPr="006337FD">
        <w:rPr>
          <w:rFonts w:asciiTheme="majorHAnsi" w:hAnsiTheme="majorHAnsi"/>
          <w:sz w:val="22"/>
          <w:szCs w:val="22"/>
          <w:lang w:val="sq-AL" w:eastAsia="en-US"/>
        </w:rPr>
        <w:t>dieta për jashtë, mosrealizimi i zërit “Transferta tek individët“, ku një ndër institucionet me performancën më të ulët është edhe Agjencia për Zhvillim Bujqësor dhe Rural për shkak të mosrealizimit të fondeve për skemën e mbështetjes së fermerëve.</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3.</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“Realizimi i shpenzimeve kapitale”</w:t>
      </w:r>
      <w:r w:rsidRPr="006337FD">
        <w:rPr>
          <w:rFonts w:asciiTheme="majorHAnsi" w:hAnsiTheme="majorHAnsi"/>
          <w:sz w:val="22"/>
          <w:szCs w:val="22"/>
          <w:lang w:val="sq-AL" w:eastAsia="en-US"/>
        </w:rPr>
        <w:t xml:space="preserve"> paraqet devijimin nga plani i realizimit i shpenzimeve kapitale në një vit kundrejt shpenzimeve kapitale totale të planifikuara me ligjin e buxhetit vjetor në Kuvend. Për vitin 2018, ky tregues është vlerësuar mesatarisht me 2.23 pikë (56%), duke shfaqur një performancë mesatare të njësive publike me buxhet të madh. Për ato njësi të cilat paraqesin një performancë të ulët të realizimit të këtij treguesi, evidentohet se shkaqet kryesore janë të lidhura kryesisht me kryerjen e procedurave të prokurimit. Gjithashtu, vlen të theksohet se</w:t>
      </w:r>
      <w:r w:rsidR="00AF1447">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për Institutin e Sigurimeve Shoqërore dhe Fondin e Sigurimit të Dety</w:t>
      </w:r>
      <w:r w:rsidR="00AF1447">
        <w:rPr>
          <w:rFonts w:asciiTheme="majorHAnsi" w:hAnsiTheme="majorHAnsi"/>
          <w:sz w:val="22"/>
          <w:szCs w:val="22"/>
          <w:lang w:val="sq-AL" w:eastAsia="en-US"/>
        </w:rPr>
        <w:t>rueshëm të Kujdesit Shëndetësor</w:t>
      </w:r>
      <w:r w:rsidRPr="006337FD">
        <w:rPr>
          <w:rFonts w:asciiTheme="majorHAnsi" w:hAnsiTheme="majorHAnsi"/>
          <w:sz w:val="22"/>
          <w:szCs w:val="22"/>
          <w:lang w:val="sq-AL" w:eastAsia="en-US"/>
        </w:rPr>
        <w:t xml:space="preserve"> nuk disponohen të dhëna për këtë tregues, pasi këto institucione kanë buxhetet e tyre, të cilat nuk janë objekt monitorimi i strukturës përgjegjëse për buxhetin në Ministrinë e Financave dhe Ekonomisë.</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4.</w:t>
      </w:r>
      <w:r w:rsidRPr="006337FD">
        <w:rPr>
          <w:rFonts w:asciiTheme="majorHAnsi" w:hAnsiTheme="majorHAnsi"/>
          <w:sz w:val="22"/>
          <w:szCs w:val="22"/>
          <w:lang w:val="sq-AL" w:eastAsia="en-US"/>
        </w:rPr>
        <w:tab/>
      </w:r>
      <w:r w:rsidRPr="0073029C">
        <w:rPr>
          <w:rFonts w:asciiTheme="majorHAnsi" w:hAnsiTheme="majorHAnsi"/>
          <w:b/>
          <w:sz w:val="22"/>
          <w:szCs w:val="22"/>
          <w:lang w:val="sq-AL" w:eastAsia="en-US"/>
        </w:rPr>
        <w:t>“Investimet kapitale shumëvjeçare janë hedhur në sistem sipas planit kontraktual të disbursimit”</w:t>
      </w:r>
      <w:r w:rsidRPr="006337FD">
        <w:rPr>
          <w:rFonts w:asciiTheme="majorHAnsi" w:hAnsiTheme="majorHAnsi"/>
          <w:sz w:val="22"/>
          <w:szCs w:val="22"/>
          <w:lang w:val="sq-AL" w:eastAsia="en-US"/>
        </w:rPr>
        <w:t xml:space="preserve"> është një tregues tjetër i rëndësishëm, i cili paraqet shumat totale të shpenzimeve për projektet e investimeve në periudhën e vlerësimit (një ose disavjeçare) me shumën totale të planit shumëvjeçar të parashikuar për projektet. Për periudhën analizuese, ky tregues është vlerësuar mesatarisht me 0.84 pikë (ose 21%) të nivelit referues. Ky rezultat paraqitet në nivele shumë të ulëta, duke evidentuar faktin se</w:t>
      </w:r>
      <w:r w:rsidR="002145B7">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pothuajse të gjitha njësitë e varësisë të marra në analizë shfaqin problematika përsa i përket parashikimit të fondeve në fillim të vitit buxhetor, gjë e cila ka sjellë diferenca apo devijime të mëdha të planeve buxhetore. Gjithashtu, rishikimi i buxhetit kryhet duke i kaluar fondet nga projektet me ecuri më të ulët në ato me ecuri më të lartë. Ecuria e ulët mund të jetë rezultat edhe i planifikimit te gabuar, ku nuk janë mbajtur parasysh faktorët që mund të pengojnë ecurinë e projektit gjatë vitit.</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5.</w:t>
      </w:r>
      <w:r w:rsidRPr="006337FD">
        <w:rPr>
          <w:rFonts w:asciiTheme="majorHAnsi" w:hAnsiTheme="majorHAnsi"/>
          <w:sz w:val="22"/>
          <w:szCs w:val="22"/>
          <w:lang w:val="sq-AL" w:eastAsia="en-US"/>
        </w:rPr>
        <w:tab/>
        <w:t xml:space="preserve">Treguesi i parë i gjeneruar nga struktura përgjegjëse për thesarin është </w:t>
      </w:r>
      <w:r w:rsidRPr="0073029C">
        <w:rPr>
          <w:rFonts w:asciiTheme="majorHAnsi" w:hAnsiTheme="majorHAnsi"/>
          <w:b/>
          <w:sz w:val="22"/>
          <w:szCs w:val="22"/>
          <w:lang w:val="sq-AL" w:eastAsia="en-US"/>
        </w:rPr>
        <w:t>“Të gjitha faturat janë dërguar në kohë për pagesë pranë degës përkatëse të thesarit”</w:t>
      </w:r>
      <w:r w:rsidRPr="006337FD">
        <w:rPr>
          <w:rFonts w:asciiTheme="majorHAnsi" w:hAnsiTheme="majorHAnsi"/>
          <w:sz w:val="22"/>
          <w:szCs w:val="22"/>
          <w:lang w:val="sq-AL" w:eastAsia="en-US"/>
        </w:rPr>
        <w:t>, i cili përcakton numrin e faturave të dërguara në thesar për pagesë përtej afatit kohor prej 30 ditësh kundrejt numrit total të faturave të dërguara për pagesë. Për vitin 2018, ky tregues është vlerësuar mesatarisht me 1.73 pikë nga 4 pikë të mundshme (ose 43.2%), duke reflektuar një situatë relativisht problematike në këtë fushë për njësitë e marra në analizë. Kryesisht, arsyet e mosdërgimit në kohë të faturave në thesar vijnë për shkak se furnitorët nuk paraqesin faturat në kohë në institucion, dokumentacioni mbështetës i dërguar nuk është i plotë ose i saktë si dhe ndodh që shpesh të ketë vonesa në lidhje me dërgimin e të dhënave bankare të furnitorit. Për këtë tregues, institucionet që shfaqin më shumë problematika janë</w:t>
      </w:r>
      <w:r w:rsidR="002145B7">
        <w:rPr>
          <w:rFonts w:asciiTheme="majorHAnsi" w:hAnsiTheme="majorHAnsi"/>
          <w:sz w:val="22"/>
          <w:szCs w:val="22"/>
          <w:lang w:val="sq-AL" w:eastAsia="en-US"/>
        </w:rPr>
        <w:t>:</w:t>
      </w:r>
      <w:r w:rsidRPr="006337FD">
        <w:rPr>
          <w:rFonts w:asciiTheme="majorHAnsi" w:hAnsiTheme="majorHAnsi"/>
          <w:sz w:val="22"/>
          <w:szCs w:val="22"/>
          <w:lang w:val="sq-AL" w:eastAsia="en-US"/>
        </w:rPr>
        <w:t xml:space="preserve"> Autoriteti Rrugor Shqiptar, Agjencia Kombëtare e Ujësjellës Kanalizimeve, Spitali Universitar i Traumës</w:t>
      </w:r>
      <w:r w:rsidR="002145B7">
        <w:rPr>
          <w:rFonts w:asciiTheme="majorHAnsi" w:hAnsiTheme="majorHAnsi"/>
          <w:sz w:val="22"/>
          <w:szCs w:val="22"/>
          <w:lang w:val="sq-AL" w:eastAsia="en-US"/>
        </w:rPr>
        <w:t>, institucione</w:t>
      </w:r>
      <w:r w:rsidRPr="006337FD">
        <w:rPr>
          <w:rFonts w:asciiTheme="majorHAnsi" w:hAnsiTheme="majorHAnsi"/>
          <w:sz w:val="22"/>
          <w:szCs w:val="22"/>
          <w:lang w:val="sq-AL" w:eastAsia="en-US"/>
        </w:rPr>
        <w:t xml:space="preserve"> të cilët janë vlerësuar me pikë minimale.</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6.</w:t>
      </w:r>
      <w:r w:rsidRPr="006337FD">
        <w:rPr>
          <w:rFonts w:asciiTheme="majorHAnsi" w:hAnsiTheme="majorHAnsi"/>
          <w:sz w:val="22"/>
          <w:szCs w:val="22"/>
          <w:lang w:val="sq-AL" w:eastAsia="en-US"/>
        </w:rPr>
        <w:tab/>
        <w:t xml:space="preserve">Një tregues tjetër i analizuar nga struktura përgjegjëse për thesarin është </w:t>
      </w:r>
      <w:r w:rsidRPr="0073029C">
        <w:rPr>
          <w:rFonts w:asciiTheme="majorHAnsi" w:hAnsiTheme="majorHAnsi"/>
          <w:b/>
          <w:sz w:val="22"/>
          <w:szCs w:val="22"/>
          <w:lang w:val="sq-AL" w:eastAsia="en-US"/>
        </w:rPr>
        <w:t>“Të gjitha kontratat janë dërguar në kohë pranë degës përkatëse të thesarit”</w:t>
      </w:r>
      <w:r w:rsidRPr="006337FD">
        <w:rPr>
          <w:rFonts w:asciiTheme="majorHAnsi" w:hAnsiTheme="majorHAnsi"/>
          <w:sz w:val="22"/>
          <w:szCs w:val="22"/>
          <w:lang w:val="sq-AL" w:eastAsia="en-US"/>
        </w:rPr>
        <w:t>, i cili përcakton numrin e kontratave të dërguara pranë degëve përkatëse të thesarit pas tre ditëve nga data e nënshkrimit të tyre</w:t>
      </w:r>
      <w:r w:rsidR="00E62BB9">
        <w:rPr>
          <w:rFonts w:asciiTheme="majorHAnsi" w:hAnsiTheme="majorHAnsi"/>
          <w:sz w:val="22"/>
          <w:szCs w:val="22"/>
          <w:lang w:val="sq-AL" w:eastAsia="en-US"/>
        </w:rPr>
        <w:t>,</w:t>
      </w:r>
      <w:r w:rsidRPr="006337FD">
        <w:rPr>
          <w:rFonts w:asciiTheme="majorHAnsi" w:hAnsiTheme="majorHAnsi"/>
          <w:sz w:val="22"/>
          <w:szCs w:val="22"/>
          <w:lang w:val="sq-AL" w:eastAsia="en-US"/>
        </w:rPr>
        <w:t xml:space="preserve"> kundrejt numrit total të kontratave të dërguara në thesar. Për vitin 2018, ky tregues është vlerësuar mesatarisht në nivelin 0.76 pikë nga 4 pikë të mundshme (ose 19%), duke reflektuar për një situatë shumë problematike në njësitë e marra në a</w:t>
      </w:r>
      <w:r w:rsidR="00E62BB9">
        <w:rPr>
          <w:rFonts w:asciiTheme="majorHAnsi" w:hAnsiTheme="majorHAnsi"/>
          <w:sz w:val="22"/>
          <w:szCs w:val="22"/>
          <w:lang w:val="sq-AL" w:eastAsia="en-US"/>
        </w:rPr>
        <w:t>nalizë. Mang</w:t>
      </w:r>
      <w:r w:rsidR="001F6F11">
        <w:rPr>
          <w:rFonts w:asciiTheme="majorHAnsi" w:hAnsiTheme="majorHAnsi"/>
          <w:sz w:val="22"/>
          <w:szCs w:val="22"/>
          <w:lang w:val="sq-AL" w:eastAsia="en-US"/>
        </w:rPr>
        <w:t>ësitë e evidentuara</w:t>
      </w:r>
      <w:r w:rsidR="00E62BB9">
        <w:rPr>
          <w:rFonts w:asciiTheme="majorHAnsi" w:hAnsiTheme="majorHAnsi"/>
          <w:sz w:val="22"/>
          <w:szCs w:val="22"/>
          <w:lang w:val="sq-AL" w:eastAsia="en-US"/>
        </w:rPr>
        <w:t xml:space="preserve"> </w:t>
      </w:r>
      <w:r w:rsidRPr="006337FD">
        <w:rPr>
          <w:rFonts w:asciiTheme="majorHAnsi" w:hAnsiTheme="majorHAnsi"/>
          <w:sz w:val="22"/>
          <w:szCs w:val="22"/>
          <w:lang w:val="sq-AL" w:eastAsia="en-US"/>
        </w:rPr>
        <w:t>vijnë kryesisht si pasojë e mungesës së disponibilitetit të personave</w:t>
      </w:r>
      <w:r w:rsidR="00E62BB9">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cilët nënshkruajnë kontratën, duke shkaktuar vonesa në dërgimin e tyre. Gjithashtu, afati ditor prej 3 ditësh për dërgimin e kontratave në thesar është praktikisht i pamundur për t’u zb</w:t>
      </w:r>
      <w:r w:rsidR="001F6F11">
        <w:rPr>
          <w:rFonts w:asciiTheme="majorHAnsi" w:hAnsiTheme="majorHAnsi"/>
          <w:sz w:val="22"/>
          <w:szCs w:val="22"/>
          <w:lang w:val="sq-AL" w:eastAsia="en-US"/>
        </w:rPr>
        <w:t>atuar nga institucionet, të cilë</w:t>
      </w:r>
      <w:r w:rsidRPr="006337FD">
        <w:rPr>
          <w:rFonts w:asciiTheme="majorHAnsi" w:hAnsiTheme="majorHAnsi"/>
          <w:sz w:val="22"/>
          <w:szCs w:val="22"/>
          <w:lang w:val="sq-AL" w:eastAsia="en-US"/>
        </w:rPr>
        <w:t>t nënshkruajnë dhe menaxhojnë një numër shumë të madh kontratash. Në këtë kuadër, mund të përmendim rastin e Qendrës Spitalore Universitare “Nënë Tereza”, e cila menaxhon rreth 80% të numrit të përgjithshëm të kontratave të lidhura. Vlen të theksohet se Instituti i Sigurimeve Shoqërore dhe Fondi i Sigurimit të Detyrueshëm të Kujdesit Shëndetësor nuk kanë lidhur kontrata për vitin 2018.</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7.</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“Numri i urdhër-prokurimeve të paautorizuara”</w:t>
      </w:r>
      <w:r w:rsidRPr="006337FD">
        <w:rPr>
          <w:rFonts w:asciiTheme="majorHAnsi" w:hAnsiTheme="majorHAnsi"/>
          <w:sz w:val="22"/>
          <w:szCs w:val="22"/>
          <w:lang w:val="sq-AL" w:eastAsia="en-US"/>
        </w:rPr>
        <w:t xml:space="preserve"> paraqet numrin e urdhër prokurimeve të paautorizuara kundrejt shumës totale të urdhër prokurimeve të dërguara për pagesë në thesar. Për vitin 2018, ky tregues paraqet një performancë shumë të kënaqshme, ku të gjitha njësitë e marra në analizë janë vlerësuar maksimalisht me 4 pikë. Njësitë publike kanë detyrimin të paraqesin urdhër-prokurimet në Agjencinë e Prokurimeve Publike me au</w:t>
      </w:r>
      <w:r w:rsidR="00E221B4">
        <w:rPr>
          <w:rFonts w:asciiTheme="majorHAnsi" w:hAnsiTheme="majorHAnsi"/>
          <w:sz w:val="22"/>
          <w:szCs w:val="22"/>
          <w:lang w:val="sq-AL" w:eastAsia="en-US"/>
        </w:rPr>
        <w:t>torizimin e Thesarit. Rezultati</w:t>
      </w:r>
      <w:r w:rsidRPr="006337FD">
        <w:rPr>
          <w:rFonts w:asciiTheme="majorHAnsi" w:hAnsiTheme="majorHAnsi"/>
          <w:sz w:val="22"/>
          <w:szCs w:val="22"/>
          <w:lang w:val="sq-AL" w:eastAsia="en-US"/>
        </w:rPr>
        <w:t xml:space="preserve"> evidenton faktin se</w:t>
      </w:r>
      <w:r w:rsidR="0062218E">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gjitha njësit</w:t>
      </w:r>
      <w:r w:rsidR="00E221B4">
        <w:rPr>
          <w:rFonts w:asciiTheme="majorHAnsi" w:hAnsiTheme="majorHAnsi"/>
          <w:sz w:val="22"/>
          <w:szCs w:val="22"/>
          <w:lang w:val="sq-AL" w:eastAsia="en-US"/>
        </w:rPr>
        <w:t>ë janë efiç</w:t>
      </w:r>
      <w:r w:rsidRPr="006337FD">
        <w:rPr>
          <w:rFonts w:asciiTheme="majorHAnsi" w:hAnsiTheme="majorHAnsi"/>
          <w:sz w:val="22"/>
          <w:szCs w:val="22"/>
          <w:lang w:val="sq-AL" w:eastAsia="en-US"/>
        </w:rPr>
        <w:t>ente dhe efektive në mbarëvajtjen e procesit të dërgimit të urdhër-prokurimeve të autorizuara në thesar.</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8.</w:t>
      </w:r>
      <w:r w:rsidRPr="006337FD">
        <w:rPr>
          <w:rFonts w:asciiTheme="majorHAnsi" w:hAnsiTheme="majorHAnsi"/>
          <w:sz w:val="22"/>
          <w:szCs w:val="22"/>
          <w:lang w:val="sq-AL" w:eastAsia="en-US"/>
        </w:rPr>
        <w:tab/>
        <w:t xml:space="preserve">Një tjetër tregues i marrë në analizë nga struktura përgjegjëse për thesarin është </w:t>
      </w:r>
      <w:r w:rsidRPr="0073029C">
        <w:rPr>
          <w:rFonts w:asciiTheme="majorHAnsi" w:hAnsiTheme="majorHAnsi"/>
          <w:b/>
          <w:sz w:val="22"/>
          <w:szCs w:val="22"/>
          <w:lang w:val="sq-AL" w:eastAsia="en-US"/>
        </w:rPr>
        <w:t>“Kufizimi i avancimit të planit mujor të arkës”</w:t>
      </w:r>
      <w:r w:rsidRPr="006337FD">
        <w:rPr>
          <w:rFonts w:asciiTheme="majorHAnsi" w:hAnsiTheme="majorHAnsi"/>
          <w:sz w:val="22"/>
          <w:szCs w:val="22"/>
          <w:lang w:val="sq-AL" w:eastAsia="en-US"/>
        </w:rPr>
        <w:t>, i cili përcakton vlerën e avancimeve të kryera gjatë vitit nga njësitë shpenzuese kundrejt totalit të planit vjetor të arkës. Për vitin 2018, ky tregues është vlerësuar mesatarisht në nivelin 3.8 pikë nga 4 pikë të mundshme (ose 95%), duke reflektuar performancë mjaft të mirë për këtë fushë për të gjitha institucionet</w:t>
      </w:r>
      <w:r w:rsidR="0062218E">
        <w:rPr>
          <w:rFonts w:asciiTheme="majorHAnsi" w:hAnsiTheme="majorHAnsi"/>
          <w:sz w:val="22"/>
          <w:szCs w:val="22"/>
          <w:lang w:val="sq-AL" w:eastAsia="en-US"/>
        </w:rPr>
        <w:t xml:space="preserve"> e marra në analizë. Problemati</w:t>
      </w:r>
      <w:r w:rsidRPr="006337FD">
        <w:rPr>
          <w:rFonts w:asciiTheme="majorHAnsi" w:hAnsiTheme="majorHAnsi"/>
          <w:sz w:val="22"/>
          <w:szCs w:val="22"/>
          <w:lang w:val="sq-AL" w:eastAsia="en-US"/>
        </w:rPr>
        <w:t>k</w:t>
      </w:r>
      <w:r w:rsidR="0062218E">
        <w:rPr>
          <w:rFonts w:asciiTheme="majorHAnsi" w:hAnsiTheme="majorHAnsi"/>
          <w:sz w:val="22"/>
          <w:szCs w:val="22"/>
          <w:lang w:val="sq-AL" w:eastAsia="en-US"/>
        </w:rPr>
        <w:t>a</w:t>
      </w:r>
      <w:r w:rsidRPr="006337FD">
        <w:rPr>
          <w:rFonts w:asciiTheme="majorHAnsi" w:hAnsiTheme="majorHAnsi"/>
          <w:sz w:val="22"/>
          <w:szCs w:val="22"/>
          <w:lang w:val="sq-AL" w:eastAsia="en-US"/>
        </w:rPr>
        <w:t>t në këtë tregues vijnë për shkak të situatave emergjente të paparashikuara të institucioneve si dhe mungesës së parashikimit të duhur të fluksit të mjeteve monetare, për shkak se njësitë nuk raportojnë në intervale kohore të shpeshta në Drejtorinë e Përgjithshme të Thesarit. Në bazë të analizës së kryer, evidentohet nevoja e parashikimit mujor të fluksit të mjeteve monetare nga institucionet si dhe dërgimin e këtij informacioni pranë strukturave përgjegjëse në Ministrinë e Financave dhe Ekonomisë.</w:t>
      </w:r>
    </w:p>
    <w:p w:rsidR="007252B1" w:rsidRPr="006337FD" w:rsidRDefault="007252B1" w:rsidP="007252B1">
      <w:pPr>
        <w:tabs>
          <w:tab w:val="left" w:pos="360"/>
        </w:tabs>
        <w:jc w:val="both"/>
        <w:rPr>
          <w:rFonts w:asciiTheme="majorHAnsi" w:hAnsiTheme="majorHAnsi"/>
          <w:sz w:val="22"/>
          <w:szCs w:val="22"/>
          <w:lang w:val="sq-AL" w:eastAsia="en-US"/>
        </w:rPr>
      </w:pPr>
      <w:r w:rsidRPr="00DA4B15">
        <w:rPr>
          <w:rFonts w:asciiTheme="majorHAnsi" w:hAnsiTheme="majorHAnsi"/>
          <w:sz w:val="22"/>
          <w:szCs w:val="22"/>
          <w:lang w:val="sq-AL" w:eastAsia="en-US"/>
        </w:rPr>
        <w:t>9.</w:t>
      </w:r>
      <w:r w:rsidRPr="00DA4B15">
        <w:rPr>
          <w:rFonts w:asciiTheme="majorHAnsi" w:hAnsiTheme="majorHAnsi"/>
          <w:sz w:val="22"/>
          <w:szCs w:val="22"/>
          <w:lang w:val="sq-AL" w:eastAsia="en-US"/>
        </w:rPr>
        <w:tab/>
        <w:t xml:space="preserve">Treguesi i fundit i marrë në analizë nga struktura përgjegjëse për thesarin është </w:t>
      </w:r>
      <w:r w:rsidRPr="00DA4B15">
        <w:rPr>
          <w:rFonts w:asciiTheme="majorHAnsi" w:hAnsiTheme="majorHAnsi"/>
          <w:b/>
          <w:sz w:val="22"/>
          <w:szCs w:val="22"/>
          <w:lang w:val="sq-AL" w:eastAsia="en-US"/>
        </w:rPr>
        <w:t>“Paraqitja, nënshkrimi dhe respektimi i afatit kohor të dorëzimit të pasqyrave financiare sipas kuadrit ligjor në fuqi”</w:t>
      </w:r>
      <w:r w:rsidRPr="00DA4B15">
        <w:rPr>
          <w:rFonts w:asciiTheme="majorHAnsi" w:hAnsiTheme="majorHAnsi"/>
          <w:sz w:val="22"/>
          <w:szCs w:val="22"/>
          <w:lang w:val="sq-AL" w:eastAsia="en-US"/>
        </w:rPr>
        <w:t>, i cili mat respektimin e afatit kohor, nënshkrimit, përgatitjen dhe paraqitjen e pasqyrave financiare vjetore në</w:t>
      </w:r>
      <w:r w:rsidRPr="006337FD">
        <w:rPr>
          <w:rFonts w:asciiTheme="majorHAnsi" w:hAnsiTheme="majorHAnsi"/>
          <w:sz w:val="22"/>
          <w:szCs w:val="22"/>
          <w:lang w:val="sq-AL" w:eastAsia="en-US"/>
        </w:rPr>
        <w:t xml:space="preserve"> njësitë e qeverisjes së përgjithshme.  Për vitin 2018, ky tregues është vlerësuar në nivelin 4 pikë (ose 100%), duke reflektuar një situatë shumë pozitive në këtë fushë. Gjatë vitit 2018, është miratuar Udhëzimi nr. 8, datë 09.03.2018 “Për procedurat e përgatitjes, paraqitjes dhe raportimit të pasqyrave financiare vjetore në njësitë e qeverisjes së përgjithshme”, i cili përcakton paraqitjen e pasqyrave financiare dhe afatet kohore ligjore për dorëzimin e pasqyrave financiare. Pavarësisht problematikave që kanë pasur institucionet në përshtatjen me udhëzimin e ri, të gjitha institucionet e marra në analizë i kanë paraqitur pasqyrat financiare në kohën e duhur dhe me formatin e duhur.</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10.</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“Hartimi me cilësi i Planit të Veprimit të MFK-së dhe paraqitja brenda afateve kohore të përcaktuara”</w:t>
      </w:r>
      <w:r w:rsidRPr="006337FD">
        <w:rPr>
          <w:rFonts w:asciiTheme="majorHAnsi" w:hAnsiTheme="majorHAnsi"/>
          <w:sz w:val="22"/>
          <w:szCs w:val="22"/>
          <w:lang w:val="sq-AL" w:eastAsia="en-US"/>
        </w:rPr>
        <w:t>, paraqet respektimin e afatit kohor dhe cilësinë e përmbajtjes së Planit të Veprimit për ngritjen e sistemit të MFK-së në njësitë e qeverisjes së përgjithshme.  Për vitin 2018, të dhënat pasqyrojnë një performancë të mirë për njësitë e marra në analizë, duke qënë se treguesi është vlerësuar mesatarisht me 3 pikë nga 4 pikë të mundshme (ose 75%) të nivelit referues të vlerësimit. Faktorët që ndikojnë në performancën e këtyre njësive lidhen kryesisht me informimin e vazhdueshëm mbi rëndësinë e këtij dokumenti dhe formatet e nevojshme për hartimin e tij si edhe asistencën e ofruar nga struktura përgjegjëse për harmonizimin e menaxhimit financiar dhe kontrollit. Pavarësisht hartimit dhe dorëzimit brenda afate</w:t>
      </w:r>
      <w:r w:rsidR="00DA4B15">
        <w:rPr>
          <w:rFonts w:asciiTheme="majorHAnsi" w:hAnsiTheme="majorHAnsi"/>
          <w:sz w:val="22"/>
          <w:szCs w:val="22"/>
          <w:lang w:val="sq-AL" w:eastAsia="en-US"/>
        </w:rPr>
        <w:t>ve kohore të planit të veprimit</w:t>
      </w:r>
      <w:r w:rsidRPr="006337FD">
        <w:rPr>
          <w:rFonts w:asciiTheme="majorHAnsi" w:hAnsiTheme="majorHAnsi"/>
          <w:sz w:val="22"/>
          <w:szCs w:val="22"/>
          <w:lang w:val="sq-AL" w:eastAsia="en-US"/>
        </w:rPr>
        <w:t xml:space="preserve"> evidentohet se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përmbajtja cilësore e tij ka ende nevojë për përmirësime pasi një pjesë e aktiviteteve të parashikuara janë të fokusuara në përmirësimin e performancës financiare apo të çështjeve teknike  të njësisë dhe shumë pak prej tyre janë fokusuar në ndërmarrjen e aktiviteteve për ngritjen e sistemeve efektive të kontrollit të brendshëm. </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11.</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“Gjithëpërfshirja dhe rregullsia e raportimit vjetor mbi sistemin e kontrollit të brendshëm”</w:t>
      </w:r>
      <w:r w:rsidRPr="006337FD">
        <w:rPr>
          <w:rFonts w:asciiTheme="majorHAnsi" w:hAnsiTheme="majorHAnsi"/>
          <w:sz w:val="22"/>
          <w:szCs w:val="22"/>
          <w:lang w:val="sq-AL" w:eastAsia="en-US"/>
        </w:rPr>
        <w:t>, përcakton respektimin e afatit kohor për depozitimin e pyetësorit të vetëvlerësimit të njësive të marra në analizë si dhe cilësinë e tij, ku një pyetësor është konsideruar gjithëpërfshirës nëse përmban një informacion të plotë, të saktë, të mbështetur në statistika dhe evidenca. Për vitin 2018, ky tregues është vlerësuar mesatarisht me 2.8 pikë ose 70%, duke reflektuar një performancë mesatare. Nga analiza e kryer evidentohet se, rezultatet e arritura justifikohen kryesisht me suportin e vazhdueshëm të strukturës përgjegjëse për harmonizimin e menaxhimit financiar dhe kontrollin mbi mënyrën e plotësimit të pyetësorit të rishikuar të vetëvlerësimit si edhe të dokumentave të tjerë shoqërues. Në këtë kuadër, DH/MFKK zhvilloi 4 seanca trajnimi me pjesëmarrës nga njësitë e qeverisjes së përgjithshme.</w:t>
      </w:r>
    </w:p>
    <w:p w:rsidR="007252B1" w:rsidRPr="00021F30"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12.</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“Efektiviteti i mekanizmave bazë të përgjegjshmërisë menaxheriale në njësitë e sektorit publik”</w:t>
      </w:r>
      <w:r w:rsidRPr="006337FD">
        <w:rPr>
          <w:rFonts w:asciiTheme="majorHAnsi" w:hAnsiTheme="majorHAnsi"/>
          <w:sz w:val="22"/>
          <w:szCs w:val="22"/>
          <w:lang w:val="sq-AL" w:eastAsia="en-US"/>
        </w:rPr>
        <w:t xml:space="preserve"> vlerëson se në çfarë mase dhe se sa shpesh njësitë publike përmbushin kriteret themelore të përgjegjësisë menaxheriale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specifikuara në ekzistencën e një strukture organizative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përshatshme me madhësinë dhe kompleksitetin e veprimtarisë së saj, hartimin e planit vjetor të punës me objektiva të matshëm</w:t>
      </w:r>
      <w:r w:rsidR="00DA4B15">
        <w:rPr>
          <w:rFonts w:asciiTheme="majorHAnsi" w:hAnsiTheme="majorHAnsi"/>
          <w:sz w:val="22"/>
          <w:szCs w:val="22"/>
          <w:lang w:val="sq-AL" w:eastAsia="en-US"/>
        </w:rPr>
        <w:t xml:space="preserve"> e</w:t>
      </w:r>
      <w:r w:rsidRPr="006337FD">
        <w:rPr>
          <w:rFonts w:asciiTheme="majorHAnsi" w:hAnsiTheme="majorHAnsi"/>
          <w:sz w:val="22"/>
          <w:szCs w:val="22"/>
          <w:lang w:val="sq-AL" w:eastAsia="en-US"/>
        </w:rPr>
        <w:t xml:space="preserve"> të miratuar nga titullari i njësisë dhe monitorohet të paktën një herë në vit, raportime vjetore mbi nivelin e rezultateve të arritura kundrejt objektivave dhe synimeve të paracaktuara si dhe procedura delegimi sipas bazës ligjore në fuqi. Për vitin 2018, ky tregues është analizuar duke marrë në konsideratë 28 pyetje të pyetësorit të vetëvlerësimit, nga vlerësimi i të cilave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efektiviteti i këtij treguesi është mesatarisht 3.1 pikë ose 78%, duke reflektuar një performancë të mirë të institucioneve. Nga analiza e kryer evidentohet se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pjesa me e madhe e njësive publike kanë miratuar një strukturë të përshtatshme organizative, me përgjegjësi të përcaktuara dhe objektiva të përfshira në programin buxhetor afatmesëm. Ndërkohë, mbetet ende problematikë përcaktimi dhe ndjekja e linjave korrekte të raportimit si dhe zbatimi i procedurave të delegimit.</w:t>
      </w: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rPr>
          <w:lang w:val="en-GB" w:eastAsia="en-US"/>
        </w:rPr>
      </w:pPr>
    </w:p>
    <w:p w:rsidR="007252B1" w:rsidRDefault="007252B1" w:rsidP="007252B1">
      <w:pPr>
        <w:rPr>
          <w:lang w:val="en-GB" w:eastAsia="en-US"/>
        </w:rPr>
      </w:pPr>
    </w:p>
    <w:p w:rsidR="007252B1" w:rsidRDefault="007252B1" w:rsidP="007252B1">
      <w:pPr>
        <w:rPr>
          <w:lang w:val="en-GB" w:eastAsia="en-US"/>
        </w:rPr>
        <w:sectPr w:rsidR="007252B1" w:rsidSect="004E497C">
          <w:pgSz w:w="11900" w:h="16840"/>
          <w:pgMar w:top="1417" w:right="1417" w:bottom="1134" w:left="1417" w:header="708" w:footer="708" w:gutter="0"/>
          <w:cols w:space="708"/>
          <w:docGrid w:linePitch="360"/>
        </w:sectPr>
      </w:pPr>
    </w:p>
    <w:p w:rsidR="007252B1" w:rsidRPr="00827575" w:rsidRDefault="007D1506" w:rsidP="007252B1">
      <w:pPr>
        <w:pStyle w:val="Heading1"/>
      </w:pPr>
      <w:bookmarkStart w:id="74" w:name="_Toc9082379"/>
      <w:r>
        <w:t>ANEKSI II</w:t>
      </w:r>
      <w:r w:rsidR="007252B1" w:rsidRPr="00827575">
        <w:t xml:space="preserve"> - Veprimtaria e Auditimit të Brendshëm</w:t>
      </w:r>
      <w:bookmarkEnd w:id="74"/>
    </w:p>
    <w:p w:rsidR="007252B1" w:rsidRPr="00827575"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bidi="en-US"/>
        </w:rPr>
        <w:t xml:space="preserve">Veprimtaria e auditimit të brendshëm në sektorin publik mbështetet në Ligjin nr.114, datë 22.10.2015 “Për auditimin e brendshëm në sektorin publik”, Manualin e Auditimit të Brendshëm, Kodin e Etikës për Audituesit e Brendshëm dhe akte të tjera nënligjore, të cilat janë hartuar në përputhje me standardet ndërkombëtare të auditimit të brendshëm, të pranuara. </w:t>
      </w:r>
      <w:r w:rsidRPr="00827575">
        <w:rPr>
          <w:rFonts w:ascii="Cambria" w:eastAsia="Calibri" w:hAnsi="Cambria"/>
          <w:sz w:val="22"/>
          <w:szCs w:val="22"/>
          <w:lang w:val="sq-AL" w:eastAsia="en-US"/>
        </w:rPr>
        <w:t xml:space="preserve">Në këtë kuadër rregullator janë të përcaktuara mënyrat e realizimit të shërbimit të auditimit të brendshëm nga ana e njësive publike.    </w:t>
      </w:r>
    </w:p>
    <w:p w:rsidR="007252B1" w:rsidRPr="00827575" w:rsidRDefault="007252B1" w:rsidP="007252B1">
      <w:pPr>
        <w:jc w:val="both"/>
        <w:rPr>
          <w:rFonts w:ascii="Cambria" w:eastAsia="Calibri" w:hAnsi="Cambria"/>
          <w:sz w:val="8"/>
          <w:szCs w:val="8"/>
          <w:lang w:val="sq-AL" w:eastAsia="en-US"/>
        </w:rPr>
      </w:pPr>
    </w:p>
    <w:p w:rsidR="007252B1" w:rsidRPr="00497D7F" w:rsidRDefault="007252B1" w:rsidP="007252B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Në këtë raport është analizuar veprimtaria e auditimit të brendshëm në sektorin publik, bazuar në konsolidimin e të dhënave të raporteve vjetore të veprimtarisë së njësive të auditimit të brendshëm (NJAB) që funksionojnë në sektorin publik. Ky raport analizon strukturat audituese, realizimin e planit të angazhimeve, vlerësimin e risqeve, gjetjet, rekomandimet e auditimit të brendshëm, kufizimet me të cilat janë përballur audituesit dhe prioritetet për të ardhmen, bazuar në mënyrën e raportimit të përcaktuar në Manualin e Auditimit të Brendshëm.</w:t>
      </w:r>
    </w:p>
    <w:p w:rsidR="007252B1" w:rsidRPr="00497D7F" w:rsidRDefault="00475FDA" w:rsidP="007252B1">
      <w:pPr>
        <w:pStyle w:val="Heading2"/>
      </w:pPr>
      <w:bookmarkStart w:id="75" w:name="_Toc9082380"/>
      <w:r>
        <w:t>2.</w:t>
      </w:r>
      <w:r w:rsidR="007252B1" w:rsidRPr="00497D7F">
        <w:t>1</w:t>
      </w:r>
      <w:r w:rsidR="00334850">
        <w:t>.</w:t>
      </w:r>
      <w:r w:rsidR="007252B1" w:rsidRPr="00497D7F">
        <w:t xml:space="preserve"> </w:t>
      </w:r>
      <w:r w:rsidR="007252B1">
        <w:t>S</w:t>
      </w:r>
      <w:r w:rsidR="007252B1" w:rsidRPr="00497D7F">
        <w:t>trukturat e auditimit të brendshëm</w:t>
      </w:r>
      <w:bookmarkEnd w:id="75"/>
      <w:r w:rsidR="007252B1" w:rsidRPr="00497D7F">
        <w:t xml:space="preserve"> </w:t>
      </w:r>
    </w:p>
    <w:p w:rsidR="007252B1" w:rsidRPr="00827575" w:rsidRDefault="007252B1" w:rsidP="007252B1">
      <w:pPr>
        <w:jc w:val="both"/>
        <w:rPr>
          <w:rFonts w:ascii="Cambria" w:eastAsia="Calibri" w:hAnsi="Cambria"/>
          <w:b/>
          <w:sz w:val="8"/>
          <w:szCs w:val="8"/>
          <w:lang w:val="sq-AL" w:eastAsia="en-US"/>
        </w:rPr>
      </w:pPr>
    </w:p>
    <w:p w:rsidR="007252B1" w:rsidRPr="00827575" w:rsidRDefault="007252B1" w:rsidP="007252B1">
      <w:pPr>
        <w:jc w:val="both"/>
        <w:rPr>
          <w:rFonts w:ascii="Cambria" w:eastAsia="Calibri" w:hAnsi="Cambria"/>
          <w:bCs/>
          <w:sz w:val="22"/>
          <w:szCs w:val="22"/>
          <w:lang w:val="sq-AL" w:eastAsia="en-US"/>
        </w:rPr>
      </w:pPr>
      <w:r w:rsidRPr="00827575">
        <w:rPr>
          <w:rFonts w:ascii="Cambria" w:eastAsia="Calibri" w:hAnsi="Cambria"/>
          <w:sz w:val="22"/>
          <w:szCs w:val="22"/>
          <w:lang w:val="sq-AL" w:eastAsia="en-US"/>
        </w:rPr>
        <w:t xml:space="preserve">Nga të dhënat e konsoliduara, gjatë vitit 2018 në sektorin publik kanë funksionuar 127 njësi të auditimit të brendshëm, të cilat kryejnë shërbimin e tyre në njësitë e qeverisjes së përgjithshme. Gjatë këtij viti vihet re një rritje e numrit të NJAB (8 më shumë se në vitin 2017). </w:t>
      </w:r>
      <w:r w:rsidRPr="00827575">
        <w:rPr>
          <w:rFonts w:ascii="Cambria" w:eastAsia="Calibri" w:hAnsi="Cambria"/>
          <w:bCs/>
          <w:sz w:val="22"/>
          <w:szCs w:val="22"/>
          <w:lang w:val="sq-AL" w:eastAsia="en-US"/>
        </w:rPr>
        <w:t>Në këto NJAB, sipas organikave të miratuara</w:t>
      </w:r>
      <w:r w:rsidR="00737528">
        <w:rPr>
          <w:rFonts w:ascii="Cambria" w:eastAsia="Calibri" w:hAnsi="Cambria"/>
          <w:bCs/>
          <w:sz w:val="22"/>
          <w:szCs w:val="22"/>
          <w:lang w:val="sq-AL" w:eastAsia="en-US"/>
        </w:rPr>
        <w:t>,</w:t>
      </w:r>
      <w:r w:rsidRPr="00827575">
        <w:rPr>
          <w:rFonts w:ascii="Cambria" w:eastAsia="Calibri" w:hAnsi="Cambria"/>
          <w:bCs/>
          <w:sz w:val="22"/>
          <w:szCs w:val="22"/>
          <w:lang w:val="sq-AL" w:eastAsia="en-US"/>
        </w:rPr>
        <w:t xml:space="preserve"> janë planifikuar 469 auditues të brendshëm, aktualisht të punësuar janë 429 auditues të brendshëm, nga të cilët 3</w:t>
      </w:r>
      <w:r w:rsidR="009F6E1A">
        <w:rPr>
          <w:rFonts w:ascii="Cambria" w:eastAsia="Calibri" w:hAnsi="Cambria"/>
          <w:bCs/>
          <w:sz w:val="22"/>
          <w:szCs w:val="22"/>
          <w:lang w:val="sq-AL" w:eastAsia="en-US"/>
        </w:rPr>
        <w:t>3</w:t>
      </w:r>
      <w:r w:rsidRPr="00827575">
        <w:rPr>
          <w:rFonts w:ascii="Cambria" w:eastAsia="Calibri" w:hAnsi="Cambria"/>
          <w:bCs/>
          <w:sz w:val="22"/>
          <w:szCs w:val="22"/>
          <w:lang w:val="sq-AL" w:eastAsia="en-US"/>
        </w:rPr>
        <w:t>0 janë të certifikuar si “Auditues të brendshëm në sektorin publik”, 4</w:t>
      </w:r>
      <w:r w:rsidR="009F6E1A">
        <w:rPr>
          <w:rFonts w:ascii="Cambria" w:eastAsia="Calibri" w:hAnsi="Cambria"/>
          <w:bCs/>
          <w:sz w:val="22"/>
          <w:szCs w:val="22"/>
          <w:lang w:val="sq-AL" w:eastAsia="en-US"/>
        </w:rPr>
        <w:t>0</w:t>
      </w:r>
      <w:r w:rsidRPr="00827575">
        <w:rPr>
          <w:rFonts w:ascii="Cambria" w:eastAsia="Calibri" w:hAnsi="Cambria"/>
          <w:bCs/>
          <w:sz w:val="22"/>
          <w:szCs w:val="22"/>
          <w:lang w:val="sq-AL" w:eastAsia="en-US"/>
        </w:rPr>
        <w:t xml:space="preserve"> punonjës janë në proces certifikimi (proces që përfundon në Korrik 2019) dhe 5</w:t>
      </w:r>
      <w:r w:rsidR="009F6E1A">
        <w:rPr>
          <w:rFonts w:ascii="Cambria" w:eastAsia="Calibri" w:hAnsi="Cambria"/>
          <w:bCs/>
          <w:sz w:val="22"/>
          <w:szCs w:val="22"/>
          <w:lang w:val="sq-AL" w:eastAsia="en-US"/>
        </w:rPr>
        <w:t>9</w:t>
      </w:r>
      <w:r w:rsidRPr="00827575">
        <w:rPr>
          <w:rFonts w:ascii="Cambria" w:eastAsia="Calibri" w:hAnsi="Cambria"/>
          <w:bCs/>
          <w:sz w:val="22"/>
          <w:szCs w:val="22"/>
          <w:lang w:val="sq-AL" w:eastAsia="en-US"/>
        </w:rPr>
        <w:t xml:space="preserve"> punonjës të NJAB nuk e zotërojnë këtë certifikatë, por duhet të ndjekin procesin e certifikimit gjatë 2 viteve të para të punësimit.  </w:t>
      </w:r>
    </w:p>
    <w:p w:rsidR="007252B1" w:rsidRPr="00827575" w:rsidRDefault="007252B1" w:rsidP="007252B1">
      <w:pPr>
        <w:jc w:val="both"/>
        <w:rPr>
          <w:rFonts w:ascii="Cambria" w:eastAsia="Calibri" w:hAnsi="Cambria"/>
          <w:bCs/>
          <w:sz w:val="8"/>
          <w:szCs w:val="8"/>
          <w:lang w:val="sq-AL" w:eastAsia="en-US"/>
        </w:rPr>
      </w:pPr>
    </w:p>
    <w:p w:rsidR="007252B1" w:rsidRPr="00827575"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Duke analizuar numrin e punonjësve të NJAB të pacertifikuar, vihet re se në njësitë e auditimit të brendshëm të ministrive të linjës nuk evidentohen punonjës të pacertifikuar, në institucionet qendrore 3 punonjës, në institucionet e pavarura 4 punonjës, në universitetet, qendrat spitalore dhe shoq</w:t>
      </w:r>
      <w:r w:rsidR="00737528">
        <w:rPr>
          <w:rFonts w:ascii="Cambria" w:eastAsia="Calibri" w:hAnsi="Cambria"/>
          <w:sz w:val="22"/>
          <w:szCs w:val="22"/>
          <w:lang w:val="sq-AL" w:eastAsia="en-US"/>
        </w:rPr>
        <w:t>ëritë aksiona</w:t>
      </w:r>
      <w:r w:rsidRPr="00827575">
        <w:rPr>
          <w:rFonts w:ascii="Cambria" w:eastAsia="Calibri" w:hAnsi="Cambria"/>
          <w:sz w:val="22"/>
          <w:szCs w:val="22"/>
          <w:lang w:val="sq-AL" w:eastAsia="en-US"/>
        </w:rPr>
        <w:t xml:space="preserve">re 16 punonjës dhe në njësitë e vetëqeverisjes vendore 34 punonjës.  </w:t>
      </w:r>
    </w:p>
    <w:p w:rsidR="007252B1" w:rsidRPr="00827575" w:rsidRDefault="007252B1" w:rsidP="007252B1">
      <w:pPr>
        <w:jc w:val="both"/>
        <w:rPr>
          <w:rFonts w:ascii="Cambria" w:eastAsia="Calibri" w:hAnsi="Cambria"/>
          <w:sz w:val="8"/>
          <w:szCs w:val="8"/>
          <w:lang w:val="sq-AL" w:eastAsia="en-US"/>
        </w:rPr>
      </w:pP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bidi="en-US"/>
        </w:rPr>
        <w:t>Nga analiza e përbërjes profesionale të stafit auditues gjatë vitit 2018 vihet re që</w:t>
      </w:r>
      <w:r w:rsidR="003B0186">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numrin më të madh e zënë specialistë të fushave ekonomike, ku 361 auditues janë ekonomistë, 50 juristë dhe vetëm 18 i përkasin disiplinave të tjera. Objekt i auditimit të brendshëm janë fusha të ndryshme të sektorit publik, për këtë është e nevojshme</w:t>
      </w:r>
      <w:r w:rsidR="003B0186">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që në raste specifike audituesit e brendshëm të jenë të profilizuar sipas këtyre fushave. Aktualisht</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në NJAB në sektorin publik vihet re se: NJAB e Ministrisë së Mbrojtjes ka në përbërjen e saj oficer logjistike, NJAB e Ministrisë së Mjedisit ka në përbërjen e saj inxhinier pyjesh, NJAB e Fondit të Sigurimit të Kujdesit Shëndetësor ka në përbërjen e saj mjek dhe farmacist, NJAB në Operatorin e Sistemit të Transmetimit dhe Operatorin e Shpërndarjes së Energjisë Elektrike kanë në përbërje inxhinier elektrik, etj.  </w:t>
      </w:r>
      <w:r w:rsidR="003B0186">
        <w:rPr>
          <w:rFonts w:ascii="Cambria" w:eastAsia="Calibri" w:hAnsi="Cambria"/>
          <w:sz w:val="22"/>
          <w:szCs w:val="22"/>
          <w:lang w:val="sq-AL" w:eastAsia="en-US"/>
        </w:rPr>
        <w:t>Nga viti në vit,</w:t>
      </w:r>
      <w:r w:rsidRPr="00827575">
        <w:rPr>
          <w:rFonts w:ascii="Cambria" w:eastAsia="Calibri" w:hAnsi="Cambria"/>
          <w:sz w:val="22"/>
          <w:szCs w:val="22"/>
          <w:lang w:val="sq-AL" w:eastAsia="en-US"/>
        </w:rPr>
        <w:t xml:space="preserve"> vihet re një trend në rritje e audituesve të brendshëm me profesion bazë në shkencat juridike, nga 40 juristë të punësuar në vitin 2017 në 50 juristë në vitin 2018.</w:t>
      </w:r>
    </w:p>
    <w:p w:rsidR="007252B1" w:rsidRPr="00827575" w:rsidRDefault="007252B1" w:rsidP="007252B1">
      <w:pPr>
        <w:jc w:val="both"/>
        <w:rPr>
          <w:rFonts w:ascii="Cambria" w:eastAsia="Calibri" w:hAnsi="Cambria"/>
          <w:sz w:val="22"/>
          <w:szCs w:val="22"/>
          <w:lang w:val="sq-AL" w:eastAsia="en-US"/>
        </w:rPr>
      </w:pPr>
    </w:p>
    <w:p w:rsidR="007252B1" w:rsidRPr="00827575" w:rsidRDefault="007252B1" w:rsidP="007252B1">
      <w:pPr>
        <w:jc w:val="both"/>
        <w:rPr>
          <w:rFonts w:ascii="Cambria" w:eastAsia="Calibri" w:hAnsi="Cambria"/>
          <w:sz w:val="8"/>
          <w:szCs w:val="8"/>
          <w:lang w:val="sq-AL" w:eastAsia="en-US"/>
        </w:rPr>
      </w:pPr>
    </w:p>
    <w:p w:rsidR="007252B1" w:rsidRPr="00827575" w:rsidRDefault="00AE41D3" w:rsidP="00AE41D3">
      <w:pPr>
        <w:pStyle w:val="Caption"/>
        <w:rPr>
          <w:rFonts w:ascii="Cambria" w:hAnsi="Cambria"/>
          <w:bCs w:val="0"/>
          <w:i/>
          <w:lang w:val="en-GB" w:bidi="en-US"/>
        </w:rPr>
      </w:pPr>
      <w:bookmarkStart w:id="76" w:name="_Toc9082407"/>
      <w:r w:rsidRPr="00AE41D3">
        <w:rPr>
          <w:rFonts w:ascii="Cambria" w:eastAsia="Times New Roman" w:hAnsi="Cambria"/>
          <w:b w:val="0"/>
          <w:bCs w:val="0"/>
          <w:i/>
          <w:lang w:val="sq-AL"/>
        </w:rPr>
        <w:t xml:space="preserve">Tabela </w:t>
      </w:r>
      <w:r w:rsidRPr="00AE41D3">
        <w:rPr>
          <w:rFonts w:ascii="Cambria" w:eastAsia="Times New Roman" w:hAnsi="Cambria"/>
          <w:b w:val="0"/>
          <w:bCs w:val="0"/>
          <w:i/>
          <w:lang w:val="sq-AL"/>
        </w:rPr>
        <w:fldChar w:fldCharType="begin"/>
      </w:r>
      <w:r w:rsidRPr="00AE41D3">
        <w:rPr>
          <w:rFonts w:ascii="Cambria" w:eastAsia="Times New Roman" w:hAnsi="Cambria"/>
          <w:b w:val="0"/>
          <w:bCs w:val="0"/>
          <w:i/>
          <w:lang w:val="sq-AL"/>
        </w:rPr>
        <w:instrText xml:space="preserve"> SEQ Tabela \* ARABIC </w:instrText>
      </w:r>
      <w:r w:rsidRPr="00AE41D3">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10</w:t>
      </w:r>
      <w:r w:rsidRPr="00AE41D3">
        <w:rPr>
          <w:rFonts w:ascii="Cambria" w:eastAsia="Times New Roman" w:hAnsi="Cambria"/>
          <w:b w:val="0"/>
          <w:bCs w:val="0"/>
          <w:i/>
          <w:lang w:val="sq-AL"/>
        </w:rPr>
        <w:fldChar w:fldCharType="end"/>
      </w:r>
      <w:r w:rsidRPr="00AE41D3">
        <w:rPr>
          <w:rFonts w:ascii="Cambria" w:eastAsia="Times New Roman" w:hAnsi="Cambria"/>
          <w:b w:val="0"/>
          <w:bCs w:val="0"/>
          <w:i/>
          <w:lang w:val="sq-AL"/>
        </w:rPr>
        <w:t>. Të dhëna për audituesit e brendshëm</w:t>
      </w:r>
      <w:bookmarkEnd w:id="76"/>
      <w:r w:rsidR="007252B1">
        <w:t xml:space="preserve"> </w:t>
      </w:r>
    </w:p>
    <w:tbl>
      <w:tblPr>
        <w:tblW w:w="9360" w:type="dxa"/>
        <w:tblBorders>
          <w:top w:val="single" w:sz="8" w:space="0" w:color="4BACC6"/>
          <w:bottom w:val="single" w:sz="8" w:space="0" w:color="4BACC6"/>
        </w:tblBorders>
        <w:tblLook w:val="04A0" w:firstRow="1" w:lastRow="0" w:firstColumn="1" w:lastColumn="0" w:noHBand="0" w:noVBand="1"/>
      </w:tblPr>
      <w:tblGrid>
        <w:gridCol w:w="2351"/>
        <w:gridCol w:w="1180"/>
        <w:gridCol w:w="2369"/>
        <w:gridCol w:w="1210"/>
        <w:gridCol w:w="1195"/>
        <w:gridCol w:w="1301"/>
      </w:tblGrid>
      <w:tr w:rsidR="007252B1" w:rsidRPr="007D1506" w:rsidTr="009A7C54">
        <w:trPr>
          <w:trHeight w:val="565"/>
        </w:trPr>
        <w:tc>
          <w:tcPr>
            <w:tcW w:w="2351"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Emërtimi</w:t>
            </w:r>
          </w:p>
        </w:tc>
        <w:tc>
          <w:tcPr>
            <w:tcW w:w="1180"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Struktura (numri)</w:t>
            </w:r>
          </w:p>
        </w:tc>
        <w:tc>
          <w:tcPr>
            <w:tcW w:w="2369" w:type="dxa"/>
            <w:tcBorders>
              <w:top w:val="single" w:sz="8" w:space="0" w:color="4BACC6"/>
              <w:left w:val="nil"/>
              <w:bottom w:val="single" w:sz="8" w:space="0" w:color="4BACC6"/>
              <w:right w:val="nil"/>
            </w:tcBorders>
            <w:shd w:val="clear" w:color="auto" w:fill="auto"/>
            <w:hideMark/>
          </w:tcPr>
          <w:p w:rsidR="007252B1" w:rsidRPr="007D1506" w:rsidRDefault="007252B1" w:rsidP="009A7C54">
            <w:pPr>
              <w:jc w:val="cente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Auditues të  brendshëm</w:t>
            </w:r>
          </w:p>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Plan/Fakt</w:t>
            </w:r>
          </w:p>
        </w:tc>
        <w:tc>
          <w:tcPr>
            <w:tcW w:w="1086"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Të certifikuar</w:t>
            </w:r>
          </w:p>
        </w:tc>
        <w:tc>
          <w:tcPr>
            <w:tcW w:w="1073" w:type="dxa"/>
            <w:tcBorders>
              <w:top w:val="single" w:sz="8" w:space="0" w:color="4BACC6"/>
              <w:left w:val="nil"/>
              <w:bottom w:val="single" w:sz="8" w:space="0" w:color="4BACC6"/>
              <w:right w:val="nil"/>
            </w:tcBorders>
            <w:shd w:val="clear" w:color="auto" w:fill="auto"/>
          </w:tcPr>
          <w:p w:rsidR="007252B1" w:rsidRPr="007D1506" w:rsidRDefault="00334850" w:rsidP="009A7C54">
            <w:pPr>
              <w:jc w:val="center"/>
              <w:rPr>
                <w:rFonts w:asciiTheme="majorHAnsi" w:eastAsia="Calibri" w:hAnsiTheme="majorHAnsi"/>
                <w:b/>
                <w:sz w:val="20"/>
                <w:szCs w:val="20"/>
                <w:lang w:val="sq-AL" w:eastAsia="en-US"/>
              </w:rPr>
            </w:pPr>
            <w:r>
              <w:rPr>
                <w:rFonts w:asciiTheme="majorHAnsi" w:eastAsia="Calibri" w:hAnsiTheme="majorHAnsi"/>
                <w:b/>
                <w:sz w:val="20"/>
                <w:szCs w:val="20"/>
                <w:lang w:val="sq-AL" w:eastAsia="en-US"/>
              </w:rPr>
              <w:t>Në    proces</w:t>
            </w:r>
          </w:p>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b/>
                <w:sz w:val="20"/>
                <w:szCs w:val="20"/>
                <w:lang w:val="sq-AL" w:eastAsia="en-US"/>
              </w:rPr>
              <w:t>certifikimi</w:t>
            </w:r>
          </w:p>
        </w:tc>
        <w:tc>
          <w:tcPr>
            <w:tcW w:w="1301"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Të pa certifikuar</w:t>
            </w:r>
          </w:p>
        </w:tc>
      </w:tr>
      <w:tr w:rsidR="007252B1" w:rsidRPr="007D1506" w:rsidTr="009A7C54">
        <w:trPr>
          <w:trHeight w:val="300"/>
        </w:trPr>
        <w:tc>
          <w:tcPr>
            <w:tcW w:w="2351" w:type="dxa"/>
            <w:tcBorders>
              <w:left w:val="nil"/>
              <w:right w:val="nil"/>
            </w:tcBorders>
            <w:shd w:val="clear" w:color="auto" w:fill="D2EAF1"/>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Ministritë e Linjës</w:t>
            </w:r>
          </w:p>
        </w:tc>
        <w:tc>
          <w:tcPr>
            <w:tcW w:w="1180"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11</w:t>
            </w:r>
          </w:p>
        </w:tc>
        <w:tc>
          <w:tcPr>
            <w:tcW w:w="2369"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71/64</w:t>
            </w:r>
          </w:p>
        </w:tc>
        <w:tc>
          <w:tcPr>
            <w:tcW w:w="1086"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highlight w:val="yellow"/>
                <w:lang w:val="sq-AL" w:eastAsia="en-US"/>
              </w:rPr>
            </w:pPr>
            <w:r w:rsidRPr="007D1506">
              <w:rPr>
                <w:rFonts w:asciiTheme="majorHAnsi" w:eastAsia="Calibri" w:hAnsiTheme="majorHAnsi"/>
                <w:sz w:val="20"/>
                <w:szCs w:val="20"/>
                <w:lang w:val="sq-AL" w:eastAsia="en-US"/>
              </w:rPr>
              <w:t>62</w:t>
            </w:r>
          </w:p>
        </w:tc>
        <w:tc>
          <w:tcPr>
            <w:tcW w:w="1073" w:type="dxa"/>
            <w:tcBorders>
              <w:left w:val="nil"/>
              <w:right w:val="nil"/>
            </w:tcBorders>
            <w:shd w:val="clear" w:color="auto" w:fill="D2EAF1"/>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2</w:t>
            </w:r>
          </w:p>
        </w:tc>
        <w:tc>
          <w:tcPr>
            <w:tcW w:w="1301"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0</w:t>
            </w:r>
          </w:p>
        </w:tc>
      </w:tr>
      <w:tr w:rsidR="007252B1" w:rsidRPr="007D1506" w:rsidTr="009A7C54">
        <w:trPr>
          <w:trHeight w:val="300"/>
        </w:trPr>
        <w:tc>
          <w:tcPr>
            <w:tcW w:w="2351" w:type="dxa"/>
            <w:shd w:val="clear" w:color="auto" w:fill="auto"/>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Inst. Qendrore</w:t>
            </w:r>
          </w:p>
        </w:tc>
        <w:tc>
          <w:tcPr>
            <w:tcW w:w="1180"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19</w:t>
            </w:r>
          </w:p>
        </w:tc>
        <w:tc>
          <w:tcPr>
            <w:tcW w:w="2369"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81/74</w:t>
            </w:r>
          </w:p>
        </w:tc>
        <w:tc>
          <w:tcPr>
            <w:tcW w:w="1086"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67</w:t>
            </w:r>
          </w:p>
        </w:tc>
        <w:tc>
          <w:tcPr>
            <w:tcW w:w="1073" w:type="dxa"/>
            <w:shd w:val="clear" w:color="auto" w:fill="auto"/>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w:t>
            </w:r>
          </w:p>
        </w:tc>
        <w:tc>
          <w:tcPr>
            <w:tcW w:w="130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w:t>
            </w:r>
          </w:p>
        </w:tc>
      </w:tr>
      <w:tr w:rsidR="007252B1" w:rsidRPr="007D1506" w:rsidTr="009A7C54">
        <w:trPr>
          <w:trHeight w:val="300"/>
        </w:trPr>
        <w:tc>
          <w:tcPr>
            <w:tcW w:w="2351" w:type="dxa"/>
            <w:tcBorders>
              <w:left w:val="nil"/>
              <w:right w:val="nil"/>
            </w:tcBorders>
            <w:shd w:val="clear" w:color="auto" w:fill="D2EAF1"/>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Univ. &amp; Q.Spitalore ShA</w:t>
            </w:r>
          </w:p>
        </w:tc>
        <w:tc>
          <w:tcPr>
            <w:tcW w:w="1180"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37</w:t>
            </w:r>
          </w:p>
        </w:tc>
        <w:tc>
          <w:tcPr>
            <w:tcW w:w="2369"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123/115</w:t>
            </w:r>
          </w:p>
        </w:tc>
        <w:tc>
          <w:tcPr>
            <w:tcW w:w="1086" w:type="dxa"/>
            <w:tcBorders>
              <w:left w:val="nil"/>
              <w:right w:val="nil"/>
            </w:tcBorders>
            <w:shd w:val="clear" w:color="auto" w:fill="D2EAF1"/>
            <w:noWrap/>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82</w:t>
            </w:r>
          </w:p>
        </w:tc>
        <w:tc>
          <w:tcPr>
            <w:tcW w:w="1073" w:type="dxa"/>
            <w:tcBorders>
              <w:left w:val="nil"/>
              <w:right w:val="nil"/>
            </w:tcBorders>
            <w:shd w:val="clear" w:color="auto" w:fill="D2EAF1"/>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17</w:t>
            </w:r>
          </w:p>
        </w:tc>
        <w:tc>
          <w:tcPr>
            <w:tcW w:w="1301" w:type="dxa"/>
            <w:tcBorders>
              <w:left w:val="nil"/>
              <w:right w:val="nil"/>
            </w:tcBorders>
            <w:shd w:val="clear" w:color="auto" w:fill="D2EAF1"/>
            <w:noWrap/>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16</w:t>
            </w:r>
          </w:p>
        </w:tc>
      </w:tr>
      <w:tr w:rsidR="007252B1" w:rsidRPr="007D1506" w:rsidTr="009A7C54">
        <w:trPr>
          <w:trHeight w:val="300"/>
        </w:trPr>
        <w:tc>
          <w:tcPr>
            <w:tcW w:w="2351" w:type="dxa"/>
            <w:shd w:val="clear" w:color="auto" w:fill="auto"/>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Inst.të Pavarura</w:t>
            </w:r>
          </w:p>
        </w:tc>
        <w:tc>
          <w:tcPr>
            <w:tcW w:w="1180"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10</w:t>
            </w:r>
          </w:p>
        </w:tc>
        <w:tc>
          <w:tcPr>
            <w:tcW w:w="2369"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34/31</w:t>
            </w:r>
          </w:p>
        </w:tc>
        <w:tc>
          <w:tcPr>
            <w:tcW w:w="1086"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25</w:t>
            </w:r>
          </w:p>
        </w:tc>
        <w:tc>
          <w:tcPr>
            <w:tcW w:w="1073" w:type="dxa"/>
            <w:shd w:val="clear" w:color="auto" w:fill="auto"/>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2</w:t>
            </w:r>
          </w:p>
        </w:tc>
        <w:tc>
          <w:tcPr>
            <w:tcW w:w="130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w:t>
            </w:r>
          </w:p>
        </w:tc>
      </w:tr>
      <w:tr w:rsidR="007252B1" w:rsidRPr="007D1506" w:rsidTr="009A7C54">
        <w:trPr>
          <w:trHeight w:val="324"/>
        </w:trPr>
        <w:tc>
          <w:tcPr>
            <w:tcW w:w="2351" w:type="dxa"/>
            <w:tcBorders>
              <w:left w:val="nil"/>
              <w:right w:val="nil"/>
            </w:tcBorders>
            <w:shd w:val="clear" w:color="auto" w:fill="D2EAF1"/>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Bashki (49+1)</w:t>
            </w:r>
          </w:p>
        </w:tc>
        <w:tc>
          <w:tcPr>
            <w:tcW w:w="1180"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50</w:t>
            </w:r>
          </w:p>
        </w:tc>
        <w:tc>
          <w:tcPr>
            <w:tcW w:w="2369"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160/145</w:t>
            </w:r>
          </w:p>
        </w:tc>
        <w:tc>
          <w:tcPr>
            <w:tcW w:w="1086"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94</w:t>
            </w:r>
          </w:p>
        </w:tc>
        <w:tc>
          <w:tcPr>
            <w:tcW w:w="1073" w:type="dxa"/>
            <w:tcBorders>
              <w:left w:val="nil"/>
              <w:right w:val="nil"/>
            </w:tcBorders>
            <w:shd w:val="clear" w:color="auto" w:fill="D2EAF1"/>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15</w:t>
            </w:r>
          </w:p>
        </w:tc>
        <w:tc>
          <w:tcPr>
            <w:tcW w:w="1301"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36</w:t>
            </w:r>
          </w:p>
        </w:tc>
      </w:tr>
      <w:tr w:rsidR="007252B1" w:rsidRPr="007D1506" w:rsidTr="009A7C54">
        <w:trPr>
          <w:trHeight w:val="180"/>
        </w:trPr>
        <w:tc>
          <w:tcPr>
            <w:tcW w:w="235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Shuma</w:t>
            </w:r>
          </w:p>
        </w:tc>
        <w:tc>
          <w:tcPr>
            <w:tcW w:w="1180"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127</w:t>
            </w:r>
          </w:p>
        </w:tc>
        <w:tc>
          <w:tcPr>
            <w:tcW w:w="2369"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469/429</w:t>
            </w:r>
          </w:p>
        </w:tc>
        <w:tc>
          <w:tcPr>
            <w:tcW w:w="1086"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330</w:t>
            </w:r>
          </w:p>
        </w:tc>
        <w:tc>
          <w:tcPr>
            <w:tcW w:w="1073" w:type="dxa"/>
            <w:shd w:val="clear" w:color="auto" w:fill="auto"/>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40</w:t>
            </w:r>
          </w:p>
        </w:tc>
        <w:tc>
          <w:tcPr>
            <w:tcW w:w="130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59</w:t>
            </w:r>
          </w:p>
        </w:tc>
      </w:tr>
    </w:tbl>
    <w:p w:rsidR="007252B1" w:rsidRPr="00827575" w:rsidRDefault="007252B1" w:rsidP="007252B1">
      <w:pPr>
        <w:rPr>
          <w:rFonts w:ascii="Calibri" w:eastAsia="Calibri" w:hAnsi="Calibri"/>
          <w:sz w:val="22"/>
          <w:szCs w:val="22"/>
          <w:lang w:val="sq-AL" w:eastAsia="en-US" w:bidi="en-US"/>
        </w:rPr>
      </w:pPr>
      <w:r w:rsidRPr="00827575">
        <w:rPr>
          <w:rFonts w:ascii="Calibri" w:eastAsia="Calibri" w:hAnsi="Calibri"/>
          <w:sz w:val="22"/>
          <w:szCs w:val="22"/>
          <w:lang w:val="sq-AL" w:eastAsia="en-US" w:bidi="en-US"/>
        </w:rPr>
        <w:t xml:space="preserve"> </w:t>
      </w:r>
    </w:p>
    <w:p w:rsidR="007252B1" w:rsidRPr="00827575" w:rsidRDefault="007252B1" w:rsidP="007252B1">
      <w:pPr>
        <w:spacing w:after="200" w:line="276" w:lineRule="auto"/>
        <w:jc w:val="both"/>
        <w:rPr>
          <w:rFonts w:ascii="Cambria" w:eastAsia="Calibri" w:hAnsi="Cambria"/>
          <w:sz w:val="22"/>
          <w:szCs w:val="22"/>
          <w:lang w:val="sq-AL" w:eastAsia="en-US"/>
        </w:rPr>
      </w:pPr>
      <w:r w:rsidRPr="00827575">
        <w:rPr>
          <w:rFonts w:ascii="Cambria" w:eastAsia="Calibri" w:hAnsi="Cambria"/>
          <w:color w:val="000000"/>
          <w:sz w:val="22"/>
          <w:szCs w:val="22"/>
          <w:lang w:val="sq-AL" w:eastAsia="en-US"/>
        </w:rPr>
        <w:t xml:space="preserve">Në kuadrin ligjor në fuqi, një nga kushtet e punësimit si auditues i brendshëm është dhe eksperienca në profesionin bazë, e diferencuar për drejtues të NJAB, auditues të brendshëm dhe punonjës të NJAB. Nga analiza e të dhënave të raportuara nga strukturat </w:t>
      </w:r>
      <w:r w:rsidR="003B0186">
        <w:rPr>
          <w:rFonts w:ascii="Cambria" w:eastAsia="Calibri" w:hAnsi="Cambria"/>
          <w:color w:val="000000"/>
          <w:sz w:val="22"/>
          <w:szCs w:val="22"/>
          <w:lang w:val="sq-AL" w:eastAsia="en-US"/>
        </w:rPr>
        <w:t>audituese</w:t>
      </w:r>
      <w:r w:rsidRPr="00827575">
        <w:rPr>
          <w:rFonts w:ascii="Cambria" w:eastAsia="Calibri" w:hAnsi="Cambria"/>
          <w:color w:val="000000"/>
          <w:sz w:val="22"/>
          <w:szCs w:val="22"/>
          <w:lang w:val="sq-AL" w:eastAsia="en-US"/>
        </w:rPr>
        <w:t xml:space="preserve"> rezulton</w:t>
      </w:r>
      <w:r w:rsidR="003B0186">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se 200 punonjës kanë eksperiencë pune në auditim deri në 5 vjet dhe 229 </w:t>
      </w:r>
      <w:r>
        <w:rPr>
          <w:rFonts w:ascii="Cambria" w:eastAsia="Calibri" w:hAnsi="Cambria"/>
          <w:color w:val="000000"/>
          <w:sz w:val="22"/>
          <w:szCs w:val="22"/>
          <w:lang w:val="sq-AL" w:eastAsia="en-US"/>
        </w:rPr>
        <w:t xml:space="preserve">punonjës </w:t>
      </w:r>
      <w:r w:rsidRPr="00827575">
        <w:rPr>
          <w:rFonts w:ascii="Cambria" w:eastAsia="Calibri" w:hAnsi="Cambria"/>
          <w:color w:val="000000"/>
          <w:sz w:val="22"/>
          <w:szCs w:val="22"/>
          <w:lang w:val="sq-AL" w:eastAsia="en-US"/>
        </w:rPr>
        <w:t xml:space="preserve">mbi 5 vjet punë si auditues. Nga këto të dhënave vihet re një rritje e konsiderueshme e audituesve të rinj (deri në 5 vjet) nga 162 në vitin 2017 në 200 në vitin 2018 dhe rënie në nivelin e audituesve më me përvojë (mbi 5 vjet) nga 238 në vitin 2017 në 229 në vitin 2018. </w:t>
      </w:r>
      <w:r w:rsidRPr="00827575">
        <w:rPr>
          <w:rFonts w:ascii="Cambria" w:eastAsia="Calibri" w:hAnsi="Cambria"/>
          <w:sz w:val="22"/>
          <w:szCs w:val="22"/>
          <w:lang w:val="sq-AL" w:eastAsia="en-US"/>
        </w:rPr>
        <w:t xml:space="preserve">Kjo shihet si një interes në rritje i të rinjve për profesionin e vështirë të auditimit të brendshëm. Ata janë një gjeneratë e re që në bashkëpunim me audituesit me përvojë do të realizojnë në të ardhmen nivel gjithnjë e në rritje të cilësisë së punës audituese.                                 </w:t>
      </w:r>
    </w:p>
    <w:p w:rsidR="007252B1" w:rsidRPr="00827575" w:rsidRDefault="007252B1" w:rsidP="007252B1">
      <w:pPr>
        <w:pStyle w:val="Caption"/>
        <w:rPr>
          <w:rFonts w:ascii="Cambria" w:eastAsia="Times New Roman" w:hAnsi="Cambria"/>
          <w:i/>
          <w:lang w:val="sq-AL"/>
        </w:rPr>
      </w:pPr>
      <w:bookmarkStart w:id="77" w:name="_Toc9082424"/>
      <w:r w:rsidRPr="00136FD4">
        <w:rPr>
          <w:rFonts w:ascii="Cambria" w:eastAsia="Times New Roman" w:hAnsi="Cambria"/>
          <w:b w:val="0"/>
          <w:bCs w:val="0"/>
          <w:i/>
          <w:lang w:val="sq-AL"/>
        </w:rPr>
        <w:t xml:space="preserve">Grafiku </w:t>
      </w:r>
      <w:r w:rsidRPr="00136FD4">
        <w:rPr>
          <w:rFonts w:ascii="Cambria" w:eastAsia="Times New Roman" w:hAnsi="Cambria"/>
          <w:b w:val="0"/>
          <w:bCs w:val="0"/>
          <w:i/>
          <w:lang w:val="sq-AL"/>
        </w:rPr>
        <w:fldChar w:fldCharType="begin"/>
      </w:r>
      <w:r w:rsidRPr="00136FD4">
        <w:rPr>
          <w:rFonts w:ascii="Cambria" w:eastAsia="Times New Roman" w:hAnsi="Cambria"/>
          <w:b w:val="0"/>
          <w:bCs w:val="0"/>
          <w:i/>
          <w:lang w:val="sq-AL"/>
        </w:rPr>
        <w:instrText xml:space="preserve"> SEQ Grafiku \* ARABIC </w:instrText>
      </w:r>
      <w:r w:rsidRPr="00136FD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2</w:t>
      </w:r>
      <w:r w:rsidRPr="00136FD4">
        <w:rPr>
          <w:rFonts w:ascii="Cambria" w:eastAsia="Times New Roman" w:hAnsi="Cambria"/>
          <w:b w:val="0"/>
          <w:bCs w:val="0"/>
          <w:i/>
          <w:lang w:val="sq-AL"/>
        </w:rPr>
        <w:fldChar w:fldCharType="end"/>
      </w:r>
      <w:r w:rsidRPr="00136FD4">
        <w:rPr>
          <w:rFonts w:ascii="Cambria" w:eastAsia="Times New Roman" w:hAnsi="Cambria"/>
          <w:b w:val="0"/>
          <w:bCs w:val="0"/>
          <w:i/>
          <w:lang w:val="sq-AL"/>
        </w:rPr>
        <w:t>. Vitet e eksperiencës si AB</w:t>
      </w:r>
      <w:bookmarkEnd w:id="77"/>
      <w:r>
        <w:t xml:space="preserve"> </w:t>
      </w:r>
    </w:p>
    <w:p w:rsidR="007252B1" w:rsidRDefault="007252B1" w:rsidP="007252B1">
      <w:pPr>
        <w:spacing w:after="200" w:line="276" w:lineRule="auto"/>
        <w:jc w:val="both"/>
        <w:rPr>
          <w:rFonts w:ascii="Cambria" w:eastAsia="Times New Roman" w:hAnsi="Cambria"/>
          <w:sz w:val="22"/>
          <w:szCs w:val="22"/>
          <w:lang w:val="sq-AL" w:eastAsia="en-US"/>
        </w:rPr>
      </w:pPr>
      <w:r w:rsidRPr="00827575">
        <w:rPr>
          <w:rFonts w:ascii="Cambria" w:eastAsia="Times New Roman" w:hAnsi="Cambria"/>
          <w:noProof/>
          <w:sz w:val="22"/>
          <w:szCs w:val="22"/>
          <w:lang w:eastAsia="en-US"/>
        </w:rPr>
        <w:drawing>
          <wp:inline distT="0" distB="0" distL="0" distR="0" wp14:anchorId="1A32655D" wp14:editId="1A674FD8">
            <wp:extent cx="5591175" cy="2028190"/>
            <wp:effectExtent l="0" t="0" r="9525" b="101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52B1" w:rsidRPr="00136FD4" w:rsidRDefault="007252B1" w:rsidP="007252B1">
      <w:pPr>
        <w:pStyle w:val="Caption"/>
        <w:rPr>
          <w:rFonts w:ascii="Cambria" w:eastAsia="Times New Roman" w:hAnsi="Cambria"/>
          <w:b w:val="0"/>
          <w:bCs w:val="0"/>
          <w:i/>
          <w:lang w:val="sq-AL"/>
        </w:rPr>
      </w:pPr>
      <w:bookmarkStart w:id="78" w:name="_Toc9082425"/>
      <w:r w:rsidRPr="00136FD4">
        <w:rPr>
          <w:rFonts w:ascii="Cambria" w:eastAsia="Times New Roman" w:hAnsi="Cambria"/>
          <w:b w:val="0"/>
          <w:bCs w:val="0"/>
          <w:i/>
          <w:lang w:val="sq-AL"/>
        </w:rPr>
        <w:t xml:space="preserve">Grafiku </w:t>
      </w:r>
      <w:r w:rsidRPr="00136FD4">
        <w:rPr>
          <w:rFonts w:ascii="Cambria" w:eastAsia="Times New Roman" w:hAnsi="Cambria"/>
          <w:b w:val="0"/>
          <w:bCs w:val="0"/>
          <w:i/>
          <w:lang w:val="sq-AL"/>
        </w:rPr>
        <w:fldChar w:fldCharType="begin"/>
      </w:r>
      <w:r w:rsidRPr="00136FD4">
        <w:rPr>
          <w:rFonts w:ascii="Cambria" w:eastAsia="Times New Roman" w:hAnsi="Cambria"/>
          <w:b w:val="0"/>
          <w:bCs w:val="0"/>
          <w:i/>
          <w:lang w:val="sq-AL"/>
        </w:rPr>
        <w:instrText xml:space="preserve"> SEQ Grafiku \* ARABIC </w:instrText>
      </w:r>
      <w:r w:rsidRPr="00136FD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3</w:t>
      </w:r>
      <w:r w:rsidRPr="00136FD4">
        <w:rPr>
          <w:rFonts w:ascii="Cambria" w:eastAsia="Times New Roman" w:hAnsi="Cambria"/>
          <w:b w:val="0"/>
          <w:bCs w:val="0"/>
          <w:i/>
          <w:lang w:val="sq-AL"/>
        </w:rPr>
        <w:fldChar w:fldCharType="end"/>
      </w:r>
      <w:r w:rsidRPr="00136FD4">
        <w:rPr>
          <w:rFonts w:ascii="Cambria" w:eastAsia="Times New Roman" w:hAnsi="Cambria"/>
          <w:b w:val="0"/>
          <w:bCs w:val="0"/>
          <w:i/>
          <w:lang w:val="sq-AL"/>
        </w:rPr>
        <w:t>. Profili i edukimit të AB</w:t>
      </w:r>
      <w:bookmarkEnd w:id="78"/>
    </w:p>
    <w:p w:rsidR="007252B1" w:rsidRPr="00827575" w:rsidRDefault="007252B1" w:rsidP="007252B1">
      <w:pPr>
        <w:spacing w:after="200" w:line="276" w:lineRule="auto"/>
        <w:jc w:val="both"/>
        <w:rPr>
          <w:rFonts w:ascii="Cambria" w:eastAsia="Times New Roman" w:hAnsi="Cambria"/>
          <w:sz w:val="22"/>
          <w:szCs w:val="22"/>
          <w:lang w:val="sq-AL" w:eastAsia="en-US"/>
        </w:rPr>
      </w:pPr>
      <w:r w:rsidRPr="00827575">
        <w:rPr>
          <w:rFonts w:ascii="Cambria" w:eastAsia="Times New Roman" w:hAnsi="Cambria"/>
          <w:noProof/>
          <w:sz w:val="22"/>
          <w:szCs w:val="22"/>
          <w:lang w:eastAsia="en-US"/>
        </w:rPr>
        <w:drawing>
          <wp:inline distT="0" distB="0" distL="0" distR="0" wp14:anchorId="086EC7A5" wp14:editId="1CEDC4EF">
            <wp:extent cx="5543550" cy="1856740"/>
            <wp:effectExtent l="0" t="0" r="0" b="1016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52B1" w:rsidRPr="00827575"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color w:val="000000"/>
          <w:sz w:val="22"/>
          <w:szCs w:val="22"/>
          <w:lang w:val="sq-AL" w:eastAsia="en-US"/>
        </w:rPr>
        <w:t>Aktualisht</w:t>
      </w:r>
      <w:r>
        <w:rPr>
          <w:rFonts w:ascii="Cambria" w:eastAsia="Times New Roman" w:hAnsi="Cambria"/>
          <w:color w:val="000000"/>
          <w:sz w:val="22"/>
          <w:szCs w:val="22"/>
          <w:lang w:val="sq-AL" w:eastAsia="en-US"/>
        </w:rPr>
        <w:t>,</w:t>
      </w:r>
      <w:r w:rsidRPr="00827575">
        <w:rPr>
          <w:rFonts w:ascii="Cambria" w:eastAsia="Times New Roman" w:hAnsi="Cambria"/>
          <w:color w:val="000000"/>
          <w:sz w:val="22"/>
          <w:szCs w:val="22"/>
          <w:lang w:val="sq-AL" w:eastAsia="en-US"/>
        </w:rPr>
        <w:t xml:space="preserve"> në njësitë e vetëqeverisjes vendore (49 Bashki) janë krijuar NJAB dhe </w:t>
      </w:r>
      <w:r w:rsidRPr="00827575">
        <w:rPr>
          <w:rFonts w:ascii="Cambria" w:eastAsia="Times New Roman" w:hAnsi="Cambria"/>
          <w:sz w:val="22"/>
          <w:szCs w:val="22"/>
          <w:lang w:val="sq-AL" w:eastAsia="en-US"/>
        </w:rPr>
        <w:t>kjo ve</w:t>
      </w:r>
      <w:r w:rsidR="003B0186">
        <w:rPr>
          <w:rFonts w:ascii="Cambria" w:eastAsia="Times New Roman" w:hAnsi="Cambria"/>
          <w:sz w:val="22"/>
          <w:szCs w:val="22"/>
          <w:lang w:val="sq-AL" w:eastAsia="en-US"/>
        </w:rPr>
        <w:t>primtari funksionon normalisht. Në n</w:t>
      </w:r>
      <w:r w:rsidRPr="00827575">
        <w:rPr>
          <w:rFonts w:ascii="Cambria" w:eastAsia="Times New Roman" w:hAnsi="Cambria"/>
          <w:color w:val="000000"/>
          <w:sz w:val="22"/>
          <w:szCs w:val="22"/>
          <w:lang w:val="sq-AL" w:eastAsia="en-US"/>
        </w:rPr>
        <w:t xml:space="preserve">jësitë e vetëqeverisjes vendore </w:t>
      </w:r>
      <w:r w:rsidRPr="00827575">
        <w:rPr>
          <w:rFonts w:ascii="Cambria" w:eastAsia="Times New Roman" w:hAnsi="Cambria"/>
          <w:sz w:val="22"/>
          <w:szCs w:val="22"/>
          <w:lang w:val="sq-AL" w:eastAsia="en-US"/>
        </w:rPr>
        <w:t>(Poliç</w:t>
      </w:r>
      <w:r w:rsidRPr="00827575">
        <w:rPr>
          <w:rFonts w:ascii="Cambria" w:eastAsia="Times New Roman" w:hAnsi="Cambria"/>
          <w:sz w:val="22"/>
          <w:szCs w:val="22"/>
          <w:lang w:val="sq-AL" w:eastAsia="ja-JP"/>
        </w:rPr>
        <w:t>an, Belsh, Has, Pukë, Konispol, Rrogozhinë, Delvinë</w:t>
      </w:r>
      <w:r w:rsidRPr="00827575">
        <w:rPr>
          <w:rFonts w:ascii="Cambria" w:eastAsia="Times New Roman" w:hAnsi="Cambria"/>
          <w:sz w:val="22"/>
          <w:szCs w:val="22"/>
          <w:lang w:val="sq-AL" w:eastAsia="en-US"/>
        </w:rPr>
        <w:t>) nuk realizohet shërbimi i auditimit të brendshëm me asnjë nga format e përcaktuara në kuadrin rregullator. Ndërkohë</w:t>
      </w:r>
      <w:r>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n</w:t>
      </w:r>
      <w:r w:rsidRPr="00827575">
        <w:rPr>
          <w:rFonts w:ascii="Cambria" w:eastAsia="Times New Roman" w:hAnsi="Cambria"/>
          <w:color w:val="000000"/>
          <w:sz w:val="22"/>
          <w:szCs w:val="22"/>
          <w:lang w:val="sq-AL" w:eastAsia="en-US"/>
        </w:rPr>
        <w:t xml:space="preserve">jësitë e vetëqeverisjes vendore </w:t>
      </w:r>
      <w:r w:rsidRPr="00827575">
        <w:rPr>
          <w:rFonts w:ascii="Cambria" w:eastAsia="Times New Roman" w:hAnsi="Cambria"/>
          <w:sz w:val="22"/>
          <w:szCs w:val="22"/>
          <w:lang w:val="sq-AL" w:eastAsia="en-US"/>
        </w:rPr>
        <w:t>relativisht të vogla (Pustec, Përmet, Këlcyrë, Finiq dhe Libohovë)</w:t>
      </w:r>
      <w:r w:rsidR="00EA5E92">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e kanë realizuar shërbimin e auditimit me akt-marrëveshje me njësi auditimi të brendshëm të njësive të tjera publike. </w:t>
      </w:r>
    </w:p>
    <w:p w:rsidR="007252B1" w:rsidRPr="00827575" w:rsidRDefault="007252B1" w:rsidP="007252B1">
      <w:pPr>
        <w:spacing w:before="120" w:after="120" w:line="276" w:lineRule="auto"/>
        <w:ind w:right="10"/>
        <w:jc w:val="both"/>
        <w:rPr>
          <w:rFonts w:ascii="Cambria" w:eastAsia="Calibri" w:hAnsi="Cambria"/>
          <w:color w:val="333333"/>
          <w:sz w:val="22"/>
          <w:szCs w:val="22"/>
          <w:lang w:eastAsia="en-US"/>
        </w:rPr>
      </w:pPr>
      <w:r w:rsidRPr="00827575">
        <w:rPr>
          <w:rFonts w:ascii="Cambria" w:eastAsia="Calibri" w:hAnsi="Cambria"/>
          <w:color w:val="333333"/>
          <w:sz w:val="22"/>
          <w:szCs w:val="22"/>
          <w:lang w:eastAsia="en-US"/>
        </w:rPr>
        <w:t>Gjatë këtij viti</w:t>
      </w:r>
      <w:r>
        <w:rPr>
          <w:rFonts w:ascii="Cambria" w:eastAsia="Calibri" w:hAnsi="Cambria"/>
          <w:color w:val="333333"/>
          <w:sz w:val="22"/>
          <w:szCs w:val="22"/>
          <w:lang w:eastAsia="en-US"/>
        </w:rPr>
        <w:t>,</w:t>
      </w:r>
      <w:r w:rsidRPr="00827575">
        <w:rPr>
          <w:rFonts w:ascii="Cambria" w:eastAsia="Calibri" w:hAnsi="Cambria"/>
          <w:color w:val="333333"/>
          <w:sz w:val="22"/>
          <w:szCs w:val="22"/>
          <w:lang w:eastAsia="en-US"/>
        </w:rPr>
        <w:t xml:space="preserve"> vërehet një numër i konsiderueshëm i njësive të auditimit të brendshëm që funksionojnë në kundërshtim me aktet nënligjore në fuqi, ose me më pak se</w:t>
      </w:r>
      <w:r>
        <w:rPr>
          <w:rFonts w:ascii="Cambria" w:eastAsia="Calibri" w:hAnsi="Cambria"/>
          <w:color w:val="333333"/>
          <w:sz w:val="22"/>
          <w:szCs w:val="22"/>
          <w:lang w:eastAsia="en-US"/>
        </w:rPr>
        <w:t xml:space="preserve"> tre auditues ose me staf të pa</w:t>
      </w:r>
      <w:r w:rsidRPr="00827575">
        <w:rPr>
          <w:rFonts w:ascii="Cambria" w:eastAsia="Calibri" w:hAnsi="Cambria"/>
          <w:color w:val="333333"/>
          <w:sz w:val="22"/>
          <w:szCs w:val="22"/>
          <w:lang w:eastAsia="en-US"/>
        </w:rPr>
        <w:t xml:space="preserve">certifikuar </w:t>
      </w:r>
      <w:r w:rsidRPr="00827575">
        <w:rPr>
          <w:rFonts w:ascii="Cambria" w:eastAsia="Calibri" w:hAnsi="Cambria"/>
          <w:color w:val="000000"/>
          <w:sz w:val="22"/>
          <w:szCs w:val="22"/>
          <w:lang w:eastAsia="en-US"/>
        </w:rPr>
        <w:t>(33 njësi me mungesë stafi, 33 njësi me drejtues të NJAB jashtë kritereve, 10 njësi me më shumë se 1/3 të punonjësve të pacertifikuar),</w:t>
      </w:r>
      <w:r w:rsidRPr="00827575">
        <w:rPr>
          <w:rFonts w:ascii="Cambria" w:eastAsia="Calibri" w:hAnsi="Cambria"/>
          <w:color w:val="333333"/>
          <w:sz w:val="22"/>
          <w:szCs w:val="22"/>
          <w:lang w:eastAsia="en-US"/>
        </w:rPr>
        <w:t xml:space="preserve"> gjë e cila ndikon në realizimin e shërbimit të auditimit të brendshëm sipas përcaktimeve ligjore.</w:t>
      </w: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Evidentohet se</w:t>
      </w:r>
      <w:r w:rsidR="00EA5E92">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shërbimi i auditimit të brendshëm nuk shtrihet në të gjitha njësitë e qeverisjes së përgjithshme, konkretisht</w:t>
      </w:r>
      <w:r w:rsidR="00A9494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në 13 institucione të pavarura dhe 15 njësi publike në varësi të Kryeministrisë (të Grupit Buxhetor 87) nuk realizohet shërbi</w:t>
      </w:r>
      <w:r>
        <w:rPr>
          <w:rFonts w:ascii="Cambria" w:eastAsia="Calibri" w:hAnsi="Cambria"/>
          <w:sz w:val="22"/>
          <w:szCs w:val="22"/>
          <w:lang w:val="sq-AL" w:eastAsia="en-US"/>
        </w:rPr>
        <w:t xml:space="preserve">mi i auditimit të brendshëm. </w:t>
      </w:r>
    </w:p>
    <w:p w:rsidR="007252B1" w:rsidRPr="00935EAB" w:rsidRDefault="007252B1" w:rsidP="007252B1">
      <w:pPr>
        <w:jc w:val="both"/>
        <w:rPr>
          <w:rFonts w:ascii="Cambria" w:eastAsia="Calibri" w:hAnsi="Cambria"/>
          <w:sz w:val="22"/>
          <w:szCs w:val="22"/>
          <w:lang w:val="sq-AL" w:eastAsia="en-US"/>
        </w:rPr>
      </w:pPr>
      <w:r>
        <w:rPr>
          <w:rFonts w:ascii="Cambria" w:eastAsia="Calibri" w:hAnsi="Cambria"/>
          <w:sz w:val="22"/>
          <w:szCs w:val="22"/>
          <w:lang w:val="sq-AL" w:eastAsia="en-US"/>
        </w:rPr>
        <w:t xml:space="preserve">  </w:t>
      </w:r>
    </w:p>
    <w:p w:rsidR="007252B1" w:rsidRPr="00935EAB" w:rsidRDefault="007252B1" w:rsidP="007252B1">
      <w:pPr>
        <w:pStyle w:val="Heading2"/>
        <w:rPr>
          <w:rFonts w:eastAsia="Calibri"/>
        </w:rPr>
      </w:pPr>
      <w:bookmarkStart w:id="79" w:name="_Toc9082381"/>
      <w:r w:rsidRPr="00935EAB">
        <w:t>2</w:t>
      </w:r>
      <w:r w:rsidR="00195A54">
        <w:t>.</w:t>
      </w:r>
      <w:r w:rsidR="003A27DA">
        <w:t>2.</w:t>
      </w:r>
      <w:r w:rsidRPr="00935EAB">
        <w:t xml:space="preserve"> </w:t>
      </w:r>
      <w:r>
        <w:rPr>
          <w:rFonts w:eastAsia="Calibri"/>
        </w:rPr>
        <w:t>R</w:t>
      </w:r>
      <w:r w:rsidRPr="00935EAB">
        <w:rPr>
          <w:rFonts w:eastAsia="Calibri"/>
        </w:rPr>
        <w:t>ealizimi i angazhimeve të auditimit</w:t>
      </w:r>
      <w:bookmarkEnd w:id="79"/>
    </w:p>
    <w:p w:rsidR="007252B1" w:rsidRPr="00827575" w:rsidRDefault="007252B1" w:rsidP="007252B1">
      <w:pPr>
        <w:rPr>
          <w:rFonts w:ascii="Cambria" w:eastAsia="Calibri" w:hAnsi="Cambria"/>
          <w:sz w:val="8"/>
          <w:szCs w:val="8"/>
          <w:lang w:val="sq-AL" w:eastAsia="en-US"/>
        </w:rPr>
      </w:pPr>
    </w:p>
    <w:p w:rsidR="007252B1" w:rsidRPr="00827575" w:rsidRDefault="000970CC" w:rsidP="007252B1">
      <w:pPr>
        <w:jc w:val="both"/>
        <w:rPr>
          <w:rFonts w:ascii="Cambria" w:eastAsia="Calibri" w:hAnsi="Cambria"/>
          <w:sz w:val="22"/>
          <w:szCs w:val="22"/>
          <w:lang w:val="sq-AL" w:eastAsia="en-US"/>
        </w:rPr>
      </w:pPr>
      <w:r>
        <w:rPr>
          <w:rFonts w:ascii="Cambria" w:eastAsia="Calibri" w:hAnsi="Cambria"/>
          <w:sz w:val="22"/>
          <w:szCs w:val="22"/>
          <w:lang w:val="sq-AL" w:eastAsia="en-US"/>
        </w:rPr>
        <w:t>MFE, p</w:t>
      </w:r>
      <w:r w:rsidR="007252B1" w:rsidRPr="00827575">
        <w:rPr>
          <w:rFonts w:ascii="Cambria" w:eastAsia="Calibri" w:hAnsi="Cambria"/>
          <w:sz w:val="22"/>
          <w:szCs w:val="22"/>
          <w:lang w:val="sq-AL" w:eastAsia="en-US"/>
        </w:rPr>
        <w:t>as konsolidimit të të dhënave nga raportet vjetore të njësive të auditimit të brendshëm, analizoi nivelin e realizimit të planit të anagazhimit të auditimeve për vitin 2018. Kjo analizë u bazua në krahasimin e të dhënave me planet strategjike dhe vjetore të NJAB</w:t>
      </w:r>
      <w:r w:rsidR="00530CC5">
        <w:rPr>
          <w:rFonts w:ascii="Cambria" w:eastAsia="Calibri" w:hAnsi="Cambria"/>
          <w:sz w:val="22"/>
          <w:szCs w:val="22"/>
          <w:lang w:val="sq-AL" w:eastAsia="en-US"/>
        </w:rPr>
        <w:t>,</w:t>
      </w:r>
      <w:r w:rsidR="007252B1" w:rsidRPr="00827575">
        <w:rPr>
          <w:rFonts w:ascii="Cambria" w:eastAsia="Calibri" w:hAnsi="Cambria"/>
          <w:sz w:val="22"/>
          <w:szCs w:val="22"/>
          <w:lang w:val="sq-AL" w:eastAsia="en-US"/>
        </w:rPr>
        <w:t xml:space="preserve"> që funksionojnë në sektorin publik, nga e cila identifikohen risqet kryesore në bazë të të cilave është planifikuar veprimtaria e auditimit të brendshëm në njësitë publike. </w:t>
      </w:r>
    </w:p>
    <w:p w:rsidR="007252B1" w:rsidRPr="00827575" w:rsidRDefault="007252B1" w:rsidP="007252B1">
      <w:pPr>
        <w:ind w:left="720"/>
        <w:rPr>
          <w:rFonts w:ascii="Cambria" w:eastAsia="Times New Roman" w:hAnsi="Cambria"/>
          <w:sz w:val="8"/>
          <w:szCs w:val="8"/>
          <w:lang w:val="sq-AL" w:eastAsia="en-US"/>
        </w:rPr>
      </w:pPr>
    </w:p>
    <w:p w:rsidR="007252B1" w:rsidRPr="00827575" w:rsidRDefault="007252B1" w:rsidP="007252B1">
      <w:pPr>
        <w:spacing w:after="120"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Gjatë këtij viti strukturat e auditimit të brendshëm kanë realizuar 1,232 angazhime auditimi kundrejt 1,240 angazhime auditimi të programuara (duke përfshirë ndryshimet e planeve, të miratuara, gjatë vitit), që e shprehur në përqindje përbën 99% të realizimit të Planit Vjetor. </w:t>
      </w:r>
    </w:p>
    <w:p w:rsidR="007252B1" w:rsidRPr="00827575"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Në grafikun e mëposhtëm</w:t>
      </w:r>
      <w:r>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paraqitet realizimi i angazhimeve të auditimit për vitin 2018</w:t>
      </w:r>
      <w:r>
        <w:rPr>
          <w:rFonts w:ascii="Cambria" w:eastAsia="Times New Roman" w:hAnsi="Cambria"/>
          <w:sz w:val="22"/>
          <w:szCs w:val="22"/>
          <w:lang w:val="sq-AL" w:eastAsia="en-US"/>
        </w:rPr>
        <w:t xml:space="preserve">, të ndara sipas llojit. </w:t>
      </w:r>
      <w:r w:rsidRPr="00827575">
        <w:rPr>
          <w:rFonts w:ascii="Cambria" w:eastAsia="Times New Roman" w:hAnsi="Cambria"/>
          <w:sz w:val="22"/>
          <w:szCs w:val="22"/>
          <w:lang w:val="sq-AL" w:eastAsia="en-US"/>
        </w:rPr>
        <w:t>Nga të dhënat e pasqyruara vërehet se gjatë vitit ka një numër të madh auditimesh të kombinuara (557 auditime) dhe auditime përputhshmërie (371 auditime), si dhe një numër i ko</w:t>
      </w:r>
      <w:r w:rsidR="000B2339">
        <w:rPr>
          <w:rFonts w:ascii="Cambria" w:eastAsia="Times New Roman" w:hAnsi="Cambria"/>
          <w:sz w:val="22"/>
          <w:szCs w:val="22"/>
          <w:lang w:val="sq-AL" w:eastAsia="en-US"/>
        </w:rPr>
        <w:t>nsiderueshëm i auditimeve të pa</w:t>
      </w:r>
      <w:r w:rsidRPr="00827575">
        <w:rPr>
          <w:rFonts w:ascii="Cambria" w:eastAsia="Times New Roman" w:hAnsi="Cambria"/>
          <w:sz w:val="22"/>
          <w:szCs w:val="22"/>
          <w:lang w:val="sq-AL" w:eastAsia="en-US"/>
        </w:rPr>
        <w:t>planifikuara, 132 me kërkesë të titullarëve të njësive publike. Këto të fundit, zëvendësojnë llojet e tjera të auditimeve të planifikuara, për shkak të mostrajtimit të planeve paraprakisht me titullarët e njësive publike</w:t>
      </w:r>
      <w:r w:rsidR="00872BD5">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ose për shkak të ndryshimit të shpeshtë të këtyre të fundit. </w:t>
      </w:r>
    </w:p>
    <w:p w:rsidR="007252B1" w:rsidRPr="00827575" w:rsidRDefault="007252B1" w:rsidP="007252B1">
      <w:pPr>
        <w:pStyle w:val="Caption"/>
        <w:rPr>
          <w:rFonts w:ascii="Cambria" w:eastAsia="Times New Roman" w:hAnsi="Cambria"/>
          <w:i/>
          <w:lang w:val="sq-AL"/>
        </w:rPr>
      </w:pPr>
      <w:bookmarkStart w:id="80" w:name="_Toc9082426"/>
      <w:r w:rsidRPr="00E22B23">
        <w:rPr>
          <w:rFonts w:ascii="Cambria" w:eastAsia="Times New Roman" w:hAnsi="Cambria"/>
          <w:b w:val="0"/>
          <w:bCs w:val="0"/>
          <w:i/>
          <w:lang w:val="sq-AL"/>
        </w:rPr>
        <w:t xml:space="preserve">Grafiku </w:t>
      </w:r>
      <w:r w:rsidRPr="00E22B23">
        <w:rPr>
          <w:rFonts w:ascii="Cambria" w:eastAsia="Times New Roman" w:hAnsi="Cambria"/>
          <w:b w:val="0"/>
          <w:bCs w:val="0"/>
          <w:i/>
          <w:lang w:val="sq-AL"/>
        </w:rPr>
        <w:fldChar w:fldCharType="begin"/>
      </w:r>
      <w:r w:rsidRPr="00E22B23">
        <w:rPr>
          <w:rFonts w:ascii="Cambria" w:eastAsia="Times New Roman" w:hAnsi="Cambria"/>
          <w:b w:val="0"/>
          <w:bCs w:val="0"/>
          <w:i/>
          <w:lang w:val="sq-AL"/>
        </w:rPr>
        <w:instrText xml:space="preserve"> SEQ Grafiku \* ARABIC </w:instrText>
      </w:r>
      <w:r w:rsidRPr="00E22B23">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4</w:t>
      </w:r>
      <w:r w:rsidRPr="00E22B23">
        <w:rPr>
          <w:rFonts w:ascii="Cambria" w:eastAsia="Times New Roman" w:hAnsi="Cambria"/>
          <w:b w:val="0"/>
          <w:bCs w:val="0"/>
          <w:i/>
          <w:lang w:val="sq-AL"/>
        </w:rPr>
        <w:fldChar w:fldCharType="end"/>
      </w:r>
      <w:r w:rsidRPr="00E22B23">
        <w:rPr>
          <w:rFonts w:ascii="Cambria" w:eastAsia="Times New Roman" w:hAnsi="Cambria"/>
          <w:b w:val="0"/>
          <w:bCs w:val="0"/>
          <w:i/>
          <w:lang w:val="sq-AL"/>
        </w:rPr>
        <w:t>. Realizimi i angazhimeve të auditimit, të ndara sipas llojit</w:t>
      </w:r>
      <w:bookmarkEnd w:id="80"/>
      <w:r>
        <w:t xml:space="preserve">   </w:t>
      </w:r>
    </w:p>
    <w:p w:rsidR="007252B1"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i/>
          <w:noProof/>
          <w:sz w:val="20"/>
          <w:szCs w:val="20"/>
          <w:lang w:eastAsia="en-US"/>
        </w:rPr>
        <w:drawing>
          <wp:inline distT="0" distB="0" distL="0" distR="0" wp14:anchorId="68A8BCF1" wp14:editId="2C656BA1">
            <wp:extent cx="5848350" cy="2152650"/>
            <wp:effectExtent l="0" t="0" r="0" b="0"/>
            <wp:docPr id="3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52B1" w:rsidRDefault="007252B1" w:rsidP="007252B1">
      <w:pPr>
        <w:spacing w:after="120" w:line="276" w:lineRule="auto"/>
        <w:jc w:val="both"/>
        <w:rPr>
          <w:rFonts w:ascii="Cambria" w:eastAsia="Times New Roman" w:hAnsi="Cambria"/>
          <w:sz w:val="22"/>
          <w:szCs w:val="22"/>
          <w:lang w:val="sq-AL" w:eastAsia="en-US"/>
        </w:rPr>
      </w:pPr>
    </w:p>
    <w:p w:rsidR="007252B1"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noProof/>
          <w:sz w:val="22"/>
          <w:szCs w:val="22"/>
          <w:lang w:eastAsia="en-US"/>
        </w:rPr>
        <w:drawing>
          <wp:inline distT="0" distB="0" distL="0" distR="0" wp14:anchorId="49DEBF8D" wp14:editId="016769AE">
            <wp:extent cx="5886450" cy="2162175"/>
            <wp:effectExtent l="0" t="0" r="0"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52B1" w:rsidRPr="00E22B23" w:rsidRDefault="003A27DA" w:rsidP="007252B1">
      <w:pPr>
        <w:pStyle w:val="Heading2"/>
      </w:pPr>
      <w:bookmarkStart w:id="81" w:name="_Toc9082382"/>
      <w:r>
        <w:t>2.</w:t>
      </w:r>
      <w:r w:rsidR="007252B1" w:rsidRPr="00AE5D42">
        <w:t>3</w:t>
      </w:r>
      <w:r w:rsidR="00195A54">
        <w:t>.</w:t>
      </w:r>
      <w:r w:rsidR="007252B1" w:rsidRPr="00AE5D42">
        <w:t xml:space="preserve"> Gjetjet e auditimit të brendshëm</w:t>
      </w:r>
      <w:bookmarkEnd w:id="81"/>
    </w:p>
    <w:p w:rsidR="007252B1" w:rsidRPr="00827575" w:rsidRDefault="007252B1" w:rsidP="007252B1">
      <w:pPr>
        <w:rPr>
          <w:rFonts w:ascii="Calibri" w:eastAsia="Calibri" w:hAnsi="Calibri"/>
          <w:sz w:val="12"/>
          <w:szCs w:val="12"/>
          <w:lang w:val="sq-AL" w:eastAsia="en-US"/>
        </w:rPr>
      </w:pP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vitit 2018 janë evidentuar gjetjet me dëm ekonomik sipas sistemeve, të cilat kanë pasur  ndikim në buxhetin e subjekteve të audituara. Situata në mënyrë të përmbledhur jepet në tabelën e mëposhtme:</w:t>
      </w:r>
    </w:p>
    <w:p w:rsidR="007252B1" w:rsidRPr="00827575" w:rsidRDefault="007252B1" w:rsidP="007252B1">
      <w:pPr>
        <w:jc w:val="both"/>
        <w:rPr>
          <w:rFonts w:ascii="Cambria" w:eastAsia="Calibri" w:hAnsi="Cambria"/>
          <w:sz w:val="22"/>
          <w:szCs w:val="22"/>
          <w:lang w:val="sq-AL" w:eastAsia="en-US"/>
        </w:rPr>
      </w:pPr>
    </w:p>
    <w:p w:rsidR="007252B1" w:rsidRPr="00E22B23" w:rsidRDefault="007252B1" w:rsidP="00195A54">
      <w:pPr>
        <w:pStyle w:val="Caption"/>
        <w:rPr>
          <w:rFonts w:ascii="Cambria" w:eastAsia="Times New Roman" w:hAnsi="Cambria"/>
          <w:b w:val="0"/>
          <w:bCs w:val="0"/>
          <w:i/>
          <w:lang w:val="sq-AL"/>
        </w:rPr>
      </w:pPr>
      <w:r>
        <w:rPr>
          <w:rFonts w:ascii="Cambria" w:eastAsia="Times New Roman" w:hAnsi="Cambria"/>
          <w:b w:val="0"/>
          <w:bCs w:val="0"/>
          <w:i/>
          <w:lang w:val="sq-AL"/>
        </w:rPr>
        <w:t xml:space="preserve">       </w:t>
      </w:r>
      <w:bookmarkStart w:id="82" w:name="_Toc9082408"/>
      <w:r w:rsidR="00195A54" w:rsidRPr="00195A54">
        <w:rPr>
          <w:rFonts w:ascii="Cambria" w:eastAsia="Times New Roman" w:hAnsi="Cambria"/>
          <w:b w:val="0"/>
          <w:bCs w:val="0"/>
          <w:i/>
          <w:lang w:val="sq-AL"/>
        </w:rPr>
        <w:t xml:space="preserve">Tabela </w:t>
      </w:r>
      <w:r w:rsidR="00195A54" w:rsidRPr="00195A54">
        <w:rPr>
          <w:rFonts w:ascii="Cambria" w:eastAsia="Times New Roman" w:hAnsi="Cambria"/>
          <w:b w:val="0"/>
          <w:bCs w:val="0"/>
          <w:i/>
          <w:lang w:val="sq-AL"/>
        </w:rPr>
        <w:fldChar w:fldCharType="begin"/>
      </w:r>
      <w:r w:rsidR="00195A54" w:rsidRPr="00195A54">
        <w:rPr>
          <w:rFonts w:ascii="Cambria" w:eastAsia="Times New Roman" w:hAnsi="Cambria"/>
          <w:b w:val="0"/>
          <w:bCs w:val="0"/>
          <w:i/>
          <w:lang w:val="sq-AL"/>
        </w:rPr>
        <w:instrText xml:space="preserve"> SEQ Tabela \* ARABIC </w:instrText>
      </w:r>
      <w:r w:rsidR="00195A54" w:rsidRPr="00195A5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11</w:t>
      </w:r>
      <w:r w:rsidR="00195A54" w:rsidRPr="00195A54">
        <w:rPr>
          <w:rFonts w:ascii="Cambria" w:eastAsia="Times New Roman" w:hAnsi="Cambria"/>
          <w:b w:val="0"/>
          <w:bCs w:val="0"/>
          <w:i/>
          <w:lang w:val="sq-AL"/>
        </w:rPr>
        <w:fldChar w:fldCharType="end"/>
      </w:r>
      <w:r w:rsidR="00195A54" w:rsidRPr="00195A54">
        <w:rPr>
          <w:rFonts w:ascii="Cambria" w:eastAsia="Times New Roman" w:hAnsi="Cambria"/>
          <w:b w:val="0"/>
          <w:bCs w:val="0"/>
          <w:i/>
          <w:lang w:val="sq-AL"/>
        </w:rPr>
        <w:t>. Gjetjet sipas sistemeve për vitin 2018</w:t>
      </w:r>
      <w:bookmarkEnd w:id="82"/>
      <w:r w:rsidRPr="00E22B23">
        <w:rPr>
          <w:rFonts w:ascii="Cambria" w:eastAsia="Times New Roman" w:hAnsi="Cambria"/>
          <w:b w:val="0"/>
          <w:bCs w:val="0"/>
          <w:i/>
          <w:lang w:val="sq-AL"/>
        </w:rPr>
        <w:t xml:space="preserve"> </w:t>
      </w:r>
    </w:p>
    <w:tbl>
      <w:tblPr>
        <w:tblW w:w="0" w:type="auto"/>
        <w:jc w:val="center"/>
        <w:tblBorders>
          <w:top w:val="single" w:sz="8" w:space="0" w:color="4BACC6"/>
          <w:bottom w:val="single" w:sz="8" w:space="0" w:color="4BACC6"/>
        </w:tblBorders>
        <w:tblLook w:val="04A0" w:firstRow="1" w:lastRow="0" w:firstColumn="1" w:lastColumn="0" w:noHBand="0" w:noVBand="1"/>
      </w:tblPr>
      <w:tblGrid>
        <w:gridCol w:w="1008"/>
        <w:gridCol w:w="5345"/>
        <w:gridCol w:w="1945"/>
      </w:tblGrid>
      <w:tr w:rsidR="007252B1" w:rsidRPr="00E22B23" w:rsidTr="009A7C54">
        <w:trPr>
          <w:trHeight w:val="520"/>
          <w:jc w:val="center"/>
        </w:trPr>
        <w:tc>
          <w:tcPr>
            <w:tcW w:w="1008" w:type="dxa"/>
            <w:tcBorders>
              <w:top w:val="single" w:sz="8" w:space="0" w:color="4BACC6"/>
              <w:left w:val="nil"/>
              <w:bottom w:val="single" w:sz="8" w:space="0" w:color="4BACC6"/>
              <w:right w:val="nil"/>
            </w:tcBorders>
            <w:shd w:val="clear" w:color="auto" w:fill="auto"/>
          </w:tcPr>
          <w:p w:rsidR="007252B1" w:rsidRPr="00E22B23" w:rsidRDefault="007252B1" w:rsidP="009A7C54">
            <w:pPr>
              <w:jc w:val="center"/>
              <w:rPr>
                <w:rFonts w:ascii="Cambria" w:eastAsia="Calibri" w:hAnsi="Cambria"/>
                <w:b/>
                <w:sz w:val="20"/>
                <w:szCs w:val="20"/>
                <w:lang w:val="sq-AL" w:eastAsia="en-US"/>
              </w:rPr>
            </w:pPr>
            <w:r w:rsidRPr="00E22B23">
              <w:rPr>
                <w:rFonts w:ascii="Cambria" w:eastAsia="Calibri" w:hAnsi="Cambria"/>
                <w:b/>
                <w:sz w:val="20"/>
                <w:szCs w:val="20"/>
                <w:lang w:val="sq-AL" w:eastAsia="en-US"/>
              </w:rPr>
              <w:t>Nr.</w:t>
            </w:r>
          </w:p>
        </w:tc>
        <w:tc>
          <w:tcPr>
            <w:tcW w:w="5345" w:type="dxa"/>
            <w:tcBorders>
              <w:top w:val="single" w:sz="8" w:space="0" w:color="4BACC6"/>
              <w:left w:val="nil"/>
              <w:bottom w:val="single" w:sz="8" w:space="0" w:color="4BACC6"/>
              <w:right w:val="nil"/>
            </w:tcBorders>
            <w:shd w:val="clear" w:color="auto" w:fill="auto"/>
          </w:tcPr>
          <w:p w:rsidR="007252B1" w:rsidRPr="00E22B23" w:rsidRDefault="007252B1" w:rsidP="009A7C54">
            <w:pPr>
              <w:rPr>
                <w:rFonts w:ascii="Cambria" w:eastAsia="Calibri" w:hAnsi="Cambria"/>
                <w:b/>
                <w:sz w:val="20"/>
                <w:szCs w:val="20"/>
                <w:highlight w:val="cyan"/>
                <w:lang w:val="sq-AL" w:eastAsia="en-US"/>
              </w:rPr>
            </w:pPr>
            <w:r w:rsidRPr="00E22B23">
              <w:rPr>
                <w:rFonts w:ascii="Cambria" w:eastAsia="Calibri" w:hAnsi="Cambria"/>
                <w:b/>
                <w:sz w:val="20"/>
                <w:szCs w:val="20"/>
                <w:lang w:val="sq-AL" w:eastAsia="en-US"/>
              </w:rPr>
              <w:t>Gjetjet sipas sistemit</w:t>
            </w:r>
          </w:p>
        </w:tc>
        <w:tc>
          <w:tcPr>
            <w:tcW w:w="1945" w:type="dxa"/>
            <w:tcBorders>
              <w:top w:val="single" w:sz="8" w:space="0" w:color="4BACC6"/>
              <w:left w:val="nil"/>
              <w:bottom w:val="single" w:sz="8" w:space="0" w:color="4BACC6"/>
              <w:right w:val="nil"/>
            </w:tcBorders>
            <w:shd w:val="clear" w:color="auto" w:fill="auto"/>
          </w:tcPr>
          <w:p w:rsidR="007252B1" w:rsidRPr="00E22B23" w:rsidRDefault="007252B1" w:rsidP="009A7C54">
            <w:pPr>
              <w:jc w:val="center"/>
              <w:rPr>
                <w:rFonts w:ascii="Cambria" w:eastAsia="Calibri" w:hAnsi="Cambria"/>
                <w:b/>
                <w:sz w:val="20"/>
                <w:szCs w:val="20"/>
                <w:lang w:val="sq-AL" w:eastAsia="en-US"/>
              </w:rPr>
            </w:pPr>
            <w:r w:rsidRPr="00E22B23">
              <w:rPr>
                <w:rFonts w:ascii="Cambria" w:eastAsia="Calibri" w:hAnsi="Cambria"/>
                <w:b/>
                <w:sz w:val="20"/>
                <w:szCs w:val="20"/>
                <w:lang w:val="sq-AL" w:eastAsia="en-US"/>
              </w:rPr>
              <w:t>Dëmi ekonomik (000/lekë)</w:t>
            </w:r>
          </w:p>
        </w:tc>
      </w:tr>
      <w:tr w:rsidR="007252B1" w:rsidRPr="00E22B23" w:rsidTr="009A7C54">
        <w:trPr>
          <w:trHeight w:val="169"/>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Prokurim, blerje dhe investime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3.446.422</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2</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Paga, shpërblime, trajtime, komisione</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146.611, 7</w:t>
            </w:r>
          </w:p>
        </w:tc>
      </w:tr>
      <w:tr w:rsidR="007252B1" w:rsidRPr="00E22B23" w:rsidTr="009A7C54">
        <w:trPr>
          <w:trHeight w:val="180"/>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3</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Fondet e sig. shoq dhe shëndetësore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11.470</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4</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Tatime, taksa dhe dogana</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378.824</w:t>
            </w:r>
          </w:p>
        </w:tc>
      </w:tr>
      <w:tr w:rsidR="007252B1" w:rsidRPr="00E22B23" w:rsidTr="009A7C54">
        <w:trPr>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5</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Admin. prone dhe pasurie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17.520,6</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6</w:t>
            </w:r>
          </w:p>
        </w:tc>
        <w:tc>
          <w:tcPr>
            <w:tcW w:w="5345" w:type="dxa"/>
            <w:shd w:val="clear" w:color="auto" w:fill="auto"/>
          </w:tcPr>
          <w:p w:rsidR="007252B1" w:rsidRPr="00E22B23" w:rsidRDefault="007252B1" w:rsidP="009A7C54">
            <w:pPr>
              <w:rPr>
                <w:rFonts w:ascii="Cambria" w:hAnsi="Cambria"/>
                <w:sz w:val="20"/>
                <w:szCs w:val="20"/>
                <w:lang w:eastAsia="en-US"/>
              </w:rPr>
            </w:pPr>
            <w:r w:rsidRPr="00E22B23">
              <w:rPr>
                <w:rFonts w:ascii="Cambria" w:hAnsi="Cambria"/>
                <w:sz w:val="20"/>
                <w:szCs w:val="20"/>
                <w:lang w:eastAsia="en-US"/>
              </w:rPr>
              <w:t>Privatizime, shitje dhe qeradhënie</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21.546,2</w:t>
            </w:r>
          </w:p>
        </w:tc>
      </w:tr>
      <w:tr w:rsidR="007252B1" w:rsidRPr="00E22B23" w:rsidTr="009A7C54">
        <w:trPr>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7</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Koncesione dhe ankande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52.508, 8</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8</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 xml:space="preserve">Privatizime, shitje, qeradhënie </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123.930</w:t>
            </w:r>
          </w:p>
        </w:tc>
      </w:tr>
      <w:tr w:rsidR="007252B1" w:rsidRPr="00E22B23" w:rsidTr="009A7C54">
        <w:trPr>
          <w:trHeight w:val="207"/>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9</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 xml:space="preserve">Të tjera </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172.697</w:t>
            </w:r>
          </w:p>
        </w:tc>
      </w:tr>
      <w:tr w:rsidR="007252B1" w:rsidRPr="00E22B23" w:rsidTr="009A7C54">
        <w:trPr>
          <w:trHeight w:val="225"/>
          <w:jc w:val="center"/>
        </w:trPr>
        <w:tc>
          <w:tcPr>
            <w:tcW w:w="1008"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TOTALI</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4.332.463, 5</w:t>
            </w:r>
          </w:p>
        </w:tc>
      </w:tr>
    </w:tbl>
    <w:p w:rsidR="007252B1" w:rsidRPr="00827575" w:rsidRDefault="007252B1" w:rsidP="007252B1">
      <w:pPr>
        <w:rPr>
          <w:rFonts w:ascii="Calibri" w:eastAsia="Calibri" w:hAnsi="Calibri"/>
          <w:sz w:val="12"/>
          <w:szCs w:val="12"/>
          <w:lang w:val="sq-AL" w:eastAsia="en-US"/>
        </w:rPr>
      </w:pPr>
    </w:p>
    <w:p w:rsidR="007252B1" w:rsidRPr="00827575"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Vërehet se</w:t>
      </w:r>
      <w:r w:rsidR="00872BD5">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nga auditimet e kryera janë konstatuar gjetje me dëm ekonomik</w:t>
      </w:r>
      <w:r w:rsidR="00872BD5">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që llogariten në 4.332,5 milionë </w:t>
      </w:r>
      <w:r w:rsidR="00872BD5">
        <w:rPr>
          <w:rFonts w:ascii="Cambria" w:eastAsia="Times New Roman" w:hAnsi="Cambria"/>
          <w:sz w:val="22"/>
          <w:szCs w:val="22"/>
          <w:lang w:val="sq-AL" w:eastAsia="en-US"/>
        </w:rPr>
        <w:t>lekë. Nga të dhënat e mësipërme</w:t>
      </w:r>
      <w:r w:rsidR="003A27DA">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evidentohet se gjatë vitit </w:t>
      </w:r>
      <w:r w:rsidR="00872BD5">
        <w:rPr>
          <w:rFonts w:ascii="Cambria" w:eastAsia="Times New Roman" w:hAnsi="Cambria"/>
          <w:sz w:val="22"/>
          <w:szCs w:val="22"/>
          <w:lang w:val="sq-AL" w:eastAsia="en-US"/>
        </w:rPr>
        <w:t>2018</w:t>
      </w:r>
      <w:r w:rsidR="003A27DA">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sistemi i prokurimeve ka pasur gjetjet me vlerë më të madhe të shkeljeve të konstatuara.</w:t>
      </w:r>
    </w:p>
    <w:p w:rsidR="007252B1" w:rsidRPr="00827575" w:rsidRDefault="007252B1" w:rsidP="00195A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këtij viti janë evidentuar nga audituesit e brendshëm 20 raste për investigim të mëtejshëm nga njësi të specializuara. Këto janë trajtuar nga 8 NJAB kryesisht: 2 raste Ministria e Energjisë dhe Infrastrukturës, 1 rast Ministria e Brendshme, 2 raste Ministria e Drejtësisë, 2 raste Ministria e Financave dhe Ekonomisë, 6 ras</w:t>
      </w:r>
      <w:r>
        <w:rPr>
          <w:rFonts w:ascii="Cambria" w:eastAsia="Calibri" w:hAnsi="Cambria"/>
          <w:sz w:val="22"/>
          <w:szCs w:val="22"/>
          <w:lang w:val="sq-AL" w:eastAsia="en-US"/>
        </w:rPr>
        <w:t>te Ministria e Shëndetësisë dhe Mbrojtes</w:t>
      </w:r>
      <w:r w:rsidRPr="00827575">
        <w:rPr>
          <w:rFonts w:ascii="Cambria" w:eastAsia="Calibri" w:hAnsi="Cambria"/>
          <w:sz w:val="22"/>
          <w:szCs w:val="22"/>
          <w:lang w:val="sq-AL" w:eastAsia="en-US"/>
        </w:rPr>
        <w:t xml:space="preserve"> Sociale, 2 raste ALUIZNI, 3 raste Drejtoria e Përgjithshme e Tatimeve dhe 2 raste Shërbimi Kombëtar i Punësimit.  </w:t>
      </w:r>
    </w:p>
    <w:p w:rsidR="007252B1" w:rsidRPr="00827575" w:rsidRDefault="007252B1" w:rsidP="007252B1">
      <w:pPr>
        <w:jc w:val="both"/>
        <w:rPr>
          <w:rFonts w:ascii="Cambria" w:eastAsia="Calibri" w:hAnsi="Cambria"/>
          <w:sz w:val="8"/>
          <w:szCs w:val="8"/>
          <w:lang w:val="sq-AL" w:eastAsia="en-US"/>
        </w:rPr>
      </w:pPr>
    </w:p>
    <w:p w:rsidR="007252B1" w:rsidRPr="00A03379" w:rsidRDefault="007252B1" w:rsidP="007252B1">
      <w:pPr>
        <w:jc w:val="both"/>
        <w:rPr>
          <w:rFonts w:ascii="Cambria" w:eastAsia="Calibri" w:hAnsi="Cambria"/>
          <w:sz w:val="22"/>
          <w:szCs w:val="22"/>
          <w:lang w:val="sq-AL" w:eastAsia="en-US"/>
        </w:rPr>
        <w:sectPr w:rsidR="007252B1" w:rsidRPr="00A03379" w:rsidSect="004E497C">
          <w:pgSz w:w="11900" w:h="16840"/>
          <w:pgMar w:top="1417" w:right="1417" w:bottom="1134" w:left="1417" w:header="708" w:footer="708" w:gutter="0"/>
          <w:cols w:space="708"/>
          <w:docGrid w:linePitch="360"/>
        </w:sectPr>
      </w:pPr>
      <w:r w:rsidRPr="00827575">
        <w:rPr>
          <w:rFonts w:ascii="Cambria" w:eastAsia="Calibri" w:hAnsi="Cambria"/>
          <w:sz w:val="22"/>
          <w:szCs w:val="22"/>
          <w:lang w:val="sq-AL" w:eastAsia="en-US"/>
        </w:rPr>
        <w:t>Tetë prej këtyre rasteve i janë drejtuar për investigim të mëtejshëm Drejtorisë së Inspektimit Financiar në Ministrinë e Financave dhe Ekonomisë, tetë raste proku</w:t>
      </w:r>
      <w:r w:rsidR="00FF0F74">
        <w:rPr>
          <w:rFonts w:ascii="Cambria" w:eastAsia="Calibri" w:hAnsi="Cambria"/>
          <w:sz w:val="22"/>
          <w:szCs w:val="22"/>
          <w:lang w:val="sq-AL" w:eastAsia="en-US"/>
        </w:rPr>
        <w:t>rorive të rretheve përkatëse, ndërsa</w:t>
      </w:r>
      <w:r w:rsidRPr="00827575">
        <w:rPr>
          <w:rFonts w:ascii="Cambria" w:eastAsia="Calibri" w:hAnsi="Cambria"/>
          <w:sz w:val="22"/>
          <w:szCs w:val="22"/>
          <w:lang w:val="sq-AL" w:eastAsia="en-US"/>
        </w:rPr>
        <w:t xml:space="preserve"> rastet e tjera i janë drejtuar Agjensisë së Prokurimit dhe D</w:t>
      </w:r>
      <w:r w:rsidR="00195A54">
        <w:rPr>
          <w:rFonts w:ascii="Cambria" w:eastAsia="Calibri" w:hAnsi="Cambria"/>
          <w:sz w:val="22"/>
          <w:szCs w:val="22"/>
          <w:lang w:val="sq-AL" w:eastAsia="en-US"/>
        </w:rPr>
        <w:t>rejtorisë së Hetimit Tatimor</w:t>
      </w:r>
      <w:r w:rsidR="000F025E">
        <w:rPr>
          <w:rFonts w:ascii="Cambria" w:eastAsia="Calibri" w:hAnsi="Cambria"/>
          <w:sz w:val="22"/>
          <w:szCs w:val="22"/>
          <w:lang w:val="sq-AL" w:eastAsia="en-US"/>
        </w:rPr>
        <w:t>.</w:t>
      </w:r>
    </w:p>
    <w:p w:rsidR="007252B1" w:rsidRDefault="00916DB8" w:rsidP="007252B1">
      <w:pPr>
        <w:pStyle w:val="Heading2"/>
      </w:pPr>
      <w:bookmarkStart w:id="83" w:name="_Toc9082383"/>
      <w:r>
        <w:t>2.</w:t>
      </w:r>
      <w:r w:rsidR="007252B1" w:rsidRPr="00A03379">
        <w:t>4</w:t>
      </w:r>
      <w:r w:rsidR="00195A54">
        <w:t>.</w:t>
      </w:r>
      <w:r w:rsidR="007252B1" w:rsidRPr="00A03379">
        <w:t xml:space="preserve"> Rekomandimet e Auditimit të Brendshëm</w:t>
      </w:r>
      <w:bookmarkEnd w:id="83"/>
    </w:p>
    <w:p w:rsidR="007252B1" w:rsidRPr="00A03379" w:rsidRDefault="007252B1" w:rsidP="007252B1"/>
    <w:p w:rsidR="007252B1" w:rsidRPr="00827575"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Bazuar në standardet ndërkombëtare dhe në kuadrin ligjor në fuqi, zbatimi i rekomandimeve është përgjegjësi e titullarëve të subjekteve të audituara, por roli i njësive të auditimit të brendshëm është monitorimi i vazhdueshëm i zbatimit të rekomandimeve të dhëna dhe të pranuara.</w:t>
      </w:r>
    </w:p>
    <w:p w:rsidR="007252B1" w:rsidRPr="00827575" w:rsidRDefault="007252B1" w:rsidP="007252B1">
      <w:pPr>
        <w:jc w:val="both"/>
        <w:rPr>
          <w:rFonts w:ascii="Cambria" w:eastAsia="Calibri" w:hAnsi="Cambria"/>
          <w:sz w:val="8"/>
          <w:szCs w:val="8"/>
          <w:lang w:val="sq-AL" w:eastAsia="en-US"/>
        </w:rPr>
      </w:pPr>
    </w:p>
    <w:p w:rsidR="007252B1" w:rsidRDefault="007252B1" w:rsidP="007252B1">
      <w:pPr>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Nga monitorimi i vazhdueshëm i nivelit të zbatimit të rekomandimeve të lëna gjatë vitit 2017 është evidentuar një rritje e konsiderueshme nga 55% e nivelit të zbatimit e evide</w:t>
      </w:r>
      <w:r w:rsidR="00283172">
        <w:rPr>
          <w:rFonts w:ascii="Cambria" w:eastAsia="Times New Roman" w:hAnsi="Cambria"/>
          <w:sz w:val="22"/>
          <w:szCs w:val="22"/>
          <w:lang w:val="sq-AL" w:eastAsia="en-US"/>
        </w:rPr>
        <w:t>ntuar në raportin vjetor 2017</w:t>
      </w:r>
      <w:r w:rsidRPr="00827575">
        <w:rPr>
          <w:rFonts w:ascii="Cambria" w:eastAsia="Times New Roman" w:hAnsi="Cambria"/>
          <w:sz w:val="22"/>
          <w:szCs w:val="22"/>
          <w:lang w:val="sq-AL" w:eastAsia="en-US"/>
        </w:rPr>
        <w:t xml:space="preserve"> në 65% e nivelit të zbatimit gjatë analizës së këtij treguesi në vitin 2018. </w:t>
      </w:r>
    </w:p>
    <w:p w:rsidR="007252B1" w:rsidRPr="00827575" w:rsidRDefault="007252B1" w:rsidP="007252B1">
      <w:pPr>
        <w:jc w:val="both"/>
        <w:rPr>
          <w:rFonts w:ascii="Cambria" w:eastAsia="Times New Roman" w:hAnsi="Cambria"/>
          <w:sz w:val="22"/>
          <w:szCs w:val="22"/>
          <w:lang w:val="sq-AL" w:eastAsia="en-US"/>
        </w:rPr>
      </w:pPr>
    </w:p>
    <w:p w:rsidR="007252B1" w:rsidRPr="00827575" w:rsidRDefault="007252B1" w:rsidP="007252B1">
      <w:pPr>
        <w:jc w:val="both"/>
        <w:rPr>
          <w:rFonts w:ascii="Cambria" w:eastAsia="Times New Roman" w:hAnsi="Cambria"/>
          <w:sz w:val="8"/>
          <w:szCs w:val="8"/>
          <w:lang w:val="sq-AL" w:eastAsia="en-US"/>
        </w:rPr>
      </w:pPr>
    </w:p>
    <w:p w:rsidR="007252B1" w:rsidRPr="00D40713" w:rsidRDefault="00195A54" w:rsidP="00195A54">
      <w:pPr>
        <w:pStyle w:val="Caption"/>
        <w:rPr>
          <w:rFonts w:ascii="Cambria" w:eastAsia="Times New Roman" w:hAnsi="Cambria"/>
          <w:b w:val="0"/>
          <w:bCs w:val="0"/>
          <w:i/>
          <w:lang w:val="sq-AL"/>
        </w:rPr>
      </w:pPr>
      <w:bookmarkStart w:id="84" w:name="_Toc9082409"/>
      <w:r w:rsidRPr="00195A54">
        <w:rPr>
          <w:rFonts w:ascii="Cambria" w:eastAsia="Times New Roman" w:hAnsi="Cambria"/>
          <w:b w:val="0"/>
          <w:bCs w:val="0"/>
          <w:i/>
          <w:lang w:val="sq-AL"/>
        </w:rPr>
        <w:t xml:space="preserve">Tabela </w:t>
      </w:r>
      <w:r w:rsidRPr="00195A54">
        <w:rPr>
          <w:rFonts w:ascii="Cambria" w:eastAsia="Times New Roman" w:hAnsi="Cambria"/>
          <w:b w:val="0"/>
          <w:bCs w:val="0"/>
          <w:i/>
          <w:lang w:val="sq-AL"/>
        </w:rPr>
        <w:fldChar w:fldCharType="begin"/>
      </w:r>
      <w:r w:rsidRPr="00195A54">
        <w:rPr>
          <w:rFonts w:ascii="Cambria" w:eastAsia="Times New Roman" w:hAnsi="Cambria"/>
          <w:b w:val="0"/>
          <w:bCs w:val="0"/>
          <w:i/>
          <w:lang w:val="sq-AL"/>
        </w:rPr>
        <w:instrText xml:space="preserve"> SEQ Tabela \* ARABIC </w:instrText>
      </w:r>
      <w:r w:rsidRPr="00195A5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12</w:t>
      </w:r>
      <w:r w:rsidRPr="00195A54">
        <w:rPr>
          <w:rFonts w:ascii="Cambria" w:eastAsia="Times New Roman" w:hAnsi="Cambria"/>
          <w:b w:val="0"/>
          <w:bCs w:val="0"/>
          <w:i/>
          <w:lang w:val="sq-AL"/>
        </w:rPr>
        <w:fldChar w:fldCharType="end"/>
      </w:r>
      <w:r w:rsidRPr="00195A54">
        <w:rPr>
          <w:rFonts w:ascii="Cambria" w:eastAsia="Times New Roman" w:hAnsi="Cambria"/>
          <w:b w:val="0"/>
          <w:bCs w:val="0"/>
          <w:i/>
          <w:lang w:val="sq-AL"/>
        </w:rPr>
        <w:t>.</w:t>
      </w:r>
      <w:r>
        <w:rPr>
          <w:rFonts w:ascii="Cambria" w:eastAsia="Times New Roman" w:hAnsi="Cambria"/>
          <w:b w:val="0"/>
          <w:bCs w:val="0"/>
          <w:i/>
          <w:lang w:val="sq-AL"/>
        </w:rPr>
        <w:t xml:space="preserve"> </w:t>
      </w:r>
      <w:r w:rsidRPr="00195A54">
        <w:rPr>
          <w:rFonts w:ascii="Cambria" w:eastAsia="Times New Roman" w:hAnsi="Cambria"/>
          <w:b w:val="0"/>
          <w:bCs w:val="0"/>
          <w:i/>
          <w:lang w:val="sq-AL"/>
        </w:rPr>
        <w:t>Rekomandimet sipas llojit për vitin 2018</w:t>
      </w:r>
      <w:bookmarkEnd w:id="84"/>
      <w:r w:rsidR="007252B1" w:rsidRPr="00D40713">
        <w:rPr>
          <w:rFonts w:ascii="Cambria" w:eastAsia="Times New Roman" w:hAnsi="Cambria"/>
          <w:b w:val="0"/>
          <w:bCs w:val="0"/>
          <w:i/>
          <w:lang w:val="sq-AL"/>
        </w:rPr>
        <w:t xml:space="preserve"> </w:t>
      </w:r>
    </w:p>
    <w:tbl>
      <w:tblPr>
        <w:tblW w:w="0" w:type="auto"/>
        <w:jc w:val="center"/>
        <w:tblBorders>
          <w:top w:val="single" w:sz="8" w:space="0" w:color="4BACC6"/>
          <w:bottom w:val="single" w:sz="8" w:space="0" w:color="4BACC6"/>
        </w:tblBorders>
        <w:tblLook w:val="04A0" w:firstRow="1" w:lastRow="0" w:firstColumn="1" w:lastColumn="0" w:noHBand="0" w:noVBand="1"/>
      </w:tblPr>
      <w:tblGrid>
        <w:gridCol w:w="1170"/>
        <w:gridCol w:w="5345"/>
        <w:gridCol w:w="1945"/>
      </w:tblGrid>
      <w:tr w:rsidR="007252B1" w:rsidRPr="00A03379" w:rsidTr="009A7C54">
        <w:trPr>
          <w:trHeight w:val="520"/>
          <w:jc w:val="center"/>
        </w:trPr>
        <w:tc>
          <w:tcPr>
            <w:tcW w:w="1170" w:type="dxa"/>
            <w:tcBorders>
              <w:top w:val="single" w:sz="8" w:space="0" w:color="4BACC6"/>
              <w:left w:val="nil"/>
              <w:bottom w:val="single" w:sz="8" w:space="0" w:color="4BACC6"/>
              <w:right w:val="nil"/>
            </w:tcBorders>
            <w:shd w:val="clear" w:color="auto" w:fill="auto"/>
          </w:tcPr>
          <w:p w:rsidR="007252B1" w:rsidRPr="00A03379" w:rsidRDefault="007252B1" w:rsidP="009A7C54">
            <w:pPr>
              <w:jc w:val="center"/>
              <w:rPr>
                <w:rFonts w:ascii="Cambria" w:eastAsia="Calibri" w:hAnsi="Cambria"/>
                <w:b/>
                <w:sz w:val="20"/>
                <w:szCs w:val="18"/>
                <w:lang w:val="sq-AL" w:eastAsia="en-US"/>
              </w:rPr>
            </w:pPr>
            <w:r w:rsidRPr="00A03379">
              <w:rPr>
                <w:rFonts w:ascii="Cambria" w:eastAsia="Calibri" w:hAnsi="Cambria"/>
                <w:b/>
                <w:sz w:val="20"/>
                <w:szCs w:val="18"/>
                <w:lang w:val="sq-AL" w:eastAsia="en-US"/>
              </w:rPr>
              <w:t>Nr.</w:t>
            </w:r>
          </w:p>
        </w:tc>
        <w:tc>
          <w:tcPr>
            <w:tcW w:w="5345" w:type="dxa"/>
            <w:tcBorders>
              <w:top w:val="single" w:sz="8" w:space="0" w:color="4BACC6"/>
              <w:left w:val="nil"/>
              <w:bottom w:val="single" w:sz="8" w:space="0" w:color="4BACC6"/>
              <w:right w:val="nil"/>
            </w:tcBorders>
            <w:shd w:val="clear" w:color="auto" w:fill="auto"/>
          </w:tcPr>
          <w:p w:rsidR="007252B1" w:rsidRPr="00A03379" w:rsidRDefault="007252B1" w:rsidP="009A7C54">
            <w:pPr>
              <w:rPr>
                <w:rFonts w:ascii="Cambria" w:eastAsia="Calibri" w:hAnsi="Cambria"/>
                <w:b/>
                <w:sz w:val="20"/>
                <w:szCs w:val="18"/>
                <w:highlight w:val="cyan"/>
                <w:lang w:val="sq-AL" w:eastAsia="en-US"/>
              </w:rPr>
            </w:pPr>
            <w:r w:rsidRPr="00A03379">
              <w:rPr>
                <w:rFonts w:ascii="Cambria" w:eastAsia="Calibri" w:hAnsi="Cambria"/>
                <w:b/>
                <w:sz w:val="20"/>
                <w:szCs w:val="18"/>
                <w:lang w:val="sq-AL" w:eastAsia="en-US"/>
              </w:rPr>
              <w:t xml:space="preserve">Rekomandimet sipas llojit </w:t>
            </w:r>
          </w:p>
        </w:tc>
        <w:tc>
          <w:tcPr>
            <w:tcW w:w="1945" w:type="dxa"/>
            <w:tcBorders>
              <w:top w:val="single" w:sz="8" w:space="0" w:color="4BACC6"/>
              <w:left w:val="nil"/>
              <w:bottom w:val="single" w:sz="8" w:space="0" w:color="4BACC6"/>
              <w:right w:val="nil"/>
            </w:tcBorders>
            <w:shd w:val="clear" w:color="auto" w:fill="auto"/>
          </w:tcPr>
          <w:p w:rsidR="007252B1" w:rsidRPr="00A03379" w:rsidRDefault="007252B1" w:rsidP="009A7C54">
            <w:pPr>
              <w:jc w:val="center"/>
              <w:rPr>
                <w:rFonts w:ascii="Cambria" w:eastAsia="Calibri" w:hAnsi="Cambria"/>
                <w:b/>
                <w:sz w:val="20"/>
                <w:szCs w:val="18"/>
                <w:lang w:val="sq-AL" w:eastAsia="en-US"/>
              </w:rPr>
            </w:pPr>
            <w:r w:rsidRPr="00A03379">
              <w:rPr>
                <w:rFonts w:ascii="Cambria" w:eastAsia="Calibri" w:hAnsi="Cambria"/>
                <w:b/>
                <w:sz w:val="20"/>
                <w:szCs w:val="18"/>
                <w:lang w:val="sq-AL" w:eastAsia="en-US"/>
              </w:rPr>
              <w:t xml:space="preserve">Rekomandimet                   (në numër) </w:t>
            </w:r>
          </w:p>
        </w:tc>
      </w:tr>
      <w:tr w:rsidR="007252B1" w:rsidRPr="00A03379" w:rsidTr="009A7C54">
        <w:trPr>
          <w:trHeight w:val="169"/>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1</w:t>
            </w:r>
          </w:p>
        </w:tc>
        <w:tc>
          <w:tcPr>
            <w:tcW w:w="5345" w:type="dxa"/>
            <w:tcBorders>
              <w:left w:val="nil"/>
              <w:right w:val="nil"/>
            </w:tcBorders>
            <w:shd w:val="clear" w:color="auto" w:fill="D2EAF1"/>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 xml:space="preserve">Rekomandime për përmirësim sistemesh </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2439</w:t>
            </w:r>
          </w:p>
        </w:tc>
      </w:tr>
      <w:tr w:rsidR="007252B1" w:rsidRPr="00A03379" w:rsidTr="009A7C54">
        <w:trPr>
          <w:jc w:val="center"/>
        </w:trPr>
        <w:tc>
          <w:tcPr>
            <w:tcW w:w="1170"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2</w:t>
            </w:r>
          </w:p>
        </w:tc>
        <w:tc>
          <w:tcPr>
            <w:tcW w:w="5345" w:type="dxa"/>
            <w:shd w:val="clear" w:color="auto" w:fill="auto"/>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për përmirësimin e kuadrit ligjor</w:t>
            </w:r>
          </w:p>
        </w:tc>
        <w:tc>
          <w:tcPr>
            <w:tcW w:w="1945"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351</w:t>
            </w:r>
          </w:p>
        </w:tc>
      </w:tr>
      <w:tr w:rsidR="007252B1" w:rsidRPr="00A03379" w:rsidTr="009A7C54">
        <w:trPr>
          <w:trHeight w:val="180"/>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3</w:t>
            </w:r>
          </w:p>
        </w:tc>
        <w:tc>
          <w:tcPr>
            <w:tcW w:w="5345" w:type="dxa"/>
            <w:tcBorders>
              <w:left w:val="nil"/>
              <w:right w:val="nil"/>
            </w:tcBorders>
            <w:shd w:val="clear" w:color="auto" w:fill="D2EAF1"/>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të karakterit organizativ</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2994</w:t>
            </w:r>
          </w:p>
        </w:tc>
      </w:tr>
      <w:tr w:rsidR="007252B1" w:rsidRPr="00A03379" w:rsidTr="009A7C54">
        <w:trPr>
          <w:jc w:val="center"/>
        </w:trPr>
        <w:tc>
          <w:tcPr>
            <w:tcW w:w="1170"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4</w:t>
            </w:r>
          </w:p>
        </w:tc>
        <w:tc>
          <w:tcPr>
            <w:tcW w:w="5345" w:type="dxa"/>
            <w:shd w:val="clear" w:color="auto" w:fill="auto"/>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për arkëtime</w:t>
            </w:r>
          </w:p>
        </w:tc>
        <w:tc>
          <w:tcPr>
            <w:tcW w:w="1945"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811</w:t>
            </w:r>
          </w:p>
        </w:tc>
      </w:tr>
      <w:tr w:rsidR="007252B1" w:rsidRPr="00A03379" w:rsidTr="009A7C54">
        <w:trPr>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5</w:t>
            </w:r>
          </w:p>
        </w:tc>
        <w:tc>
          <w:tcPr>
            <w:tcW w:w="5345" w:type="dxa"/>
            <w:tcBorders>
              <w:left w:val="nil"/>
              <w:right w:val="nil"/>
            </w:tcBorders>
            <w:shd w:val="clear" w:color="auto" w:fill="D2EAF1"/>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të tjera</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1302</w:t>
            </w:r>
          </w:p>
        </w:tc>
      </w:tr>
      <w:tr w:rsidR="007252B1" w:rsidRPr="00A03379" w:rsidTr="009A7C54">
        <w:trPr>
          <w:trHeight w:val="225"/>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p>
        </w:tc>
        <w:tc>
          <w:tcPr>
            <w:tcW w:w="5345" w:type="dxa"/>
            <w:tcBorders>
              <w:left w:val="nil"/>
              <w:right w:val="nil"/>
            </w:tcBorders>
            <w:shd w:val="clear" w:color="auto" w:fill="D2EAF1"/>
          </w:tcPr>
          <w:p w:rsidR="007252B1" w:rsidRPr="00A03379" w:rsidRDefault="007252B1" w:rsidP="009A7C54">
            <w:pPr>
              <w:rPr>
                <w:rFonts w:ascii="Cambria" w:eastAsia="Calibri" w:hAnsi="Cambria"/>
                <w:b/>
                <w:sz w:val="20"/>
                <w:szCs w:val="18"/>
                <w:lang w:val="sq-AL" w:eastAsia="en-US"/>
              </w:rPr>
            </w:pPr>
            <w:r w:rsidRPr="00A03379">
              <w:rPr>
                <w:rFonts w:ascii="Cambria" w:eastAsia="Calibri" w:hAnsi="Cambria"/>
                <w:b/>
                <w:sz w:val="20"/>
                <w:szCs w:val="18"/>
                <w:lang w:val="sq-AL" w:eastAsia="en-US"/>
              </w:rPr>
              <w:t>TOTALI</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b/>
                <w:sz w:val="20"/>
                <w:szCs w:val="18"/>
                <w:lang w:val="sq-AL" w:eastAsia="en-US"/>
              </w:rPr>
            </w:pPr>
            <w:r w:rsidRPr="00A03379">
              <w:rPr>
                <w:rFonts w:ascii="Cambria" w:eastAsia="Calibri" w:hAnsi="Cambria"/>
                <w:b/>
                <w:sz w:val="20"/>
                <w:szCs w:val="18"/>
                <w:lang w:val="sq-AL" w:eastAsia="en-US"/>
              </w:rPr>
              <w:t>7897</w:t>
            </w:r>
          </w:p>
        </w:tc>
      </w:tr>
    </w:tbl>
    <w:p w:rsidR="007252B1" w:rsidRPr="00827575" w:rsidRDefault="007252B1" w:rsidP="007252B1">
      <w:pPr>
        <w:rPr>
          <w:rFonts w:ascii="Calibri" w:eastAsia="Calibri" w:hAnsi="Calibri"/>
          <w:sz w:val="22"/>
          <w:szCs w:val="22"/>
          <w:lang w:val="sq-AL" w:eastAsia="en-US"/>
        </w:rPr>
      </w:pPr>
    </w:p>
    <w:p w:rsidR="007252B1" w:rsidRPr="002F577C" w:rsidRDefault="007252B1" w:rsidP="007252B1">
      <w:pPr>
        <w:rPr>
          <w:rFonts w:ascii="Cambria" w:eastAsia="Calibri" w:hAnsi="Cambria"/>
          <w:sz w:val="22"/>
          <w:szCs w:val="22"/>
          <w:lang w:val="sq-AL" w:eastAsia="en-US"/>
        </w:rPr>
      </w:pPr>
      <w:r w:rsidRPr="002F577C">
        <w:rPr>
          <w:rFonts w:ascii="Cambria" w:eastAsia="Calibri" w:hAnsi="Cambria"/>
          <w:sz w:val="22"/>
          <w:szCs w:val="22"/>
          <w:lang w:val="sq-AL" w:eastAsia="en-US"/>
        </w:rPr>
        <w:t>Grafikët e mëposhtëm japin një panoramë të nivelit të zbatimit të rekomandimeve në vite dhe përqindj</w:t>
      </w:r>
      <w:r w:rsidR="0099329B">
        <w:rPr>
          <w:rFonts w:ascii="Cambria" w:eastAsia="Calibri" w:hAnsi="Cambria"/>
          <w:sz w:val="22"/>
          <w:szCs w:val="22"/>
          <w:lang w:val="sq-AL" w:eastAsia="en-US"/>
        </w:rPr>
        <w:t>es</w:t>
      </w:r>
      <w:r w:rsidRPr="002F577C">
        <w:rPr>
          <w:rFonts w:ascii="Cambria" w:eastAsia="Calibri" w:hAnsi="Cambria"/>
          <w:sz w:val="22"/>
          <w:szCs w:val="22"/>
          <w:lang w:val="sq-AL" w:eastAsia="en-US"/>
        </w:rPr>
        <w:t xml:space="preserve"> </w:t>
      </w:r>
      <w:r w:rsidR="0099329B">
        <w:rPr>
          <w:rFonts w:ascii="Cambria" w:eastAsia="Calibri" w:hAnsi="Cambria"/>
          <w:sz w:val="22"/>
          <w:szCs w:val="22"/>
          <w:lang w:val="sq-AL" w:eastAsia="en-US"/>
        </w:rPr>
        <w:t>së</w:t>
      </w:r>
      <w:r w:rsidRPr="002F577C">
        <w:rPr>
          <w:rFonts w:ascii="Cambria" w:eastAsia="Calibri" w:hAnsi="Cambria"/>
          <w:sz w:val="22"/>
          <w:szCs w:val="22"/>
          <w:lang w:val="sq-AL" w:eastAsia="en-US"/>
        </w:rPr>
        <w:t xml:space="preserve"> zbatimit gjatë vitit 2018: </w:t>
      </w:r>
    </w:p>
    <w:p w:rsidR="007252B1" w:rsidRPr="00827575" w:rsidRDefault="007252B1" w:rsidP="007252B1">
      <w:pPr>
        <w:rPr>
          <w:rFonts w:ascii="Cambria" w:eastAsia="Calibri" w:hAnsi="Cambria"/>
          <w:sz w:val="20"/>
          <w:szCs w:val="20"/>
          <w:lang w:val="sq-AL" w:eastAsia="en-US"/>
        </w:rPr>
      </w:pPr>
    </w:p>
    <w:p w:rsidR="007252B1" w:rsidRPr="00D40713" w:rsidRDefault="007252B1" w:rsidP="007252B1">
      <w:pPr>
        <w:pStyle w:val="Caption"/>
        <w:rPr>
          <w:rFonts w:ascii="Cambria" w:eastAsia="Times New Roman" w:hAnsi="Cambria"/>
          <w:b w:val="0"/>
          <w:bCs w:val="0"/>
          <w:i/>
          <w:lang w:val="sq-AL"/>
        </w:rPr>
      </w:pPr>
      <w:bookmarkStart w:id="85" w:name="_Toc9082427"/>
      <w:r w:rsidRPr="00D40713">
        <w:rPr>
          <w:rFonts w:ascii="Cambria" w:eastAsia="Times New Roman" w:hAnsi="Cambria"/>
          <w:b w:val="0"/>
          <w:bCs w:val="0"/>
          <w:i/>
          <w:lang w:val="sq-AL"/>
        </w:rPr>
        <w:t xml:space="preserve">Grafiku </w:t>
      </w:r>
      <w:r w:rsidRPr="00D40713">
        <w:rPr>
          <w:rFonts w:ascii="Cambria" w:eastAsia="Times New Roman" w:hAnsi="Cambria"/>
          <w:b w:val="0"/>
          <w:bCs w:val="0"/>
          <w:i/>
          <w:lang w:val="sq-AL"/>
        </w:rPr>
        <w:fldChar w:fldCharType="begin"/>
      </w:r>
      <w:r w:rsidRPr="00D40713">
        <w:rPr>
          <w:rFonts w:ascii="Cambria" w:eastAsia="Times New Roman" w:hAnsi="Cambria"/>
          <w:b w:val="0"/>
          <w:bCs w:val="0"/>
          <w:i/>
          <w:lang w:val="sq-AL"/>
        </w:rPr>
        <w:instrText xml:space="preserve"> SEQ Grafiku \* ARABIC </w:instrText>
      </w:r>
      <w:r w:rsidRPr="00D40713">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5</w:t>
      </w:r>
      <w:r w:rsidRPr="00D40713">
        <w:rPr>
          <w:rFonts w:ascii="Cambria" w:eastAsia="Times New Roman" w:hAnsi="Cambria"/>
          <w:b w:val="0"/>
          <w:bCs w:val="0"/>
          <w:i/>
          <w:lang w:val="sq-AL"/>
        </w:rPr>
        <w:fldChar w:fldCharType="end"/>
      </w:r>
      <w:r w:rsidRPr="00D40713">
        <w:rPr>
          <w:rFonts w:ascii="Cambria" w:eastAsia="Times New Roman" w:hAnsi="Cambria"/>
          <w:b w:val="0"/>
          <w:bCs w:val="0"/>
          <w:i/>
          <w:lang w:val="sq-AL"/>
        </w:rPr>
        <w:t>. Niveli i zbatimit të rekomandimeve në vite</w:t>
      </w:r>
      <w:bookmarkEnd w:id="85"/>
    </w:p>
    <w:p w:rsidR="007252B1" w:rsidRDefault="007252B1" w:rsidP="007252B1">
      <w:pPr>
        <w:rPr>
          <w:rFonts w:ascii="Cambria" w:eastAsia="Calibri" w:hAnsi="Cambria"/>
          <w:noProof/>
          <w:sz w:val="20"/>
          <w:szCs w:val="20"/>
          <w:lang w:eastAsia="en-US"/>
        </w:rPr>
      </w:pPr>
      <w:r w:rsidRPr="00827575">
        <w:rPr>
          <w:rFonts w:ascii="Cambria" w:eastAsia="Calibri" w:hAnsi="Cambria"/>
          <w:noProof/>
          <w:sz w:val="20"/>
          <w:szCs w:val="20"/>
          <w:lang w:eastAsia="en-US"/>
        </w:rPr>
        <w:drawing>
          <wp:inline distT="0" distB="0" distL="0" distR="0" wp14:anchorId="774DE970" wp14:editId="0301547F">
            <wp:extent cx="5753100" cy="1868805"/>
            <wp:effectExtent l="0" t="0" r="0" b="17145"/>
            <wp:docPr id="4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252B1" w:rsidRDefault="007252B1" w:rsidP="007252B1">
      <w:pPr>
        <w:rPr>
          <w:rFonts w:ascii="Cambria" w:eastAsia="Calibri" w:hAnsi="Cambria"/>
          <w:noProof/>
          <w:sz w:val="20"/>
          <w:szCs w:val="20"/>
          <w:lang w:eastAsia="en-US"/>
        </w:rPr>
      </w:pPr>
    </w:p>
    <w:p w:rsidR="007252B1" w:rsidRDefault="007252B1" w:rsidP="007252B1">
      <w:pPr>
        <w:rPr>
          <w:rFonts w:ascii="Cambria" w:eastAsia="Calibri" w:hAnsi="Cambria"/>
          <w:noProof/>
          <w:sz w:val="20"/>
          <w:szCs w:val="20"/>
          <w:lang w:eastAsia="en-US"/>
        </w:rPr>
      </w:pPr>
    </w:p>
    <w:p w:rsidR="007252B1" w:rsidRPr="00827575" w:rsidRDefault="007252B1" w:rsidP="007252B1">
      <w:pPr>
        <w:rPr>
          <w:rFonts w:ascii="Cambria" w:eastAsia="Calibri" w:hAnsi="Cambria"/>
          <w:sz w:val="20"/>
          <w:szCs w:val="20"/>
          <w:lang w:val="sq-AL" w:eastAsia="en-US"/>
        </w:rPr>
      </w:pPr>
      <w:r w:rsidRPr="00827575">
        <w:rPr>
          <w:rFonts w:ascii="Cambria" w:eastAsia="Calibri" w:hAnsi="Cambria"/>
          <w:noProof/>
          <w:sz w:val="20"/>
          <w:szCs w:val="20"/>
          <w:lang w:eastAsia="en-US"/>
        </w:rPr>
        <w:drawing>
          <wp:inline distT="0" distB="0" distL="0" distR="0" wp14:anchorId="65132CE1" wp14:editId="2BAD9C0B">
            <wp:extent cx="5734050" cy="1872615"/>
            <wp:effectExtent l="0" t="0" r="0" b="13335"/>
            <wp:docPr id="4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52B1" w:rsidRPr="00827575" w:rsidRDefault="007252B1" w:rsidP="007252B1">
      <w:pPr>
        <w:rPr>
          <w:rFonts w:ascii="Cambria" w:eastAsia="Calibri" w:hAnsi="Cambria"/>
          <w:sz w:val="12"/>
          <w:szCs w:val="12"/>
          <w:lang w:val="sq-AL" w:eastAsia="en-US"/>
        </w:rPr>
      </w:pPr>
    </w:p>
    <w:p w:rsidR="007252B1" w:rsidRDefault="007252B1" w:rsidP="007252B1">
      <w:pPr>
        <w:spacing w:after="120" w:line="276" w:lineRule="auto"/>
        <w:jc w:val="both"/>
        <w:rPr>
          <w:rFonts w:ascii="Cambria" w:eastAsia="Calibri" w:hAnsi="Cambria"/>
          <w:sz w:val="22"/>
          <w:szCs w:val="22"/>
          <w:lang w:eastAsia="en-US"/>
        </w:rPr>
      </w:pPr>
    </w:p>
    <w:p w:rsidR="007252B1" w:rsidRDefault="007252B1" w:rsidP="007252B1">
      <w:pPr>
        <w:spacing w:after="120" w:line="276" w:lineRule="auto"/>
        <w:jc w:val="both"/>
        <w:rPr>
          <w:rFonts w:ascii="Cambria" w:eastAsia="Calibri" w:hAnsi="Cambria"/>
          <w:sz w:val="22"/>
          <w:szCs w:val="22"/>
          <w:lang w:eastAsia="en-US" w:bidi="en-US"/>
        </w:rPr>
      </w:pPr>
      <w:r w:rsidRPr="00827575">
        <w:rPr>
          <w:rFonts w:ascii="Cambria" w:eastAsia="Calibri" w:hAnsi="Cambria"/>
          <w:sz w:val="22"/>
          <w:szCs w:val="22"/>
          <w:lang w:eastAsia="en-US"/>
        </w:rPr>
        <w:t>Konstatohet se</w:t>
      </w:r>
      <w:r w:rsidR="007A7F6F">
        <w:rPr>
          <w:rFonts w:ascii="Cambria" w:eastAsia="Calibri" w:hAnsi="Cambria"/>
          <w:sz w:val="22"/>
          <w:szCs w:val="22"/>
          <w:lang w:eastAsia="en-US"/>
        </w:rPr>
        <w:t>,</w:t>
      </w:r>
      <w:r w:rsidRPr="00827575">
        <w:rPr>
          <w:rFonts w:ascii="Cambria" w:eastAsia="Calibri" w:hAnsi="Cambria"/>
          <w:sz w:val="22"/>
          <w:szCs w:val="22"/>
          <w:lang w:eastAsia="en-US"/>
        </w:rPr>
        <w:t xml:space="preserve"> treguesi për zbatimin e rekomandimeve është pozitiv, pasi ato janë pranuar 99,8% dhe niveli i zbatimit të tyre është në masën 57%. Vlen të theksohet fakti</w:t>
      </w:r>
      <w:r w:rsidR="007A7F6F">
        <w:rPr>
          <w:rFonts w:ascii="Cambria" w:eastAsia="Calibri" w:hAnsi="Cambria"/>
          <w:sz w:val="22"/>
          <w:szCs w:val="22"/>
          <w:lang w:eastAsia="en-US"/>
        </w:rPr>
        <w:t>,</w:t>
      </w:r>
      <w:r w:rsidRPr="00827575">
        <w:rPr>
          <w:rFonts w:ascii="Cambria" w:eastAsia="Calibri" w:hAnsi="Cambria"/>
          <w:sz w:val="22"/>
          <w:szCs w:val="22"/>
          <w:lang w:eastAsia="en-US"/>
        </w:rPr>
        <w:t xml:space="preserve"> që zbatimi i rekomandimeve të auditimit të brendshëm është i shtrirë në kohë (më shumë se një vit kalendarik)</w:t>
      </w:r>
      <w:r w:rsidR="007A7F6F">
        <w:rPr>
          <w:rFonts w:ascii="Cambria" w:eastAsia="Calibri" w:hAnsi="Cambria"/>
          <w:sz w:val="22"/>
          <w:szCs w:val="22"/>
          <w:lang w:eastAsia="en-US"/>
        </w:rPr>
        <w:t>,</w:t>
      </w:r>
      <w:r w:rsidRPr="00827575">
        <w:rPr>
          <w:rFonts w:ascii="Cambria" w:eastAsia="Calibri" w:hAnsi="Cambria"/>
          <w:sz w:val="22"/>
          <w:szCs w:val="22"/>
          <w:lang w:eastAsia="en-US"/>
        </w:rPr>
        <w:t xml:space="preserve"> për shkak të afateve të ndryshme kohore të zbatimit për secilin rekomandim. P</w:t>
      </w:r>
      <w:r w:rsidRPr="00827575">
        <w:rPr>
          <w:rFonts w:ascii="Cambria" w:eastAsia="Calibri" w:hAnsi="Cambria"/>
          <w:color w:val="000000"/>
          <w:sz w:val="22"/>
          <w:szCs w:val="22"/>
          <w:lang w:eastAsia="en-US"/>
        </w:rPr>
        <w:t xml:space="preserve">ërcaktimi i afateve të sakta në planet e veprimit ndërmjet NJAB dhe subjekteve të audituara dhe monitorimi i vazhdueshëm i këtij procesi siguron zbatimin në kohë të të gjitha rekomandimeve.  </w:t>
      </w:r>
      <w:r w:rsidRPr="00827575">
        <w:rPr>
          <w:rFonts w:ascii="Cambria" w:eastAsia="Calibri" w:hAnsi="Cambria"/>
          <w:sz w:val="22"/>
          <w:szCs w:val="22"/>
          <w:lang w:eastAsia="en-US" w:bidi="en-US"/>
        </w:rPr>
        <w:t xml:space="preserve">Të dhënat e mësipërme tregojnë se niveli i lartë i pranimit të rekomandimeve dhe niveli i zbatimit të tyre janë rezultat i përmirësimit të cilësisë së punës së vetë audituesve. </w:t>
      </w:r>
    </w:p>
    <w:p w:rsidR="007252B1" w:rsidRPr="00827575" w:rsidRDefault="00916DB8" w:rsidP="007252B1">
      <w:pPr>
        <w:pStyle w:val="Heading2"/>
        <w:rPr>
          <w:rFonts w:eastAsia="Calibri"/>
          <w:lang w:val="sq-AL" w:eastAsia="en-US"/>
        </w:rPr>
      </w:pPr>
      <w:bookmarkStart w:id="86" w:name="_Toc9082384"/>
      <w:r>
        <w:rPr>
          <w:rFonts w:eastAsia="Calibri"/>
          <w:lang w:val="sq-AL" w:eastAsia="en-US"/>
        </w:rPr>
        <w:t>2.</w:t>
      </w:r>
      <w:r w:rsidR="007252B1">
        <w:rPr>
          <w:rFonts w:eastAsia="Calibri"/>
          <w:lang w:val="sq-AL" w:eastAsia="en-US"/>
        </w:rPr>
        <w:t>5</w:t>
      </w:r>
      <w:r w:rsidR="00195A54">
        <w:rPr>
          <w:rFonts w:eastAsia="Calibri"/>
          <w:lang w:val="sq-AL" w:eastAsia="en-US"/>
        </w:rPr>
        <w:t>.</w:t>
      </w:r>
      <w:r w:rsidR="007252B1">
        <w:rPr>
          <w:rFonts w:eastAsia="Calibri"/>
          <w:lang w:val="sq-AL" w:eastAsia="en-US"/>
        </w:rPr>
        <w:t xml:space="preserve"> R</w:t>
      </w:r>
      <w:r w:rsidR="007252B1" w:rsidRPr="00827575">
        <w:rPr>
          <w:rFonts w:eastAsia="Calibri"/>
          <w:lang w:val="sq-AL" w:eastAsia="en-US"/>
        </w:rPr>
        <w:t>ealizimi i planit vjetor të angazhimeve</w:t>
      </w:r>
      <w:bookmarkEnd w:id="86"/>
      <w:r w:rsidR="007252B1" w:rsidRPr="00827575">
        <w:rPr>
          <w:rFonts w:eastAsia="Calibri"/>
          <w:lang w:val="sq-AL" w:eastAsia="en-US"/>
        </w:rPr>
        <w:t xml:space="preserve"> </w:t>
      </w:r>
    </w:p>
    <w:p w:rsidR="007252B1" w:rsidRPr="00827575" w:rsidRDefault="007252B1" w:rsidP="007252B1">
      <w:pPr>
        <w:jc w:val="both"/>
        <w:rPr>
          <w:rFonts w:ascii="Cambria" w:eastAsia="Calibri" w:hAnsi="Cambria"/>
          <w:sz w:val="12"/>
          <w:szCs w:val="12"/>
          <w:lang w:val="sq-AL" w:eastAsia="en-US"/>
        </w:rPr>
      </w:pPr>
    </w:p>
    <w:p w:rsidR="007252B1" w:rsidRPr="00827575" w:rsidRDefault="007252B1" w:rsidP="007252B1">
      <w:pPr>
        <w:jc w:val="both"/>
        <w:rPr>
          <w:rFonts w:ascii="Cambria" w:eastAsia="Calibri" w:hAnsi="Cambria"/>
          <w:sz w:val="22"/>
          <w:szCs w:val="22"/>
          <w:lang w:val="sq-AL" w:eastAsia="en-US"/>
        </w:rPr>
      </w:pPr>
      <w:r w:rsidRPr="009B0E67">
        <w:rPr>
          <w:rFonts w:ascii="Cambria" w:eastAsia="Calibri" w:hAnsi="Cambria"/>
          <w:sz w:val="22"/>
          <w:szCs w:val="22"/>
          <w:lang w:val="sq-AL" w:eastAsia="en-US"/>
        </w:rPr>
        <w:t xml:space="preserve">Nga të dhënat që disponohen nga MFE në lidhje me planet </w:t>
      </w:r>
      <w:r w:rsidR="003F26C5" w:rsidRPr="009B0E67">
        <w:rPr>
          <w:rFonts w:ascii="Cambria" w:eastAsia="Calibri" w:hAnsi="Cambria"/>
          <w:sz w:val="22"/>
          <w:szCs w:val="22"/>
          <w:lang w:val="sq-AL" w:eastAsia="en-US"/>
        </w:rPr>
        <w:t>strategjike dhe vjetore të NJAB</w:t>
      </w:r>
      <w:r w:rsidRPr="009B0E67">
        <w:rPr>
          <w:rFonts w:ascii="Cambria" w:eastAsia="Calibri" w:hAnsi="Cambria"/>
          <w:sz w:val="22"/>
          <w:szCs w:val="22"/>
          <w:lang w:val="sq-AL" w:eastAsia="en-US"/>
        </w:rPr>
        <w:t xml:space="preserve"> evidentohet se këto</w:t>
      </w:r>
      <w:r w:rsidRPr="00827575">
        <w:rPr>
          <w:rFonts w:ascii="Cambria" w:eastAsia="Calibri" w:hAnsi="Cambria"/>
          <w:sz w:val="22"/>
          <w:szCs w:val="22"/>
          <w:lang w:val="sq-AL" w:eastAsia="en-US"/>
        </w:rPr>
        <w:t xml:space="preserve"> njësi</w:t>
      </w:r>
      <w:r w:rsidR="009B0E67">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në fazën e planifikimit të angazhimeve të auditimit dhe përcaktimit të fushave/sistemeve për t’u audituar</w:t>
      </w:r>
      <w:r w:rsidR="009B0E67">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për vitin 2018 janë mbështetur në disa kritere</w:t>
      </w:r>
      <w:r w:rsidR="009B0E67">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si: </w:t>
      </w:r>
    </w:p>
    <w:p w:rsidR="007252B1" w:rsidRPr="00827575" w:rsidRDefault="007252B1" w:rsidP="007252B1">
      <w:pPr>
        <w:jc w:val="both"/>
        <w:rPr>
          <w:rFonts w:ascii="Cambria" w:eastAsia="Calibri" w:hAnsi="Cambria"/>
          <w:sz w:val="8"/>
          <w:szCs w:val="8"/>
          <w:lang w:val="sq-AL" w:eastAsia="en-US"/>
        </w:rPr>
      </w:pPr>
    </w:p>
    <w:p w:rsidR="007252B1" w:rsidRPr="00827575" w:rsidRDefault="007252B1" w:rsidP="007252B1">
      <w:pPr>
        <w:numPr>
          <w:ilvl w:val="0"/>
          <w:numId w:val="54"/>
        </w:numPr>
        <w:spacing w:after="20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Vlerësimi i riskut dhe programimi i auditimeve në subjektet e vlerësuara me risk të lartë;</w:t>
      </w:r>
    </w:p>
    <w:p w:rsidR="007252B1" w:rsidRPr="00827575" w:rsidRDefault="007252B1" w:rsidP="007252B1">
      <w:pPr>
        <w:numPr>
          <w:ilvl w:val="0"/>
          <w:numId w:val="54"/>
        </w:numPr>
        <w:spacing w:after="20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Marrja në konsideratë e sugjerimeve të titullarëve të njësive publike në fazën e hartimit të planit të auditimeve;</w:t>
      </w:r>
    </w:p>
    <w:p w:rsidR="007252B1" w:rsidRPr="00827575" w:rsidRDefault="007252B1" w:rsidP="007252B1">
      <w:pPr>
        <w:numPr>
          <w:ilvl w:val="0"/>
          <w:numId w:val="54"/>
        </w:numPr>
        <w:spacing w:after="20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Vlerësimi i gjetjeve dhe rekomandimeve të lëna nga auditimet e mëparshme.</w:t>
      </w:r>
    </w:p>
    <w:p w:rsidR="007252B1" w:rsidRPr="00827575" w:rsidRDefault="007252B1" w:rsidP="007252B1">
      <w:pPr>
        <w:jc w:val="both"/>
        <w:rPr>
          <w:rFonts w:ascii="Cambria" w:eastAsia="Times New Roman" w:hAnsi="Cambria"/>
          <w:sz w:val="8"/>
          <w:szCs w:val="8"/>
          <w:lang w:val="sq-AL" w:eastAsia="en-US"/>
        </w:rPr>
      </w:pPr>
    </w:p>
    <w:p w:rsidR="007252B1" w:rsidRPr="00827575" w:rsidRDefault="007252B1" w:rsidP="007252B1">
      <w:pPr>
        <w:jc w:val="both"/>
        <w:rPr>
          <w:rFonts w:ascii="Cambria" w:eastAsia="Times New Roman" w:hAnsi="Cambria"/>
          <w:sz w:val="22"/>
          <w:szCs w:val="22"/>
          <w:lang w:val="sq-AL" w:eastAsia="en-US"/>
        </w:rPr>
      </w:pPr>
      <w:r w:rsidRPr="00827575">
        <w:rPr>
          <w:rFonts w:ascii="Cambria" w:eastAsia="Calibri" w:hAnsi="Cambria"/>
          <w:sz w:val="22"/>
          <w:szCs w:val="22"/>
          <w:lang w:val="sq-AL" w:eastAsia="en-US"/>
        </w:rPr>
        <w:t xml:space="preserve">Të dhënat e planit vjetor të konsoliduar të njësive të auditimit të brendshëm janë analizuar me të dhënat e realizimit të auditimeve, evidentuar në raportet vjetore të veprimtarisë së NJAB. Gjatë këtij viti ka një ndryshim të pranueshëm nga plani fillestar i miratuar, gjë që tregon </w:t>
      </w:r>
      <w:r w:rsidR="003F26C5">
        <w:rPr>
          <w:rFonts w:ascii="Cambria" w:eastAsia="Calibri" w:hAnsi="Cambria"/>
          <w:sz w:val="22"/>
          <w:szCs w:val="22"/>
          <w:lang w:val="sq-AL" w:eastAsia="en-US"/>
        </w:rPr>
        <w:t>se</w:t>
      </w:r>
      <w:r w:rsidRPr="00827575">
        <w:rPr>
          <w:rFonts w:ascii="Cambria" w:eastAsia="Calibri" w:hAnsi="Cambria"/>
          <w:sz w:val="22"/>
          <w:szCs w:val="22"/>
          <w:lang w:val="sq-AL" w:eastAsia="en-US"/>
        </w:rPr>
        <w:t xml:space="preserve"> drejtuesit e NJAB realizojnë menaxhim gjithnjë e më të mirë të burimeve të auditimit në dispozicion. Duhet theksuar niveli në rritje i performancës së auditimeve të kryera, gjë që evidentohet në të gjitha fazat e veprimtarisë audituese</w:t>
      </w:r>
      <w:r w:rsidR="00F37623">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nga planifikimi i auditimeve deri në monitorimin e vazhdueshëm të rekomandimeve të dhëna nga audituesit. </w:t>
      </w:r>
      <w:r>
        <w:rPr>
          <w:rFonts w:ascii="Cambria" w:eastAsia="Calibri" w:hAnsi="Cambria"/>
          <w:sz w:val="22"/>
          <w:szCs w:val="22"/>
          <w:lang w:val="sq-AL" w:eastAsia="en-US"/>
        </w:rPr>
        <w:t xml:space="preserve"> </w:t>
      </w:r>
    </w:p>
    <w:p w:rsidR="007252B1" w:rsidRPr="00827575" w:rsidRDefault="007252B1" w:rsidP="007252B1">
      <w:pPr>
        <w:jc w:val="both"/>
        <w:rPr>
          <w:rFonts w:ascii="Cambria" w:eastAsia="Times New Roman" w:hAnsi="Cambria"/>
          <w:color w:val="000000"/>
          <w:sz w:val="8"/>
          <w:szCs w:val="8"/>
          <w:lang w:val="sq-AL" w:eastAsia="en-US" w:bidi="en-US"/>
        </w:rPr>
      </w:pPr>
    </w:p>
    <w:p w:rsidR="007252B1" w:rsidRPr="00827575" w:rsidRDefault="007252B1" w:rsidP="007252B1">
      <w:pPr>
        <w:jc w:val="both"/>
        <w:rPr>
          <w:rFonts w:ascii="Cambria" w:eastAsia="Times New Roman" w:hAnsi="Cambria"/>
          <w:color w:val="000000"/>
          <w:sz w:val="22"/>
          <w:szCs w:val="22"/>
          <w:lang w:val="sq-AL" w:eastAsia="en-US" w:bidi="en-US"/>
        </w:rPr>
      </w:pPr>
      <w:r w:rsidRPr="00827575">
        <w:rPr>
          <w:rFonts w:ascii="Cambria" w:eastAsia="Times New Roman" w:hAnsi="Cambria"/>
          <w:color w:val="000000"/>
          <w:sz w:val="22"/>
          <w:szCs w:val="22"/>
          <w:lang w:val="sq-AL" w:eastAsia="en-US" w:bidi="en-US"/>
        </w:rPr>
        <w:t>Nga analiza rezulton se</w:t>
      </w:r>
      <w:r w:rsidR="007B06BE">
        <w:rPr>
          <w:rFonts w:ascii="Cambria" w:eastAsia="Times New Roman" w:hAnsi="Cambria"/>
          <w:color w:val="000000"/>
          <w:sz w:val="22"/>
          <w:szCs w:val="22"/>
          <w:lang w:val="sq-AL" w:eastAsia="en-US" w:bidi="en-US"/>
        </w:rPr>
        <w:t>,</w:t>
      </w:r>
      <w:r w:rsidRPr="00827575">
        <w:rPr>
          <w:rFonts w:ascii="Cambria" w:eastAsia="Times New Roman" w:hAnsi="Cambria"/>
          <w:color w:val="000000"/>
          <w:sz w:val="22"/>
          <w:szCs w:val="22"/>
          <w:lang w:val="sq-AL" w:eastAsia="en-US" w:bidi="en-US"/>
        </w:rPr>
        <w:t xml:space="preserve"> në ndryshimin e realizimit të llojeve të auditimit nga llojet e përcaktuara në Planin Vjetor të miratuar kanë ndikuar disa faktorë</w:t>
      </w:r>
      <w:r w:rsidR="003F26C5">
        <w:rPr>
          <w:rFonts w:ascii="Cambria" w:eastAsia="Times New Roman" w:hAnsi="Cambria"/>
          <w:color w:val="000000"/>
          <w:sz w:val="22"/>
          <w:szCs w:val="22"/>
          <w:lang w:val="sq-AL" w:eastAsia="en-US" w:bidi="en-US"/>
        </w:rPr>
        <w:t>,</w:t>
      </w:r>
      <w:r w:rsidRPr="00827575">
        <w:rPr>
          <w:rFonts w:ascii="Cambria" w:eastAsia="Times New Roman" w:hAnsi="Cambria"/>
          <w:color w:val="000000"/>
          <w:sz w:val="22"/>
          <w:szCs w:val="22"/>
          <w:lang w:val="sq-AL" w:eastAsia="en-US" w:bidi="en-US"/>
        </w:rPr>
        <w:t xml:space="preserve"> si: </w:t>
      </w:r>
    </w:p>
    <w:p w:rsidR="007252B1" w:rsidRPr="00827575" w:rsidRDefault="007252B1" w:rsidP="007252B1">
      <w:pPr>
        <w:jc w:val="both"/>
        <w:rPr>
          <w:rFonts w:ascii="Cambria" w:eastAsia="Times New Roman" w:hAnsi="Cambria"/>
          <w:sz w:val="8"/>
          <w:szCs w:val="8"/>
          <w:lang w:val="sq-AL" w:eastAsia="en-US" w:bidi="en-US"/>
        </w:rPr>
      </w:pP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Ndërhyrja e titullarëve të njësive publike duke kërkuar auditime të rëndësisë së veçantë jashtë planeve (132 angazhime auditimi me kërkesë të titullarëve).</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Ndryshimi i prioriteteve në veprimtaritë e subjekteve të audituara, pra ndryshim i shkallës së vlerësimit të riskut.</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Performancë jo në kërkesat e standardit të audituesve në kryerjen e funksionit të tyre, e theksuar kjo sidomos </w:t>
      </w:r>
      <w:r>
        <w:rPr>
          <w:rFonts w:ascii="Cambria" w:eastAsia="Times New Roman" w:hAnsi="Cambria"/>
          <w:sz w:val="22"/>
          <w:szCs w:val="22"/>
          <w:lang w:val="sq-AL" w:eastAsia="en-US" w:bidi="en-US"/>
        </w:rPr>
        <w:t>në stafin pa eksperiencë, të patrajnuar e të pa</w:t>
      </w:r>
      <w:r w:rsidRPr="00827575">
        <w:rPr>
          <w:rFonts w:ascii="Cambria" w:eastAsia="Times New Roman" w:hAnsi="Cambria"/>
          <w:sz w:val="22"/>
          <w:szCs w:val="22"/>
          <w:lang w:val="sq-AL" w:eastAsia="en-US" w:bidi="en-US"/>
        </w:rPr>
        <w:t>certifikuar për njohuritë</w:t>
      </w:r>
      <w:r w:rsidR="007B06BE">
        <w:rPr>
          <w:rFonts w:ascii="Cambria" w:eastAsia="Times New Roman" w:hAnsi="Cambria"/>
          <w:sz w:val="22"/>
          <w:szCs w:val="22"/>
          <w:lang w:val="sq-AL" w:eastAsia="en-US" w:bidi="en-US"/>
        </w:rPr>
        <w:t>,</w:t>
      </w:r>
      <w:r w:rsidRPr="00827575">
        <w:rPr>
          <w:rFonts w:ascii="Cambria" w:eastAsia="Times New Roman" w:hAnsi="Cambria"/>
          <w:sz w:val="22"/>
          <w:szCs w:val="22"/>
          <w:lang w:val="sq-AL" w:eastAsia="en-US" w:bidi="en-US"/>
        </w:rPr>
        <w:t xml:space="preserve"> që kërkon profesioni. (Bashkia Kuçovë, Bashkia Ura Vajgurore, Bashkia Klos, Bashkia Mat, Bashkia Roskovec, Bashkinë Tropojë, Bashkia Prrenjas, Bashkia Kurbin, Bashkia Cërrik, etj). </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Planifikim të pabazuar në burimet reale të NJAB (planifikojnë numër të madh auditimesh dhe nuk arrijnë t</w:t>
      </w:r>
      <w:r>
        <w:rPr>
          <w:rFonts w:ascii="Cambria" w:eastAsia="Times New Roman" w:hAnsi="Cambria"/>
          <w:sz w:val="22"/>
          <w:szCs w:val="22"/>
          <w:lang w:val="sq-AL" w:eastAsia="en-US" w:bidi="en-US"/>
        </w:rPr>
        <w:t>’</w:t>
      </w:r>
      <w:r w:rsidRPr="00827575">
        <w:rPr>
          <w:rFonts w:ascii="Cambria" w:eastAsia="Times New Roman" w:hAnsi="Cambria"/>
          <w:sz w:val="22"/>
          <w:szCs w:val="22"/>
          <w:lang w:val="sq-AL" w:eastAsia="en-US" w:bidi="en-US"/>
        </w:rPr>
        <w:t>i realizojnë), ku mund të përmendim: ALUIZNI 14/5, Prokuroria e Përgjithshme 12/9, RTSH 8/5, QSUT 23/15, Spitali i Traumës Tiranë 15/11, Hekurudha Shqiptare sha 12/6, Pos</w:t>
      </w:r>
      <w:r w:rsidR="007B06BE">
        <w:rPr>
          <w:rFonts w:ascii="Cambria" w:eastAsia="Times New Roman" w:hAnsi="Cambria"/>
          <w:sz w:val="22"/>
          <w:szCs w:val="22"/>
          <w:lang w:val="sq-AL" w:eastAsia="en-US" w:bidi="en-US"/>
        </w:rPr>
        <w:t>ta Shqiptare sha 18/12, Bashkia</w:t>
      </w:r>
      <w:r w:rsidR="00455332">
        <w:rPr>
          <w:rFonts w:ascii="Cambria" w:eastAsia="Times New Roman" w:hAnsi="Cambria"/>
          <w:sz w:val="22"/>
          <w:szCs w:val="22"/>
          <w:lang w:val="sq-AL" w:eastAsia="en-US" w:bidi="en-US"/>
        </w:rPr>
        <w:t xml:space="preserve"> Klos 12/4, Bashkia Elbasan  20/13, Bashkia Roskovec 10/5, Bashkia Pogradec 12/7, Bashkia Kukës 12/8, Bashkia</w:t>
      </w:r>
      <w:r w:rsidRPr="00827575">
        <w:rPr>
          <w:rFonts w:ascii="Cambria" w:eastAsia="Times New Roman" w:hAnsi="Cambria"/>
          <w:sz w:val="22"/>
          <w:szCs w:val="22"/>
          <w:lang w:val="sq-AL" w:eastAsia="en-US" w:bidi="en-US"/>
        </w:rPr>
        <w:t xml:space="preserve"> Lezhë 16/12, </w:t>
      </w:r>
      <w:r w:rsidR="00455332">
        <w:rPr>
          <w:rFonts w:ascii="Cambria" w:eastAsia="Times New Roman" w:hAnsi="Cambria"/>
          <w:sz w:val="22"/>
          <w:szCs w:val="22"/>
          <w:lang w:val="sq-AL" w:eastAsia="en-US" w:bidi="en-US"/>
        </w:rPr>
        <w:t>Bashkia Shkodër 14/11, Bashkia</w:t>
      </w:r>
      <w:r w:rsidRPr="00827575">
        <w:rPr>
          <w:rFonts w:ascii="Cambria" w:eastAsia="Times New Roman" w:hAnsi="Cambria"/>
          <w:sz w:val="22"/>
          <w:szCs w:val="22"/>
          <w:lang w:val="sq-AL" w:eastAsia="en-US" w:bidi="en-US"/>
        </w:rPr>
        <w:t xml:space="preserve"> Vorë 12/7, etj. </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NJAB që planifikojnë numër të kufizuar auditimesh</w:t>
      </w:r>
      <w:r>
        <w:rPr>
          <w:rFonts w:ascii="Cambria" w:eastAsia="Times New Roman" w:hAnsi="Cambria"/>
          <w:sz w:val="22"/>
          <w:szCs w:val="22"/>
          <w:lang w:val="sq-AL" w:eastAsia="en-US" w:bidi="en-US"/>
        </w:rPr>
        <w:t>,</w:t>
      </w:r>
      <w:r w:rsidRPr="00827575">
        <w:rPr>
          <w:rFonts w:ascii="Cambria" w:eastAsia="Times New Roman" w:hAnsi="Cambria"/>
          <w:sz w:val="22"/>
          <w:szCs w:val="22"/>
          <w:lang w:val="sq-AL" w:eastAsia="en-US" w:bidi="en-US"/>
        </w:rPr>
        <w:t xml:space="preserve"> por në fakt reali</w:t>
      </w:r>
      <w:r w:rsidR="00CA5C2D">
        <w:rPr>
          <w:rFonts w:ascii="Cambria" w:eastAsia="Times New Roman" w:hAnsi="Cambria"/>
          <w:sz w:val="22"/>
          <w:szCs w:val="22"/>
          <w:lang w:val="sq-AL" w:eastAsia="en-US" w:bidi="en-US"/>
        </w:rPr>
        <w:t>zojnë shumë më tepër (Drejtoria e Përgjithshme e</w:t>
      </w:r>
      <w:r w:rsidRPr="00827575">
        <w:rPr>
          <w:rFonts w:ascii="Cambria" w:eastAsia="Times New Roman" w:hAnsi="Cambria"/>
          <w:sz w:val="22"/>
          <w:szCs w:val="22"/>
          <w:lang w:val="sq-AL" w:eastAsia="en-US" w:bidi="en-US"/>
        </w:rPr>
        <w:t xml:space="preserve"> Burgjeve 19/23, Shoqëria e Parë Financiare të</w:t>
      </w:r>
      <w:r w:rsidR="00CA5C2D">
        <w:rPr>
          <w:rFonts w:ascii="Cambria" w:eastAsia="Times New Roman" w:hAnsi="Cambria"/>
          <w:sz w:val="22"/>
          <w:szCs w:val="22"/>
          <w:lang w:val="sq-AL" w:eastAsia="en-US" w:bidi="en-US"/>
        </w:rPr>
        <w:t xml:space="preserve"> Zhvillimit sha 11/14, Shërbimi</w:t>
      </w:r>
      <w:r w:rsidRPr="00827575">
        <w:rPr>
          <w:rFonts w:ascii="Cambria" w:eastAsia="Times New Roman" w:hAnsi="Cambria"/>
          <w:sz w:val="22"/>
          <w:szCs w:val="22"/>
          <w:lang w:val="sq-AL" w:eastAsia="en-US" w:bidi="en-US"/>
        </w:rPr>
        <w:t xml:space="preserve"> Informativ Shtetër</w:t>
      </w:r>
      <w:r w:rsidR="00CA5C2D">
        <w:rPr>
          <w:rFonts w:ascii="Cambria" w:eastAsia="Times New Roman" w:hAnsi="Cambria"/>
          <w:sz w:val="22"/>
          <w:szCs w:val="22"/>
          <w:lang w:val="sq-AL" w:eastAsia="en-US" w:bidi="en-US"/>
        </w:rPr>
        <w:t>or</w:t>
      </w:r>
      <w:r w:rsidRPr="00827575">
        <w:rPr>
          <w:rFonts w:ascii="Cambria" w:eastAsia="Times New Roman" w:hAnsi="Cambria"/>
          <w:sz w:val="22"/>
          <w:szCs w:val="22"/>
          <w:lang w:val="sq-AL" w:eastAsia="en-US" w:bidi="en-US"/>
        </w:rPr>
        <w:t xml:space="preserve"> 17/23, Fondi Shqiptar i Zhvillimit 5/9, Albpetrol sha 19/28, Bashkia Malësi e Madhe 8/13, Drejtoria e Përgjithshme Tatim Taksve Vendore 6/19, Bashkia Mirditë, etj.).  </w:t>
      </w:r>
    </w:p>
    <w:p w:rsidR="007252B1" w:rsidRPr="00827575" w:rsidRDefault="007252B1" w:rsidP="007252B1">
      <w:pPr>
        <w:jc w:val="both"/>
        <w:rPr>
          <w:rFonts w:ascii="Cambria" w:eastAsia="Calibri" w:hAnsi="Cambria"/>
          <w:sz w:val="8"/>
          <w:szCs w:val="8"/>
          <w:lang w:val="sq-AL" w:eastAsia="en-US"/>
        </w:rPr>
      </w:pP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analiza e kryer n</w:t>
      </w:r>
      <w:r w:rsidR="005D217C">
        <w:rPr>
          <w:rFonts w:ascii="Cambria" w:eastAsia="Calibri" w:hAnsi="Cambria"/>
          <w:sz w:val="22"/>
          <w:szCs w:val="22"/>
          <w:lang w:val="sq-AL" w:eastAsia="en-US"/>
        </w:rPr>
        <w:t>ë lidhje me realizimin e planit,</w:t>
      </w:r>
      <w:r w:rsidRPr="00827575">
        <w:rPr>
          <w:rFonts w:ascii="Cambria" w:eastAsia="Calibri" w:hAnsi="Cambria"/>
          <w:sz w:val="22"/>
          <w:szCs w:val="22"/>
          <w:lang w:val="sq-AL" w:eastAsia="en-US"/>
        </w:rPr>
        <w:t xml:space="preserve"> gjatë këtij viti në NJAB e pushtetit vendor dhe shoqërive aksionere evidentohet problematikë e theksuar</w:t>
      </w:r>
      <w:r w:rsidR="005D217C">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si në hartimin e planeve (llogaritjen e burimeve) ashtu dhe në realizimin e veprimtarisë audituese. Kjo</w:t>
      </w:r>
      <w:r w:rsidR="005D217C">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për shkak të lëvizjes së shpeshtë të stafeve dhe nivelit të ulët profesional</w:t>
      </w:r>
      <w:r w:rsidR="005D217C">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që disponojnë strukturat audituese të këtyrë njësive publike. </w:t>
      </w:r>
    </w:p>
    <w:p w:rsidR="007252B1" w:rsidRDefault="007252B1" w:rsidP="007252B1">
      <w:pPr>
        <w:jc w:val="both"/>
        <w:rPr>
          <w:rFonts w:asciiTheme="majorHAnsi" w:hAnsiTheme="majorHAnsi"/>
          <w:sz w:val="22"/>
          <w:szCs w:val="22"/>
          <w:lang w:val="sq-AL" w:eastAsia="en-US"/>
        </w:rPr>
      </w:pPr>
    </w:p>
    <w:p w:rsidR="007252B1" w:rsidRDefault="007252B1" w:rsidP="007252B1">
      <w:pPr>
        <w:jc w:val="both"/>
        <w:rPr>
          <w:rFonts w:asciiTheme="majorHAnsi" w:hAnsiTheme="majorHAnsi"/>
          <w:sz w:val="22"/>
          <w:szCs w:val="22"/>
          <w:lang w:val="sq-AL" w:eastAsia="en-US"/>
        </w:rPr>
      </w:pPr>
    </w:p>
    <w:p w:rsidR="007252B1" w:rsidRDefault="007252B1" w:rsidP="007252B1">
      <w:pPr>
        <w:jc w:val="both"/>
        <w:rPr>
          <w:rFonts w:asciiTheme="majorHAnsi" w:hAnsiTheme="majorHAnsi"/>
          <w:sz w:val="22"/>
          <w:szCs w:val="22"/>
          <w:lang w:val="sq-AL" w:eastAsia="en-US"/>
        </w:rPr>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sectPr w:rsidR="007252B1" w:rsidSect="004E497C">
          <w:pgSz w:w="11900" w:h="16840"/>
          <w:pgMar w:top="1417" w:right="1417" w:bottom="1134" w:left="1417" w:header="708" w:footer="708" w:gutter="0"/>
          <w:cols w:space="708"/>
          <w:docGrid w:linePitch="360"/>
        </w:sectPr>
      </w:pPr>
    </w:p>
    <w:p w:rsidR="009D2254" w:rsidRPr="00827575" w:rsidRDefault="007D1506" w:rsidP="007252B1">
      <w:pPr>
        <w:pStyle w:val="Heading1"/>
        <w:rPr>
          <w:bCs/>
          <w:lang w:val="pt-BR"/>
        </w:rPr>
      </w:pPr>
      <w:bookmarkStart w:id="87" w:name="_Toc9082385"/>
      <w:r>
        <w:t>ANEKSI III</w:t>
      </w:r>
      <w:r w:rsidR="007252B1">
        <w:t xml:space="preserve">. </w:t>
      </w:r>
      <w:r w:rsidR="009D2254" w:rsidRPr="00827575">
        <w:t>PYETËSORI I VETËVLERËSIMIT TË NJAB</w:t>
      </w:r>
      <w:bookmarkEnd w:id="87"/>
      <w:r w:rsidR="009D2254" w:rsidRPr="00827575">
        <w:t xml:space="preserve"> </w:t>
      </w:r>
    </w:p>
    <w:p w:rsidR="009D2254" w:rsidRPr="00827575"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Njësitë e auditi</w:t>
      </w:r>
      <w:r w:rsidR="00BA3863">
        <w:rPr>
          <w:rFonts w:ascii="Cambria" w:eastAsia="Calibri" w:hAnsi="Cambria"/>
          <w:sz w:val="22"/>
          <w:szCs w:val="22"/>
          <w:lang w:val="sq-AL" w:eastAsia="ko-KR" w:bidi="en-US"/>
        </w:rPr>
        <w:t>mit të brendshëm</w:t>
      </w:r>
      <w:r w:rsidR="00942A38">
        <w:rPr>
          <w:rFonts w:ascii="Cambria" w:eastAsia="Calibri" w:hAnsi="Cambria"/>
          <w:sz w:val="22"/>
          <w:szCs w:val="22"/>
          <w:lang w:val="sq-AL" w:eastAsia="ko-KR" w:bidi="en-US"/>
        </w:rPr>
        <w:t>,</w:t>
      </w:r>
      <w:r w:rsidR="00BA3863">
        <w:rPr>
          <w:rFonts w:ascii="Cambria" w:eastAsia="Calibri" w:hAnsi="Cambria"/>
          <w:sz w:val="22"/>
          <w:szCs w:val="22"/>
          <w:lang w:val="sq-AL" w:eastAsia="ko-KR" w:bidi="en-US"/>
        </w:rPr>
        <w:t xml:space="preserve"> për vitin 2018</w:t>
      </w:r>
      <w:r w:rsidR="00942A38">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kanë plotësuar Pyetësorin </w:t>
      </w:r>
      <w:r w:rsidRPr="00827575">
        <w:rPr>
          <w:rFonts w:ascii="Cambria" w:eastAsia="Calibri" w:hAnsi="Cambria"/>
          <w:sz w:val="22"/>
          <w:szCs w:val="22"/>
          <w:lang w:val="sq-AL" w:eastAsia="en-US" w:bidi="en-US"/>
        </w:rPr>
        <w:t>e</w:t>
      </w:r>
      <w:r w:rsidRPr="00827575">
        <w:rPr>
          <w:rFonts w:ascii="Cambria" w:eastAsia="Calibri" w:hAnsi="Cambria"/>
          <w:sz w:val="22"/>
          <w:szCs w:val="22"/>
          <w:lang w:val="sq-AL" w:eastAsia="ko-KR" w:bidi="en-US"/>
        </w:rPr>
        <w:t xml:space="preserve"> vetëvlerësimit</w:t>
      </w:r>
      <w:r w:rsidR="00942A38">
        <w:rPr>
          <w:rFonts w:ascii="Cambria" w:eastAsia="Calibri" w:hAnsi="Cambria"/>
          <w:sz w:val="22"/>
          <w:szCs w:val="22"/>
          <w:lang w:val="sq-AL" w:eastAsia="ko-KR" w:bidi="en-US"/>
        </w:rPr>
        <w:t xml:space="preserve"> të NJAB,</w:t>
      </w:r>
      <w:r w:rsidR="00BA3863">
        <w:rPr>
          <w:rFonts w:ascii="Cambria" w:eastAsia="Calibri" w:hAnsi="Cambria"/>
          <w:sz w:val="22"/>
          <w:szCs w:val="22"/>
          <w:lang w:val="sq-AL" w:eastAsia="ko-KR" w:bidi="en-US"/>
        </w:rPr>
        <w:t xml:space="preserve"> bazuar në Metodologjin</w:t>
      </w:r>
      <w:r w:rsidRPr="00827575">
        <w:rPr>
          <w:rFonts w:ascii="Cambria" w:eastAsia="Calibri" w:hAnsi="Cambria"/>
          <w:sz w:val="22"/>
          <w:szCs w:val="22"/>
          <w:lang w:val="sq-AL" w:eastAsia="ko-KR" w:bidi="en-US"/>
        </w:rPr>
        <w:t>ë për monitorimin e performancës së njësive publike, e ndryshuar. Nga 127 NJAB të cilat kanë raportuar, këtë pyetësor e kanë plotësuar 119 NJAB. Disa nga NJAB nuk e kanë plotësuar këtë pyetësor, për arsye se kanë filluar të funksionojë në fund të vitit 2018 (Drejtoria e Përgjithshme e Arkivave, Qendra Spitalore Lushnjë, etj).</w:t>
      </w:r>
    </w:p>
    <w:p w:rsidR="009D2254" w:rsidRPr="00827575" w:rsidRDefault="009D2254" w:rsidP="009D2254">
      <w:pPr>
        <w:jc w:val="both"/>
        <w:rPr>
          <w:rFonts w:ascii="Cambria" w:eastAsia="Calibri" w:hAnsi="Cambria"/>
          <w:sz w:val="8"/>
          <w:szCs w:val="8"/>
          <w:lang w:val="sq-AL" w:eastAsia="ko-KR" w:bidi="en-US"/>
        </w:rPr>
      </w:pPr>
    </w:p>
    <w:p w:rsidR="009D2254" w:rsidRPr="00827575" w:rsidRDefault="009D2254" w:rsidP="009D2254">
      <w:pPr>
        <w:jc w:val="both"/>
        <w:rPr>
          <w:rFonts w:ascii="Cambria" w:eastAsia="Calibri" w:hAnsi="Cambria"/>
          <w:color w:val="000000"/>
          <w:sz w:val="22"/>
          <w:szCs w:val="22"/>
          <w:lang w:val="sq-AL" w:eastAsia="ko-KR" w:bidi="en-US"/>
        </w:rPr>
      </w:pPr>
      <w:r w:rsidRPr="00827575">
        <w:rPr>
          <w:rFonts w:ascii="Cambria" w:eastAsia="Calibri" w:hAnsi="Cambria"/>
          <w:color w:val="000000"/>
          <w:sz w:val="22"/>
          <w:szCs w:val="22"/>
          <w:lang w:val="sq-AL" w:eastAsia="ko-KR" w:bidi="en-US"/>
        </w:rPr>
        <w:t>Pyetësori i vetëvlerësimit për</w:t>
      </w:r>
      <w:r w:rsidR="00942A38">
        <w:rPr>
          <w:rFonts w:ascii="Cambria" w:eastAsia="Calibri" w:hAnsi="Cambria"/>
          <w:color w:val="000000"/>
          <w:sz w:val="22"/>
          <w:szCs w:val="22"/>
          <w:lang w:val="sq-AL" w:eastAsia="ko-KR" w:bidi="en-US"/>
        </w:rPr>
        <w:t>m</w:t>
      </w:r>
      <w:r w:rsidRPr="00827575">
        <w:rPr>
          <w:rFonts w:ascii="Cambria" w:eastAsia="Calibri" w:hAnsi="Cambria"/>
          <w:color w:val="000000"/>
          <w:sz w:val="22"/>
          <w:szCs w:val="22"/>
          <w:lang w:val="sq-AL" w:eastAsia="ko-KR" w:bidi="en-US"/>
        </w:rPr>
        <w:t>ban pyetje për të gjitha fazat e veprimtarisë së auditimit të brendshëm. Kjo analizë është fokusuar në katër grupime pyetjesh, përkatësisht mbi:</w:t>
      </w:r>
    </w:p>
    <w:p w:rsidR="009D2254" w:rsidRPr="00827575" w:rsidRDefault="009D2254" w:rsidP="009D2254">
      <w:pPr>
        <w:jc w:val="both"/>
        <w:rPr>
          <w:rFonts w:ascii="Cambria" w:eastAsia="Calibri" w:hAnsi="Cambria"/>
          <w:color w:val="000000"/>
          <w:sz w:val="8"/>
          <w:szCs w:val="8"/>
          <w:lang w:val="sq-AL" w:eastAsia="ko-KR" w:bidi="en-US"/>
        </w:rPr>
      </w:pPr>
    </w:p>
    <w:p w:rsidR="009D2254" w:rsidRPr="00F15E13" w:rsidRDefault="009D2254" w:rsidP="009D2254">
      <w:pPr>
        <w:numPr>
          <w:ilvl w:val="0"/>
          <w:numId w:val="53"/>
        </w:numPr>
        <w:spacing w:after="200" w:line="276" w:lineRule="auto"/>
        <w:jc w:val="both"/>
        <w:rPr>
          <w:rFonts w:ascii="Cambria" w:eastAsia="Calibri" w:hAnsi="Cambria"/>
          <w:b/>
          <w:color w:val="000000"/>
          <w:sz w:val="22"/>
          <w:szCs w:val="22"/>
          <w:lang w:val="sq-AL" w:eastAsia="ko-KR" w:bidi="en-US"/>
        </w:rPr>
      </w:pPr>
      <w:r w:rsidRPr="00827575">
        <w:rPr>
          <w:rFonts w:ascii="Cambria" w:eastAsia="Times New Roman" w:hAnsi="Cambria"/>
          <w:b/>
          <w:bCs/>
          <w:sz w:val="22"/>
          <w:szCs w:val="22"/>
          <w:lang w:val="pt-BR" w:eastAsia="en-US" w:bidi="en-US"/>
        </w:rPr>
        <w:t>Funksionimin e NJAB sipas akteve ligjore.</w:t>
      </w:r>
    </w:p>
    <w:p w:rsidR="009D2254" w:rsidRPr="00827575"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NJAB e krijuara në sektorin publik duhet të funksionojnë në përputhje me bazën ligjore dhe nënligjore në fuqi dhe duhet të përbëhen minimalisht nga tre auditues. Kriteret e përcaktuara nuk janë të plotësuara nga një pjesë e konsiderueshme e njësive publike dhe kjo sjell si pasojë performancë të njësive të auditimit jo në kërkesat e standardeve ndërkombëtare. Nga analiza e të dhënave</w:t>
      </w:r>
      <w:r w:rsidR="002E2BD1">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vetëm 79% e NJAB janë ngritur dhe funksionojnë në përputhje me aktet ligjore dhe nënligjore, pra e përmbushin këtë kriter.</w:t>
      </w:r>
    </w:p>
    <w:p w:rsidR="009D2254" w:rsidRPr="00827575" w:rsidRDefault="009D2254" w:rsidP="009D2254">
      <w:pPr>
        <w:jc w:val="both"/>
        <w:rPr>
          <w:rFonts w:ascii="Cambria" w:eastAsia="Calibri" w:hAnsi="Cambria"/>
          <w:sz w:val="8"/>
          <w:szCs w:val="8"/>
          <w:lang w:val="sq-AL" w:eastAsia="ko-KR" w:bidi="en-US"/>
        </w:rPr>
      </w:pPr>
    </w:p>
    <w:p w:rsidR="00ED2FD7" w:rsidRDefault="009D2254" w:rsidP="009D2254">
      <w:pPr>
        <w:jc w:val="both"/>
        <w:rPr>
          <w:rFonts w:ascii="Calibri" w:eastAsia="Calibri" w:hAnsi="Calibri"/>
          <w:sz w:val="22"/>
          <w:szCs w:val="22"/>
          <w:lang w:val="sq-AL" w:eastAsia="ko-KR" w:bidi="en-US"/>
        </w:rPr>
      </w:pPr>
      <w:r w:rsidRPr="00827575">
        <w:rPr>
          <w:rFonts w:ascii="Cambria" w:eastAsia="Calibri" w:hAnsi="Cambria"/>
          <w:sz w:val="22"/>
          <w:szCs w:val="22"/>
          <w:lang w:val="sq-AL" w:eastAsia="ko-KR" w:bidi="en-US"/>
        </w:rPr>
        <w:t xml:space="preserve">Një nga parimet e auditimit të brendshëm është pavarësia. Një veprimtari audituese e pavaruar funksionalisht </w:t>
      </w:r>
      <w:r w:rsidR="002E2BD1">
        <w:rPr>
          <w:rFonts w:ascii="Cambria" w:eastAsia="Calibri" w:hAnsi="Cambria"/>
          <w:sz w:val="22"/>
          <w:szCs w:val="22"/>
          <w:lang w:val="sq-AL" w:eastAsia="ko-KR" w:bidi="en-US"/>
        </w:rPr>
        <w:t xml:space="preserve">jep gjykime dhe vlerësime të pa </w:t>
      </w:r>
      <w:r w:rsidRPr="00827575">
        <w:rPr>
          <w:rFonts w:ascii="Cambria" w:eastAsia="Calibri" w:hAnsi="Cambria"/>
          <w:sz w:val="22"/>
          <w:szCs w:val="22"/>
          <w:lang w:val="sq-AL" w:eastAsia="ko-KR" w:bidi="en-US"/>
        </w:rPr>
        <w:t>ndikuara për risqet dhe sistemet e kontrollit të brendshëm. Në të njëjtën kohë</w:t>
      </w:r>
      <w:r>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të gjitha NJAB duhet të kenë komunikim të rregullt me titullarin e njësisë publike. Nga analiza e të dhënave rezulton</w:t>
      </w:r>
      <w:r w:rsidR="0027068F">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se vetëm 84% e NJAB e plotësojnë këtë kriter</w:t>
      </w:r>
      <w:r w:rsidRPr="00827575">
        <w:rPr>
          <w:rFonts w:ascii="Calibri" w:eastAsia="Calibri" w:hAnsi="Calibri"/>
          <w:sz w:val="22"/>
          <w:szCs w:val="22"/>
          <w:lang w:val="sq-AL" w:eastAsia="ko-KR" w:bidi="en-US"/>
        </w:rPr>
        <w:t>.</w:t>
      </w:r>
    </w:p>
    <w:p w:rsidR="00ED2FD7" w:rsidRPr="00ED2FD7" w:rsidRDefault="00ED2FD7" w:rsidP="00ED2FD7">
      <w:pPr>
        <w:pStyle w:val="NoSpacing"/>
        <w:rPr>
          <w:sz w:val="12"/>
          <w:szCs w:val="12"/>
          <w:lang w:val="sq-AL" w:eastAsia="ko-KR"/>
        </w:rPr>
      </w:pPr>
    </w:p>
    <w:p w:rsidR="009D2254" w:rsidRPr="00827575" w:rsidRDefault="009D2254" w:rsidP="009D2254">
      <w:pPr>
        <w:jc w:val="both"/>
        <w:rPr>
          <w:rFonts w:ascii="Cambria" w:eastAsia="Calibri" w:hAnsi="Cambria"/>
          <w:sz w:val="12"/>
          <w:szCs w:val="12"/>
          <w:lang w:val="sq-AL" w:eastAsia="ko-KR" w:bidi="en-US"/>
        </w:rPr>
      </w:pPr>
      <w:bookmarkStart w:id="88" w:name="_Toc9082428"/>
      <w:r w:rsidRPr="00577B2B">
        <w:rPr>
          <w:rFonts w:ascii="Cambria" w:eastAsia="Calibri" w:hAnsi="Cambria"/>
          <w:i/>
          <w:sz w:val="20"/>
          <w:szCs w:val="22"/>
          <w:lang w:val="sq-AL" w:eastAsia="en-US"/>
        </w:rPr>
        <w:t xml:space="preserve">Grafiku </w:t>
      </w:r>
      <w:r w:rsidRPr="00577B2B">
        <w:rPr>
          <w:rFonts w:ascii="Cambria" w:eastAsia="Calibri" w:hAnsi="Cambria"/>
          <w:i/>
          <w:sz w:val="20"/>
          <w:szCs w:val="22"/>
          <w:lang w:val="sq-AL" w:eastAsia="en-US"/>
        </w:rPr>
        <w:fldChar w:fldCharType="begin"/>
      </w:r>
      <w:r w:rsidRPr="00577B2B">
        <w:rPr>
          <w:rFonts w:ascii="Cambria" w:eastAsia="Calibri" w:hAnsi="Cambria"/>
          <w:i/>
          <w:sz w:val="20"/>
          <w:szCs w:val="22"/>
          <w:lang w:val="sq-AL" w:eastAsia="en-US"/>
        </w:rPr>
        <w:instrText xml:space="preserve"> SEQ Grafiku \* ARABIC </w:instrText>
      </w:r>
      <w:r w:rsidRPr="00577B2B">
        <w:rPr>
          <w:rFonts w:ascii="Cambria" w:eastAsia="Calibri" w:hAnsi="Cambria"/>
          <w:i/>
          <w:sz w:val="20"/>
          <w:szCs w:val="22"/>
          <w:lang w:val="sq-AL" w:eastAsia="en-US"/>
        </w:rPr>
        <w:fldChar w:fldCharType="separate"/>
      </w:r>
      <w:r w:rsidR="00036EC4">
        <w:rPr>
          <w:rFonts w:ascii="Cambria" w:eastAsia="Calibri" w:hAnsi="Cambria"/>
          <w:i/>
          <w:noProof/>
          <w:sz w:val="20"/>
          <w:szCs w:val="22"/>
          <w:lang w:val="sq-AL" w:eastAsia="en-US"/>
        </w:rPr>
        <w:t>6</w:t>
      </w:r>
      <w:r w:rsidRPr="00577B2B">
        <w:rPr>
          <w:rFonts w:ascii="Cambria" w:eastAsia="Calibri" w:hAnsi="Cambria"/>
          <w:i/>
          <w:sz w:val="20"/>
          <w:szCs w:val="22"/>
          <w:lang w:val="sq-AL" w:eastAsia="en-US"/>
        </w:rPr>
        <w:fldChar w:fldCharType="end"/>
      </w:r>
      <w:r w:rsidRPr="00577B2B">
        <w:rPr>
          <w:rFonts w:ascii="Cambria" w:eastAsia="Calibri" w:hAnsi="Cambria"/>
          <w:i/>
          <w:sz w:val="20"/>
          <w:szCs w:val="22"/>
          <w:lang w:val="sq-AL" w:eastAsia="en-US"/>
        </w:rPr>
        <w:t>. Funksionimi i NJAB sipas akteve ligjore</w:t>
      </w:r>
      <w:bookmarkEnd w:id="88"/>
    </w:p>
    <w:p w:rsidR="009D2254" w:rsidRPr="00827575" w:rsidRDefault="009D2254" w:rsidP="009D2254">
      <w:pPr>
        <w:autoSpaceDE w:val="0"/>
        <w:autoSpaceDN w:val="0"/>
        <w:adjustRightInd w:val="0"/>
        <w:spacing w:after="200" w:line="276" w:lineRule="auto"/>
        <w:contextualSpacing/>
        <w:jc w:val="both"/>
        <w:rPr>
          <w:rFonts w:ascii="Cambria" w:eastAsia="Batang" w:hAnsi="Cambria"/>
          <w:color w:val="000000"/>
          <w:sz w:val="22"/>
          <w:szCs w:val="22"/>
          <w:lang w:eastAsia="ko-KR" w:bidi="en-US"/>
        </w:rPr>
      </w:pPr>
      <w:r w:rsidRPr="00827575">
        <w:rPr>
          <w:rFonts w:ascii="Calibri" w:eastAsia="Calibri" w:hAnsi="Calibri"/>
          <w:noProof/>
          <w:sz w:val="22"/>
          <w:szCs w:val="22"/>
          <w:lang w:eastAsia="en-US"/>
        </w:rPr>
        <w:drawing>
          <wp:inline distT="0" distB="0" distL="0" distR="0" wp14:anchorId="18CC9C5D" wp14:editId="7C9747C4">
            <wp:extent cx="5943600" cy="2105891"/>
            <wp:effectExtent l="0" t="0" r="0" b="889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2FD7" w:rsidRDefault="00ED2FD7" w:rsidP="009D2254">
      <w:pPr>
        <w:jc w:val="both"/>
        <w:rPr>
          <w:rFonts w:ascii="Cambria" w:eastAsia="Calibri" w:hAnsi="Cambria"/>
          <w:sz w:val="22"/>
          <w:szCs w:val="22"/>
          <w:lang w:val="sq-AL" w:eastAsia="ko-KR" w:bidi="en-US"/>
        </w:rPr>
      </w:pPr>
    </w:p>
    <w:p w:rsidR="009D2254" w:rsidRPr="00827575"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Nga të dhëna</w:t>
      </w:r>
      <w:r w:rsidR="008645AC">
        <w:rPr>
          <w:rFonts w:ascii="Cambria" w:eastAsia="Calibri" w:hAnsi="Cambria"/>
          <w:sz w:val="22"/>
          <w:szCs w:val="22"/>
          <w:lang w:val="sq-AL" w:eastAsia="ko-KR" w:bidi="en-US"/>
        </w:rPr>
        <w:t>t e konsoliduara të pyetësorëve</w:t>
      </w:r>
      <w:r w:rsidRPr="00827575">
        <w:rPr>
          <w:rFonts w:ascii="Cambria" w:eastAsia="Calibri" w:hAnsi="Cambria"/>
          <w:sz w:val="22"/>
          <w:szCs w:val="22"/>
          <w:lang w:val="sq-AL" w:eastAsia="ko-KR" w:bidi="en-US"/>
        </w:rPr>
        <w:t xml:space="preserve"> rezulton se</w:t>
      </w:r>
      <w:r w:rsidR="008645AC">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vetëm në 87% të NJAB audituesit e brendshëm nuk përfshihen në veprimtari operacionale. Pjesa tjetër</w:t>
      </w:r>
      <w:r w:rsidR="008645AC">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13% e tyre</w:t>
      </w:r>
      <w:r w:rsidR="008645AC">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rezulton në </w:t>
      </w:r>
      <w:r w:rsidR="008645AC">
        <w:rPr>
          <w:rFonts w:ascii="Cambria" w:eastAsia="Calibri" w:hAnsi="Cambria"/>
          <w:sz w:val="22"/>
          <w:szCs w:val="22"/>
          <w:lang w:val="sq-AL" w:eastAsia="ko-KR" w:bidi="en-US"/>
        </w:rPr>
        <w:t>kundërshtim me kriteret ligjore.</w:t>
      </w:r>
      <w:r w:rsidRPr="00827575">
        <w:rPr>
          <w:rFonts w:ascii="Cambria" w:eastAsia="Calibri" w:hAnsi="Cambria"/>
          <w:sz w:val="22"/>
          <w:szCs w:val="22"/>
          <w:lang w:val="sq-AL" w:eastAsia="ko-KR" w:bidi="en-US"/>
        </w:rPr>
        <w:t xml:space="preserve"> </w:t>
      </w:r>
      <w:r w:rsidR="008645AC">
        <w:rPr>
          <w:rFonts w:ascii="Cambria" w:eastAsia="Calibri" w:hAnsi="Cambria"/>
          <w:sz w:val="22"/>
          <w:szCs w:val="22"/>
          <w:lang w:val="sq-AL" w:eastAsia="ko-KR" w:bidi="en-US"/>
        </w:rPr>
        <w:t>N</w:t>
      </w:r>
      <w:r w:rsidRPr="00827575">
        <w:rPr>
          <w:rFonts w:ascii="Cambria" w:eastAsia="Calibri" w:hAnsi="Cambria"/>
          <w:sz w:val="22"/>
          <w:szCs w:val="22"/>
          <w:lang w:val="sq-AL" w:eastAsia="ko-KR" w:bidi="en-US"/>
        </w:rPr>
        <w:t xml:space="preserve">ë to vihet re përfshirje e audituesve të brendshëm në veprimtari operacionale. </w:t>
      </w:r>
    </w:p>
    <w:p w:rsidR="009D2254" w:rsidRPr="00827575" w:rsidRDefault="009D2254" w:rsidP="009D2254">
      <w:pPr>
        <w:jc w:val="both"/>
        <w:rPr>
          <w:rFonts w:ascii="Cambria" w:eastAsia="Calibri" w:hAnsi="Cambria"/>
          <w:sz w:val="8"/>
          <w:szCs w:val="8"/>
          <w:lang w:val="sq-AL" w:eastAsia="ko-KR" w:bidi="en-US"/>
        </w:rPr>
      </w:pPr>
    </w:p>
    <w:p w:rsidR="009D2254"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Roli i auditimit të brendshëm është të ndihmojë njësinë publike në arritjen e objektivave. Objektivat e NJAB gjithnjë duhet të jenë në përputhje me objektivat e njësisë pu</w:t>
      </w:r>
      <w:r w:rsidR="00B20B64">
        <w:rPr>
          <w:rFonts w:ascii="Cambria" w:eastAsia="Calibri" w:hAnsi="Cambria"/>
          <w:sz w:val="22"/>
          <w:szCs w:val="22"/>
          <w:lang w:val="sq-AL" w:eastAsia="ko-KR" w:bidi="en-US"/>
        </w:rPr>
        <w:t>blike. Nga analiza e të dhënave,</w:t>
      </w:r>
      <w:r w:rsidRPr="00827575">
        <w:rPr>
          <w:rFonts w:ascii="Cambria" w:eastAsia="Calibri" w:hAnsi="Cambria"/>
          <w:sz w:val="22"/>
          <w:szCs w:val="22"/>
          <w:lang w:val="sq-AL" w:eastAsia="ko-KR" w:bidi="en-US"/>
        </w:rPr>
        <w:t xml:space="preserve"> vihet re se 86% e NJAB i kanë objektivat e tyre në përputhje me objektivat e njësive publike në të cilat ato operojnë. </w:t>
      </w:r>
    </w:p>
    <w:p w:rsidR="000E530D" w:rsidRPr="00646C5B" w:rsidRDefault="000E530D" w:rsidP="00646C5B">
      <w:pPr>
        <w:pStyle w:val="NoSpacing"/>
        <w:rPr>
          <w:sz w:val="12"/>
          <w:szCs w:val="12"/>
          <w:lang w:val="sq-AL" w:eastAsia="ko-KR"/>
        </w:rPr>
      </w:pPr>
    </w:p>
    <w:p w:rsidR="009D2254" w:rsidRPr="00827575" w:rsidRDefault="009D2254" w:rsidP="009D2254">
      <w:pPr>
        <w:numPr>
          <w:ilvl w:val="0"/>
          <w:numId w:val="53"/>
        </w:numPr>
        <w:spacing w:after="200" w:line="276" w:lineRule="auto"/>
        <w:jc w:val="both"/>
        <w:rPr>
          <w:rFonts w:ascii="Cambria" w:eastAsia="Calibri" w:hAnsi="Cambria"/>
          <w:b/>
          <w:sz w:val="22"/>
          <w:szCs w:val="22"/>
          <w:lang w:val="sq-AL" w:eastAsia="ko-KR" w:bidi="en-US"/>
        </w:rPr>
      </w:pPr>
      <w:r w:rsidRPr="00827575">
        <w:rPr>
          <w:rFonts w:ascii="Cambria" w:eastAsia="Calibri" w:hAnsi="Cambria"/>
          <w:b/>
          <w:sz w:val="22"/>
          <w:szCs w:val="22"/>
          <w:lang w:val="sq-AL" w:eastAsia="ko-KR" w:bidi="en-US"/>
        </w:rPr>
        <w:t>Identifikimin, vlerësimin dhe menaxhimin e risqeve nga NJAB.</w:t>
      </w:r>
    </w:p>
    <w:p w:rsidR="009D2254"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Është detyrë e NJAB</w:t>
      </w:r>
      <w:r w:rsidR="00B20B64">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që në procesin e planifikimit duhet të përdorin metodologji për identifikimin dhe vlerësimin e risqeve e njësive publike, si dhe të marrin opinionin e titullarit gjatë këtij procesi.  Në bazë të kësaj metodologjie organizohet puna</w:t>
      </w:r>
      <w:r w:rsidR="00B20B64">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që njësitë e identifikuara me risk të lartë të përfshihen në planin vjetor të auditimit. Ng</w:t>
      </w:r>
      <w:r w:rsidR="00B20B64">
        <w:rPr>
          <w:rFonts w:ascii="Cambria" w:eastAsia="Calibri" w:hAnsi="Cambria"/>
          <w:sz w:val="22"/>
          <w:szCs w:val="22"/>
          <w:lang w:val="sq-AL" w:eastAsia="ko-KR" w:bidi="en-US"/>
        </w:rPr>
        <w:t>a analiza e përgjigjeve të NJAB</w:t>
      </w:r>
      <w:r w:rsidRPr="00827575">
        <w:rPr>
          <w:rFonts w:ascii="Cambria" w:eastAsia="Calibri" w:hAnsi="Cambria"/>
          <w:sz w:val="22"/>
          <w:szCs w:val="22"/>
          <w:lang w:val="sq-AL" w:eastAsia="ko-KR" w:bidi="en-US"/>
        </w:rPr>
        <w:t xml:space="preserve"> rezulton që</w:t>
      </w:r>
      <w:r w:rsidR="00B20B64">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76% e tyre e bazojnë planin e auditimit plotësisht në vlerësimin e riskut të veprimtarisë së njësisë publike. </w:t>
      </w:r>
    </w:p>
    <w:p w:rsidR="009D2254" w:rsidRDefault="009D2254" w:rsidP="009D2254">
      <w:pPr>
        <w:jc w:val="both"/>
        <w:rPr>
          <w:rFonts w:ascii="Cambria" w:eastAsia="Calibri" w:hAnsi="Cambria"/>
          <w:sz w:val="22"/>
          <w:szCs w:val="22"/>
          <w:lang w:val="sq-AL" w:eastAsia="ko-KR" w:bidi="en-US"/>
        </w:rPr>
      </w:pPr>
    </w:p>
    <w:p w:rsidR="00646C5B" w:rsidRDefault="00646C5B" w:rsidP="009D2254">
      <w:pPr>
        <w:jc w:val="both"/>
        <w:rPr>
          <w:rFonts w:ascii="Cambria" w:eastAsia="Calibri" w:hAnsi="Cambria"/>
          <w:sz w:val="22"/>
          <w:szCs w:val="22"/>
          <w:lang w:val="sq-AL" w:eastAsia="ko-KR" w:bidi="en-US"/>
        </w:rPr>
      </w:pPr>
    </w:p>
    <w:p w:rsidR="009D2254" w:rsidRDefault="009D2254" w:rsidP="009D2254">
      <w:pPr>
        <w:jc w:val="both"/>
        <w:rPr>
          <w:rFonts w:ascii="Cambria" w:eastAsia="Calibri" w:hAnsi="Cambria"/>
          <w:i/>
          <w:sz w:val="20"/>
          <w:szCs w:val="22"/>
          <w:lang w:val="sq-AL" w:eastAsia="en-US"/>
        </w:rPr>
      </w:pPr>
      <w:bookmarkStart w:id="89" w:name="_Toc9082429"/>
      <w:r w:rsidRPr="008B4611">
        <w:rPr>
          <w:rFonts w:ascii="Cambria" w:eastAsia="Calibri" w:hAnsi="Cambria"/>
          <w:i/>
          <w:sz w:val="20"/>
          <w:szCs w:val="22"/>
          <w:lang w:val="sq-AL" w:eastAsia="en-US"/>
        </w:rPr>
        <w:t xml:space="preserve">Grafiku </w:t>
      </w:r>
      <w:r w:rsidRPr="008B4611">
        <w:rPr>
          <w:rFonts w:ascii="Cambria" w:eastAsia="Calibri" w:hAnsi="Cambria"/>
          <w:i/>
          <w:sz w:val="20"/>
          <w:szCs w:val="22"/>
          <w:lang w:val="sq-AL" w:eastAsia="en-US"/>
        </w:rPr>
        <w:fldChar w:fldCharType="begin"/>
      </w:r>
      <w:r w:rsidRPr="008B4611">
        <w:rPr>
          <w:rFonts w:ascii="Cambria" w:eastAsia="Calibri" w:hAnsi="Cambria"/>
          <w:i/>
          <w:sz w:val="20"/>
          <w:szCs w:val="22"/>
          <w:lang w:val="sq-AL" w:eastAsia="en-US"/>
        </w:rPr>
        <w:instrText xml:space="preserve"> SEQ Grafiku \* ARABIC </w:instrText>
      </w:r>
      <w:r w:rsidRPr="008B4611">
        <w:rPr>
          <w:rFonts w:ascii="Cambria" w:eastAsia="Calibri" w:hAnsi="Cambria"/>
          <w:i/>
          <w:sz w:val="20"/>
          <w:szCs w:val="22"/>
          <w:lang w:val="sq-AL" w:eastAsia="en-US"/>
        </w:rPr>
        <w:fldChar w:fldCharType="separate"/>
      </w:r>
      <w:r w:rsidR="00036EC4">
        <w:rPr>
          <w:rFonts w:ascii="Cambria" w:eastAsia="Calibri" w:hAnsi="Cambria"/>
          <w:i/>
          <w:noProof/>
          <w:sz w:val="20"/>
          <w:szCs w:val="22"/>
          <w:lang w:val="sq-AL" w:eastAsia="en-US"/>
        </w:rPr>
        <w:t>7</w:t>
      </w:r>
      <w:r w:rsidRPr="008B4611">
        <w:rPr>
          <w:rFonts w:ascii="Cambria" w:eastAsia="Calibri" w:hAnsi="Cambria"/>
          <w:i/>
          <w:sz w:val="20"/>
          <w:szCs w:val="22"/>
          <w:lang w:val="sq-AL" w:eastAsia="en-US"/>
        </w:rPr>
        <w:fldChar w:fldCharType="end"/>
      </w:r>
      <w:r w:rsidRPr="008B4611">
        <w:rPr>
          <w:rFonts w:ascii="Cambria" w:eastAsia="Calibri" w:hAnsi="Cambria"/>
          <w:i/>
          <w:sz w:val="20"/>
          <w:szCs w:val="22"/>
          <w:lang w:val="sq-AL" w:eastAsia="en-US"/>
        </w:rPr>
        <w:t>. Identifikimi, vlerësimi dhe menaxhimi i risqeve nga NJAB</w:t>
      </w:r>
      <w:bookmarkEnd w:id="89"/>
    </w:p>
    <w:p w:rsidR="009D2254" w:rsidRPr="00827575" w:rsidRDefault="009D2254" w:rsidP="009D2254">
      <w:pPr>
        <w:autoSpaceDE w:val="0"/>
        <w:autoSpaceDN w:val="0"/>
        <w:adjustRightInd w:val="0"/>
        <w:spacing w:after="120" w:line="276" w:lineRule="auto"/>
        <w:contextualSpacing/>
        <w:jc w:val="both"/>
        <w:rPr>
          <w:rFonts w:ascii="Cambria" w:eastAsia="Calibri" w:hAnsi="Cambria"/>
          <w:sz w:val="22"/>
          <w:szCs w:val="22"/>
          <w:lang w:eastAsia="ko-KR" w:bidi="en-US"/>
        </w:rPr>
      </w:pPr>
      <w:bookmarkStart w:id="90" w:name="_Toc451511453"/>
      <w:r w:rsidRPr="00827575">
        <w:rPr>
          <w:rFonts w:ascii="Calibri" w:eastAsia="Calibri" w:hAnsi="Calibri"/>
          <w:noProof/>
          <w:sz w:val="22"/>
          <w:szCs w:val="22"/>
          <w:lang w:eastAsia="en-US"/>
        </w:rPr>
        <w:drawing>
          <wp:inline distT="0" distB="0" distL="0" distR="0" wp14:anchorId="52A91BF2" wp14:editId="3CA1E290">
            <wp:extent cx="5943600" cy="2078182"/>
            <wp:effectExtent l="0" t="0" r="0" b="1778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2254" w:rsidRPr="00074625" w:rsidRDefault="009D2254" w:rsidP="009D2254">
      <w:pPr>
        <w:jc w:val="both"/>
        <w:rPr>
          <w:rFonts w:ascii="Cambria" w:eastAsia="Calibri" w:hAnsi="Cambria"/>
          <w:color w:val="000000"/>
          <w:sz w:val="12"/>
          <w:szCs w:val="12"/>
          <w:lang w:val="sq-AL" w:eastAsia="en-US"/>
        </w:rPr>
      </w:pPr>
      <w:bookmarkStart w:id="91" w:name="_Toc451511454"/>
      <w:bookmarkEnd w:id="90"/>
    </w:p>
    <w:p w:rsidR="009D2254" w:rsidRPr="00827575" w:rsidRDefault="009D2254" w:rsidP="009D2254">
      <w:pPr>
        <w:jc w:val="both"/>
        <w:rPr>
          <w:rFonts w:ascii="Cambria" w:eastAsia="Calibri" w:hAnsi="Cambria"/>
          <w:color w:val="000000"/>
          <w:sz w:val="22"/>
          <w:szCs w:val="22"/>
          <w:lang w:val="sq-AL" w:eastAsia="en-US"/>
        </w:rPr>
      </w:pPr>
      <w:r w:rsidRPr="00827575">
        <w:rPr>
          <w:rFonts w:ascii="Cambria" w:eastAsia="Calibri" w:hAnsi="Cambria"/>
          <w:color w:val="000000"/>
          <w:sz w:val="22"/>
          <w:szCs w:val="22"/>
          <w:lang w:val="sq-AL" w:eastAsia="en-US"/>
        </w:rPr>
        <w:t>Evidentohet se</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vetëm 69% e NJAB kanë vlerësuar drejt risqet e lidhura me objektivat e njësisë publike, kurse 28% e NJAB kanë nevojë për përmirësime në këtë vlerësim. Në lidhje me këtë</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është e nevojshme të trajtohet me prioritet</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si në programet e trajnimit ashtu dhe në seminaret e ndërgjegjësimit në fushën e auditimit të brendshëm, sepse është një nga vlerësimet e rëndësishme që duhet trajtuar nga audituesit.</w:t>
      </w:r>
    </w:p>
    <w:p w:rsidR="009D2254" w:rsidRPr="00827575" w:rsidRDefault="009D2254" w:rsidP="009D2254">
      <w:pPr>
        <w:jc w:val="both"/>
        <w:rPr>
          <w:rFonts w:ascii="Cambria" w:eastAsia="Calibri" w:hAnsi="Cambria"/>
          <w:color w:val="000000"/>
          <w:sz w:val="8"/>
          <w:szCs w:val="8"/>
          <w:lang w:val="sq-AL" w:eastAsia="en-US"/>
        </w:rPr>
      </w:pPr>
    </w:p>
    <w:p w:rsidR="009D2254" w:rsidRPr="00827575" w:rsidRDefault="009D2254" w:rsidP="009D2254">
      <w:pPr>
        <w:jc w:val="both"/>
        <w:rPr>
          <w:rFonts w:ascii="Cambria" w:eastAsia="Calibri" w:hAnsi="Cambria"/>
          <w:color w:val="000000"/>
          <w:sz w:val="22"/>
          <w:szCs w:val="22"/>
          <w:lang w:val="sq-AL" w:eastAsia="en-US"/>
        </w:rPr>
      </w:pPr>
      <w:r w:rsidRPr="00827575">
        <w:rPr>
          <w:rFonts w:ascii="Cambria" w:eastAsia="Calibri" w:hAnsi="Cambria"/>
          <w:color w:val="000000"/>
          <w:sz w:val="22"/>
          <w:szCs w:val="22"/>
          <w:lang w:val="sq-AL" w:eastAsia="en-US"/>
        </w:rPr>
        <w:t>NjAB</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si pjesë integrale e strukturës organike të njësisë publike</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duhet të japë kontributin e saj në hartimin e regjistrit të riskut. Nga të dhënat e analizuara</w:t>
      </w:r>
      <w:r w:rsidR="00A00653">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vetëm 67% e NJAB përmbushin këtë kriter, sepse nga të dhënat që MFE disponon një numër i konsiderueshëm njësish publike nuk kanë hartuar regjistrin e riskut. </w:t>
      </w:r>
    </w:p>
    <w:p w:rsidR="009D2254" w:rsidRPr="00827575" w:rsidRDefault="009D2254" w:rsidP="009D2254">
      <w:pPr>
        <w:jc w:val="both"/>
        <w:rPr>
          <w:rFonts w:ascii="Cambria" w:eastAsia="Calibri" w:hAnsi="Cambria"/>
          <w:i/>
          <w:sz w:val="8"/>
          <w:szCs w:val="8"/>
          <w:lang w:val="sq-AL" w:eastAsia="en-US"/>
        </w:rPr>
      </w:pPr>
    </w:p>
    <w:p w:rsidR="009D2254" w:rsidRPr="00827575"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NjAB gjatë veprimtarisë së tyre duhet të vlerësojnë funksionimin e sistemit të kontrollit të brendshëm. Nga analiza</w:t>
      </w:r>
      <w:r w:rsidR="0037750D">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evidentohet se 78% e NJAB e përm</w:t>
      </w:r>
      <w:r w:rsidR="00A00653">
        <w:rPr>
          <w:rFonts w:ascii="Cambria" w:eastAsia="Calibri" w:hAnsi="Cambria"/>
          <w:sz w:val="22"/>
          <w:szCs w:val="22"/>
          <w:lang w:val="sq-AL" w:eastAsia="en-US"/>
        </w:rPr>
        <w:t>b</w:t>
      </w:r>
      <w:r w:rsidRPr="00827575">
        <w:rPr>
          <w:rFonts w:ascii="Cambria" w:eastAsia="Calibri" w:hAnsi="Cambria"/>
          <w:sz w:val="22"/>
          <w:szCs w:val="22"/>
          <w:lang w:val="sq-AL" w:eastAsia="en-US"/>
        </w:rPr>
        <w:t>ushin këtë kriter dhe 19% e vlerësojnë pjesërisht, duke mos përmbushur detyrimin ligjor. Megjithëse është e nevojshme të përmirësohet</w:t>
      </w:r>
      <w:r w:rsidR="0037750D">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ky vlerësim evidentohet në të gjitha raportet e auditimit NJAB të vlerësuara nga DH/AB gjatë vitit 2018.  </w:t>
      </w:r>
    </w:p>
    <w:p w:rsidR="009D2254" w:rsidRDefault="009D2254" w:rsidP="009D2254">
      <w:pPr>
        <w:jc w:val="both"/>
        <w:rPr>
          <w:rFonts w:ascii="Cambria" w:eastAsia="Calibri" w:hAnsi="Cambria"/>
          <w:sz w:val="8"/>
          <w:szCs w:val="8"/>
          <w:lang w:val="sq-AL" w:eastAsia="en-US"/>
        </w:rPr>
      </w:pPr>
    </w:p>
    <w:p w:rsidR="009D2254" w:rsidRPr="00827575" w:rsidRDefault="009D2254" w:rsidP="009D2254">
      <w:pPr>
        <w:jc w:val="both"/>
        <w:rPr>
          <w:rFonts w:ascii="Cambria" w:eastAsia="Calibri" w:hAnsi="Cambria"/>
          <w:sz w:val="8"/>
          <w:szCs w:val="8"/>
          <w:lang w:val="sq-AL" w:eastAsia="en-US"/>
        </w:rPr>
      </w:pPr>
    </w:p>
    <w:p w:rsidR="009D2254" w:rsidRPr="00827575" w:rsidRDefault="009D2254" w:rsidP="009D2254">
      <w:pPr>
        <w:numPr>
          <w:ilvl w:val="0"/>
          <w:numId w:val="53"/>
        </w:numPr>
        <w:spacing w:after="200" w:line="276" w:lineRule="auto"/>
        <w:jc w:val="both"/>
        <w:rPr>
          <w:rFonts w:ascii="Cambria" w:eastAsia="Calibri" w:hAnsi="Cambria"/>
          <w:b/>
          <w:sz w:val="22"/>
          <w:szCs w:val="22"/>
          <w:lang w:val="sq-AL" w:eastAsia="ko-KR" w:bidi="en-US"/>
        </w:rPr>
      </w:pPr>
      <w:r w:rsidRPr="00827575">
        <w:rPr>
          <w:rFonts w:ascii="Cambria" w:eastAsia="Calibri" w:hAnsi="Cambria"/>
          <w:b/>
          <w:sz w:val="22"/>
          <w:szCs w:val="22"/>
          <w:lang w:val="sq-AL" w:eastAsia="ko-KR" w:bidi="en-US"/>
        </w:rPr>
        <w:t>Vendosja e kontrolleve efektive dhe monitorimi i rekomandimeve.</w:t>
      </w:r>
    </w:p>
    <w:p w:rsidR="009D2254" w:rsidRPr="00827575" w:rsidRDefault="00B245E8" w:rsidP="009D2254">
      <w:pPr>
        <w:jc w:val="both"/>
        <w:rPr>
          <w:rFonts w:ascii="Cambria" w:eastAsia="Calibri" w:hAnsi="Cambria"/>
          <w:sz w:val="22"/>
          <w:szCs w:val="22"/>
          <w:lang w:val="sq-AL" w:eastAsia="en-US"/>
        </w:rPr>
      </w:pPr>
      <w:r>
        <w:rPr>
          <w:rFonts w:ascii="Cambria" w:eastAsia="Calibri" w:hAnsi="Cambria"/>
          <w:sz w:val="22"/>
          <w:szCs w:val="22"/>
          <w:lang w:val="sq-AL" w:eastAsia="en-US"/>
        </w:rPr>
        <w:t>Vihet re se,</w:t>
      </w:r>
      <w:r w:rsidR="009D2254" w:rsidRPr="00827575">
        <w:rPr>
          <w:rFonts w:ascii="Cambria" w:eastAsia="Calibri" w:hAnsi="Cambria"/>
          <w:sz w:val="22"/>
          <w:szCs w:val="22"/>
          <w:lang w:val="sq-AL" w:eastAsia="en-US"/>
        </w:rPr>
        <w:t xml:space="preserve"> vetëm 70 % e NJAB vlerësojnë përshtatshmërinë e kontrolleve të vendosura, kurse 27% e tyre i vlerësojnë ato pjesërisht. </w:t>
      </w:r>
      <w:r w:rsidR="009D2254">
        <w:rPr>
          <w:rFonts w:ascii="Cambria" w:eastAsia="Calibri" w:hAnsi="Cambria"/>
          <w:sz w:val="22"/>
          <w:szCs w:val="22"/>
          <w:lang w:val="sq-AL" w:eastAsia="en-US"/>
        </w:rPr>
        <w:t xml:space="preserve">Në këtë fushë kërkohet vëmendje </w:t>
      </w:r>
      <w:r w:rsidR="009D2254" w:rsidRPr="00827575">
        <w:rPr>
          <w:rFonts w:ascii="Cambria" w:eastAsia="Calibri" w:hAnsi="Cambria"/>
          <w:sz w:val="22"/>
          <w:szCs w:val="22"/>
          <w:lang w:val="sq-AL" w:eastAsia="en-US"/>
        </w:rPr>
        <w:t xml:space="preserve">më e madhe si e drejtuesve të NJAB ashtu dhe nga audituesit për të marrë trajnimet e nevojshme në këtë fushë. </w:t>
      </w:r>
    </w:p>
    <w:p w:rsidR="009D2254" w:rsidRPr="00827575" w:rsidRDefault="009D2254" w:rsidP="009D2254">
      <w:pPr>
        <w:jc w:val="both"/>
        <w:rPr>
          <w:rFonts w:ascii="Cambria" w:eastAsia="Calibri" w:hAnsi="Cambria"/>
          <w:sz w:val="8"/>
          <w:szCs w:val="8"/>
          <w:highlight w:val="yellow"/>
          <w:lang w:val="sq-AL" w:eastAsia="en-US"/>
        </w:rPr>
      </w:pPr>
    </w:p>
    <w:p w:rsidR="009D2254"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analiza e përgjigjeve të NJAB në lidhje me monitorimin e zbatimit të rekomandimeve të dhëna</w:t>
      </w:r>
      <w:r w:rsidR="00B245E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rezulton që vetëm 76% të NJAB i monitorojnë në vazhdimësi këtë komponent dhe 21% e NJAB i monitorojnë ato pjesërisht. Ky proces i rëndësishëm është në monitorim të vazhdueshëm nga DH/AB. </w:t>
      </w:r>
    </w:p>
    <w:p w:rsidR="009D2254" w:rsidRPr="00135824" w:rsidRDefault="009D2254" w:rsidP="009D2254">
      <w:pPr>
        <w:pStyle w:val="Caption"/>
        <w:rPr>
          <w:rFonts w:ascii="Cambria" w:eastAsia="Calibri" w:hAnsi="Cambria"/>
          <w:b w:val="0"/>
          <w:bCs w:val="0"/>
          <w:i/>
          <w:szCs w:val="22"/>
          <w:lang w:val="sq-AL"/>
        </w:rPr>
      </w:pPr>
      <w:bookmarkStart w:id="92" w:name="_Toc9082430"/>
      <w:r w:rsidRPr="00135824">
        <w:rPr>
          <w:rFonts w:ascii="Cambria" w:eastAsia="Calibri" w:hAnsi="Cambria"/>
          <w:b w:val="0"/>
          <w:bCs w:val="0"/>
          <w:i/>
          <w:szCs w:val="22"/>
          <w:lang w:val="sq-AL"/>
        </w:rPr>
        <w:t xml:space="preserve">Grafiku </w:t>
      </w:r>
      <w:r w:rsidRPr="00135824">
        <w:rPr>
          <w:rFonts w:ascii="Cambria" w:eastAsia="Calibri" w:hAnsi="Cambria"/>
          <w:b w:val="0"/>
          <w:bCs w:val="0"/>
          <w:i/>
          <w:szCs w:val="22"/>
          <w:lang w:val="sq-AL"/>
        </w:rPr>
        <w:fldChar w:fldCharType="begin"/>
      </w:r>
      <w:r w:rsidRPr="00135824">
        <w:rPr>
          <w:rFonts w:ascii="Cambria" w:eastAsia="Calibri" w:hAnsi="Cambria"/>
          <w:b w:val="0"/>
          <w:bCs w:val="0"/>
          <w:i/>
          <w:szCs w:val="22"/>
          <w:lang w:val="sq-AL"/>
        </w:rPr>
        <w:instrText xml:space="preserve"> SEQ Grafiku \* ARABIC </w:instrText>
      </w:r>
      <w:r w:rsidRPr="00135824">
        <w:rPr>
          <w:rFonts w:ascii="Cambria" w:eastAsia="Calibri" w:hAnsi="Cambria"/>
          <w:b w:val="0"/>
          <w:bCs w:val="0"/>
          <w:i/>
          <w:szCs w:val="22"/>
          <w:lang w:val="sq-AL"/>
        </w:rPr>
        <w:fldChar w:fldCharType="separate"/>
      </w:r>
      <w:r w:rsidR="00036EC4">
        <w:rPr>
          <w:rFonts w:ascii="Cambria" w:eastAsia="Calibri" w:hAnsi="Cambria"/>
          <w:b w:val="0"/>
          <w:bCs w:val="0"/>
          <w:i/>
          <w:noProof/>
          <w:szCs w:val="22"/>
          <w:lang w:val="sq-AL"/>
        </w:rPr>
        <w:t>8</w:t>
      </w:r>
      <w:r w:rsidRPr="00135824">
        <w:rPr>
          <w:rFonts w:ascii="Cambria" w:eastAsia="Calibri" w:hAnsi="Cambria"/>
          <w:b w:val="0"/>
          <w:bCs w:val="0"/>
          <w:i/>
          <w:szCs w:val="22"/>
          <w:lang w:val="sq-AL"/>
        </w:rPr>
        <w:fldChar w:fldCharType="end"/>
      </w:r>
      <w:r w:rsidRPr="00135824">
        <w:rPr>
          <w:rFonts w:ascii="Cambria" w:eastAsia="Calibri" w:hAnsi="Cambria"/>
          <w:b w:val="0"/>
          <w:bCs w:val="0"/>
          <w:i/>
          <w:szCs w:val="22"/>
          <w:lang w:val="sq-AL"/>
        </w:rPr>
        <w:t>. Identifikimi dhe vlerësimi i kontrolleve</w:t>
      </w:r>
      <w:bookmarkEnd w:id="92"/>
      <w:r>
        <w:rPr>
          <w:rFonts w:ascii="Cambria" w:eastAsia="Calibri" w:hAnsi="Cambria"/>
          <w:b w:val="0"/>
          <w:bCs w:val="0"/>
          <w:i/>
          <w:szCs w:val="22"/>
          <w:lang w:val="sq-AL"/>
        </w:rPr>
        <w:t xml:space="preserve"> </w:t>
      </w:r>
    </w:p>
    <w:p w:rsidR="009D2254" w:rsidRPr="00827575" w:rsidRDefault="009D2254" w:rsidP="009D2254">
      <w:pPr>
        <w:jc w:val="both"/>
        <w:rPr>
          <w:rFonts w:ascii="Cambria" w:eastAsia="Calibri" w:hAnsi="Cambria"/>
          <w:sz w:val="22"/>
          <w:szCs w:val="22"/>
          <w:lang w:val="sq-AL" w:eastAsia="en-US"/>
        </w:rPr>
      </w:pPr>
      <w:r w:rsidRPr="00827575">
        <w:rPr>
          <w:rFonts w:ascii="Calibri" w:eastAsia="Calibri" w:hAnsi="Calibri"/>
          <w:noProof/>
          <w:sz w:val="22"/>
          <w:szCs w:val="22"/>
          <w:lang w:eastAsia="en-US"/>
        </w:rPr>
        <w:drawing>
          <wp:inline distT="0" distB="0" distL="0" distR="0" wp14:anchorId="297D8B60" wp14:editId="5058AC47">
            <wp:extent cx="5944235" cy="1989513"/>
            <wp:effectExtent l="0" t="0" r="18415" b="1079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2254" w:rsidRPr="00827575" w:rsidRDefault="009D2254" w:rsidP="009D2254">
      <w:pPr>
        <w:jc w:val="both"/>
        <w:rPr>
          <w:rFonts w:ascii="Cambria" w:eastAsia="Calibri" w:hAnsi="Cambria"/>
          <w:sz w:val="22"/>
          <w:szCs w:val="22"/>
          <w:lang w:val="sq-AL" w:eastAsia="en-US"/>
        </w:rPr>
      </w:pPr>
    </w:p>
    <w:p w:rsidR="009D2254" w:rsidRPr="00827575" w:rsidRDefault="009D2254" w:rsidP="009D2254">
      <w:pPr>
        <w:jc w:val="both"/>
        <w:rPr>
          <w:rFonts w:ascii="Cambria" w:eastAsia="Calibri" w:hAnsi="Cambria"/>
          <w:b/>
          <w:sz w:val="8"/>
          <w:szCs w:val="8"/>
          <w:highlight w:val="yellow"/>
          <w:lang w:val="sq-AL" w:eastAsia="ko-KR" w:bidi="en-US"/>
        </w:rPr>
      </w:pPr>
    </w:p>
    <w:p w:rsidR="009D2254"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Vihet re se 84% të drejtuesve të NJAB paraqesin analizën vjetore të veprimtarisë në KAB dhe tek titullari i njësisë publike. Manuali i auditimit të brendshëm ka një procedurë të qartë në lidhje me raportimin e angazhimit të auditimit. 14% e NJAB e realizojnë pjesërisht këtë kërkesë të Manualit.  </w:t>
      </w:r>
    </w:p>
    <w:p w:rsidR="009D2254" w:rsidRPr="00646C5B" w:rsidRDefault="009D2254" w:rsidP="00646C5B">
      <w:pPr>
        <w:pStyle w:val="NoSpacing"/>
        <w:rPr>
          <w:sz w:val="12"/>
          <w:szCs w:val="12"/>
        </w:rPr>
      </w:pPr>
    </w:p>
    <w:bookmarkEnd w:id="91"/>
    <w:p w:rsidR="009D2254" w:rsidRPr="00827575" w:rsidRDefault="009D2254" w:rsidP="009D2254">
      <w:pPr>
        <w:jc w:val="both"/>
        <w:rPr>
          <w:rFonts w:ascii="Cambria" w:eastAsia="Calibri" w:hAnsi="Cambria"/>
          <w:sz w:val="8"/>
          <w:szCs w:val="8"/>
          <w:lang w:val="sq-AL" w:eastAsia="en-US"/>
        </w:rPr>
      </w:pPr>
    </w:p>
    <w:p w:rsidR="009D2254" w:rsidRPr="00827575" w:rsidRDefault="009D2254" w:rsidP="009D2254">
      <w:pPr>
        <w:numPr>
          <w:ilvl w:val="0"/>
          <w:numId w:val="53"/>
        </w:numPr>
        <w:spacing w:after="200" w:line="276" w:lineRule="auto"/>
        <w:jc w:val="both"/>
        <w:rPr>
          <w:rFonts w:ascii="Cambria" w:eastAsia="Times New Roman" w:hAnsi="Cambria"/>
          <w:sz w:val="22"/>
          <w:szCs w:val="22"/>
          <w:lang w:val="sq-AL" w:eastAsia="ko-KR" w:bidi="en-US"/>
        </w:rPr>
      </w:pPr>
      <w:r w:rsidRPr="00827575">
        <w:rPr>
          <w:rFonts w:ascii="Cambria" w:eastAsia="Times New Roman" w:hAnsi="Cambria"/>
          <w:b/>
          <w:sz w:val="22"/>
          <w:szCs w:val="22"/>
          <w:lang w:val="sq-AL" w:eastAsia="ko-KR" w:bidi="en-US"/>
        </w:rPr>
        <w:t>Vlerësimi i brendshëm i cilësisë së veprimtarisë audituese</w:t>
      </w:r>
      <w:r w:rsidRPr="00827575">
        <w:rPr>
          <w:rFonts w:ascii="Cambria" w:eastAsia="Times New Roman" w:hAnsi="Cambria"/>
          <w:sz w:val="22"/>
          <w:szCs w:val="22"/>
          <w:lang w:val="sq-AL" w:eastAsia="ko-KR" w:bidi="en-US"/>
        </w:rPr>
        <w:t xml:space="preserve">. </w:t>
      </w:r>
    </w:p>
    <w:p w:rsidR="009D2254" w:rsidRPr="00827575"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 lidhje me Programin e Sigurimit të Cilësisë</w:t>
      </w:r>
      <w:r w:rsidR="00B245E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vetëm 50% të N</w:t>
      </w:r>
      <w:r w:rsidR="00B245E8">
        <w:rPr>
          <w:rFonts w:ascii="Cambria" w:eastAsia="Calibri" w:hAnsi="Cambria"/>
          <w:sz w:val="22"/>
          <w:szCs w:val="22"/>
          <w:lang w:val="sq-AL" w:eastAsia="en-US"/>
        </w:rPr>
        <w:t>JAB rezultojnë të kenë hartuar,</w:t>
      </w:r>
      <w:r w:rsidRPr="00827575">
        <w:rPr>
          <w:rFonts w:ascii="Cambria" w:eastAsia="Calibri" w:hAnsi="Cambria"/>
          <w:sz w:val="22"/>
          <w:szCs w:val="22"/>
          <w:lang w:val="sq-AL" w:eastAsia="en-US"/>
        </w:rPr>
        <w:t xml:space="preserve"> miratuar dhe zbatuar këtë program dhe 30% e NJAB e kanë zbatuar pjesërisht këtë program. Kjo mangësi është evidentuar në pjesën më të madhe të NJAB të vlerësuara nga MFE, kryesisht në NJAB</w:t>
      </w:r>
      <w:r w:rsidR="00B245E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që funksionojnë jashtë kritereve (me 1 ose 2 auditues)</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të cilat duhet ta realizojnë këtë shërbim nga ana e NJAB tjetër (sipas përcaktimeve të Manualit të Auditimit të Brendshëm). </w:t>
      </w:r>
    </w:p>
    <w:p w:rsidR="009D2254" w:rsidRDefault="009D2254" w:rsidP="009D2254">
      <w:pPr>
        <w:jc w:val="both"/>
        <w:rPr>
          <w:rFonts w:ascii="Cambria" w:eastAsia="Calibri" w:hAnsi="Cambria"/>
          <w:sz w:val="8"/>
          <w:szCs w:val="8"/>
          <w:lang w:val="sq-AL" w:eastAsia="en-US"/>
        </w:rPr>
      </w:pPr>
    </w:p>
    <w:p w:rsidR="009D2254" w:rsidRDefault="009D2254" w:rsidP="009D2254">
      <w:pPr>
        <w:pStyle w:val="Caption"/>
        <w:rPr>
          <w:rFonts w:ascii="Cambria" w:eastAsia="Calibri" w:hAnsi="Cambria"/>
          <w:b w:val="0"/>
          <w:bCs w:val="0"/>
          <w:i/>
          <w:szCs w:val="22"/>
          <w:lang w:val="sq-AL"/>
        </w:rPr>
      </w:pPr>
      <w:bookmarkStart w:id="93" w:name="_Toc9082431"/>
      <w:r w:rsidRPr="00135824">
        <w:rPr>
          <w:rFonts w:ascii="Cambria" w:eastAsia="Calibri" w:hAnsi="Cambria"/>
          <w:b w:val="0"/>
          <w:bCs w:val="0"/>
          <w:i/>
          <w:szCs w:val="22"/>
          <w:lang w:val="sq-AL"/>
        </w:rPr>
        <w:t xml:space="preserve">Grafiku </w:t>
      </w:r>
      <w:r w:rsidRPr="00135824">
        <w:rPr>
          <w:rFonts w:ascii="Cambria" w:eastAsia="Calibri" w:hAnsi="Cambria"/>
          <w:b w:val="0"/>
          <w:bCs w:val="0"/>
          <w:i/>
          <w:szCs w:val="22"/>
          <w:lang w:val="sq-AL"/>
        </w:rPr>
        <w:fldChar w:fldCharType="begin"/>
      </w:r>
      <w:r w:rsidRPr="00135824">
        <w:rPr>
          <w:rFonts w:ascii="Cambria" w:eastAsia="Calibri" w:hAnsi="Cambria"/>
          <w:b w:val="0"/>
          <w:bCs w:val="0"/>
          <w:i/>
          <w:szCs w:val="22"/>
          <w:lang w:val="sq-AL"/>
        </w:rPr>
        <w:instrText xml:space="preserve"> SEQ Grafiku \* ARABIC </w:instrText>
      </w:r>
      <w:r w:rsidRPr="00135824">
        <w:rPr>
          <w:rFonts w:ascii="Cambria" w:eastAsia="Calibri" w:hAnsi="Cambria"/>
          <w:b w:val="0"/>
          <w:bCs w:val="0"/>
          <w:i/>
          <w:szCs w:val="22"/>
          <w:lang w:val="sq-AL"/>
        </w:rPr>
        <w:fldChar w:fldCharType="separate"/>
      </w:r>
      <w:r w:rsidR="00036EC4">
        <w:rPr>
          <w:rFonts w:ascii="Cambria" w:eastAsia="Calibri" w:hAnsi="Cambria"/>
          <w:b w:val="0"/>
          <w:bCs w:val="0"/>
          <w:i/>
          <w:noProof/>
          <w:szCs w:val="22"/>
          <w:lang w:val="sq-AL"/>
        </w:rPr>
        <w:t>9</w:t>
      </w:r>
      <w:r w:rsidRPr="00135824">
        <w:rPr>
          <w:rFonts w:ascii="Cambria" w:eastAsia="Calibri" w:hAnsi="Cambria"/>
          <w:b w:val="0"/>
          <w:bCs w:val="0"/>
          <w:i/>
          <w:szCs w:val="22"/>
          <w:lang w:val="sq-AL"/>
        </w:rPr>
        <w:fldChar w:fldCharType="end"/>
      </w:r>
      <w:r w:rsidRPr="00135824">
        <w:rPr>
          <w:rFonts w:ascii="Cambria" w:eastAsia="Calibri" w:hAnsi="Cambria"/>
          <w:b w:val="0"/>
          <w:bCs w:val="0"/>
          <w:i/>
          <w:szCs w:val="22"/>
          <w:lang w:val="sq-AL"/>
        </w:rPr>
        <w:t>. Vlerësimi i brendshëm i cilësisë së veprimtarisë audituese</w:t>
      </w:r>
      <w:bookmarkEnd w:id="93"/>
    </w:p>
    <w:p w:rsidR="009D2254" w:rsidRPr="00827575" w:rsidRDefault="009D2254" w:rsidP="009D2254">
      <w:pPr>
        <w:pStyle w:val="Caption"/>
        <w:rPr>
          <w:rFonts w:ascii="Cambria" w:eastAsia="Calibri" w:hAnsi="Cambria"/>
          <w:sz w:val="8"/>
          <w:szCs w:val="8"/>
          <w:lang w:val="sq-AL"/>
        </w:rPr>
      </w:pPr>
      <w:r w:rsidRPr="00827575">
        <w:rPr>
          <w:rFonts w:ascii="Cambria" w:eastAsia="Calibri" w:hAnsi="Cambria"/>
          <w:noProof/>
          <w:sz w:val="22"/>
          <w:szCs w:val="22"/>
        </w:rPr>
        <w:drawing>
          <wp:inline distT="0" distB="0" distL="0" distR="0" wp14:anchorId="74D607CA" wp14:editId="51F5D514">
            <wp:extent cx="5943600" cy="2161310"/>
            <wp:effectExtent l="0" t="0" r="0" b="10795"/>
            <wp:docPr id="3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27575">
        <w:rPr>
          <w:rFonts w:ascii="Cambria" w:eastAsia="Calibri" w:hAnsi="Cambria"/>
          <w:sz w:val="22"/>
          <w:szCs w:val="22"/>
          <w:lang w:val="sq-AL"/>
        </w:rPr>
        <w:t xml:space="preserve"> </w:t>
      </w:r>
    </w:p>
    <w:p w:rsidR="009D2254" w:rsidRPr="00074625" w:rsidRDefault="009D2254" w:rsidP="009D2254">
      <w:pPr>
        <w:jc w:val="both"/>
        <w:rPr>
          <w:rFonts w:ascii="Cambria" w:eastAsia="Calibri" w:hAnsi="Cambria"/>
          <w:sz w:val="12"/>
          <w:szCs w:val="12"/>
          <w:lang w:val="sq-AL" w:eastAsia="en-US"/>
        </w:rPr>
      </w:pPr>
    </w:p>
    <w:p w:rsidR="009D2254" w:rsidRPr="00827575"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Në lidhje rishikimin e brendshëm të cilësisë nga ana e drejtuesve të NJAB rezulton se vetëm 57% e tyre realizojnë këtë proces në përputhje me standardet. Në këtë tregues evidentohet se 11% e NJAB nuk e realizojnë fare këtë proces për shkak të strukturave të </w:t>
      </w:r>
      <w:r>
        <w:rPr>
          <w:rFonts w:ascii="Cambria" w:eastAsia="Calibri" w:hAnsi="Cambria"/>
          <w:sz w:val="22"/>
          <w:szCs w:val="22"/>
          <w:lang w:val="sq-AL" w:eastAsia="en-US"/>
        </w:rPr>
        <w:t>ngurta</w:t>
      </w:r>
      <w:r w:rsidRPr="00827575">
        <w:rPr>
          <w:rFonts w:ascii="Cambria" w:eastAsia="Calibri" w:hAnsi="Cambria"/>
          <w:sz w:val="22"/>
          <w:szCs w:val="22"/>
          <w:lang w:val="sq-AL" w:eastAsia="en-US"/>
        </w:rPr>
        <w:t xml:space="preserve"> dhe jashtë kritereve (me 1 ose 2 auditues). Kjo problematikë me nivelin e strukturave është në monitorim të vazhdueshëm nga MFE. </w:t>
      </w:r>
    </w:p>
    <w:p w:rsidR="009D2254" w:rsidRPr="00827575" w:rsidRDefault="009D2254" w:rsidP="009D2254">
      <w:pPr>
        <w:jc w:val="both"/>
        <w:rPr>
          <w:rFonts w:ascii="Cambria" w:eastAsia="Calibri" w:hAnsi="Cambria"/>
          <w:sz w:val="8"/>
          <w:szCs w:val="8"/>
          <w:lang w:val="sq-AL" w:eastAsia="en-US"/>
        </w:rPr>
      </w:pPr>
    </w:p>
    <w:p w:rsidR="009D2254" w:rsidRPr="00827575" w:rsidRDefault="009D2254" w:rsidP="009D2254">
      <w:pPr>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Evidentohet se</w:t>
      </w:r>
      <w:r w:rsidR="00DE0D40">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vetëm në 64% të NJAB rekomandimet e rishikimit të brendshëm</w:t>
      </w:r>
      <w:r w:rsidR="00DE0D40">
        <w:rPr>
          <w:rFonts w:ascii="Cambria" w:eastAsia="Times New Roman" w:hAnsi="Cambria"/>
          <w:sz w:val="22"/>
          <w:szCs w:val="22"/>
          <w:lang w:val="sq-AL" w:eastAsia="en-US"/>
        </w:rPr>
        <w:t xml:space="preserve"> të cilësisë merren në konsiderat</w:t>
      </w:r>
      <w:r w:rsidRPr="00827575">
        <w:rPr>
          <w:rFonts w:ascii="Cambria" w:eastAsia="Times New Roman" w:hAnsi="Cambria"/>
          <w:sz w:val="22"/>
          <w:szCs w:val="22"/>
          <w:lang w:val="sq-AL" w:eastAsia="en-US"/>
        </w:rPr>
        <w:t>ë nga audituesit. Në këtë element</w:t>
      </w:r>
      <w:r w:rsidR="00DE0D40">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evidentohet se 7% e tyre nuk</w:t>
      </w:r>
      <w:r>
        <w:rPr>
          <w:rFonts w:ascii="Cambria" w:eastAsia="Times New Roman" w:hAnsi="Cambria"/>
          <w:sz w:val="22"/>
          <w:szCs w:val="22"/>
          <w:lang w:val="sq-AL" w:eastAsia="en-US"/>
        </w:rPr>
        <w:t xml:space="preserve"> </w:t>
      </w:r>
      <w:r w:rsidR="00DE0D40">
        <w:rPr>
          <w:rFonts w:ascii="Cambria" w:eastAsia="Times New Roman" w:hAnsi="Cambria"/>
          <w:sz w:val="22"/>
          <w:szCs w:val="22"/>
          <w:lang w:val="sq-AL" w:eastAsia="en-US"/>
        </w:rPr>
        <w:t>bien dakord</w:t>
      </w:r>
      <w:r w:rsidRPr="00827575">
        <w:rPr>
          <w:rFonts w:ascii="Cambria" w:eastAsia="Times New Roman" w:hAnsi="Cambria"/>
          <w:sz w:val="22"/>
          <w:szCs w:val="22"/>
          <w:lang w:val="sq-AL" w:eastAsia="en-US"/>
        </w:rPr>
        <w:t xml:space="preserve"> me rekomandimet e dhëna nga ana e rishikuesve. </w:t>
      </w:r>
    </w:p>
    <w:p w:rsidR="009D2254" w:rsidRPr="00827575" w:rsidRDefault="009D2254" w:rsidP="009D2254">
      <w:pPr>
        <w:jc w:val="both"/>
        <w:rPr>
          <w:rFonts w:ascii="Cambria" w:eastAsia="Times New Roman" w:hAnsi="Cambria"/>
          <w:sz w:val="8"/>
          <w:szCs w:val="8"/>
          <w:lang w:val="sq-AL" w:eastAsia="en-US"/>
        </w:rPr>
      </w:pPr>
      <w:r w:rsidRPr="00827575">
        <w:rPr>
          <w:rFonts w:ascii="Cambria" w:eastAsia="Times New Roman" w:hAnsi="Cambria"/>
          <w:sz w:val="22"/>
          <w:szCs w:val="22"/>
          <w:lang w:val="sq-AL" w:eastAsia="en-US"/>
        </w:rPr>
        <w:t xml:space="preserve"> </w:t>
      </w:r>
    </w:p>
    <w:p w:rsidR="009D2254" w:rsidRPr="00827575" w:rsidRDefault="009D2254" w:rsidP="009D2254">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 xml:space="preserve">Nga analiza në tërësi e “Pyetësorit të vetëvlerësimit”, vihet re që një pjesë e konsiderueshme e NJAB nuk kanë qenë të qarta dhe koncize në përgjigjet e tyre. Të dhënat tregojnë që përgjigjet e dhëna nuk janë plotësisht në përputhje me të dhënat reale, të cilat janë konsoliduar nga të dhënat e raporteve vjetore të veprimtarisë së NJAB. </w:t>
      </w:r>
    </w:p>
    <w:p w:rsidR="009D2254" w:rsidRPr="00827575" w:rsidRDefault="009D2254" w:rsidP="009D2254">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Në lidhje me problematikat e konstatuara në këtë analizë, DH/AB do të</w:t>
      </w:r>
      <w:r w:rsidR="00BC5E2C">
        <w:rPr>
          <w:rFonts w:ascii="Cambria" w:eastAsia="Times New Roman" w:hAnsi="Cambria"/>
          <w:sz w:val="22"/>
          <w:szCs w:val="22"/>
          <w:lang w:val="sq-AL" w:eastAsia="en-US"/>
        </w:rPr>
        <w:t xml:space="preserve"> ketë një nga prioritetet e saj </w:t>
      </w:r>
      <w:r w:rsidRPr="00827575">
        <w:rPr>
          <w:rFonts w:ascii="Cambria" w:eastAsia="Times New Roman" w:hAnsi="Cambria"/>
          <w:sz w:val="22"/>
          <w:szCs w:val="22"/>
          <w:lang w:val="sq-AL" w:eastAsia="en-US"/>
        </w:rPr>
        <w:t>ndërgjegjësimin dhe koordinimin më të madh të informacionit me NJAB për mirëfunksionimin e shërbimit të auditimit të brendshëm</w:t>
      </w:r>
      <w:r w:rsidR="00BC5E2C">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në përafrim të plotë me standardet ndërkombëtare.</w:t>
      </w:r>
    </w:p>
    <w:p w:rsidR="009D2254" w:rsidRPr="00827575" w:rsidRDefault="009D2254" w:rsidP="009D2254">
      <w:pPr>
        <w:jc w:val="both"/>
        <w:rPr>
          <w:rFonts w:ascii="Cambria" w:eastAsia="Calibri" w:hAnsi="Cambria"/>
          <w:sz w:val="22"/>
          <w:szCs w:val="22"/>
          <w:lang w:val="sq-AL" w:eastAsia="en-US"/>
        </w:rPr>
      </w:pPr>
    </w:p>
    <w:p w:rsidR="009D2254" w:rsidRPr="00827575" w:rsidRDefault="009D2254" w:rsidP="009D2254">
      <w:pPr>
        <w:jc w:val="both"/>
        <w:rPr>
          <w:rFonts w:ascii="Cambria" w:eastAsia="Calibri" w:hAnsi="Cambria"/>
          <w:sz w:val="22"/>
          <w:szCs w:val="22"/>
          <w:lang w:val="sq-AL"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sectPr w:rsidR="009D2254" w:rsidSect="00074625">
      <w:pgSz w:w="11900" w:h="16840"/>
      <w:pgMar w:top="135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3C" w:rsidRDefault="0018403C" w:rsidP="0006076F">
      <w:r>
        <w:separator/>
      </w:r>
    </w:p>
  </w:endnote>
  <w:endnote w:type="continuationSeparator" w:id="0">
    <w:p w:rsidR="0018403C" w:rsidRDefault="0018403C" w:rsidP="0006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17219"/>
      <w:docPartObj>
        <w:docPartGallery w:val="Page Numbers (Bottom of Page)"/>
        <w:docPartUnique/>
      </w:docPartObj>
    </w:sdtPr>
    <w:sdtEndPr>
      <w:rPr>
        <w:noProof/>
      </w:rPr>
    </w:sdtEndPr>
    <w:sdtContent>
      <w:p w:rsidR="00C52EB8" w:rsidRDefault="00C52EB8">
        <w:pPr>
          <w:pStyle w:val="Footer"/>
          <w:jc w:val="right"/>
        </w:pPr>
        <w:r>
          <w:fldChar w:fldCharType="begin"/>
        </w:r>
        <w:r>
          <w:instrText xml:space="preserve"> PAGE   \* MERGEFORMAT </w:instrText>
        </w:r>
        <w:r>
          <w:fldChar w:fldCharType="separate"/>
        </w:r>
        <w:r w:rsidR="007B3607">
          <w:rPr>
            <w:noProof/>
          </w:rPr>
          <w:t>1</w:t>
        </w:r>
        <w:r>
          <w:rPr>
            <w:noProof/>
          </w:rPr>
          <w:fldChar w:fldCharType="end"/>
        </w:r>
      </w:p>
    </w:sdtContent>
  </w:sdt>
  <w:p w:rsidR="00C52EB8" w:rsidRDefault="00C52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8" w:rsidRDefault="00C52EB8">
    <w:pPr>
      <w:pStyle w:val="Footer"/>
      <w:jc w:val="right"/>
    </w:pPr>
    <w:r>
      <w:fldChar w:fldCharType="begin"/>
    </w:r>
    <w:r>
      <w:instrText xml:space="preserve"> PAGE   \* MERGEFORMAT </w:instrText>
    </w:r>
    <w:r>
      <w:fldChar w:fldCharType="separate"/>
    </w:r>
    <w:r w:rsidR="007B3607">
      <w:rPr>
        <w:noProof/>
      </w:rPr>
      <w:t>3</w:t>
    </w:r>
    <w:r>
      <w:rPr>
        <w:noProof/>
      </w:rPr>
      <w:fldChar w:fldCharType="end"/>
    </w:r>
  </w:p>
  <w:p w:rsidR="00C52EB8" w:rsidRDefault="00C5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3C" w:rsidRDefault="0018403C" w:rsidP="0006076F">
      <w:r>
        <w:separator/>
      </w:r>
    </w:p>
  </w:footnote>
  <w:footnote w:type="continuationSeparator" w:id="0">
    <w:p w:rsidR="0018403C" w:rsidRDefault="0018403C" w:rsidP="0006076F">
      <w:r>
        <w:continuationSeparator/>
      </w:r>
    </w:p>
  </w:footnote>
  <w:footnote w:id="1">
    <w:p w:rsidR="00C52EB8" w:rsidRPr="00625C26" w:rsidRDefault="00C52EB8" w:rsidP="00B56CA5">
      <w:pPr>
        <w:pStyle w:val="FootnoteText"/>
        <w:rPr>
          <w:lang w:val="en-US"/>
        </w:rPr>
      </w:pPr>
      <w:r>
        <w:rPr>
          <w:rStyle w:val="FootnoteReference"/>
        </w:rPr>
        <w:footnoteRef/>
      </w:r>
      <w:r>
        <w:t xml:space="preserve"> </w:t>
      </w:r>
      <w:r w:rsidRPr="00625C26">
        <w:t xml:space="preserve">Sqarojmë se, </w:t>
      </w:r>
      <w:r>
        <w:t xml:space="preserve">ky </w:t>
      </w:r>
      <w:r w:rsidRPr="00625C26">
        <w:t>tregues lidhur me përshkrimin e situatës së menaxhimit të detyrimeve të prapambetura</w:t>
      </w:r>
      <w:r>
        <w:t xml:space="preserve"> nuk ësht</w:t>
      </w:r>
      <w:r w:rsidRPr="00625C26">
        <w:t>ë përfshirë në analizën e përgjithshme të përformancës për kë</w:t>
      </w:r>
      <w:r>
        <w:t>to njësi, për arsye se struktura</w:t>
      </w:r>
      <w:r w:rsidRPr="00625C26">
        <w:t xml:space="preserve"> përgjegjëse për gjenerimi</w:t>
      </w:r>
      <w:r>
        <w:t>n e këtyre të dhënave evidenton</w:t>
      </w:r>
      <w:r w:rsidRPr="00625C26">
        <w:t xml:space="preserve"> se ka ende mangësi në raportimin e kryer nga njësitë publike.</w:t>
      </w:r>
    </w:p>
  </w:footnote>
  <w:footnote w:id="2">
    <w:p w:rsidR="00C52EB8" w:rsidRPr="009E2031" w:rsidRDefault="00C52EB8">
      <w:pPr>
        <w:pStyle w:val="FootnoteText"/>
        <w:rPr>
          <w:lang w:val="en-US"/>
        </w:rPr>
      </w:pPr>
      <w:r>
        <w:rPr>
          <w:rStyle w:val="FootnoteReference"/>
        </w:rPr>
        <w:footnoteRef/>
      </w:r>
      <w:r>
        <w:t xml:space="preserve"> </w:t>
      </w:r>
      <w:r>
        <w:rPr>
          <w:lang w:val="en-US"/>
        </w:rPr>
        <w:t>Për shoqëritë aksionare kemi vlerësim të sistemit të kontrollit të brendshëm vetëm nga Auditimi i Brendshëm.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2CC6"/>
    <w:multiLevelType w:val="hybridMultilevel"/>
    <w:tmpl w:val="E58CE1EC"/>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F6CD8"/>
    <w:multiLevelType w:val="hybridMultilevel"/>
    <w:tmpl w:val="AFAAAB74"/>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A657D"/>
    <w:multiLevelType w:val="hybridMultilevel"/>
    <w:tmpl w:val="5654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00244"/>
    <w:multiLevelType w:val="hybridMultilevel"/>
    <w:tmpl w:val="432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16A4D"/>
    <w:multiLevelType w:val="hybridMultilevel"/>
    <w:tmpl w:val="0E3C627E"/>
    <w:lvl w:ilvl="0" w:tplc="578E33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D5D8B"/>
    <w:multiLevelType w:val="hybridMultilevel"/>
    <w:tmpl w:val="F71699D6"/>
    <w:lvl w:ilvl="0" w:tplc="40FED87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F1F52"/>
    <w:multiLevelType w:val="hybridMultilevel"/>
    <w:tmpl w:val="CAE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63F09"/>
    <w:multiLevelType w:val="hybridMultilevel"/>
    <w:tmpl w:val="1346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A0ADE"/>
    <w:multiLevelType w:val="hybridMultilevel"/>
    <w:tmpl w:val="0A58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30569"/>
    <w:multiLevelType w:val="hybridMultilevel"/>
    <w:tmpl w:val="5E2A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B1BB7"/>
    <w:multiLevelType w:val="hybridMultilevel"/>
    <w:tmpl w:val="08062138"/>
    <w:lvl w:ilvl="0" w:tplc="D1263C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928C1"/>
    <w:multiLevelType w:val="hybridMultilevel"/>
    <w:tmpl w:val="3BE2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64FCF"/>
    <w:multiLevelType w:val="hybridMultilevel"/>
    <w:tmpl w:val="1584E6CA"/>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96744"/>
    <w:multiLevelType w:val="hybridMultilevel"/>
    <w:tmpl w:val="F8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15AA1"/>
    <w:multiLevelType w:val="hybridMultilevel"/>
    <w:tmpl w:val="298E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726A7B"/>
    <w:multiLevelType w:val="hybridMultilevel"/>
    <w:tmpl w:val="706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3484C"/>
    <w:multiLevelType w:val="hybridMultilevel"/>
    <w:tmpl w:val="BFFA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4A1887"/>
    <w:multiLevelType w:val="hybridMultilevel"/>
    <w:tmpl w:val="73005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41556"/>
    <w:multiLevelType w:val="hybridMultilevel"/>
    <w:tmpl w:val="97BE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B03D4D"/>
    <w:multiLevelType w:val="hybridMultilevel"/>
    <w:tmpl w:val="D05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543653"/>
    <w:multiLevelType w:val="hybridMultilevel"/>
    <w:tmpl w:val="9D74E1B2"/>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933990"/>
    <w:multiLevelType w:val="hybridMultilevel"/>
    <w:tmpl w:val="023AD1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6013684"/>
    <w:multiLevelType w:val="hybridMultilevel"/>
    <w:tmpl w:val="55A8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231584"/>
    <w:multiLevelType w:val="hybridMultilevel"/>
    <w:tmpl w:val="1A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0842BC"/>
    <w:multiLevelType w:val="hybridMultilevel"/>
    <w:tmpl w:val="1178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CC19C7"/>
    <w:multiLevelType w:val="hybridMultilevel"/>
    <w:tmpl w:val="5016D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E1645BD"/>
    <w:multiLevelType w:val="hybridMultilevel"/>
    <w:tmpl w:val="2DDCD2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7737BE"/>
    <w:multiLevelType w:val="hybridMultilevel"/>
    <w:tmpl w:val="9EAC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9E398A"/>
    <w:multiLevelType w:val="hybridMultilevel"/>
    <w:tmpl w:val="3A64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6C5292"/>
    <w:multiLevelType w:val="hybridMultilevel"/>
    <w:tmpl w:val="C7B4E438"/>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437799"/>
    <w:multiLevelType w:val="multilevel"/>
    <w:tmpl w:val="D7C2E2E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39D61833"/>
    <w:multiLevelType w:val="hybridMultilevel"/>
    <w:tmpl w:val="1B02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6F3FDF"/>
    <w:multiLevelType w:val="hybridMultilevel"/>
    <w:tmpl w:val="A418AAA0"/>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061D52"/>
    <w:multiLevelType w:val="hybridMultilevel"/>
    <w:tmpl w:val="29E0C402"/>
    <w:lvl w:ilvl="0" w:tplc="13D404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0241F3"/>
    <w:multiLevelType w:val="hybridMultilevel"/>
    <w:tmpl w:val="92FAE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9C5509"/>
    <w:multiLevelType w:val="hybridMultilevel"/>
    <w:tmpl w:val="12047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CB7645"/>
    <w:multiLevelType w:val="hybridMultilevel"/>
    <w:tmpl w:val="EC1E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8D03C8"/>
    <w:multiLevelType w:val="hybridMultilevel"/>
    <w:tmpl w:val="8EEE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0A2B7E"/>
    <w:multiLevelType w:val="hybridMultilevel"/>
    <w:tmpl w:val="F97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2D646E"/>
    <w:multiLevelType w:val="hybridMultilevel"/>
    <w:tmpl w:val="22D2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F12F5C"/>
    <w:multiLevelType w:val="hybridMultilevel"/>
    <w:tmpl w:val="4FAC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42190F"/>
    <w:multiLevelType w:val="hybridMultilevel"/>
    <w:tmpl w:val="3942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6B375C"/>
    <w:multiLevelType w:val="hybridMultilevel"/>
    <w:tmpl w:val="FBB63C6E"/>
    <w:lvl w:ilvl="0" w:tplc="A55A0F8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1A5A1D"/>
    <w:multiLevelType w:val="hybridMultilevel"/>
    <w:tmpl w:val="B0EC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61044C"/>
    <w:multiLevelType w:val="hybridMultilevel"/>
    <w:tmpl w:val="1BEA3ADC"/>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39430A"/>
    <w:multiLevelType w:val="hybridMultilevel"/>
    <w:tmpl w:val="0C649CD0"/>
    <w:lvl w:ilvl="0" w:tplc="6DB6803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D662A0"/>
    <w:multiLevelType w:val="hybridMultilevel"/>
    <w:tmpl w:val="9DC2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9D2648"/>
    <w:multiLevelType w:val="multilevel"/>
    <w:tmpl w:val="4F1AF73C"/>
    <w:lvl w:ilvl="0">
      <w:start w:val="1"/>
      <w:numFmt w:val="upperRoman"/>
      <w:lvlText w:val="%1."/>
      <w:lvlJc w:val="left"/>
      <w:pPr>
        <w:ind w:left="1080" w:hanging="72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0EB7518"/>
    <w:multiLevelType w:val="hybridMultilevel"/>
    <w:tmpl w:val="BA9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BB4753"/>
    <w:multiLevelType w:val="hybridMultilevel"/>
    <w:tmpl w:val="F636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393B79"/>
    <w:multiLevelType w:val="hybridMultilevel"/>
    <w:tmpl w:val="A58E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4574C6"/>
    <w:multiLevelType w:val="hybridMultilevel"/>
    <w:tmpl w:val="2E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3E5947"/>
    <w:multiLevelType w:val="hybridMultilevel"/>
    <w:tmpl w:val="A6D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A33429"/>
    <w:multiLevelType w:val="hybridMultilevel"/>
    <w:tmpl w:val="26FE687E"/>
    <w:lvl w:ilvl="0" w:tplc="4B02E16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121FA2"/>
    <w:multiLevelType w:val="hybridMultilevel"/>
    <w:tmpl w:val="6968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437D05"/>
    <w:multiLevelType w:val="hybridMultilevel"/>
    <w:tmpl w:val="E16C7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24F12F8"/>
    <w:multiLevelType w:val="hybridMultilevel"/>
    <w:tmpl w:val="E794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E345DB"/>
    <w:multiLevelType w:val="hybridMultilevel"/>
    <w:tmpl w:val="5F047BE8"/>
    <w:lvl w:ilvl="0" w:tplc="04090001">
      <w:start w:val="1"/>
      <w:numFmt w:val="bullet"/>
      <w:lvlText w:val=""/>
      <w:lvlJc w:val="left"/>
      <w:pPr>
        <w:ind w:left="720" w:hanging="360"/>
      </w:pPr>
      <w:rPr>
        <w:rFonts w:ascii="Symbol" w:hAnsi="Symbol" w:hint="default"/>
      </w:rPr>
    </w:lvl>
    <w:lvl w:ilvl="1" w:tplc="ECBEE070">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7D41DC"/>
    <w:multiLevelType w:val="hybridMultilevel"/>
    <w:tmpl w:val="1D6E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8E5BA2"/>
    <w:multiLevelType w:val="hybridMultilevel"/>
    <w:tmpl w:val="4688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78325C"/>
    <w:multiLevelType w:val="hybridMultilevel"/>
    <w:tmpl w:val="0D664560"/>
    <w:lvl w:ilvl="0" w:tplc="00A2926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B205D6C"/>
    <w:multiLevelType w:val="hybridMultilevel"/>
    <w:tmpl w:val="98F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795DDA"/>
    <w:multiLevelType w:val="hybridMultilevel"/>
    <w:tmpl w:val="894A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5"/>
  </w:num>
  <w:num w:numId="3">
    <w:abstractNumId w:val="34"/>
  </w:num>
  <w:num w:numId="4">
    <w:abstractNumId w:val="62"/>
  </w:num>
  <w:num w:numId="5">
    <w:abstractNumId w:val="25"/>
  </w:num>
  <w:num w:numId="6">
    <w:abstractNumId w:val="22"/>
  </w:num>
  <w:num w:numId="7">
    <w:abstractNumId w:val="21"/>
  </w:num>
  <w:num w:numId="8">
    <w:abstractNumId w:val="47"/>
  </w:num>
  <w:num w:numId="9">
    <w:abstractNumId w:val="46"/>
  </w:num>
  <w:num w:numId="10">
    <w:abstractNumId w:val="26"/>
  </w:num>
  <w:num w:numId="11">
    <w:abstractNumId w:val="61"/>
  </w:num>
  <w:num w:numId="12">
    <w:abstractNumId w:val="41"/>
  </w:num>
  <w:num w:numId="13">
    <w:abstractNumId w:val="27"/>
  </w:num>
  <w:num w:numId="14">
    <w:abstractNumId w:val="40"/>
  </w:num>
  <w:num w:numId="15">
    <w:abstractNumId w:val="36"/>
  </w:num>
  <w:num w:numId="16">
    <w:abstractNumId w:val="31"/>
  </w:num>
  <w:num w:numId="17">
    <w:abstractNumId w:val="60"/>
  </w:num>
  <w:num w:numId="18">
    <w:abstractNumId w:val="42"/>
  </w:num>
  <w:num w:numId="19">
    <w:abstractNumId w:val="5"/>
  </w:num>
  <w:num w:numId="20">
    <w:abstractNumId w:val="33"/>
  </w:num>
  <w:num w:numId="21">
    <w:abstractNumId w:val="53"/>
  </w:num>
  <w:num w:numId="22">
    <w:abstractNumId w:val="11"/>
  </w:num>
  <w:num w:numId="23">
    <w:abstractNumId w:val="8"/>
  </w:num>
  <w:num w:numId="24">
    <w:abstractNumId w:val="38"/>
  </w:num>
  <w:num w:numId="25">
    <w:abstractNumId w:val="59"/>
  </w:num>
  <w:num w:numId="26">
    <w:abstractNumId w:val="24"/>
  </w:num>
  <w:num w:numId="27">
    <w:abstractNumId w:val="19"/>
  </w:num>
  <w:num w:numId="28">
    <w:abstractNumId w:val="10"/>
  </w:num>
  <w:num w:numId="29">
    <w:abstractNumId w:val="23"/>
  </w:num>
  <w:num w:numId="30">
    <w:abstractNumId w:val="51"/>
  </w:num>
  <w:num w:numId="31">
    <w:abstractNumId w:val="52"/>
  </w:num>
  <w:num w:numId="32">
    <w:abstractNumId w:val="14"/>
  </w:num>
  <w:num w:numId="33">
    <w:abstractNumId w:val="56"/>
  </w:num>
  <w:num w:numId="34">
    <w:abstractNumId w:val="16"/>
  </w:num>
  <w:num w:numId="35">
    <w:abstractNumId w:val="39"/>
  </w:num>
  <w:num w:numId="36">
    <w:abstractNumId w:val="18"/>
  </w:num>
  <w:num w:numId="37">
    <w:abstractNumId w:val="7"/>
  </w:num>
  <w:num w:numId="38">
    <w:abstractNumId w:val="15"/>
  </w:num>
  <w:num w:numId="39">
    <w:abstractNumId w:val="9"/>
  </w:num>
  <w:num w:numId="40">
    <w:abstractNumId w:val="50"/>
  </w:num>
  <w:num w:numId="41">
    <w:abstractNumId w:val="58"/>
  </w:num>
  <w:num w:numId="42">
    <w:abstractNumId w:val="54"/>
  </w:num>
  <w:num w:numId="43">
    <w:abstractNumId w:val="57"/>
  </w:num>
  <w:num w:numId="44">
    <w:abstractNumId w:val="44"/>
  </w:num>
  <w:num w:numId="45">
    <w:abstractNumId w:val="20"/>
  </w:num>
  <w:num w:numId="46">
    <w:abstractNumId w:val="32"/>
  </w:num>
  <w:num w:numId="47">
    <w:abstractNumId w:val="29"/>
  </w:num>
  <w:num w:numId="48">
    <w:abstractNumId w:val="0"/>
  </w:num>
  <w:num w:numId="49">
    <w:abstractNumId w:val="1"/>
  </w:num>
  <w:num w:numId="50">
    <w:abstractNumId w:val="3"/>
  </w:num>
  <w:num w:numId="51">
    <w:abstractNumId w:val="37"/>
  </w:num>
  <w:num w:numId="52">
    <w:abstractNumId w:val="48"/>
  </w:num>
  <w:num w:numId="53">
    <w:abstractNumId w:val="43"/>
  </w:num>
  <w:num w:numId="54">
    <w:abstractNumId w:val="2"/>
  </w:num>
  <w:num w:numId="55">
    <w:abstractNumId w:val="13"/>
  </w:num>
  <w:num w:numId="56">
    <w:abstractNumId w:val="49"/>
  </w:num>
  <w:num w:numId="57">
    <w:abstractNumId w:val="6"/>
  </w:num>
  <w:num w:numId="58">
    <w:abstractNumId w:val="55"/>
  </w:num>
  <w:num w:numId="59">
    <w:abstractNumId w:val="17"/>
  </w:num>
  <w:num w:numId="60">
    <w:abstractNumId w:val="35"/>
  </w:num>
  <w:num w:numId="61">
    <w:abstractNumId w:val="30"/>
  </w:num>
  <w:num w:numId="62">
    <w:abstractNumId w:val="28"/>
  </w:num>
  <w:num w:numId="63">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F3"/>
    <w:rsid w:val="000003AA"/>
    <w:rsid w:val="000020D4"/>
    <w:rsid w:val="000030B5"/>
    <w:rsid w:val="000046CE"/>
    <w:rsid w:val="00004D84"/>
    <w:rsid w:val="00006055"/>
    <w:rsid w:val="0000632B"/>
    <w:rsid w:val="00006C09"/>
    <w:rsid w:val="00006D3A"/>
    <w:rsid w:val="00007052"/>
    <w:rsid w:val="00011644"/>
    <w:rsid w:val="000119ED"/>
    <w:rsid w:val="00011EAA"/>
    <w:rsid w:val="000123E4"/>
    <w:rsid w:val="00013B6B"/>
    <w:rsid w:val="00013DAD"/>
    <w:rsid w:val="00013F13"/>
    <w:rsid w:val="00013FAC"/>
    <w:rsid w:val="00015D6E"/>
    <w:rsid w:val="0001677D"/>
    <w:rsid w:val="00016784"/>
    <w:rsid w:val="00017108"/>
    <w:rsid w:val="0002026E"/>
    <w:rsid w:val="000210AE"/>
    <w:rsid w:val="00021853"/>
    <w:rsid w:val="00021F30"/>
    <w:rsid w:val="00022A11"/>
    <w:rsid w:val="00022FC7"/>
    <w:rsid w:val="00023003"/>
    <w:rsid w:val="00023ABA"/>
    <w:rsid w:val="00023C7F"/>
    <w:rsid w:val="00024808"/>
    <w:rsid w:val="000248EE"/>
    <w:rsid w:val="00026489"/>
    <w:rsid w:val="00027E0E"/>
    <w:rsid w:val="00030171"/>
    <w:rsid w:val="000306C6"/>
    <w:rsid w:val="000330F8"/>
    <w:rsid w:val="000354E4"/>
    <w:rsid w:val="00036EC4"/>
    <w:rsid w:val="00036F44"/>
    <w:rsid w:val="00037260"/>
    <w:rsid w:val="00037451"/>
    <w:rsid w:val="00037730"/>
    <w:rsid w:val="00037C70"/>
    <w:rsid w:val="00042781"/>
    <w:rsid w:val="00046972"/>
    <w:rsid w:val="00050319"/>
    <w:rsid w:val="000504A0"/>
    <w:rsid w:val="00054506"/>
    <w:rsid w:val="000560B1"/>
    <w:rsid w:val="00056347"/>
    <w:rsid w:val="00057C5F"/>
    <w:rsid w:val="0006076F"/>
    <w:rsid w:val="00060BEF"/>
    <w:rsid w:val="000616E5"/>
    <w:rsid w:val="0006560F"/>
    <w:rsid w:val="0006562E"/>
    <w:rsid w:val="00065B1E"/>
    <w:rsid w:val="00065FE6"/>
    <w:rsid w:val="00066371"/>
    <w:rsid w:val="00067AA4"/>
    <w:rsid w:val="00067E1F"/>
    <w:rsid w:val="0007066D"/>
    <w:rsid w:val="00071063"/>
    <w:rsid w:val="000714B3"/>
    <w:rsid w:val="000719A4"/>
    <w:rsid w:val="00071EE7"/>
    <w:rsid w:val="00071F88"/>
    <w:rsid w:val="000721DC"/>
    <w:rsid w:val="000725F8"/>
    <w:rsid w:val="000727BF"/>
    <w:rsid w:val="00073122"/>
    <w:rsid w:val="000731A3"/>
    <w:rsid w:val="0007326B"/>
    <w:rsid w:val="000733E7"/>
    <w:rsid w:val="00073CDF"/>
    <w:rsid w:val="00073DCE"/>
    <w:rsid w:val="000745F0"/>
    <w:rsid w:val="00074617"/>
    <w:rsid w:val="00074625"/>
    <w:rsid w:val="00074F0C"/>
    <w:rsid w:val="00075A61"/>
    <w:rsid w:val="000765D0"/>
    <w:rsid w:val="0007686D"/>
    <w:rsid w:val="0008007D"/>
    <w:rsid w:val="000808FC"/>
    <w:rsid w:val="00080D9A"/>
    <w:rsid w:val="000822A5"/>
    <w:rsid w:val="00082E4D"/>
    <w:rsid w:val="00083D26"/>
    <w:rsid w:val="00084FF2"/>
    <w:rsid w:val="000850EF"/>
    <w:rsid w:val="000851A1"/>
    <w:rsid w:val="000856C9"/>
    <w:rsid w:val="0008573E"/>
    <w:rsid w:val="00086BB6"/>
    <w:rsid w:val="00086F84"/>
    <w:rsid w:val="00087011"/>
    <w:rsid w:val="000927A9"/>
    <w:rsid w:val="00093772"/>
    <w:rsid w:val="00093887"/>
    <w:rsid w:val="00094907"/>
    <w:rsid w:val="00094C0D"/>
    <w:rsid w:val="00094D58"/>
    <w:rsid w:val="000955B9"/>
    <w:rsid w:val="000955EF"/>
    <w:rsid w:val="0009642C"/>
    <w:rsid w:val="000970CC"/>
    <w:rsid w:val="000A01DB"/>
    <w:rsid w:val="000A121A"/>
    <w:rsid w:val="000A17D6"/>
    <w:rsid w:val="000A1A33"/>
    <w:rsid w:val="000A1FE0"/>
    <w:rsid w:val="000A25A0"/>
    <w:rsid w:val="000A2A13"/>
    <w:rsid w:val="000A2ABA"/>
    <w:rsid w:val="000A3E24"/>
    <w:rsid w:val="000A56B9"/>
    <w:rsid w:val="000A5D55"/>
    <w:rsid w:val="000B0864"/>
    <w:rsid w:val="000B1ADD"/>
    <w:rsid w:val="000B2339"/>
    <w:rsid w:val="000B29B9"/>
    <w:rsid w:val="000B2A06"/>
    <w:rsid w:val="000B2AC8"/>
    <w:rsid w:val="000B3075"/>
    <w:rsid w:val="000B3645"/>
    <w:rsid w:val="000B44F3"/>
    <w:rsid w:val="000B513D"/>
    <w:rsid w:val="000B69DB"/>
    <w:rsid w:val="000B6D16"/>
    <w:rsid w:val="000B6DEC"/>
    <w:rsid w:val="000B735F"/>
    <w:rsid w:val="000C1131"/>
    <w:rsid w:val="000C3551"/>
    <w:rsid w:val="000C3573"/>
    <w:rsid w:val="000C39DD"/>
    <w:rsid w:val="000C43D0"/>
    <w:rsid w:val="000C4E17"/>
    <w:rsid w:val="000C5A04"/>
    <w:rsid w:val="000C61D0"/>
    <w:rsid w:val="000C66D6"/>
    <w:rsid w:val="000C71DE"/>
    <w:rsid w:val="000D0056"/>
    <w:rsid w:val="000D137E"/>
    <w:rsid w:val="000D13CA"/>
    <w:rsid w:val="000D24CB"/>
    <w:rsid w:val="000D2531"/>
    <w:rsid w:val="000D2D23"/>
    <w:rsid w:val="000D3B97"/>
    <w:rsid w:val="000D4E92"/>
    <w:rsid w:val="000D5439"/>
    <w:rsid w:val="000D54AD"/>
    <w:rsid w:val="000D5E82"/>
    <w:rsid w:val="000D7193"/>
    <w:rsid w:val="000D7551"/>
    <w:rsid w:val="000D75DB"/>
    <w:rsid w:val="000D79BA"/>
    <w:rsid w:val="000E08B4"/>
    <w:rsid w:val="000E0ABD"/>
    <w:rsid w:val="000E26A5"/>
    <w:rsid w:val="000E336C"/>
    <w:rsid w:val="000E530D"/>
    <w:rsid w:val="000E66C6"/>
    <w:rsid w:val="000E6E89"/>
    <w:rsid w:val="000E718A"/>
    <w:rsid w:val="000F025E"/>
    <w:rsid w:val="000F0D2C"/>
    <w:rsid w:val="000F3DEA"/>
    <w:rsid w:val="000F4B9C"/>
    <w:rsid w:val="000F56E9"/>
    <w:rsid w:val="000F665B"/>
    <w:rsid w:val="001000CC"/>
    <w:rsid w:val="0010260E"/>
    <w:rsid w:val="00102C8F"/>
    <w:rsid w:val="0010380A"/>
    <w:rsid w:val="00104CBC"/>
    <w:rsid w:val="00104E53"/>
    <w:rsid w:val="00105C26"/>
    <w:rsid w:val="00105D81"/>
    <w:rsid w:val="0010632B"/>
    <w:rsid w:val="00106EE8"/>
    <w:rsid w:val="00107E8D"/>
    <w:rsid w:val="00110A1A"/>
    <w:rsid w:val="00110B4F"/>
    <w:rsid w:val="00111564"/>
    <w:rsid w:val="00113E42"/>
    <w:rsid w:val="00114CA3"/>
    <w:rsid w:val="00114EC9"/>
    <w:rsid w:val="001155BD"/>
    <w:rsid w:val="00115A6F"/>
    <w:rsid w:val="00115EF7"/>
    <w:rsid w:val="0011656D"/>
    <w:rsid w:val="001170C6"/>
    <w:rsid w:val="00117581"/>
    <w:rsid w:val="0012035A"/>
    <w:rsid w:val="00120804"/>
    <w:rsid w:val="00120A71"/>
    <w:rsid w:val="00122CD3"/>
    <w:rsid w:val="0012343C"/>
    <w:rsid w:val="00123544"/>
    <w:rsid w:val="001237C5"/>
    <w:rsid w:val="0012513A"/>
    <w:rsid w:val="001251D8"/>
    <w:rsid w:val="00125238"/>
    <w:rsid w:val="001271A2"/>
    <w:rsid w:val="001271FF"/>
    <w:rsid w:val="00127214"/>
    <w:rsid w:val="00127402"/>
    <w:rsid w:val="0012742F"/>
    <w:rsid w:val="00130F30"/>
    <w:rsid w:val="001329D9"/>
    <w:rsid w:val="00132F2E"/>
    <w:rsid w:val="00134E53"/>
    <w:rsid w:val="00135341"/>
    <w:rsid w:val="001355B8"/>
    <w:rsid w:val="00135824"/>
    <w:rsid w:val="00136032"/>
    <w:rsid w:val="001362C6"/>
    <w:rsid w:val="001363F3"/>
    <w:rsid w:val="00136E15"/>
    <w:rsid w:val="00136FD4"/>
    <w:rsid w:val="0013777F"/>
    <w:rsid w:val="00137C16"/>
    <w:rsid w:val="00137C35"/>
    <w:rsid w:val="00137E74"/>
    <w:rsid w:val="001407E7"/>
    <w:rsid w:val="00141674"/>
    <w:rsid w:val="001418F0"/>
    <w:rsid w:val="00141A04"/>
    <w:rsid w:val="00141AAC"/>
    <w:rsid w:val="00142395"/>
    <w:rsid w:val="001442E6"/>
    <w:rsid w:val="001457FF"/>
    <w:rsid w:val="00145948"/>
    <w:rsid w:val="001460EA"/>
    <w:rsid w:val="00146267"/>
    <w:rsid w:val="00146701"/>
    <w:rsid w:val="00146BD1"/>
    <w:rsid w:val="00146D80"/>
    <w:rsid w:val="00147511"/>
    <w:rsid w:val="00151169"/>
    <w:rsid w:val="00151FFD"/>
    <w:rsid w:val="00152F58"/>
    <w:rsid w:val="0015473C"/>
    <w:rsid w:val="001557B5"/>
    <w:rsid w:val="0015673B"/>
    <w:rsid w:val="0015698D"/>
    <w:rsid w:val="00160812"/>
    <w:rsid w:val="00160BEC"/>
    <w:rsid w:val="00163451"/>
    <w:rsid w:val="00163A09"/>
    <w:rsid w:val="00164ABA"/>
    <w:rsid w:val="001678AD"/>
    <w:rsid w:val="001678DE"/>
    <w:rsid w:val="0016792A"/>
    <w:rsid w:val="00167B8D"/>
    <w:rsid w:val="00167DFE"/>
    <w:rsid w:val="00171321"/>
    <w:rsid w:val="00172A7C"/>
    <w:rsid w:val="00172D59"/>
    <w:rsid w:val="00174EC3"/>
    <w:rsid w:val="00176142"/>
    <w:rsid w:val="00177039"/>
    <w:rsid w:val="00180B51"/>
    <w:rsid w:val="00181200"/>
    <w:rsid w:val="00181423"/>
    <w:rsid w:val="00183C53"/>
    <w:rsid w:val="0018403C"/>
    <w:rsid w:val="001847B6"/>
    <w:rsid w:val="00184FD6"/>
    <w:rsid w:val="001864DB"/>
    <w:rsid w:val="00187564"/>
    <w:rsid w:val="00187769"/>
    <w:rsid w:val="001903E8"/>
    <w:rsid w:val="00190761"/>
    <w:rsid w:val="001921B6"/>
    <w:rsid w:val="00193915"/>
    <w:rsid w:val="001948DF"/>
    <w:rsid w:val="00195394"/>
    <w:rsid w:val="00195486"/>
    <w:rsid w:val="00195A54"/>
    <w:rsid w:val="001960E9"/>
    <w:rsid w:val="00196746"/>
    <w:rsid w:val="001977EA"/>
    <w:rsid w:val="00197A23"/>
    <w:rsid w:val="001A0147"/>
    <w:rsid w:val="001A026E"/>
    <w:rsid w:val="001A08CB"/>
    <w:rsid w:val="001A182B"/>
    <w:rsid w:val="001A1E91"/>
    <w:rsid w:val="001A2243"/>
    <w:rsid w:val="001A3242"/>
    <w:rsid w:val="001A3E80"/>
    <w:rsid w:val="001A40CF"/>
    <w:rsid w:val="001A4A2E"/>
    <w:rsid w:val="001A5406"/>
    <w:rsid w:val="001A5C16"/>
    <w:rsid w:val="001A6EA4"/>
    <w:rsid w:val="001B0C37"/>
    <w:rsid w:val="001B1002"/>
    <w:rsid w:val="001B1161"/>
    <w:rsid w:val="001B1985"/>
    <w:rsid w:val="001B269D"/>
    <w:rsid w:val="001B2A67"/>
    <w:rsid w:val="001B3464"/>
    <w:rsid w:val="001B41AB"/>
    <w:rsid w:val="001B4444"/>
    <w:rsid w:val="001B4500"/>
    <w:rsid w:val="001B46A5"/>
    <w:rsid w:val="001B485B"/>
    <w:rsid w:val="001B5991"/>
    <w:rsid w:val="001B6077"/>
    <w:rsid w:val="001B741D"/>
    <w:rsid w:val="001B76F1"/>
    <w:rsid w:val="001B7DF5"/>
    <w:rsid w:val="001C04D8"/>
    <w:rsid w:val="001C0C00"/>
    <w:rsid w:val="001C1564"/>
    <w:rsid w:val="001C2425"/>
    <w:rsid w:val="001C2724"/>
    <w:rsid w:val="001C29FD"/>
    <w:rsid w:val="001C3414"/>
    <w:rsid w:val="001C3443"/>
    <w:rsid w:val="001C3D03"/>
    <w:rsid w:val="001C3FC7"/>
    <w:rsid w:val="001C469B"/>
    <w:rsid w:val="001C5989"/>
    <w:rsid w:val="001C5C34"/>
    <w:rsid w:val="001C5E3A"/>
    <w:rsid w:val="001C5E90"/>
    <w:rsid w:val="001C644B"/>
    <w:rsid w:val="001C7068"/>
    <w:rsid w:val="001C7C31"/>
    <w:rsid w:val="001D130C"/>
    <w:rsid w:val="001D1513"/>
    <w:rsid w:val="001D1C6B"/>
    <w:rsid w:val="001D24CC"/>
    <w:rsid w:val="001D2628"/>
    <w:rsid w:val="001D2CE8"/>
    <w:rsid w:val="001D3B17"/>
    <w:rsid w:val="001D3CCF"/>
    <w:rsid w:val="001D3EC5"/>
    <w:rsid w:val="001D567D"/>
    <w:rsid w:val="001D5B6A"/>
    <w:rsid w:val="001D7611"/>
    <w:rsid w:val="001D7B81"/>
    <w:rsid w:val="001E11FA"/>
    <w:rsid w:val="001E1BD0"/>
    <w:rsid w:val="001E2D8C"/>
    <w:rsid w:val="001E3231"/>
    <w:rsid w:val="001E487E"/>
    <w:rsid w:val="001E49CE"/>
    <w:rsid w:val="001E6936"/>
    <w:rsid w:val="001E6FB8"/>
    <w:rsid w:val="001E7F70"/>
    <w:rsid w:val="001F00D5"/>
    <w:rsid w:val="001F0D5A"/>
    <w:rsid w:val="001F0DE6"/>
    <w:rsid w:val="001F1E3C"/>
    <w:rsid w:val="001F20C9"/>
    <w:rsid w:val="001F2610"/>
    <w:rsid w:val="001F2844"/>
    <w:rsid w:val="001F4315"/>
    <w:rsid w:val="001F5BB9"/>
    <w:rsid w:val="001F61E0"/>
    <w:rsid w:val="001F6F11"/>
    <w:rsid w:val="001F7754"/>
    <w:rsid w:val="001F7D12"/>
    <w:rsid w:val="001F7EF5"/>
    <w:rsid w:val="00200256"/>
    <w:rsid w:val="0020068C"/>
    <w:rsid w:val="002013F9"/>
    <w:rsid w:val="0020189E"/>
    <w:rsid w:val="00201A9B"/>
    <w:rsid w:val="00201BE9"/>
    <w:rsid w:val="00201FC4"/>
    <w:rsid w:val="00202294"/>
    <w:rsid w:val="00202B1C"/>
    <w:rsid w:val="002038F7"/>
    <w:rsid w:val="00203B95"/>
    <w:rsid w:val="00204132"/>
    <w:rsid w:val="002045AF"/>
    <w:rsid w:val="00204E1B"/>
    <w:rsid w:val="00204FAD"/>
    <w:rsid w:val="00205FE3"/>
    <w:rsid w:val="00206108"/>
    <w:rsid w:val="0020663D"/>
    <w:rsid w:val="00206C5C"/>
    <w:rsid w:val="0020793D"/>
    <w:rsid w:val="0021012D"/>
    <w:rsid w:val="0021091D"/>
    <w:rsid w:val="00210E7D"/>
    <w:rsid w:val="00211170"/>
    <w:rsid w:val="00211AA8"/>
    <w:rsid w:val="00211D98"/>
    <w:rsid w:val="002121BA"/>
    <w:rsid w:val="0021247F"/>
    <w:rsid w:val="002134F1"/>
    <w:rsid w:val="00213D9B"/>
    <w:rsid w:val="002141CC"/>
    <w:rsid w:val="002145B7"/>
    <w:rsid w:val="00214D27"/>
    <w:rsid w:val="00214F92"/>
    <w:rsid w:val="00216736"/>
    <w:rsid w:val="00220994"/>
    <w:rsid w:val="002211E9"/>
    <w:rsid w:val="00221EA6"/>
    <w:rsid w:val="00224C94"/>
    <w:rsid w:val="00224F4A"/>
    <w:rsid w:val="002251FB"/>
    <w:rsid w:val="002267C7"/>
    <w:rsid w:val="00226A86"/>
    <w:rsid w:val="00227E5B"/>
    <w:rsid w:val="002300BC"/>
    <w:rsid w:val="00231208"/>
    <w:rsid w:val="00231E94"/>
    <w:rsid w:val="00232095"/>
    <w:rsid w:val="002325E2"/>
    <w:rsid w:val="00232F06"/>
    <w:rsid w:val="00233C21"/>
    <w:rsid w:val="002347CE"/>
    <w:rsid w:val="00235CFB"/>
    <w:rsid w:val="00235E95"/>
    <w:rsid w:val="002372EA"/>
    <w:rsid w:val="00237301"/>
    <w:rsid w:val="00240996"/>
    <w:rsid w:val="00241785"/>
    <w:rsid w:val="00241D30"/>
    <w:rsid w:val="00241F51"/>
    <w:rsid w:val="00242448"/>
    <w:rsid w:val="00242489"/>
    <w:rsid w:val="00242911"/>
    <w:rsid w:val="00242FAD"/>
    <w:rsid w:val="0024301D"/>
    <w:rsid w:val="0024373A"/>
    <w:rsid w:val="002447B1"/>
    <w:rsid w:val="00244943"/>
    <w:rsid w:val="00245232"/>
    <w:rsid w:val="00246CBF"/>
    <w:rsid w:val="002475C8"/>
    <w:rsid w:val="00250794"/>
    <w:rsid w:val="0025248B"/>
    <w:rsid w:val="002525F2"/>
    <w:rsid w:val="00252793"/>
    <w:rsid w:val="00254C91"/>
    <w:rsid w:val="00255E05"/>
    <w:rsid w:val="002603B1"/>
    <w:rsid w:val="002625AF"/>
    <w:rsid w:val="0026264B"/>
    <w:rsid w:val="002631D0"/>
    <w:rsid w:val="0026353B"/>
    <w:rsid w:val="00264264"/>
    <w:rsid w:val="0026481E"/>
    <w:rsid w:val="00265983"/>
    <w:rsid w:val="00265FA9"/>
    <w:rsid w:val="00266F8C"/>
    <w:rsid w:val="00270287"/>
    <w:rsid w:val="0027068F"/>
    <w:rsid w:val="00273732"/>
    <w:rsid w:val="00273E41"/>
    <w:rsid w:val="00274549"/>
    <w:rsid w:val="0027464D"/>
    <w:rsid w:val="00275650"/>
    <w:rsid w:val="002760C3"/>
    <w:rsid w:val="002767A3"/>
    <w:rsid w:val="0027760F"/>
    <w:rsid w:val="00280725"/>
    <w:rsid w:val="002820FD"/>
    <w:rsid w:val="002825EC"/>
    <w:rsid w:val="00282C5A"/>
    <w:rsid w:val="00283172"/>
    <w:rsid w:val="0028351B"/>
    <w:rsid w:val="00283DFB"/>
    <w:rsid w:val="002860FC"/>
    <w:rsid w:val="0028614F"/>
    <w:rsid w:val="00287032"/>
    <w:rsid w:val="00292C6A"/>
    <w:rsid w:val="0029400F"/>
    <w:rsid w:val="00294C16"/>
    <w:rsid w:val="00294C9F"/>
    <w:rsid w:val="0029581D"/>
    <w:rsid w:val="00295CD7"/>
    <w:rsid w:val="0029614B"/>
    <w:rsid w:val="00296FB3"/>
    <w:rsid w:val="002973AE"/>
    <w:rsid w:val="002979E3"/>
    <w:rsid w:val="002A0C4D"/>
    <w:rsid w:val="002A1342"/>
    <w:rsid w:val="002A2C0C"/>
    <w:rsid w:val="002A3376"/>
    <w:rsid w:val="002A4131"/>
    <w:rsid w:val="002A67A4"/>
    <w:rsid w:val="002A6996"/>
    <w:rsid w:val="002A72C5"/>
    <w:rsid w:val="002A7752"/>
    <w:rsid w:val="002B06EF"/>
    <w:rsid w:val="002B0D17"/>
    <w:rsid w:val="002B1243"/>
    <w:rsid w:val="002B2045"/>
    <w:rsid w:val="002B2AD4"/>
    <w:rsid w:val="002B464B"/>
    <w:rsid w:val="002B4DE8"/>
    <w:rsid w:val="002B5083"/>
    <w:rsid w:val="002B5757"/>
    <w:rsid w:val="002B5812"/>
    <w:rsid w:val="002C0D8C"/>
    <w:rsid w:val="002C19FB"/>
    <w:rsid w:val="002C216F"/>
    <w:rsid w:val="002C475A"/>
    <w:rsid w:val="002C5DE8"/>
    <w:rsid w:val="002C6953"/>
    <w:rsid w:val="002C6995"/>
    <w:rsid w:val="002C750F"/>
    <w:rsid w:val="002C7D2D"/>
    <w:rsid w:val="002D0187"/>
    <w:rsid w:val="002D098E"/>
    <w:rsid w:val="002D0ADB"/>
    <w:rsid w:val="002D0F05"/>
    <w:rsid w:val="002D456B"/>
    <w:rsid w:val="002D466D"/>
    <w:rsid w:val="002D4D1D"/>
    <w:rsid w:val="002D5B00"/>
    <w:rsid w:val="002D5EBD"/>
    <w:rsid w:val="002D603F"/>
    <w:rsid w:val="002D6CF7"/>
    <w:rsid w:val="002E0066"/>
    <w:rsid w:val="002E0239"/>
    <w:rsid w:val="002E2328"/>
    <w:rsid w:val="002E2BA4"/>
    <w:rsid w:val="002E2BD1"/>
    <w:rsid w:val="002E2D63"/>
    <w:rsid w:val="002E340E"/>
    <w:rsid w:val="002E371E"/>
    <w:rsid w:val="002E3D56"/>
    <w:rsid w:val="002E435D"/>
    <w:rsid w:val="002E6569"/>
    <w:rsid w:val="002E7D42"/>
    <w:rsid w:val="002F167E"/>
    <w:rsid w:val="002F3A7E"/>
    <w:rsid w:val="002F3AFF"/>
    <w:rsid w:val="002F44EC"/>
    <w:rsid w:val="002F577C"/>
    <w:rsid w:val="002F595A"/>
    <w:rsid w:val="002F5F80"/>
    <w:rsid w:val="002F63FC"/>
    <w:rsid w:val="002F7325"/>
    <w:rsid w:val="00300408"/>
    <w:rsid w:val="00300FFE"/>
    <w:rsid w:val="003039C9"/>
    <w:rsid w:val="00303A9C"/>
    <w:rsid w:val="00303DC1"/>
    <w:rsid w:val="003040B6"/>
    <w:rsid w:val="00305B38"/>
    <w:rsid w:val="00306220"/>
    <w:rsid w:val="00306774"/>
    <w:rsid w:val="003077B5"/>
    <w:rsid w:val="00307F71"/>
    <w:rsid w:val="003103E4"/>
    <w:rsid w:val="003142D7"/>
    <w:rsid w:val="00314B1B"/>
    <w:rsid w:val="00314C54"/>
    <w:rsid w:val="00315824"/>
    <w:rsid w:val="003160DA"/>
    <w:rsid w:val="00317DD3"/>
    <w:rsid w:val="00320CA0"/>
    <w:rsid w:val="0032295A"/>
    <w:rsid w:val="0032334C"/>
    <w:rsid w:val="00323399"/>
    <w:rsid w:val="003236FB"/>
    <w:rsid w:val="00323F5C"/>
    <w:rsid w:val="00324334"/>
    <w:rsid w:val="00324B8E"/>
    <w:rsid w:val="003252AA"/>
    <w:rsid w:val="00326199"/>
    <w:rsid w:val="00326AC3"/>
    <w:rsid w:val="00326E59"/>
    <w:rsid w:val="003275DE"/>
    <w:rsid w:val="00327ECD"/>
    <w:rsid w:val="003307DE"/>
    <w:rsid w:val="003308C4"/>
    <w:rsid w:val="00331142"/>
    <w:rsid w:val="00332E9C"/>
    <w:rsid w:val="00332EB3"/>
    <w:rsid w:val="00333527"/>
    <w:rsid w:val="00333E2D"/>
    <w:rsid w:val="00333E7E"/>
    <w:rsid w:val="00334366"/>
    <w:rsid w:val="00334850"/>
    <w:rsid w:val="00335DA7"/>
    <w:rsid w:val="00336145"/>
    <w:rsid w:val="003364EE"/>
    <w:rsid w:val="00337BAA"/>
    <w:rsid w:val="00337F27"/>
    <w:rsid w:val="003406D9"/>
    <w:rsid w:val="003408E5"/>
    <w:rsid w:val="003408EA"/>
    <w:rsid w:val="003432CD"/>
    <w:rsid w:val="003436F2"/>
    <w:rsid w:val="00344D93"/>
    <w:rsid w:val="003452B6"/>
    <w:rsid w:val="003454AA"/>
    <w:rsid w:val="003454D8"/>
    <w:rsid w:val="0034592F"/>
    <w:rsid w:val="00346B2B"/>
    <w:rsid w:val="00347137"/>
    <w:rsid w:val="00347315"/>
    <w:rsid w:val="0034741E"/>
    <w:rsid w:val="00350506"/>
    <w:rsid w:val="00352724"/>
    <w:rsid w:val="00353DB6"/>
    <w:rsid w:val="00353FA1"/>
    <w:rsid w:val="00355308"/>
    <w:rsid w:val="00355535"/>
    <w:rsid w:val="00355DEC"/>
    <w:rsid w:val="00360408"/>
    <w:rsid w:val="003608F9"/>
    <w:rsid w:val="00361D53"/>
    <w:rsid w:val="00362972"/>
    <w:rsid w:val="00363BBC"/>
    <w:rsid w:val="00363D49"/>
    <w:rsid w:val="003646C7"/>
    <w:rsid w:val="00364E6E"/>
    <w:rsid w:val="003652D1"/>
    <w:rsid w:val="0036799F"/>
    <w:rsid w:val="00367E1F"/>
    <w:rsid w:val="003701A8"/>
    <w:rsid w:val="00372B27"/>
    <w:rsid w:val="00373269"/>
    <w:rsid w:val="00373C40"/>
    <w:rsid w:val="00373D56"/>
    <w:rsid w:val="00373DC4"/>
    <w:rsid w:val="00373F50"/>
    <w:rsid w:val="00374DD6"/>
    <w:rsid w:val="003758EF"/>
    <w:rsid w:val="00375ACA"/>
    <w:rsid w:val="0037750D"/>
    <w:rsid w:val="003805CB"/>
    <w:rsid w:val="0038156E"/>
    <w:rsid w:val="00381F6E"/>
    <w:rsid w:val="003830B2"/>
    <w:rsid w:val="0038315F"/>
    <w:rsid w:val="00384E71"/>
    <w:rsid w:val="003859BC"/>
    <w:rsid w:val="0039146C"/>
    <w:rsid w:val="00391519"/>
    <w:rsid w:val="00391988"/>
    <w:rsid w:val="0039242A"/>
    <w:rsid w:val="003925BE"/>
    <w:rsid w:val="0039281C"/>
    <w:rsid w:val="00394020"/>
    <w:rsid w:val="0039414C"/>
    <w:rsid w:val="00394B2D"/>
    <w:rsid w:val="00395175"/>
    <w:rsid w:val="00395345"/>
    <w:rsid w:val="00395BCC"/>
    <w:rsid w:val="003A27DA"/>
    <w:rsid w:val="003A3499"/>
    <w:rsid w:val="003A3CA9"/>
    <w:rsid w:val="003A4163"/>
    <w:rsid w:val="003A44F9"/>
    <w:rsid w:val="003A49E5"/>
    <w:rsid w:val="003A4B8A"/>
    <w:rsid w:val="003A51AF"/>
    <w:rsid w:val="003A51F4"/>
    <w:rsid w:val="003A5DD2"/>
    <w:rsid w:val="003A6F4D"/>
    <w:rsid w:val="003A7247"/>
    <w:rsid w:val="003A7545"/>
    <w:rsid w:val="003A7D0F"/>
    <w:rsid w:val="003A7E1B"/>
    <w:rsid w:val="003B0186"/>
    <w:rsid w:val="003B02F0"/>
    <w:rsid w:val="003B0E99"/>
    <w:rsid w:val="003B1445"/>
    <w:rsid w:val="003B2084"/>
    <w:rsid w:val="003B29A7"/>
    <w:rsid w:val="003B4152"/>
    <w:rsid w:val="003B50DB"/>
    <w:rsid w:val="003B5260"/>
    <w:rsid w:val="003B595F"/>
    <w:rsid w:val="003B5F6E"/>
    <w:rsid w:val="003B658B"/>
    <w:rsid w:val="003B6BF4"/>
    <w:rsid w:val="003C009F"/>
    <w:rsid w:val="003C0252"/>
    <w:rsid w:val="003C46FA"/>
    <w:rsid w:val="003C5E37"/>
    <w:rsid w:val="003C6CBA"/>
    <w:rsid w:val="003C7453"/>
    <w:rsid w:val="003D01B9"/>
    <w:rsid w:val="003D0B8E"/>
    <w:rsid w:val="003D0D28"/>
    <w:rsid w:val="003D0D98"/>
    <w:rsid w:val="003D1083"/>
    <w:rsid w:val="003D16F9"/>
    <w:rsid w:val="003D1E35"/>
    <w:rsid w:val="003D22DB"/>
    <w:rsid w:val="003D2A8D"/>
    <w:rsid w:val="003D321E"/>
    <w:rsid w:val="003D381E"/>
    <w:rsid w:val="003D446A"/>
    <w:rsid w:val="003D4530"/>
    <w:rsid w:val="003D4926"/>
    <w:rsid w:val="003D4A2B"/>
    <w:rsid w:val="003D50CB"/>
    <w:rsid w:val="003D6031"/>
    <w:rsid w:val="003D7079"/>
    <w:rsid w:val="003D7F11"/>
    <w:rsid w:val="003E10EB"/>
    <w:rsid w:val="003E2EC8"/>
    <w:rsid w:val="003E3AA8"/>
    <w:rsid w:val="003E3C79"/>
    <w:rsid w:val="003E3ECC"/>
    <w:rsid w:val="003E4156"/>
    <w:rsid w:val="003E43E8"/>
    <w:rsid w:val="003E47E5"/>
    <w:rsid w:val="003E4BB1"/>
    <w:rsid w:val="003E5146"/>
    <w:rsid w:val="003E66DB"/>
    <w:rsid w:val="003E7696"/>
    <w:rsid w:val="003E7E2B"/>
    <w:rsid w:val="003F0BAD"/>
    <w:rsid w:val="003F13E9"/>
    <w:rsid w:val="003F1B29"/>
    <w:rsid w:val="003F26C5"/>
    <w:rsid w:val="003F27F6"/>
    <w:rsid w:val="003F36F6"/>
    <w:rsid w:val="003F3D1C"/>
    <w:rsid w:val="003F3D28"/>
    <w:rsid w:val="003F3EF9"/>
    <w:rsid w:val="003F5536"/>
    <w:rsid w:val="0040253F"/>
    <w:rsid w:val="00402580"/>
    <w:rsid w:val="00403B1B"/>
    <w:rsid w:val="00404180"/>
    <w:rsid w:val="004046EB"/>
    <w:rsid w:val="00404D54"/>
    <w:rsid w:val="00405673"/>
    <w:rsid w:val="004073A0"/>
    <w:rsid w:val="00410217"/>
    <w:rsid w:val="004107B4"/>
    <w:rsid w:val="004117E7"/>
    <w:rsid w:val="00411ACF"/>
    <w:rsid w:val="00412FAE"/>
    <w:rsid w:val="0041531C"/>
    <w:rsid w:val="0041547F"/>
    <w:rsid w:val="00415B86"/>
    <w:rsid w:val="0041639A"/>
    <w:rsid w:val="00416DBF"/>
    <w:rsid w:val="004171A1"/>
    <w:rsid w:val="004216BA"/>
    <w:rsid w:val="0042342D"/>
    <w:rsid w:val="00423BCA"/>
    <w:rsid w:val="00423D2B"/>
    <w:rsid w:val="00423EB5"/>
    <w:rsid w:val="00423ED8"/>
    <w:rsid w:val="00425C60"/>
    <w:rsid w:val="00425EB5"/>
    <w:rsid w:val="0042600E"/>
    <w:rsid w:val="00426ABB"/>
    <w:rsid w:val="00430A33"/>
    <w:rsid w:val="00431223"/>
    <w:rsid w:val="00431253"/>
    <w:rsid w:val="00431655"/>
    <w:rsid w:val="004317FF"/>
    <w:rsid w:val="00431AA7"/>
    <w:rsid w:val="00432415"/>
    <w:rsid w:val="004339D8"/>
    <w:rsid w:val="00433F00"/>
    <w:rsid w:val="00435A34"/>
    <w:rsid w:val="00436D0A"/>
    <w:rsid w:val="00437CD1"/>
    <w:rsid w:val="00437EFE"/>
    <w:rsid w:val="0044030B"/>
    <w:rsid w:val="0044081D"/>
    <w:rsid w:val="00441A68"/>
    <w:rsid w:val="00441ED4"/>
    <w:rsid w:val="004425E8"/>
    <w:rsid w:val="00442888"/>
    <w:rsid w:val="004446B4"/>
    <w:rsid w:val="00444EF0"/>
    <w:rsid w:val="004455CF"/>
    <w:rsid w:val="00445D61"/>
    <w:rsid w:val="00446098"/>
    <w:rsid w:val="00446734"/>
    <w:rsid w:val="004473B3"/>
    <w:rsid w:val="004475C2"/>
    <w:rsid w:val="004478AC"/>
    <w:rsid w:val="0045016A"/>
    <w:rsid w:val="00450226"/>
    <w:rsid w:val="00452D03"/>
    <w:rsid w:val="00455332"/>
    <w:rsid w:val="004558D1"/>
    <w:rsid w:val="0045598F"/>
    <w:rsid w:val="00455E74"/>
    <w:rsid w:val="0045659F"/>
    <w:rsid w:val="00456987"/>
    <w:rsid w:val="00457382"/>
    <w:rsid w:val="004573A3"/>
    <w:rsid w:val="004574D6"/>
    <w:rsid w:val="0046012F"/>
    <w:rsid w:val="0046073D"/>
    <w:rsid w:val="00460F3B"/>
    <w:rsid w:val="00461D9B"/>
    <w:rsid w:val="0046252C"/>
    <w:rsid w:val="0046384A"/>
    <w:rsid w:val="00464201"/>
    <w:rsid w:val="00466239"/>
    <w:rsid w:val="004665B0"/>
    <w:rsid w:val="00466E8C"/>
    <w:rsid w:val="00467267"/>
    <w:rsid w:val="004701BC"/>
    <w:rsid w:val="00470642"/>
    <w:rsid w:val="00470834"/>
    <w:rsid w:val="00471E12"/>
    <w:rsid w:val="0047395F"/>
    <w:rsid w:val="00473A5B"/>
    <w:rsid w:val="004744BB"/>
    <w:rsid w:val="00474D49"/>
    <w:rsid w:val="004759DB"/>
    <w:rsid w:val="00475FDA"/>
    <w:rsid w:val="0047654C"/>
    <w:rsid w:val="0048117F"/>
    <w:rsid w:val="00482E37"/>
    <w:rsid w:val="0048331A"/>
    <w:rsid w:val="00485A40"/>
    <w:rsid w:val="00486832"/>
    <w:rsid w:val="00486E1A"/>
    <w:rsid w:val="004875D6"/>
    <w:rsid w:val="00492C2B"/>
    <w:rsid w:val="0049342C"/>
    <w:rsid w:val="00493670"/>
    <w:rsid w:val="00493DA6"/>
    <w:rsid w:val="00494667"/>
    <w:rsid w:val="00494B18"/>
    <w:rsid w:val="004972F1"/>
    <w:rsid w:val="004977DD"/>
    <w:rsid w:val="00497CB3"/>
    <w:rsid w:val="00497D7F"/>
    <w:rsid w:val="004A01C0"/>
    <w:rsid w:val="004A0F9D"/>
    <w:rsid w:val="004A13EA"/>
    <w:rsid w:val="004A1934"/>
    <w:rsid w:val="004A1C9E"/>
    <w:rsid w:val="004A2E67"/>
    <w:rsid w:val="004A338F"/>
    <w:rsid w:val="004A3B21"/>
    <w:rsid w:val="004A473C"/>
    <w:rsid w:val="004A4A84"/>
    <w:rsid w:val="004A671D"/>
    <w:rsid w:val="004A6893"/>
    <w:rsid w:val="004A7A01"/>
    <w:rsid w:val="004B0E23"/>
    <w:rsid w:val="004B3E24"/>
    <w:rsid w:val="004B5324"/>
    <w:rsid w:val="004B53DF"/>
    <w:rsid w:val="004B5444"/>
    <w:rsid w:val="004B663C"/>
    <w:rsid w:val="004B77D0"/>
    <w:rsid w:val="004B7B5C"/>
    <w:rsid w:val="004C0456"/>
    <w:rsid w:val="004C1035"/>
    <w:rsid w:val="004C1112"/>
    <w:rsid w:val="004C1B78"/>
    <w:rsid w:val="004C2317"/>
    <w:rsid w:val="004C28AC"/>
    <w:rsid w:val="004C407B"/>
    <w:rsid w:val="004C485C"/>
    <w:rsid w:val="004C4EE6"/>
    <w:rsid w:val="004C515F"/>
    <w:rsid w:val="004C5904"/>
    <w:rsid w:val="004D3149"/>
    <w:rsid w:val="004D504B"/>
    <w:rsid w:val="004D7949"/>
    <w:rsid w:val="004E0505"/>
    <w:rsid w:val="004E0962"/>
    <w:rsid w:val="004E0BED"/>
    <w:rsid w:val="004E29D3"/>
    <w:rsid w:val="004E2E84"/>
    <w:rsid w:val="004E31CD"/>
    <w:rsid w:val="004E3265"/>
    <w:rsid w:val="004E34A5"/>
    <w:rsid w:val="004E4384"/>
    <w:rsid w:val="004E45A0"/>
    <w:rsid w:val="004E48CF"/>
    <w:rsid w:val="004E497C"/>
    <w:rsid w:val="004E4DD2"/>
    <w:rsid w:val="004E53A6"/>
    <w:rsid w:val="004E5AEC"/>
    <w:rsid w:val="004E5E26"/>
    <w:rsid w:val="004E5F23"/>
    <w:rsid w:val="004E7030"/>
    <w:rsid w:val="004F0C25"/>
    <w:rsid w:val="004F1537"/>
    <w:rsid w:val="004F2190"/>
    <w:rsid w:val="004F2703"/>
    <w:rsid w:val="004F356E"/>
    <w:rsid w:val="004F3A9D"/>
    <w:rsid w:val="004F5218"/>
    <w:rsid w:val="004F59B2"/>
    <w:rsid w:val="004F650C"/>
    <w:rsid w:val="004F677F"/>
    <w:rsid w:val="004F6B7E"/>
    <w:rsid w:val="004F6B98"/>
    <w:rsid w:val="004F772F"/>
    <w:rsid w:val="004F7C28"/>
    <w:rsid w:val="005009CD"/>
    <w:rsid w:val="00501072"/>
    <w:rsid w:val="005021C1"/>
    <w:rsid w:val="00502AEB"/>
    <w:rsid w:val="00502D08"/>
    <w:rsid w:val="005039E6"/>
    <w:rsid w:val="0050429D"/>
    <w:rsid w:val="005057CB"/>
    <w:rsid w:val="00505C80"/>
    <w:rsid w:val="005060B2"/>
    <w:rsid w:val="005061A3"/>
    <w:rsid w:val="005062C2"/>
    <w:rsid w:val="005067D4"/>
    <w:rsid w:val="005072E3"/>
    <w:rsid w:val="00507635"/>
    <w:rsid w:val="005102CB"/>
    <w:rsid w:val="00511D6E"/>
    <w:rsid w:val="00512408"/>
    <w:rsid w:val="00512EB9"/>
    <w:rsid w:val="0051472B"/>
    <w:rsid w:val="005169DB"/>
    <w:rsid w:val="00517E6D"/>
    <w:rsid w:val="00520936"/>
    <w:rsid w:val="005213C6"/>
    <w:rsid w:val="005216B7"/>
    <w:rsid w:val="005217C5"/>
    <w:rsid w:val="00522C2B"/>
    <w:rsid w:val="00524765"/>
    <w:rsid w:val="005249D0"/>
    <w:rsid w:val="00525E5E"/>
    <w:rsid w:val="00526297"/>
    <w:rsid w:val="005266F8"/>
    <w:rsid w:val="005268EA"/>
    <w:rsid w:val="00527B30"/>
    <w:rsid w:val="00530558"/>
    <w:rsid w:val="00530BE9"/>
    <w:rsid w:val="00530CC5"/>
    <w:rsid w:val="00530D31"/>
    <w:rsid w:val="00531D77"/>
    <w:rsid w:val="00531E05"/>
    <w:rsid w:val="0053236C"/>
    <w:rsid w:val="00532737"/>
    <w:rsid w:val="005327F2"/>
    <w:rsid w:val="00533F72"/>
    <w:rsid w:val="005360C8"/>
    <w:rsid w:val="005371A2"/>
    <w:rsid w:val="00537265"/>
    <w:rsid w:val="0053760C"/>
    <w:rsid w:val="005400AB"/>
    <w:rsid w:val="00540CF7"/>
    <w:rsid w:val="005410D5"/>
    <w:rsid w:val="00541960"/>
    <w:rsid w:val="00546FBE"/>
    <w:rsid w:val="00547CFD"/>
    <w:rsid w:val="00550A50"/>
    <w:rsid w:val="00550EB1"/>
    <w:rsid w:val="005510B9"/>
    <w:rsid w:val="00551F64"/>
    <w:rsid w:val="00552140"/>
    <w:rsid w:val="00552184"/>
    <w:rsid w:val="005523F9"/>
    <w:rsid w:val="00552C96"/>
    <w:rsid w:val="00553602"/>
    <w:rsid w:val="00554598"/>
    <w:rsid w:val="00555A2A"/>
    <w:rsid w:val="0055657F"/>
    <w:rsid w:val="005567B5"/>
    <w:rsid w:val="00560BB7"/>
    <w:rsid w:val="00560D23"/>
    <w:rsid w:val="00560EFC"/>
    <w:rsid w:val="0056190C"/>
    <w:rsid w:val="00563B81"/>
    <w:rsid w:val="00564592"/>
    <w:rsid w:val="00565A64"/>
    <w:rsid w:val="00566584"/>
    <w:rsid w:val="005669FA"/>
    <w:rsid w:val="00567E4E"/>
    <w:rsid w:val="00570132"/>
    <w:rsid w:val="005708C4"/>
    <w:rsid w:val="00570AFA"/>
    <w:rsid w:val="00571568"/>
    <w:rsid w:val="00571A7E"/>
    <w:rsid w:val="00572674"/>
    <w:rsid w:val="0057387D"/>
    <w:rsid w:val="0057441A"/>
    <w:rsid w:val="00574DA4"/>
    <w:rsid w:val="00575A4E"/>
    <w:rsid w:val="00577A0A"/>
    <w:rsid w:val="00577B2B"/>
    <w:rsid w:val="00577B66"/>
    <w:rsid w:val="00580D28"/>
    <w:rsid w:val="00581359"/>
    <w:rsid w:val="00581469"/>
    <w:rsid w:val="0058148F"/>
    <w:rsid w:val="00582165"/>
    <w:rsid w:val="00583B5E"/>
    <w:rsid w:val="00583CE6"/>
    <w:rsid w:val="00584CE3"/>
    <w:rsid w:val="005856B8"/>
    <w:rsid w:val="005857D5"/>
    <w:rsid w:val="0058621F"/>
    <w:rsid w:val="00592048"/>
    <w:rsid w:val="00593DA8"/>
    <w:rsid w:val="005940D8"/>
    <w:rsid w:val="0059555B"/>
    <w:rsid w:val="005965E7"/>
    <w:rsid w:val="0059688C"/>
    <w:rsid w:val="005A114A"/>
    <w:rsid w:val="005A33FE"/>
    <w:rsid w:val="005A3582"/>
    <w:rsid w:val="005A38F1"/>
    <w:rsid w:val="005A42B7"/>
    <w:rsid w:val="005A5A88"/>
    <w:rsid w:val="005A6D09"/>
    <w:rsid w:val="005A7367"/>
    <w:rsid w:val="005B30C8"/>
    <w:rsid w:val="005B311B"/>
    <w:rsid w:val="005B3E99"/>
    <w:rsid w:val="005B4020"/>
    <w:rsid w:val="005B572D"/>
    <w:rsid w:val="005B6E47"/>
    <w:rsid w:val="005B7054"/>
    <w:rsid w:val="005B78FD"/>
    <w:rsid w:val="005B79AB"/>
    <w:rsid w:val="005B7B1D"/>
    <w:rsid w:val="005C19CF"/>
    <w:rsid w:val="005C3344"/>
    <w:rsid w:val="005C4159"/>
    <w:rsid w:val="005C54F7"/>
    <w:rsid w:val="005C592C"/>
    <w:rsid w:val="005C73AF"/>
    <w:rsid w:val="005C7AFC"/>
    <w:rsid w:val="005C7B2A"/>
    <w:rsid w:val="005D0572"/>
    <w:rsid w:val="005D0701"/>
    <w:rsid w:val="005D13AE"/>
    <w:rsid w:val="005D1701"/>
    <w:rsid w:val="005D217C"/>
    <w:rsid w:val="005D3659"/>
    <w:rsid w:val="005D47C8"/>
    <w:rsid w:val="005D50B8"/>
    <w:rsid w:val="005D55B4"/>
    <w:rsid w:val="005D5927"/>
    <w:rsid w:val="005D5CAD"/>
    <w:rsid w:val="005D6879"/>
    <w:rsid w:val="005D6936"/>
    <w:rsid w:val="005D6FC6"/>
    <w:rsid w:val="005D75B8"/>
    <w:rsid w:val="005E0D97"/>
    <w:rsid w:val="005E12FC"/>
    <w:rsid w:val="005E30E5"/>
    <w:rsid w:val="005E3F8C"/>
    <w:rsid w:val="005E40BF"/>
    <w:rsid w:val="005E550D"/>
    <w:rsid w:val="005E65D1"/>
    <w:rsid w:val="005F080C"/>
    <w:rsid w:val="005F0A5D"/>
    <w:rsid w:val="005F1B83"/>
    <w:rsid w:val="005F2287"/>
    <w:rsid w:val="005F2442"/>
    <w:rsid w:val="005F390B"/>
    <w:rsid w:val="005F3D69"/>
    <w:rsid w:val="005F5836"/>
    <w:rsid w:val="005F5B56"/>
    <w:rsid w:val="005F627C"/>
    <w:rsid w:val="005F686D"/>
    <w:rsid w:val="006006A4"/>
    <w:rsid w:val="00600729"/>
    <w:rsid w:val="00600E43"/>
    <w:rsid w:val="0060129F"/>
    <w:rsid w:val="00601901"/>
    <w:rsid w:val="00602307"/>
    <w:rsid w:val="0060286C"/>
    <w:rsid w:val="00602D33"/>
    <w:rsid w:val="0060300F"/>
    <w:rsid w:val="006035BF"/>
    <w:rsid w:val="00603905"/>
    <w:rsid w:val="0060470D"/>
    <w:rsid w:val="00604B6E"/>
    <w:rsid w:val="00604C05"/>
    <w:rsid w:val="006057C8"/>
    <w:rsid w:val="0060617D"/>
    <w:rsid w:val="00607695"/>
    <w:rsid w:val="00607C7B"/>
    <w:rsid w:val="006106DF"/>
    <w:rsid w:val="006122AA"/>
    <w:rsid w:val="00613794"/>
    <w:rsid w:val="00613F0B"/>
    <w:rsid w:val="00614293"/>
    <w:rsid w:val="00614529"/>
    <w:rsid w:val="006153E4"/>
    <w:rsid w:val="006155A3"/>
    <w:rsid w:val="006158F0"/>
    <w:rsid w:val="00616A08"/>
    <w:rsid w:val="00616FEB"/>
    <w:rsid w:val="00617B1A"/>
    <w:rsid w:val="00617C12"/>
    <w:rsid w:val="006202E7"/>
    <w:rsid w:val="00620D78"/>
    <w:rsid w:val="00621214"/>
    <w:rsid w:val="0062218E"/>
    <w:rsid w:val="00622988"/>
    <w:rsid w:val="00623AD5"/>
    <w:rsid w:val="00624DC5"/>
    <w:rsid w:val="00625471"/>
    <w:rsid w:val="006259C1"/>
    <w:rsid w:val="0063078F"/>
    <w:rsid w:val="00631D39"/>
    <w:rsid w:val="006337FD"/>
    <w:rsid w:val="00633E24"/>
    <w:rsid w:val="0063439E"/>
    <w:rsid w:val="00634887"/>
    <w:rsid w:val="0063489B"/>
    <w:rsid w:val="006355FB"/>
    <w:rsid w:val="00635C03"/>
    <w:rsid w:val="00635E42"/>
    <w:rsid w:val="00636C9A"/>
    <w:rsid w:val="00637637"/>
    <w:rsid w:val="00641415"/>
    <w:rsid w:val="00641432"/>
    <w:rsid w:val="0064247D"/>
    <w:rsid w:val="00642578"/>
    <w:rsid w:val="006426AF"/>
    <w:rsid w:val="00643308"/>
    <w:rsid w:val="00643586"/>
    <w:rsid w:val="006438E8"/>
    <w:rsid w:val="0064477E"/>
    <w:rsid w:val="006448EB"/>
    <w:rsid w:val="006457AA"/>
    <w:rsid w:val="00645E57"/>
    <w:rsid w:val="00645F33"/>
    <w:rsid w:val="006467AD"/>
    <w:rsid w:val="00646C5B"/>
    <w:rsid w:val="006475D9"/>
    <w:rsid w:val="00651CEA"/>
    <w:rsid w:val="006520F9"/>
    <w:rsid w:val="0065222B"/>
    <w:rsid w:val="0065236F"/>
    <w:rsid w:val="0065291D"/>
    <w:rsid w:val="006531E3"/>
    <w:rsid w:val="006536AC"/>
    <w:rsid w:val="00654144"/>
    <w:rsid w:val="00654C9A"/>
    <w:rsid w:val="00656513"/>
    <w:rsid w:val="00657049"/>
    <w:rsid w:val="0065714B"/>
    <w:rsid w:val="00657AA8"/>
    <w:rsid w:val="00657DC7"/>
    <w:rsid w:val="0066021A"/>
    <w:rsid w:val="006607C6"/>
    <w:rsid w:val="00660B6F"/>
    <w:rsid w:val="00661D1D"/>
    <w:rsid w:val="006621A2"/>
    <w:rsid w:val="00664F4B"/>
    <w:rsid w:val="00666C5E"/>
    <w:rsid w:val="006677B7"/>
    <w:rsid w:val="00667D56"/>
    <w:rsid w:val="00671BB3"/>
    <w:rsid w:val="00673C13"/>
    <w:rsid w:val="0067419B"/>
    <w:rsid w:val="00674A26"/>
    <w:rsid w:val="006758C0"/>
    <w:rsid w:val="00675C0C"/>
    <w:rsid w:val="006765B6"/>
    <w:rsid w:val="00676C60"/>
    <w:rsid w:val="00677B11"/>
    <w:rsid w:val="0068054D"/>
    <w:rsid w:val="00680B3F"/>
    <w:rsid w:val="0068102A"/>
    <w:rsid w:val="00681032"/>
    <w:rsid w:val="00684EDF"/>
    <w:rsid w:val="00685966"/>
    <w:rsid w:val="00687461"/>
    <w:rsid w:val="00687A81"/>
    <w:rsid w:val="00687C6B"/>
    <w:rsid w:val="00690951"/>
    <w:rsid w:val="00691DDE"/>
    <w:rsid w:val="00692C0A"/>
    <w:rsid w:val="0069308E"/>
    <w:rsid w:val="006934C2"/>
    <w:rsid w:val="0069490A"/>
    <w:rsid w:val="00694B67"/>
    <w:rsid w:val="00695450"/>
    <w:rsid w:val="00695D45"/>
    <w:rsid w:val="00695E4A"/>
    <w:rsid w:val="00696E22"/>
    <w:rsid w:val="00697E28"/>
    <w:rsid w:val="006A0822"/>
    <w:rsid w:val="006A0B83"/>
    <w:rsid w:val="006A1B2E"/>
    <w:rsid w:val="006A26A2"/>
    <w:rsid w:val="006A274A"/>
    <w:rsid w:val="006A6C31"/>
    <w:rsid w:val="006A7282"/>
    <w:rsid w:val="006A774D"/>
    <w:rsid w:val="006A7DBA"/>
    <w:rsid w:val="006B03D9"/>
    <w:rsid w:val="006B0F78"/>
    <w:rsid w:val="006B1212"/>
    <w:rsid w:val="006B1984"/>
    <w:rsid w:val="006B1B3C"/>
    <w:rsid w:val="006B1C0D"/>
    <w:rsid w:val="006B2196"/>
    <w:rsid w:val="006B4D10"/>
    <w:rsid w:val="006B515A"/>
    <w:rsid w:val="006B53F8"/>
    <w:rsid w:val="006B5CD7"/>
    <w:rsid w:val="006B64C0"/>
    <w:rsid w:val="006B65D3"/>
    <w:rsid w:val="006B6E89"/>
    <w:rsid w:val="006B6FE9"/>
    <w:rsid w:val="006C0767"/>
    <w:rsid w:val="006C0D80"/>
    <w:rsid w:val="006C1653"/>
    <w:rsid w:val="006C4F31"/>
    <w:rsid w:val="006C5076"/>
    <w:rsid w:val="006C5413"/>
    <w:rsid w:val="006C5A01"/>
    <w:rsid w:val="006C5C85"/>
    <w:rsid w:val="006C60C5"/>
    <w:rsid w:val="006C6921"/>
    <w:rsid w:val="006C7536"/>
    <w:rsid w:val="006D1938"/>
    <w:rsid w:val="006D2F53"/>
    <w:rsid w:val="006D47E7"/>
    <w:rsid w:val="006D57C4"/>
    <w:rsid w:val="006D5E60"/>
    <w:rsid w:val="006D605F"/>
    <w:rsid w:val="006D701A"/>
    <w:rsid w:val="006D710C"/>
    <w:rsid w:val="006E00BD"/>
    <w:rsid w:val="006E08F1"/>
    <w:rsid w:val="006E0C59"/>
    <w:rsid w:val="006E0CF8"/>
    <w:rsid w:val="006E20B3"/>
    <w:rsid w:val="006E3CF2"/>
    <w:rsid w:val="006E424D"/>
    <w:rsid w:val="006E456D"/>
    <w:rsid w:val="006E4B41"/>
    <w:rsid w:val="006E4CD9"/>
    <w:rsid w:val="006E557E"/>
    <w:rsid w:val="006E61C7"/>
    <w:rsid w:val="006E6562"/>
    <w:rsid w:val="006E6605"/>
    <w:rsid w:val="006E6D5B"/>
    <w:rsid w:val="006E71F7"/>
    <w:rsid w:val="006E73CC"/>
    <w:rsid w:val="006E766E"/>
    <w:rsid w:val="006E771F"/>
    <w:rsid w:val="006E781F"/>
    <w:rsid w:val="006E7EF7"/>
    <w:rsid w:val="006F0201"/>
    <w:rsid w:val="006F23BF"/>
    <w:rsid w:val="006F249D"/>
    <w:rsid w:val="006F51F2"/>
    <w:rsid w:val="006F6A36"/>
    <w:rsid w:val="006F7225"/>
    <w:rsid w:val="00700561"/>
    <w:rsid w:val="00700574"/>
    <w:rsid w:val="007012CB"/>
    <w:rsid w:val="007016CA"/>
    <w:rsid w:val="00701705"/>
    <w:rsid w:val="00701884"/>
    <w:rsid w:val="007019DC"/>
    <w:rsid w:val="00701B91"/>
    <w:rsid w:val="007023DA"/>
    <w:rsid w:val="00702AFD"/>
    <w:rsid w:val="0070339E"/>
    <w:rsid w:val="00703F48"/>
    <w:rsid w:val="00704148"/>
    <w:rsid w:val="007057AF"/>
    <w:rsid w:val="007057BA"/>
    <w:rsid w:val="00707E4A"/>
    <w:rsid w:val="007105FF"/>
    <w:rsid w:val="00710ECA"/>
    <w:rsid w:val="00711414"/>
    <w:rsid w:val="007119E1"/>
    <w:rsid w:val="00712D93"/>
    <w:rsid w:val="00714656"/>
    <w:rsid w:val="00715FBB"/>
    <w:rsid w:val="007171D5"/>
    <w:rsid w:val="00717927"/>
    <w:rsid w:val="0072103D"/>
    <w:rsid w:val="007216D3"/>
    <w:rsid w:val="00721B44"/>
    <w:rsid w:val="00722103"/>
    <w:rsid w:val="00723A97"/>
    <w:rsid w:val="007252B1"/>
    <w:rsid w:val="00725959"/>
    <w:rsid w:val="0072677C"/>
    <w:rsid w:val="00730166"/>
    <w:rsid w:val="0073024A"/>
    <w:rsid w:val="0073029C"/>
    <w:rsid w:val="007306FA"/>
    <w:rsid w:val="00731862"/>
    <w:rsid w:val="007331DD"/>
    <w:rsid w:val="00733A35"/>
    <w:rsid w:val="00734A84"/>
    <w:rsid w:val="00734D86"/>
    <w:rsid w:val="0073591C"/>
    <w:rsid w:val="00735F60"/>
    <w:rsid w:val="007365A3"/>
    <w:rsid w:val="00736BA0"/>
    <w:rsid w:val="00737528"/>
    <w:rsid w:val="0074076F"/>
    <w:rsid w:val="0074139B"/>
    <w:rsid w:val="00741DE1"/>
    <w:rsid w:val="0074300A"/>
    <w:rsid w:val="00743297"/>
    <w:rsid w:val="00743461"/>
    <w:rsid w:val="00743FEB"/>
    <w:rsid w:val="00745066"/>
    <w:rsid w:val="007451A3"/>
    <w:rsid w:val="00745FD9"/>
    <w:rsid w:val="0074707D"/>
    <w:rsid w:val="0075178C"/>
    <w:rsid w:val="00751E91"/>
    <w:rsid w:val="0075252F"/>
    <w:rsid w:val="00752E5E"/>
    <w:rsid w:val="00753ADE"/>
    <w:rsid w:val="00754ED9"/>
    <w:rsid w:val="007559E7"/>
    <w:rsid w:val="00755A43"/>
    <w:rsid w:val="00755BBE"/>
    <w:rsid w:val="00755BC7"/>
    <w:rsid w:val="007563AA"/>
    <w:rsid w:val="007619B6"/>
    <w:rsid w:val="00762042"/>
    <w:rsid w:val="00762EC3"/>
    <w:rsid w:val="007635A4"/>
    <w:rsid w:val="007636AE"/>
    <w:rsid w:val="00764400"/>
    <w:rsid w:val="00765614"/>
    <w:rsid w:val="00765C7D"/>
    <w:rsid w:val="00766FC1"/>
    <w:rsid w:val="00767B88"/>
    <w:rsid w:val="00770C67"/>
    <w:rsid w:val="007717A4"/>
    <w:rsid w:val="00772480"/>
    <w:rsid w:val="00772EB7"/>
    <w:rsid w:val="00773CFB"/>
    <w:rsid w:val="0077426A"/>
    <w:rsid w:val="00774CC0"/>
    <w:rsid w:val="007755F4"/>
    <w:rsid w:val="007757B8"/>
    <w:rsid w:val="00775AE3"/>
    <w:rsid w:val="0077733B"/>
    <w:rsid w:val="007778AD"/>
    <w:rsid w:val="00780107"/>
    <w:rsid w:val="0078057C"/>
    <w:rsid w:val="00782730"/>
    <w:rsid w:val="00782B4C"/>
    <w:rsid w:val="00783066"/>
    <w:rsid w:val="00783E32"/>
    <w:rsid w:val="007867D5"/>
    <w:rsid w:val="00786923"/>
    <w:rsid w:val="007874DD"/>
    <w:rsid w:val="00787571"/>
    <w:rsid w:val="00787B11"/>
    <w:rsid w:val="0079039F"/>
    <w:rsid w:val="007905A2"/>
    <w:rsid w:val="007909E9"/>
    <w:rsid w:val="007936F7"/>
    <w:rsid w:val="007946AB"/>
    <w:rsid w:val="00795EBB"/>
    <w:rsid w:val="00796BD2"/>
    <w:rsid w:val="00797388"/>
    <w:rsid w:val="00797C7B"/>
    <w:rsid w:val="007A05EC"/>
    <w:rsid w:val="007A0B6E"/>
    <w:rsid w:val="007A1F30"/>
    <w:rsid w:val="007A3893"/>
    <w:rsid w:val="007A4DDE"/>
    <w:rsid w:val="007A4F08"/>
    <w:rsid w:val="007A5185"/>
    <w:rsid w:val="007A68D2"/>
    <w:rsid w:val="007A74F1"/>
    <w:rsid w:val="007A7967"/>
    <w:rsid w:val="007A7CD6"/>
    <w:rsid w:val="007A7F6F"/>
    <w:rsid w:val="007A7F9B"/>
    <w:rsid w:val="007B06BE"/>
    <w:rsid w:val="007B0912"/>
    <w:rsid w:val="007B1098"/>
    <w:rsid w:val="007B1C98"/>
    <w:rsid w:val="007B257C"/>
    <w:rsid w:val="007B271A"/>
    <w:rsid w:val="007B350A"/>
    <w:rsid w:val="007B3607"/>
    <w:rsid w:val="007B6F35"/>
    <w:rsid w:val="007B7863"/>
    <w:rsid w:val="007B7B85"/>
    <w:rsid w:val="007C142F"/>
    <w:rsid w:val="007C3855"/>
    <w:rsid w:val="007C3D8F"/>
    <w:rsid w:val="007C4006"/>
    <w:rsid w:val="007C41C2"/>
    <w:rsid w:val="007C4795"/>
    <w:rsid w:val="007C632D"/>
    <w:rsid w:val="007C6AF3"/>
    <w:rsid w:val="007C7B12"/>
    <w:rsid w:val="007D08FD"/>
    <w:rsid w:val="007D131D"/>
    <w:rsid w:val="007D1506"/>
    <w:rsid w:val="007D1ADC"/>
    <w:rsid w:val="007D2656"/>
    <w:rsid w:val="007D3897"/>
    <w:rsid w:val="007D42A6"/>
    <w:rsid w:val="007D4385"/>
    <w:rsid w:val="007D4B66"/>
    <w:rsid w:val="007D7D6E"/>
    <w:rsid w:val="007D7D9B"/>
    <w:rsid w:val="007E080F"/>
    <w:rsid w:val="007E5261"/>
    <w:rsid w:val="007E52B0"/>
    <w:rsid w:val="007E69C2"/>
    <w:rsid w:val="007E71F1"/>
    <w:rsid w:val="007E764D"/>
    <w:rsid w:val="007F0406"/>
    <w:rsid w:val="007F1AFB"/>
    <w:rsid w:val="007F1ECA"/>
    <w:rsid w:val="007F24D6"/>
    <w:rsid w:val="007F49FF"/>
    <w:rsid w:val="007F6DDC"/>
    <w:rsid w:val="007F743D"/>
    <w:rsid w:val="007F7B90"/>
    <w:rsid w:val="00800544"/>
    <w:rsid w:val="00800D21"/>
    <w:rsid w:val="00802ED3"/>
    <w:rsid w:val="00803194"/>
    <w:rsid w:val="00803355"/>
    <w:rsid w:val="008034CD"/>
    <w:rsid w:val="00803D55"/>
    <w:rsid w:val="00804F15"/>
    <w:rsid w:val="00810DA3"/>
    <w:rsid w:val="00810EEE"/>
    <w:rsid w:val="00811746"/>
    <w:rsid w:val="00811D6A"/>
    <w:rsid w:val="0081341B"/>
    <w:rsid w:val="0081419B"/>
    <w:rsid w:val="00815AEC"/>
    <w:rsid w:val="00816217"/>
    <w:rsid w:val="00816921"/>
    <w:rsid w:val="0081732C"/>
    <w:rsid w:val="00820772"/>
    <w:rsid w:val="00822212"/>
    <w:rsid w:val="008242A4"/>
    <w:rsid w:val="00825644"/>
    <w:rsid w:val="00825D8C"/>
    <w:rsid w:val="00826EE4"/>
    <w:rsid w:val="0082747E"/>
    <w:rsid w:val="00827575"/>
    <w:rsid w:val="008300C5"/>
    <w:rsid w:val="00830A98"/>
    <w:rsid w:val="008311D9"/>
    <w:rsid w:val="00831511"/>
    <w:rsid w:val="00831DE2"/>
    <w:rsid w:val="00832D70"/>
    <w:rsid w:val="0083304B"/>
    <w:rsid w:val="008334FE"/>
    <w:rsid w:val="00834F51"/>
    <w:rsid w:val="008356A2"/>
    <w:rsid w:val="00836552"/>
    <w:rsid w:val="00837023"/>
    <w:rsid w:val="00837322"/>
    <w:rsid w:val="008378C2"/>
    <w:rsid w:val="00840296"/>
    <w:rsid w:val="00840767"/>
    <w:rsid w:val="0084124F"/>
    <w:rsid w:val="00841E0A"/>
    <w:rsid w:val="00842486"/>
    <w:rsid w:val="00842E9B"/>
    <w:rsid w:val="00844FA1"/>
    <w:rsid w:val="00846EEB"/>
    <w:rsid w:val="00847096"/>
    <w:rsid w:val="00850100"/>
    <w:rsid w:val="0085023F"/>
    <w:rsid w:val="008502FF"/>
    <w:rsid w:val="00850E7C"/>
    <w:rsid w:val="00851267"/>
    <w:rsid w:val="008512B2"/>
    <w:rsid w:val="0085146A"/>
    <w:rsid w:val="00851AFC"/>
    <w:rsid w:val="00852384"/>
    <w:rsid w:val="00853C48"/>
    <w:rsid w:val="00854C40"/>
    <w:rsid w:val="00855A4E"/>
    <w:rsid w:val="00855ED5"/>
    <w:rsid w:val="008566A4"/>
    <w:rsid w:val="00856E7F"/>
    <w:rsid w:val="00856E9E"/>
    <w:rsid w:val="0085731A"/>
    <w:rsid w:val="008578DF"/>
    <w:rsid w:val="00861118"/>
    <w:rsid w:val="00861242"/>
    <w:rsid w:val="008613C5"/>
    <w:rsid w:val="008614EC"/>
    <w:rsid w:val="00861C34"/>
    <w:rsid w:val="00862924"/>
    <w:rsid w:val="00863DF8"/>
    <w:rsid w:val="008645AC"/>
    <w:rsid w:val="00864B30"/>
    <w:rsid w:val="008658D7"/>
    <w:rsid w:val="008659D2"/>
    <w:rsid w:val="00865D9C"/>
    <w:rsid w:val="00865FE4"/>
    <w:rsid w:val="00866368"/>
    <w:rsid w:val="00866B63"/>
    <w:rsid w:val="00866D87"/>
    <w:rsid w:val="008674ED"/>
    <w:rsid w:val="00867A4F"/>
    <w:rsid w:val="008704A6"/>
    <w:rsid w:val="008709DA"/>
    <w:rsid w:val="00870AF7"/>
    <w:rsid w:val="00870D9B"/>
    <w:rsid w:val="00871101"/>
    <w:rsid w:val="00872BD5"/>
    <w:rsid w:val="00874283"/>
    <w:rsid w:val="00874638"/>
    <w:rsid w:val="00875018"/>
    <w:rsid w:val="00876C66"/>
    <w:rsid w:val="00877F2C"/>
    <w:rsid w:val="00881B6A"/>
    <w:rsid w:val="00881F19"/>
    <w:rsid w:val="0088391C"/>
    <w:rsid w:val="00885298"/>
    <w:rsid w:val="008853B4"/>
    <w:rsid w:val="008858C7"/>
    <w:rsid w:val="008866B2"/>
    <w:rsid w:val="00886754"/>
    <w:rsid w:val="00886AA9"/>
    <w:rsid w:val="00886DF6"/>
    <w:rsid w:val="00886E69"/>
    <w:rsid w:val="00887358"/>
    <w:rsid w:val="008876E9"/>
    <w:rsid w:val="00887B88"/>
    <w:rsid w:val="00890555"/>
    <w:rsid w:val="00890A86"/>
    <w:rsid w:val="00890F7F"/>
    <w:rsid w:val="00891123"/>
    <w:rsid w:val="0089194F"/>
    <w:rsid w:val="008943D2"/>
    <w:rsid w:val="008945F1"/>
    <w:rsid w:val="00896320"/>
    <w:rsid w:val="008975E7"/>
    <w:rsid w:val="0089795E"/>
    <w:rsid w:val="008A0A7E"/>
    <w:rsid w:val="008A1448"/>
    <w:rsid w:val="008A1D4F"/>
    <w:rsid w:val="008A2647"/>
    <w:rsid w:val="008A2C55"/>
    <w:rsid w:val="008A3DF2"/>
    <w:rsid w:val="008A508E"/>
    <w:rsid w:val="008A61BA"/>
    <w:rsid w:val="008A713E"/>
    <w:rsid w:val="008A72E6"/>
    <w:rsid w:val="008A76B7"/>
    <w:rsid w:val="008B0897"/>
    <w:rsid w:val="008B1E49"/>
    <w:rsid w:val="008B23DF"/>
    <w:rsid w:val="008B2680"/>
    <w:rsid w:val="008B2C47"/>
    <w:rsid w:val="008B2DEB"/>
    <w:rsid w:val="008B45DF"/>
    <w:rsid w:val="008B4611"/>
    <w:rsid w:val="008B4B9E"/>
    <w:rsid w:val="008B75DC"/>
    <w:rsid w:val="008C00EF"/>
    <w:rsid w:val="008C0448"/>
    <w:rsid w:val="008C0470"/>
    <w:rsid w:val="008C1546"/>
    <w:rsid w:val="008C207C"/>
    <w:rsid w:val="008C2511"/>
    <w:rsid w:val="008C2926"/>
    <w:rsid w:val="008C3D4F"/>
    <w:rsid w:val="008C3D87"/>
    <w:rsid w:val="008C4BB9"/>
    <w:rsid w:val="008C657C"/>
    <w:rsid w:val="008C6678"/>
    <w:rsid w:val="008C7561"/>
    <w:rsid w:val="008C7BEB"/>
    <w:rsid w:val="008C7CBF"/>
    <w:rsid w:val="008C7EA3"/>
    <w:rsid w:val="008D0BE2"/>
    <w:rsid w:val="008D2924"/>
    <w:rsid w:val="008D30DF"/>
    <w:rsid w:val="008D3FB9"/>
    <w:rsid w:val="008D5293"/>
    <w:rsid w:val="008D55F6"/>
    <w:rsid w:val="008D63BB"/>
    <w:rsid w:val="008D7403"/>
    <w:rsid w:val="008E0E52"/>
    <w:rsid w:val="008E2847"/>
    <w:rsid w:val="008E3C1F"/>
    <w:rsid w:val="008E3F6A"/>
    <w:rsid w:val="008E5BF7"/>
    <w:rsid w:val="008E5E0C"/>
    <w:rsid w:val="008E63AF"/>
    <w:rsid w:val="008E6AE1"/>
    <w:rsid w:val="008E6E78"/>
    <w:rsid w:val="008F06E6"/>
    <w:rsid w:val="008F1DAA"/>
    <w:rsid w:val="008F299C"/>
    <w:rsid w:val="008F2F00"/>
    <w:rsid w:val="008F53E3"/>
    <w:rsid w:val="008F61D3"/>
    <w:rsid w:val="008F682B"/>
    <w:rsid w:val="008F6861"/>
    <w:rsid w:val="00900E07"/>
    <w:rsid w:val="0090235E"/>
    <w:rsid w:val="009026C0"/>
    <w:rsid w:val="0090294E"/>
    <w:rsid w:val="0090311A"/>
    <w:rsid w:val="00903946"/>
    <w:rsid w:val="0090497D"/>
    <w:rsid w:val="00910206"/>
    <w:rsid w:val="00910309"/>
    <w:rsid w:val="00911920"/>
    <w:rsid w:val="00911BF8"/>
    <w:rsid w:val="00911EEB"/>
    <w:rsid w:val="00912818"/>
    <w:rsid w:val="0091374F"/>
    <w:rsid w:val="009166DC"/>
    <w:rsid w:val="00916A26"/>
    <w:rsid w:val="00916DB8"/>
    <w:rsid w:val="00921AE2"/>
    <w:rsid w:val="00922D6E"/>
    <w:rsid w:val="00922E20"/>
    <w:rsid w:val="009231A8"/>
    <w:rsid w:val="0092331E"/>
    <w:rsid w:val="009233BA"/>
    <w:rsid w:val="0092350F"/>
    <w:rsid w:val="00923CFF"/>
    <w:rsid w:val="00924AE8"/>
    <w:rsid w:val="00924CA4"/>
    <w:rsid w:val="009252BF"/>
    <w:rsid w:val="00926D04"/>
    <w:rsid w:val="00930240"/>
    <w:rsid w:val="00930736"/>
    <w:rsid w:val="0093318D"/>
    <w:rsid w:val="009332DA"/>
    <w:rsid w:val="00933736"/>
    <w:rsid w:val="00933795"/>
    <w:rsid w:val="00934C1A"/>
    <w:rsid w:val="0093587F"/>
    <w:rsid w:val="00935EAB"/>
    <w:rsid w:val="009363BB"/>
    <w:rsid w:val="00936599"/>
    <w:rsid w:val="00937106"/>
    <w:rsid w:val="00941872"/>
    <w:rsid w:val="00942A38"/>
    <w:rsid w:val="00942E4B"/>
    <w:rsid w:val="009437DA"/>
    <w:rsid w:val="00943B85"/>
    <w:rsid w:val="00944CEA"/>
    <w:rsid w:val="00945509"/>
    <w:rsid w:val="0094566F"/>
    <w:rsid w:val="00945708"/>
    <w:rsid w:val="00945717"/>
    <w:rsid w:val="00945793"/>
    <w:rsid w:val="009457C9"/>
    <w:rsid w:val="00945D3E"/>
    <w:rsid w:val="00946545"/>
    <w:rsid w:val="009465CC"/>
    <w:rsid w:val="009468BD"/>
    <w:rsid w:val="00950A86"/>
    <w:rsid w:val="00950CC8"/>
    <w:rsid w:val="0095116D"/>
    <w:rsid w:val="009512DD"/>
    <w:rsid w:val="00951BD7"/>
    <w:rsid w:val="009520BC"/>
    <w:rsid w:val="009520C6"/>
    <w:rsid w:val="00952C5B"/>
    <w:rsid w:val="00952F46"/>
    <w:rsid w:val="00954170"/>
    <w:rsid w:val="009547B8"/>
    <w:rsid w:val="009574DE"/>
    <w:rsid w:val="00962D18"/>
    <w:rsid w:val="0096314F"/>
    <w:rsid w:val="00963842"/>
    <w:rsid w:val="00964998"/>
    <w:rsid w:val="00966033"/>
    <w:rsid w:val="009676D8"/>
    <w:rsid w:val="00970996"/>
    <w:rsid w:val="00970F49"/>
    <w:rsid w:val="00971E17"/>
    <w:rsid w:val="00971E56"/>
    <w:rsid w:val="00971F1A"/>
    <w:rsid w:val="00973248"/>
    <w:rsid w:val="00973322"/>
    <w:rsid w:val="009739E4"/>
    <w:rsid w:val="00974288"/>
    <w:rsid w:val="00977D86"/>
    <w:rsid w:val="00977F04"/>
    <w:rsid w:val="00980449"/>
    <w:rsid w:val="00980A25"/>
    <w:rsid w:val="00980BBC"/>
    <w:rsid w:val="00980E30"/>
    <w:rsid w:val="00981B20"/>
    <w:rsid w:val="00983ACE"/>
    <w:rsid w:val="00983C04"/>
    <w:rsid w:val="00983C05"/>
    <w:rsid w:val="009856B5"/>
    <w:rsid w:val="0098651D"/>
    <w:rsid w:val="00986A64"/>
    <w:rsid w:val="00987166"/>
    <w:rsid w:val="009877A9"/>
    <w:rsid w:val="009903C7"/>
    <w:rsid w:val="009910AD"/>
    <w:rsid w:val="009918D4"/>
    <w:rsid w:val="00991F3A"/>
    <w:rsid w:val="0099257A"/>
    <w:rsid w:val="00992CA8"/>
    <w:rsid w:val="0099329B"/>
    <w:rsid w:val="00993993"/>
    <w:rsid w:val="00997459"/>
    <w:rsid w:val="0099746F"/>
    <w:rsid w:val="00997F03"/>
    <w:rsid w:val="009A0FC1"/>
    <w:rsid w:val="009A3230"/>
    <w:rsid w:val="009A364A"/>
    <w:rsid w:val="009A4077"/>
    <w:rsid w:val="009A51D8"/>
    <w:rsid w:val="009A52A5"/>
    <w:rsid w:val="009A5A83"/>
    <w:rsid w:val="009A5BC7"/>
    <w:rsid w:val="009A644F"/>
    <w:rsid w:val="009A67DF"/>
    <w:rsid w:val="009A76A4"/>
    <w:rsid w:val="009A7C54"/>
    <w:rsid w:val="009B0D11"/>
    <w:rsid w:val="009B0E67"/>
    <w:rsid w:val="009B191F"/>
    <w:rsid w:val="009B20EA"/>
    <w:rsid w:val="009B23E6"/>
    <w:rsid w:val="009B2BBB"/>
    <w:rsid w:val="009B301A"/>
    <w:rsid w:val="009B3868"/>
    <w:rsid w:val="009B4EC1"/>
    <w:rsid w:val="009B52E2"/>
    <w:rsid w:val="009B571A"/>
    <w:rsid w:val="009B5F9D"/>
    <w:rsid w:val="009B6652"/>
    <w:rsid w:val="009C0CB5"/>
    <w:rsid w:val="009C113F"/>
    <w:rsid w:val="009C1E28"/>
    <w:rsid w:val="009C1FF4"/>
    <w:rsid w:val="009C32B1"/>
    <w:rsid w:val="009C3392"/>
    <w:rsid w:val="009C3B87"/>
    <w:rsid w:val="009C5213"/>
    <w:rsid w:val="009C5786"/>
    <w:rsid w:val="009C5D2C"/>
    <w:rsid w:val="009C6875"/>
    <w:rsid w:val="009C6923"/>
    <w:rsid w:val="009C6A96"/>
    <w:rsid w:val="009C6DFE"/>
    <w:rsid w:val="009C7031"/>
    <w:rsid w:val="009C7DB0"/>
    <w:rsid w:val="009D0A5D"/>
    <w:rsid w:val="009D2254"/>
    <w:rsid w:val="009D3CDB"/>
    <w:rsid w:val="009D53E2"/>
    <w:rsid w:val="009D552E"/>
    <w:rsid w:val="009D5EE7"/>
    <w:rsid w:val="009D684B"/>
    <w:rsid w:val="009D71CB"/>
    <w:rsid w:val="009D7899"/>
    <w:rsid w:val="009E2031"/>
    <w:rsid w:val="009E257D"/>
    <w:rsid w:val="009E2AC1"/>
    <w:rsid w:val="009E2C8F"/>
    <w:rsid w:val="009E4AFE"/>
    <w:rsid w:val="009E4DB6"/>
    <w:rsid w:val="009E5434"/>
    <w:rsid w:val="009E5C24"/>
    <w:rsid w:val="009E61C1"/>
    <w:rsid w:val="009E62EE"/>
    <w:rsid w:val="009E69B6"/>
    <w:rsid w:val="009E71DF"/>
    <w:rsid w:val="009E7389"/>
    <w:rsid w:val="009E7DC8"/>
    <w:rsid w:val="009F047A"/>
    <w:rsid w:val="009F0516"/>
    <w:rsid w:val="009F1A31"/>
    <w:rsid w:val="009F389A"/>
    <w:rsid w:val="009F3E5E"/>
    <w:rsid w:val="009F44F5"/>
    <w:rsid w:val="009F511A"/>
    <w:rsid w:val="009F61B3"/>
    <w:rsid w:val="009F6ABE"/>
    <w:rsid w:val="009F6E1A"/>
    <w:rsid w:val="009F77D4"/>
    <w:rsid w:val="009F780E"/>
    <w:rsid w:val="009F7EA5"/>
    <w:rsid w:val="00A00174"/>
    <w:rsid w:val="00A001CC"/>
    <w:rsid w:val="00A0039F"/>
    <w:rsid w:val="00A00653"/>
    <w:rsid w:val="00A00A1B"/>
    <w:rsid w:val="00A017CF"/>
    <w:rsid w:val="00A01F4E"/>
    <w:rsid w:val="00A02835"/>
    <w:rsid w:val="00A02A0C"/>
    <w:rsid w:val="00A02F5E"/>
    <w:rsid w:val="00A03379"/>
    <w:rsid w:val="00A0575D"/>
    <w:rsid w:val="00A05C44"/>
    <w:rsid w:val="00A06A4E"/>
    <w:rsid w:val="00A07421"/>
    <w:rsid w:val="00A07487"/>
    <w:rsid w:val="00A1037F"/>
    <w:rsid w:val="00A1060D"/>
    <w:rsid w:val="00A10B50"/>
    <w:rsid w:val="00A12C0A"/>
    <w:rsid w:val="00A13B91"/>
    <w:rsid w:val="00A14353"/>
    <w:rsid w:val="00A14355"/>
    <w:rsid w:val="00A15AC2"/>
    <w:rsid w:val="00A168B9"/>
    <w:rsid w:val="00A1745F"/>
    <w:rsid w:val="00A17585"/>
    <w:rsid w:val="00A17DA9"/>
    <w:rsid w:val="00A17F5A"/>
    <w:rsid w:val="00A20A57"/>
    <w:rsid w:val="00A21B2D"/>
    <w:rsid w:val="00A223FA"/>
    <w:rsid w:val="00A2245B"/>
    <w:rsid w:val="00A2579C"/>
    <w:rsid w:val="00A25EF1"/>
    <w:rsid w:val="00A269B0"/>
    <w:rsid w:val="00A311C5"/>
    <w:rsid w:val="00A3166E"/>
    <w:rsid w:val="00A32775"/>
    <w:rsid w:val="00A33A43"/>
    <w:rsid w:val="00A36CA0"/>
    <w:rsid w:val="00A37388"/>
    <w:rsid w:val="00A377A9"/>
    <w:rsid w:val="00A40ACC"/>
    <w:rsid w:val="00A419EE"/>
    <w:rsid w:val="00A42374"/>
    <w:rsid w:val="00A444A1"/>
    <w:rsid w:val="00A45CB4"/>
    <w:rsid w:val="00A46763"/>
    <w:rsid w:val="00A50234"/>
    <w:rsid w:val="00A504EE"/>
    <w:rsid w:val="00A5093B"/>
    <w:rsid w:val="00A51735"/>
    <w:rsid w:val="00A51E32"/>
    <w:rsid w:val="00A52117"/>
    <w:rsid w:val="00A52DD6"/>
    <w:rsid w:val="00A52F6C"/>
    <w:rsid w:val="00A54CD6"/>
    <w:rsid w:val="00A55D75"/>
    <w:rsid w:val="00A61EDA"/>
    <w:rsid w:val="00A625B8"/>
    <w:rsid w:val="00A62C91"/>
    <w:rsid w:val="00A632F9"/>
    <w:rsid w:val="00A6398D"/>
    <w:rsid w:val="00A63BC3"/>
    <w:rsid w:val="00A650FF"/>
    <w:rsid w:val="00A6606C"/>
    <w:rsid w:val="00A661F3"/>
    <w:rsid w:val="00A66833"/>
    <w:rsid w:val="00A66E27"/>
    <w:rsid w:val="00A672E2"/>
    <w:rsid w:val="00A6753C"/>
    <w:rsid w:val="00A6776C"/>
    <w:rsid w:val="00A67D74"/>
    <w:rsid w:val="00A715CE"/>
    <w:rsid w:val="00A71A83"/>
    <w:rsid w:val="00A71FB7"/>
    <w:rsid w:val="00A72464"/>
    <w:rsid w:val="00A72678"/>
    <w:rsid w:val="00A73983"/>
    <w:rsid w:val="00A7407B"/>
    <w:rsid w:val="00A742F5"/>
    <w:rsid w:val="00A75F65"/>
    <w:rsid w:val="00A76349"/>
    <w:rsid w:val="00A77591"/>
    <w:rsid w:val="00A8078D"/>
    <w:rsid w:val="00A80F57"/>
    <w:rsid w:val="00A81A7A"/>
    <w:rsid w:val="00A81B2B"/>
    <w:rsid w:val="00A81B88"/>
    <w:rsid w:val="00A81D9F"/>
    <w:rsid w:val="00A82442"/>
    <w:rsid w:val="00A82AA4"/>
    <w:rsid w:val="00A82DDE"/>
    <w:rsid w:val="00A8383F"/>
    <w:rsid w:val="00A849E8"/>
    <w:rsid w:val="00A84C18"/>
    <w:rsid w:val="00A85190"/>
    <w:rsid w:val="00A85774"/>
    <w:rsid w:val="00A85A1B"/>
    <w:rsid w:val="00A85A49"/>
    <w:rsid w:val="00A85F66"/>
    <w:rsid w:val="00A86312"/>
    <w:rsid w:val="00A86C8C"/>
    <w:rsid w:val="00A8700D"/>
    <w:rsid w:val="00A87383"/>
    <w:rsid w:val="00A906D6"/>
    <w:rsid w:val="00A90784"/>
    <w:rsid w:val="00A90987"/>
    <w:rsid w:val="00A90988"/>
    <w:rsid w:val="00A90DB2"/>
    <w:rsid w:val="00A90EC6"/>
    <w:rsid w:val="00A9132B"/>
    <w:rsid w:val="00A9140C"/>
    <w:rsid w:val="00A939ED"/>
    <w:rsid w:val="00A93F2D"/>
    <w:rsid w:val="00A94948"/>
    <w:rsid w:val="00A94B8A"/>
    <w:rsid w:val="00A955FE"/>
    <w:rsid w:val="00A966E5"/>
    <w:rsid w:val="00A968C0"/>
    <w:rsid w:val="00A96C2E"/>
    <w:rsid w:val="00AA004A"/>
    <w:rsid w:val="00AA0340"/>
    <w:rsid w:val="00AA0545"/>
    <w:rsid w:val="00AA2962"/>
    <w:rsid w:val="00AA3486"/>
    <w:rsid w:val="00AA37EC"/>
    <w:rsid w:val="00AA3ED4"/>
    <w:rsid w:val="00AA40A8"/>
    <w:rsid w:val="00AA535E"/>
    <w:rsid w:val="00AA5D78"/>
    <w:rsid w:val="00AA6776"/>
    <w:rsid w:val="00AA6D5B"/>
    <w:rsid w:val="00AA7B9C"/>
    <w:rsid w:val="00AB05AB"/>
    <w:rsid w:val="00AB0CC4"/>
    <w:rsid w:val="00AB16BA"/>
    <w:rsid w:val="00AB17E1"/>
    <w:rsid w:val="00AB1CE4"/>
    <w:rsid w:val="00AB1D1D"/>
    <w:rsid w:val="00AB306C"/>
    <w:rsid w:val="00AB36FC"/>
    <w:rsid w:val="00AB4185"/>
    <w:rsid w:val="00AB548D"/>
    <w:rsid w:val="00AB646C"/>
    <w:rsid w:val="00AB7ED1"/>
    <w:rsid w:val="00AB7FB8"/>
    <w:rsid w:val="00AC0136"/>
    <w:rsid w:val="00AC24A8"/>
    <w:rsid w:val="00AC2C5D"/>
    <w:rsid w:val="00AC3F87"/>
    <w:rsid w:val="00AC4A34"/>
    <w:rsid w:val="00AC4D1E"/>
    <w:rsid w:val="00AC5F3C"/>
    <w:rsid w:val="00AC6496"/>
    <w:rsid w:val="00AC7A6E"/>
    <w:rsid w:val="00AD0D5B"/>
    <w:rsid w:val="00AD34B8"/>
    <w:rsid w:val="00AD3C98"/>
    <w:rsid w:val="00AD4737"/>
    <w:rsid w:val="00AD52C8"/>
    <w:rsid w:val="00AD5B7D"/>
    <w:rsid w:val="00AD5EDF"/>
    <w:rsid w:val="00AE1D35"/>
    <w:rsid w:val="00AE3ADE"/>
    <w:rsid w:val="00AE3D20"/>
    <w:rsid w:val="00AE3F91"/>
    <w:rsid w:val="00AE41D3"/>
    <w:rsid w:val="00AE4B26"/>
    <w:rsid w:val="00AE592B"/>
    <w:rsid w:val="00AE5D42"/>
    <w:rsid w:val="00AE7557"/>
    <w:rsid w:val="00AE7CF4"/>
    <w:rsid w:val="00AF0276"/>
    <w:rsid w:val="00AF0F78"/>
    <w:rsid w:val="00AF1447"/>
    <w:rsid w:val="00AF16EA"/>
    <w:rsid w:val="00AF2031"/>
    <w:rsid w:val="00AF2D6B"/>
    <w:rsid w:val="00AF2FCF"/>
    <w:rsid w:val="00AF5513"/>
    <w:rsid w:val="00AF6FC3"/>
    <w:rsid w:val="00AF790B"/>
    <w:rsid w:val="00AF7CD3"/>
    <w:rsid w:val="00B009CF"/>
    <w:rsid w:val="00B00AED"/>
    <w:rsid w:val="00B012BA"/>
    <w:rsid w:val="00B012F8"/>
    <w:rsid w:val="00B01F5F"/>
    <w:rsid w:val="00B023D4"/>
    <w:rsid w:val="00B030C3"/>
    <w:rsid w:val="00B03DC7"/>
    <w:rsid w:val="00B0482B"/>
    <w:rsid w:val="00B048DE"/>
    <w:rsid w:val="00B057E1"/>
    <w:rsid w:val="00B057FC"/>
    <w:rsid w:val="00B05B4E"/>
    <w:rsid w:val="00B0777B"/>
    <w:rsid w:val="00B100C5"/>
    <w:rsid w:val="00B10CC4"/>
    <w:rsid w:val="00B12CD6"/>
    <w:rsid w:val="00B131CF"/>
    <w:rsid w:val="00B13B63"/>
    <w:rsid w:val="00B14630"/>
    <w:rsid w:val="00B14D29"/>
    <w:rsid w:val="00B15241"/>
    <w:rsid w:val="00B16742"/>
    <w:rsid w:val="00B16B7D"/>
    <w:rsid w:val="00B20569"/>
    <w:rsid w:val="00B20B64"/>
    <w:rsid w:val="00B2163D"/>
    <w:rsid w:val="00B22CAA"/>
    <w:rsid w:val="00B22E1E"/>
    <w:rsid w:val="00B23A2B"/>
    <w:rsid w:val="00B245E8"/>
    <w:rsid w:val="00B24B56"/>
    <w:rsid w:val="00B250C6"/>
    <w:rsid w:val="00B25851"/>
    <w:rsid w:val="00B25BC9"/>
    <w:rsid w:val="00B27C5C"/>
    <w:rsid w:val="00B27FCF"/>
    <w:rsid w:val="00B30D26"/>
    <w:rsid w:val="00B314F8"/>
    <w:rsid w:val="00B33A76"/>
    <w:rsid w:val="00B33CE5"/>
    <w:rsid w:val="00B34F54"/>
    <w:rsid w:val="00B34F82"/>
    <w:rsid w:val="00B34F9D"/>
    <w:rsid w:val="00B357FA"/>
    <w:rsid w:val="00B36BF5"/>
    <w:rsid w:val="00B374CE"/>
    <w:rsid w:val="00B3766F"/>
    <w:rsid w:val="00B37C90"/>
    <w:rsid w:val="00B40830"/>
    <w:rsid w:val="00B410CE"/>
    <w:rsid w:val="00B41A55"/>
    <w:rsid w:val="00B4290B"/>
    <w:rsid w:val="00B436BA"/>
    <w:rsid w:val="00B440D7"/>
    <w:rsid w:val="00B44AE4"/>
    <w:rsid w:val="00B465B3"/>
    <w:rsid w:val="00B470AF"/>
    <w:rsid w:val="00B500ED"/>
    <w:rsid w:val="00B50958"/>
    <w:rsid w:val="00B5098D"/>
    <w:rsid w:val="00B50EA6"/>
    <w:rsid w:val="00B51EEE"/>
    <w:rsid w:val="00B52548"/>
    <w:rsid w:val="00B52945"/>
    <w:rsid w:val="00B52B9A"/>
    <w:rsid w:val="00B54161"/>
    <w:rsid w:val="00B54263"/>
    <w:rsid w:val="00B54A0A"/>
    <w:rsid w:val="00B559B4"/>
    <w:rsid w:val="00B55D1D"/>
    <w:rsid w:val="00B564A7"/>
    <w:rsid w:val="00B5658C"/>
    <w:rsid w:val="00B56CA5"/>
    <w:rsid w:val="00B56F43"/>
    <w:rsid w:val="00B61765"/>
    <w:rsid w:val="00B62E2F"/>
    <w:rsid w:val="00B644B6"/>
    <w:rsid w:val="00B65560"/>
    <w:rsid w:val="00B671D5"/>
    <w:rsid w:val="00B67DC9"/>
    <w:rsid w:val="00B721C3"/>
    <w:rsid w:val="00B7321F"/>
    <w:rsid w:val="00B73AD4"/>
    <w:rsid w:val="00B741FF"/>
    <w:rsid w:val="00B748E6"/>
    <w:rsid w:val="00B74E78"/>
    <w:rsid w:val="00B77138"/>
    <w:rsid w:val="00B779E8"/>
    <w:rsid w:val="00B80493"/>
    <w:rsid w:val="00B80626"/>
    <w:rsid w:val="00B8087A"/>
    <w:rsid w:val="00B80968"/>
    <w:rsid w:val="00B80B24"/>
    <w:rsid w:val="00B8231B"/>
    <w:rsid w:val="00B82D8C"/>
    <w:rsid w:val="00B8309E"/>
    <w:rsid w:val="00B83488"/>
    <w:rsid w:val="00B83566"/>
    <w:rsid w:val="00B83671"/>
    <w:rsid w:val="00B83BFF"/>
    <w:rsid w:val="00B83CFC"/>
    <w:rsid w:val="00B83E46"/>
    <w:rsid w:val="00B83F81"/>
    <w:rsid w:val="00B8433D"/>
    <w:rsid w:val="00B84CF9"/>
    <w:rsid w:val="00B84D5C"/>
    <w:rsid w:val="00B84FD4"/>
    <w:rsid w:val="00B85857"/>
    <w:rsid w:val="00B85AE2"/>
    <w:rsid w:val="00B85BF9"/>
    <w:rsid w:val="00B85F04"/>
    <w:rsid w:val="00B876AB"/>
    <w:rsid w:val="00B90739"/>
    <w:rsid w:val="00B90826"/>
    <w:rsid w:val="00B90F02"/>
    <w:rsid w:val="00B91879"/>
    <w:rsid w:val="00B91A26"/>
    <w:rsid w:val="00B92105"/>
    <w:rsid w:val="00B9261C"/>
    <w:rsid w:val="00B92A58"/>
    <w:rsid w:val="00B92C57"/>
    <w:rsid w:val="00B92D3E"/>
    <w:rsid w:val="00B9339A"/>
    <w:rsid w:val="00B93CA7"/>
    <w:rsid w:val="00B94529"/>
    <w:rsid w:val="00B95214"/>
    <w:rsid w:val="00B954AF"/>
    <w:rsid w:val="00B9592A"/>
    <w:rsid w:val="00B95E9B"/>
    <w:rsid w:val="00B961D1"/>
    <w:rsid w:val="00B976A7"/>
    <w:rsid w:val="00B97D80"/>
    <w:rsid w:val="00BA065D"/>
    <w:rsid w:val="00BA161C"/>
    <w:rsid w:val="00BA2BAC"/>
    <w:rsid w:val="00BA3863"/>
    <w:rsid w:val="00BA3BAD"/>
    <w:rsid w:val="00BA3E0C"/>
    <w:rsid w:val="00BA4B0D"/>
    <w:rsid w:val="00BA4D72"/>
    <w:rsid w:val="00BA4EBC"/>
    <w:rsid w:val="00BA5844"/>
    <w:rsid w:val="00BA5AC7"/>
    <w:rsid w:val="00BA6125"/>
    <w:rsid w:val="00BA7AB1"/>
    <w:rsid w:val="00BA7BB4"/>
    <w:rsid w:val="00BA7E6A"/>
    <w:rsid w:val="00BB0071"/>
    <w:rsid w:val="00BB1354"/>
    <w:rsid w:val="00BB1E51"/>
    <w:rsid w:val="00BB2134"/>
    <w:rsid w:val="00BB26F5"/>
    <w:rsid w:val="00BB3CBB"/>
    <w:rsid w:val="00BB5BD7"/>
    <w:rsid w:val="00BB6070"/>
    <w:rsid w:val="00BB70F1"/>
    <w:rsid w:val="00BC0B63"/>
    <w:rsid w:val="00BC1E7F"/>
    <w:rsid w:val="00BC31CB"/>
    <w:rsid w:val="00BC3917"/>
    <w:rsid w:val="00BC3B8D"/>
    <w:rsid w:val="00BC4C90"/>
    <w:rsid w:val="00BC4EA9"/>
    <w:rsid w:val="00BC5E2C"/>
    <w:rsid w:val="00BC5E97"/>
    <w:rsid w:val="00BC5F8F"/>
    <w:rsid w:val="00BC60F0"/>
    <w:rsid w:val="00BC65A6"/>
    <w:rsid w:val="00BC681A"/>
    <w:rsid w:val="00BC6AF8"/>
    <w:rsid w:val="00BC789D"/>
    <w:rsid w:val="00BC7E8A"/>
    <w:rsid w:val="00BD03DB"/>
    <w:rsid w:val="00BD0820"/>
    <w:rsid w:val="00BD1080"/>
    <w:rsid w:val="00BD1853"/>
    <w:rsid w:val="00BD1E13"/>
    <w:rsid w:val="00BD3EAF"/>
    <w:rsid w:val="00BD6907"/>
    <w:rsid w:val="00BD697D"/>
    <w:rsid w:val="00BE108A"/>
    <w:rsid w:val="00BE1366"/>
    <w:rsid w:val="00BE3515"/>
    <w:rsid w:val="00BE36A2"/>
    <w:rsid w:val="00BE3734"/>
    <w:rsid w:val="00BE44EF"/>
    <w:rsid w:val="00BE4768"/>
    <w:rsid w:val="00BE5802"/>
    <w:rsid w:val="00BE62FF"/>
    <w:rsid w:val="00BE65C3"/>
    <w:rsid w:val="00BE71A0"/>
    <w:rsid w:val="00BE71BF"/>
    <w:rsid w:val="00BE7712"/>
    <w:rsid w:val="00BF036A"/>
    <w:rsid w:val="00BF0878"/>
    <w:rsid w:val="00BF0C59"/>
    <w:rsid w:val="00BF12DE"/>
    <w:rsid w:val="00BF1EE6"/>
    <w:rsid w:val="00BF30D7"/>
    <w:rsid w:val="00BF335E"/>
    <w:rsid w:val="00BF3566"/>
    <w:rsid w:val="00BF3AFB"/>
    <w:rsid w:val="00BF3D4D"/>
    <w:rsid w:val="00BF429E"/>
    <w:rsid w:val="00BF4C15"/>
    <w:rsid w:val="00BF4E85"/>
    <w:rsid w:val="00BF595D"/>
    <w:rsid w:val="00BF684C"/>
    <w:rsid w:val="00BF701E"/>
    <w:rsid w:val="00BF78CD"/>
    <w:rsid w:val="00BF7EA4"/>
    <w:rsid w:val="00C008B1"/>
    <w:rsid w:val="00C00B0A"/>
    <w:rsid w:val="00C00FB1"/>
    <w:rsid w:val="00C0182C"/>
    <w:rsid w:val="00C02C91"/>
    <w:rsid w:val="00C037CC"/>
    <w:rsid w:val="00C03EB6"/>
    <w:rsid w:val="00C04073"/>
    <w:rsid w:val="00C040A2"/>
    <w:rsid w:val="00C0441C"/>
    <w:rsid w:val="00C0546A"/>
    <w:rsid w:val="00C065C4"/>
    <w:rsid w:val="00C06B99"/>
    <w:rsid w:val="00C0798B"/>
    <w:rsid w:val="00C1020A"/>
    <w:rsid w:val="00C102A0"/>
    <w:rsid w:val="00C11397"/>
    <w:rsid w:val="00C12331"/>
    <w:rsid w:val="00C12F6F"/>
    <w:rsid w:val="00C12FEC"/>
    <w:rsid w:val="00C135F1"/>
    <w:rsid w:val="00C13F89"/>
    <w:rsid w:val="00C15237"/>
    <w:rsid w:val="00C15FCC"/>
    <w:rsid w:val="00C17751"/>
    <w:rsid w:val="00C209FF"/>
    <w:rsid w:val="00C21622"/>
    <w:rsid w:val="00C21C45"/>
    <w:rsid w:val="00C2223F"/>
    <w:rsid w:val="00C22CF6"/>
    <w:rsid w:val="00C23187"/>
    <w:rsid w:val="00C233D5"/>
    <w:rsid w:val="00C2384B"/>
    <w:rsid w:val="00C23E04"/>
    <w:rsid w:val="00C26B17"/>
    <w:rsid w:val="00C277BC"/>
    <w:rsid w:val="00C27E05"/>
    <w:rsid w:val="00C30CBE"/>
    <w:rsid w:val="00C30DB5"/>
    <w:rsid w:val="00C311CA"/>
    <w:rsid w:val="00C31648"/>
    <w:rsid w:val="00C3229C"/>
    <w:rsid w:val="00C33F0E"/>
    <w:rsid w:val="00C35CA7"/>
    <w:rsid w:val="00C36E3E"/>
    <w:rsid w:val="00C40BA5"/>
    <w:rsid w:val="00C40DC3"/>
    <w:rsid w:val="00C40E60"/>
    <w:rsid w:val="00C410D0"/>
    <w:rsid w:val="00C4208E"/>
    <w:rsid w:val="00C427C1"/>
    <w:rsid w:val="00C42C88"/>
    <w:rsid w:val="00C434FC"/>
    <w:rsid w:val="00C436A5"/>
    <w:rsid w:val="00C444B1"/>
    <w:rsid w:val="00C45220"/>
    <w:rsid w:val="00C457F5"/>
    <w:rsid w:val="00C45925"/>
    <w:rsid w:val="00C45F0C"/>
    <w:rsid w:val="00C461D8"/>
    <w:rsid w:val="00C468B8"/>
    <w:rsid w:val="00C46EE5"/>
    <w:rsid w:val="00C47840"/>
    <w:rsid w:val="00C51255"/>
    <w:rsid w:val="00C52E8F"/>
    <w:rsid w:val="00C52EB8"/>
    <w:rsid w:val="00C54A88"/>
    <w:rsid w:val="00C54C55"/>
    <w:rsid w:val="00C5527F"/>
    <w:rsid w:val="00C554AB"/>
    <w:rsid w:val="00C55BEC"/>
    <w:rsid w:val="00C5643B"/>
    <w:rsid w:val="00C57C11"/>
    <w:rsid w:val="00C605B0"/>
    <w:rsid w:val="00C60776"/>
    <w:rsid w:val="00C61342"/>
    <w:rsid w:val="00C61574"/>
    <w:rsid w:val="00C64B3C"/>
    <w:rsid w:val="00C65B19"/>
    <w:rsid w:val="00C660FB"/>
    <w:rsid w:val="00C67C2A"/>
    <w:rsid w:val="00C7101F"/>
    <w:rsid w:val="00C7136E"/>
    <w:rsid w:val="00C716EA"/>
    <w:rsid w:val="00C720EC"/>
    <w:rsid w:val="00C72398"/>
    <w:rsid w:val="00C72E6D"/>
    <w:rsid w:val="00C737E7"/>
    <w:rsid w:val="00C754C1"/>
    <w:rsid w:val="00C76114"/>
    <w:rsid w:val="00C769F0"/>
    <w:rsid w:val="00C7718B"/>
    <w:rsid w:val="00C77D98"/>
    <w:rsid w:val="00C80177"/>
    <w:rsid w:val="00C8084B"/>
    <w:rsid w:val="00C80892"/>
    <w:rsid w:val="00C81AAE"/>
    <w:rsid w:val="00C82950"/>
    <w:rsid w:val="00C84C71"/>
    <w:rsid w:val="00C856B1"/>
    <w:rsid w:val="00C862EE"/>
    <w:rsid w:val="00C86527"/>
    <w:rsid w:val="00C869C8"/>
    <w:rsid w:val="00C86A22"/>
    <w:rsid w:val="00C8712F"/>
    <w:rsid w:val="00C8731E"/>
    <w:rsid w:val="00C915DF"/>
    <w:rsid w:val="00C9173F"/>
    <w:rsid w:val="00C91D38"/>
    <w:rsid w:val="00C959F6"/>
    <w:rsid w:val="00C972DA"/>
    <w:rsid w:val="00C974E2"/>
    <w:rsid w:val="00CA0467"/>
    <w:rsid w:val="00CA1774"/>
    <w:rsid w:val="00CA33E4"/>
    <w:rsid w:val="00CA3BA6"/>
    <w:rsid w:val="00CA3DCF"/>
    <w:rsid w:val="00CA5A69"/>
    <w:rsid w:val="00CA5C2D"/>
    <w:rsid w:val="00CA619E"/>
    <w:rsid w:val="00CA6685"/>
    <w:rsid w:val="00CA77EC"/>
    <w:rsid w:val="00CA7D4D"/>
    <w:rsid w:val="00CB065A"/>
    <w:rsid w:val="00CB1EF1"/>
    <w:rsid w:val="00CB363A"/>
    <w:rsid w:val="00CB4DEA"/>
    <w:rsid w:val="00CB50E1"/>
    <w:rsid w:val="00CB5AD9"/>
    <w:rsid w:val="00CB6753"/>
    <w:rsid w:val="00CB6B84"/>
    <w:rsid w:val="00CB706C"/>
    <w:rsid w:val="00CB7372"/>
    <w:rsid w:val="00CB79CD"/>
    <w:rsid w:val="00CC05EB"/>
    <w:rsid w:val="00CC0ABB"/>
    <w:rsid w:val="00CC137A"/>
    <w:rsid w:val="00CC2CEF"/>
    <w:rsid w:val="00CC3AD8"/>
    <w:rsid w:val="00CC641B"/>
    <w:rsid w:val="00CC6B59"/>
    <w:rsid w:val="00CC6C14"/>
    <w:rsid w:val="00CC6D35"/>
    <w:rsid w:val="00CC6FF1"/>
    <w:rsid w:val="00CC721F"/>
    <w:rsid w:val="00CC7791"/>
    <w:rsid w:val="00CD12B5"/>
    <w:rsid w:val="00CD12CA"/>
    <w:rsid w:val="00CD2982"/>
    <w:rsid w:val="00CD29AC"/>
    <w:rsid w:val="00CD2F49"/>
    <w:rsid w:val="00CD3868"/>
    <w:rsid w:val="00CD3DF3"/>
    <w:rsid w:val="00CD407F"/>
    <w:rsid w:val="00CD5BE4"/>
    <w:rsid w:val="00CD67D3"/>
    <w:rsid w:val="00CD6D76"/>
    <w:rsid w:val="00CD7CCB"/>
    <w:rsid w:val="00CE0F6F"/>
    <w:rsid w:val="00CE26AF"/>
    <w:rsid w:val="00CE2B7E"/>
    <w:rsid w:val="00CE2F55"/>
    <w:rsid w:val="00CE3385"/>
    <w:rsid w:val="00CE36D1"/>
    <w:rsid w:val="00CE526E"/>
    <w:rsid w:val="00CE53ED"/>
    <w:rsid w:val="00CE6B15"/>
    <w:rsid w:val="00CE720F"/>
    <w:rsid w:val="00CE74C5"/>
    <w:rsid w:val="00CF044B"/>
    <w:rsid w:val="00CF0CC1"/>
    <w:rsid w:val="00CF14C8"/>
    <w:rsid w:val="00CF22CB"/>
    <w:rsid w:val="00CF2947"/>
    <w:rsid w:val="00CF357F"/>
    <w:rsid w:val="00CF38BD"/>
    <w:rsid w:val="00CF57E8"/>
    <w:rsid w:val="00CF6082"/>
    <w:rsid w:val="00CF6B53"/>
    <w:rsid w:val="00D003E9"/>
    <w:rsid w:val="00D0093C"/>
    <w:rsid w:val="00D01D80"/>
    <w:rsid w:val="00D0570D"/>
    <w:rsid w:val="00D05DC9"/>
    <w:rsid w:val="00D06733"/>
    <w:rsid w:val="00D07357"/>
    <w:rsid w:val="00D110C9"/>
    <w:rsid w:val="00D11FBF"/>
    <w:rsid w:val="00D12B95"/>
    <w:rsid w:val="00D13262"/>
    <w:rsid w:val="00D13889"/>
    <w:rsid w:val="00D13997"/>
    <w:rsid w:val="00D13C6C"/>
    <w:rsid w:val="00D14958"/>
    <w:rsid w:val="00D14B78"/>
    <w:rsid w:val="00D14DE8"/>
    <w:rsid w:val="00D15A28"/>
    <w:rsid w:val="00D20528"/>
    <w:rsid w:val="00D2056B"/>
    <w:rsid w:val="00D20C27"/>
    <w:rsid w:val="00D21EB8"/>
    <w:rsid w:val="00D23C92"/>
    <w:rsid w:val="00D23C94"/>
    <w:rsid w:val="00D251BE"/>
    <w:rsid w:val="00D256EE"/>
    <w:rsid w:val="00D2595B"/>
    <w:rsid w:val="00D25FCD"/>
    <w:rsid w:val="00D26450"/>
    <w:rsid w:val="00D26E96"/>
    <w:rsid w:val="00D2748E"/>
    <w:rsid w:val="00D31B19"/>
    <w:rsid w:val="00D31C59"/>
    <w:rsid w:val="00D32008"/>
    <w:rsid w:val="00D33407"/>
    <w:rsid w:val="00D33661"/>
    <w:rsid w:val="00D33BE5"/>
    <w:rsid w:val="00D33C69"/>
    <w:rsid w:val="00D33DD8"/>
    <w:rsid w:val="00D36630"/>
    <w:rsid w:val="00D3663C"/>
    <w:rsid w:val="00D37D57"/>
    <w:rsid w:val="00D40713"/>
    <w:rsid w:val="00D41252"/>
    <w:rsid w:val="00D4129B"/>
    <w:rsid w:val="00D43AD4"/>
    <w:rsid w:val="00D449A4"/>
    <w:rsid w:val="00D4715E"/>
    <w:rsid w:val="00D478FD"/>
    <w:rsid w:val="00D50F32"/>
    <w:rsid w:val="00D516EC"/>
    <w:rsid w:val="00D51769"/>
    <w:rsid w:val="00D518D5"/>
    <w:rsid w:val="00D520E6"/>
    <w:rsid w:val="00D521AB"/>
    <w:rsid w:val="00D52293"/>
    <w:rsid w:val="00D525B2"/>
    <w:rsid w:val="00D53194"/>
    <w:rsid w:val="00D5325B"/>
    <w:rsid w:val="00D532C2"/>
    <w:rsid w:val="00D53392"/>
    <w:rsid w:val="00D5380D"/>
    <w:rsid w:val="00D54019"/>
    <w:rsid w:val="00D54F99"/>
    <w:rsid w:val="00D5559B"/>
    <w:rsid w:val="00D55846"/>
    <w:rsid w:val="00D55E0E"/>
    <w:rsid w:val="00D5616E"/>
    <w:rsid w:val="00D56A59"/>
    <w:rsid w:val="00D60054"/>
    <w:rsid w:val="00D60999"/>
    <w:rsid w:val="00D60C42"/>
    <w:rsid w:val="00D60E14"/>
    <w:rsid w:val="00D61A80"/>
    <w:rsid w:val="00D61B80"/>
    <w:rsid w:val="00D6456D"/>
    <w:rsid w:val="00D64CFB"/>
    <w:rsid w:val="00D64FE6"/>
    <w:rsid w:val="00D66986"/>
    <w:rsid w:val="00D67EFB"/>
    <w:rsid w:val="00D70180"/>
    <w:rsid w:val="00D7034A"/>
    <w:rsid w:val="00D70786"/>
    <w:rsid w:val="00D70CD7"/>
    <w:rsid w:val="00D70E9F"/>
    <w:rsid w:val="00D71848"/>
    <w:rsid w:val="00D71BFF"/>
    <w:rsid w:val="00D720A5"/>
    <w:rsid w:val="00D722DA"/>
    <w:rsid w:val="00D72669"/>
    <w:rsid w:val="00D73347"/>
    <w:rsid w:val="00D75928"/>
    <w:rsid w:val="00D7600B"/>
    <w:rsid w:val="00D7724B"/>
    <w:rsid w:val="00D77977"/>
    <w:rsid w:val="00D803C8"/>
    <w:rsid w:val="00D80635"/>
    <w:rsid w:val="00D8098F"/>
    <w:rsid w:val="00D8173E"/>
    <w:rsid w:val="00D821D1"/>
    <w:rsid w:val="00D8249E"/>
    <w:rsid w:val="00D8333C"/>
    <w:rsid w:val="00D8352B"/>
    <w:rsid w:val="00D8444F"/>
    <w:rsid w:val="00D86ABE"/>
    <w:rsid w:val="00D877A3"/>
    <w:rsid w:val="00D90B70"/>
    <w:rsid w:val="00D91A5C"/>
    <w:rsid w:val="00D91E5F"/>
    <w:rsid w:val="00D92454"/>
    <w:rsid w:val="00D92CAE"/>
    <w:rsid w:val="00D94717"/>
    <w:rsid w:val="00D94BE3"/>
    <w:rsid w:val="00D94CF6"/>
    <w:rsid w:val="00D9514C"/>
    <w:rsid w:val="00D9564C"/>
    <w:rsid w:val="00D972B0"/>
    <w:rsid w:val="00D972F1"/>
    <w:rsid w:val="00D97C4C"/>
    <w:rsid w:val="00D97D4A"/>
    <w:rsid w:val="00DA200E"/>
    <w:rsid w:val="00DA302C"/>
    <w:rsid w:val="00DA355D"/>
    <w:rsid w:val="00DA3E59"/>
    <w:rsid w:val="00DA480A"/>
    <w:rsid w:val="00DA4B15"/>
    <w:rsid w:val="00DA63FC"/>
    <w:rsid w:val="00DA68DC"/>
    <w:rsid w:val="00DA6F81"/>
    <w:rsid w:val="00DA7ED9"/>
    <w:rsid w:val="00DB05C0"/>
    <w:rsid w:val="00DB08BD"/>
    <w:rsid w:val="00DB19E0"/>
    <w:rsid w:val="00DB2FE9"/>
    <w:rsid w:val="00DB4CE5"/>
    <w:rsid w:val="00DB6D52"/>
    <w:rsid w:val="00DB72A6"/>
    <w:rsid w:val="00DB7961"/>
    <w:rsid w:val="00DB797E"/>
    <w:rsid w:val="00DC1431"/>
    <w:rsid w:val="00DC2222"/>
    <w:rsid w:val="00DC3029"/>
    <w:rsid w:val="00DC6A0C"/>
    <w:rsid w:val="00DC6B71"/>
    <w:rsid w:val="00DC709A"/>
    <w:rsid w:val="00DC729F"/>
    <w:rsid w:val="00DC7919"/>
    <w:rsid w:val="00DC7BB6"/>
    <w:rsid w:val="00DD2C08"/>
    <w:rsid w:val="00DD34FD"/>
    <w:rsid w:val="00DD476D"/>
    <w:rsid w:val="00DD6313"/>
    <w:rsid w:val="00DD6CE7"/>
    <w:rsid w:val="00DD6DD3"/>
    <w:rsid w:val="00DD737B"/>
    <w:rsid w:val="00DD7444"/>
    <w:rsid w:val="00DE00AB"/>
    <w:rsid w:val="00DE0A92"/>
    <w:rsid w:val="00DE0D40"/>
    <w:rsid w:val="00DE1014"/>
    <w:rsid w:val="00DE2C76"/>
    <w:rsid w:val="00DE2D38"/>
    <w:rsid w:val="00DE2DD8"/>
    <w:rsid w:val="00DE4255"/>
    <w:rsid w:val="00DE4558"/>
    <w:rsid w:val="00DE4A5A"/>
    <w:rsid w:val="00DE51AB"/>
    <w:rsid w:val="00DE51B4"/>
    <w:rsid w:val="00DE52F3"/>
    <w:rsid w:val="00DE67D7"/>
    <w:rsid w:val="00DE6989"/>
    <w:rsid w:val="00DE6E3F"/>
    <w:rsid w:val="00DF00B2"/>
    <w:rsid w:val="00DF0752"/>
    <w:rsid w:val="00DF0F14"/>
    <w:rsid w:val="00DF1091"/>
    <w:rsid w:val="00DF11E0"/>
    <w:rsid w:val="00DF1DDD"/>
    <w:rsid w:val="00DF1F3F"/>
    <w:rsid w:val="00DF2CCB"/>
    <w:rsid w:val="00DF3D18"/>
    <w:rsid w:val="00DF4593"/>
    <w:rsid w:val="00DF45E8"/>
    <w:rsid w:val="00DF53DE"/>
    <w:rsid w:val="00DF5BFE"/>
    <w:rsid w:val="00DF77A0"/>
    <w:rsid w:val="00E00123"/>
    <w:rsid w:val="00E00F4C"/>
    <w:rsid w:val="00E012BA"/>
    <w:rsid w:val="00E012F8"/>
    <w:rsid w:val="00E016E2"/>
    <w:rsid w:val="00E030AD"/>
    <w:rsid w:val="00E03F36"/>
    <w:rsid w:val="00E05F35"/>
    <w:rsid w:val="00E0647B"/>
    <w:rsid w:val="00E0743E"/>
    <w:rsid w:val="00E07EC1"/>
    <w:rsid w:val="00E10BC3"/>
    <w:rsid w:val="00E11400"/>
    <w:rsid w:val="00E11686"/>
    <w:rsid w:val="00E11C5A"/>
    <w:rsid w:val="00E126A8"/>
    <w:rsid w:val="00E12A33"/>
    <w:rsid w:val="00E12FFC"/>
    <w:rsid w:val="00E156A5"/>
    <w:rsid w:val="00E15B21"/>
    <w:rsid w:val="00E15CD8"/>
    <w:rsid w:val="00E15EB6"/>
    <w:rsid w:val="00E15EBF"/>
    <w:rsid w:val="00E15EE3"/>
    <w:rsid w:val="00E15F77"/>
    <w:rsid w:val="00E16660"/>
    <w:rsid w:val="00E21346"/>
    <w:rsid w:val="00E215CA"/>
    <w:rsid w:val="00E221B4"/>
    <w:rsid w:val="00E22B23"/>
    <w:rsid w:val="00E22C7D"/>
    <w:rsid w:val="00E23AFE"/>
    <w:rsid w:val="00E23D2D"/>
    <w:rsid w:val="00E240D4"/>
    <w:rsid w:val="00E24B2F"/>
    <w:rsid w:val="00E25017"/>
    <w:rsid w:val="00E25318"/>
    <w:rsid w:val="00E26366"/>
    <w:rsid w:val="00E30E29"/>
    <w:rsid w:val="00E323BE"/>
    <w:rsid w:val="00E32822"/>
    <w:rsid w:val="00E33FB6"/>
    <w:rsid w:val="00E342BB"/>
    <w:rsid w:val="00E34D4C"/>
    <w:rsid w:val="00E3536A"/>
    <w:rsid w:val="00E362DE"/>
    <w:rsid w:val="00E36FD3"/>
    <w:rsid w:val="00E375C2"/>
    <w:rsid w:val="00E40721"/>
    <w:rsid w:val="00E40C30"/>
    <w:rsid w:val="00E41F3A"/>
    <w:rsid w:val="00E42306"/>
    <w:rsid w:val="00E4403E"/>
    <w:rsid w:val="00E443FA"/>
    <w:rsid w:val="00E44681"/>
    <w:rsid w:val="00E44844"/>
    <w:rsid w:val="00E449E5"/>
    <w:rsid w:val="00E45575"/>
    <w:rsid w:val="00E46172"/>
    <w:rsid w:val="00E46667"/>
    <w:rsid w:val="00E50025"/>
    <w:rsid w:val="00E50F50"/>
    <w:rsid w:val="00E5231E"/>
    <w:rsid w:val="00E53523"/>
    <w:rsid w:val="00E546AD"/>
    <w:rsid w:val="00E54E6E"/>
    <w:rsid w:val="00E5566B"/>
    <w:rsid w:val="00E55D9C"/>
    <w:rsid w:val="00E56089"/>
    <w:rsid w:val="00E56E0A"/>
    <w:rsid w:val="00E60C12"/>
    <w:rsid w:val="00E60DBE"/>
    <w:rsid w:val="00E61C49"/>
    <w:rsid w:val="00E61FC5"/>
    <w:rsid w:val="00E62073"/>
    <w:rsid w:val="00E621EF"/>
    <w:rsid w:val="00E62595"/>
    <w:rsid w:val="00E6295F"/>
    <w:rsid w:val="00E62BB9"/>
    <w:rsid w:val="00E62C02"/>
    <w:rsid w:val="00E6416C"/>
    <w:rsid w:val="00E6580E"/>
    <w:rsid w:val="00E65B85"/>
    <w:rsid w:val="00E66686"/>
    <w:rsid w:val="00E67416"/>
    <w:rsid w:val="00E703B3"/>
    <w:rsid w:val="00E704E3"/>
    <w:rsid w:val="00E70B94"/>
    <w:rsid w:val="00E712F5"/>
    <w:rsid w:val="00E7220B"/>
    <w:rsid w:val="00E73DD5"/>
    <w:rsid w:val="00E74438"/>
    <w:rsid w:val="00E74B14"/>
    <w:rsid w:val="00E74CEC"/>
    <w:rsid w:val="00E7535F"/>
    <w:rsid w:val="00E76CB7"/>
    <w:rsid w:val="00E76D6B"/>
    <w:rsid w:val="00E76EFF"/>
    <w:rsid w:val="00E776A9"/>
    <w:rsid w:val="00E77F56"/>
    <w:rsid w:val="00E80B42"/>
    <w:rsid w:val="00E81BB4"/>
    <w:rsid w:val="00E82F25"/>
    <w:rsid w:val="00E830CC"/>
    <w:rsid w:val="00E8467D"/>
    <w:rsid w:val="00E87BF5"/>
    <w:rsid w:val="00E87C28"/>
    <w:rsid w:val="00E91189"/>
    <w:rsid w:val="00E91212"/>
    <w:rsid w:val="00E91D25"/>
    <w:rsid w:val="00E92B5C"/>
    <w:rsid w:val="00E92D28"/>
    <w:rsid w:val="00E938EF"/>
    <w:rsid w:val="00E93E2C"/>
    <w:rsid w:val="00E960C0"/>
    <w:rsid w:val="00E96722"/>
    <w:rsid w:val="00E96AA3"/>
    <w:rsid w:val="00E9795D"/>
    <w:rsid w:val="00EA04A0"/>
    <w:rsid w:val="00EA08F6"/>
    <w:rsid w:val="00EA1093"/>
    <w:rsid w:val="00EA174A"/>
    <w:rsid w:val="00EA1BCE"/>
    <w:rsid w:val="00EA1BFD"/>
    <w:rsid w:val="00EA272E"/>
    <w:rsid w:val="00EA2ED4"/>
    <w:rsid w:val="00EA3076"/>
    <w:rsid w:val="00EA3F06"/>
    <w:rsid w:val="00EA4312"/>
    <w:rsid w:val="00EA46F5"/>
    <w:rsid w:val="00EA53D0"/>
    <w:rsid w:val="00EA5E92"/>
    <w:rsid w:val="00EA6864"/>
    <w:rsid w:val="00EB06D6"/>
    <w:rsid w:val="00EB1819"/>
    <w:rsid w:val="00EB2293"/>
    <w:rsid w:val="00EB265C"/>
    <w:rsid w:val="00EB27C7"/>
    <w:rsid w:val="00EB2992"/>
    <w:rsid w:val="00EB328D"/>
    <w:rsid w:val="00EB4235"/>
    <w:rsid w:val="00EB6A03"/>
    <w:rsid w:val="00EB6F07"/>
    <w:rsid w:val="00EB73B2"/>
    <w:rsid w:val="00EB7C9D"/>
    <w:rsid w:val="00EB7F4F"/>
    <w:rsid w:val="00EC07B7"/>
    <w:rsid w:val="00EC08AF"/>
    <w:rsid w:val="00EC2367"/>
    <w:rsid w:val="00EC36DF"/>
    <w:rsid w:val="00EC4185"/>
    <w:rsid w:val="00EC41C2"/>
    <w:rsid w:val="00EC47A5"/>
    <w:rsid w:val="00EC4A2E"/>
    <w:rsid w:val="00EC508C"/>
    <w:rsid w:val="00EC50F3"/>
    <w:rsid w:val="00EC5A2F"/>
    <w:rsid w:val="00EC6323"/>
    <w:rsid w:val="00ED0087"/>
    <w:rsid w:val="00ED05B4"/>
    <w:rsid w:val="00ED0C0B"/>
    <w:rsid w:val="00ED138F"/>
    <w:rsid w:val="00ED2FD0"/>
    <w:rsid w:val="00ED2FD7"/>
    <w:rsid w:val="00ED305B"/>
    <w:rsid w:val="00ED3672"/>
    <w:rsid w:val="00ED36C7"/>
    <w:rsid w:val="00ED4EE6"/>
    <w:rsid w:val="00ED5110"/>
    <w:rsid w:val="00ED5642"/>
    <w:rsid w:val="00ED70B0"/>
    <w:rsid w:val="00ED7944"/>
    <w:rsid w:val="00ED7C66"/>
    <w:rsid w:val="00EE0D30"/>
    <w:rsid w:val="00EE192C"/>
    <w:rsid w:val="00EE19B1"/>
    <w:rsid w:val="00EE2AA2"/>
    <w:rsid w:val="00EE30B5"/>
    <w:rsid w:val="00EE3A30"/>
    <w:rsid w:val="00EE3ACC"/>
    <w:rsid w:val="00EE5223"/>
    <w:rsid w:val="00EE53E0"/>
    <w:rsid w:val="00EE54CE"/>
    <w:rsid w:val="00EE58A1"/>
    <w:rsid w:val="00EE738B"/>
    <w:rsid w:val="00EE7717"/>
    <w:rsid w:val="00EF1467"/>
    <w:rsid w:val="00EF2181"/>
    <w:rsid w:val="00EF2950"/>
    <w:rsid w:val="00EF3290"/>
    <w:rsid w:val="00EF3BA2"/>
    <w:rsid w:val="00EF44EE"/>
    <w:rsid w:val="00EF4D17"/>
    <w:rsid w:val="00EF5EF4"/>
    <w:rsid w:val="00EF634E"/>
    <w:rsid w:val="00EF6461"/>
    <w:rsid w:val="00EF7F7D"/>
    <w:rsid w:val="00F008A9"/>
    <w:rsid w:val="00F008D8"/>
    <w:rsid w:val="00F00B79"/>
    <w:rsid w:val="00F0172A"/>
    <w:rsid w:val="00F01CD6"/>
    <w:rsid w:val="00F02D4E"/>
    <w:rsid w:val="00F03BE7"/>
    <w:rsid w:val="00F04F23"/>
    <w:rsid w:val="00F0589E"/>
    <w:rsid w:val="00F05A75"/>
    <w:rsid w:val="00F06200"/>
    <w:rsid w:val="00F07797"/>
    <w:rsid w:val="00F10450"/>
    <w:rsid w:val="00F104E0"/>
    <w:rsid w:val="00F115EF"/>
    <w:rsid w:val="00F11967"/>
    <w:rsid w:val="00F13C4B"/>
    <w:rsid w:val="00F143A4"/>
    <w:rsid w:val="00F1520C"/>
    <w:rsid w:val="00F15620"/>
    <w:rsid w:val="00F15DEC"/>
    <w:rsid w:val="00F15E13"/>
    <w:rsid w:val="00F15EAD"/>
    <w:rsid w:val="00F16859"/>
    <w:rsid w:val="00F16DAB"/>
    <w:rsid w:val="00F1723B"/>
    <w:rsid w:val="00F20EA5"/>
    <w:rsid w:val="00F21F22"/>
    <w:rsid w:val="00F24773"/>
    <w:rsid w:val="00F24D32"/>
    <w:rsid w:val="00F24FE7"/>
    <w:rsid w:val="00F250BA"/>
    <w:rsid w:val="00F25D1E"/>
    <w:rsid w:val="00F26BCE"/>
    <w:rsid w:val="00F26F00"/>
    <w:rsid w:val="00F27EAE"/>
    <w:rsid w:val="00F301DF"/>
    <w:rsid w:val="00F30354"/>
    <w:rsid w:val="00F30744"/>
    <w:rsid w:val="00F30A11"/>
    <w:rsid w:val="00F33573"/>
    <w:rsid w:val="00F335A1"/>
    <w:rsid w:val="00F338CD"/>
    <w:rsid w:val="00F33DC6"/>
    <w:rsid w:val="00F33E44"/>
    <w:rsid w:val="00F34EE2"/>
    <w:rsid w:val="00F3505F"/>
    <w:rsid w:val="00F36B06"/>
    <w:rsid w:val="00F36BB5"/>
    <w:rsid w:val="00F37623"/>
    <w:rsid w:val="00F408F8"/>
    <w:rsid w:val="00F4207A"/>
    <w:rsid w:val="00F438CC"/>
    <w:rsid w:val="00F45532"/>
    <w:rsid w:val="00F45E27"/>
    <w:rsid w:val="00F46782"/>
    <w:rsid w:val="00F46A92"/>
    <w:rsid w:val="00F46CFF"/>
    <w:rsid w:val="00F477B0"/>
    <w:rsid w:val="00F478FF"/>
    <w:rsid w:val="00F503F2"/>
    <w:rsid w:val="00F50F6B"/>
    <w:rsid w:val="00F53E7E"/>
    <w:rsid w:val="00F53F0D"/>
    <w:rsid w:val="00F549C3"/>
    <w:rsid w:val="00F5789E"/>
    <w:rsid w:val="00F60ED0"/>
    <w:rsid w:val="00F6276C"/>
    <w:rsid w:val="00F62CD0"/>
    <w:rsid w:val="00F63AB3"/>
    <w:rsid w:val="00F64017"/>
    <w:rsid w:val="00F64BB7"/>
    <w:rsid w:val="00F65105"/>
    <w:rsid w:val="00F65FD6"/>
    <w:rsid w:val="00F663B8"/>
    <w:rsid w:val="00F66B06"/>
    <w:rsid w:val="00F70473"/>
    <w:rsid w:val="00F70E5D"/>
    <w:rsid w:val="00F724FF"/>
    <w:rsid w:val="00F7278D"/>
    <w:rsid w:val="00F72E64"/>
    <w:rsid w:val="00F74B64"/>
    <w:rsid w:val="00F754B0"/>
    <w:rsid w:val="00F7671B"/>
    <w:rsid w:val="00F77581"/>
    <w:rsid w:val="00F7771D"/>
    <w:rsid w:val="00F77AE9"/>
    <w:rsid w:val="00F77D5C"/>
    <w:rsid w:val="00F80CA0"/>
    <w:rsid w:val="00F81B23"/>
    <w:rsid w:val="00F823BA"/>
    <w:rsid w:val="00F82972"/>
    <w:rsid w:val="00F8544D"/>
    <w:rsid w:val="00F85709"/>
    <w:rsid w:val="00F862EA"/>
    <w:rsid w:val="00F91195"/>
    <w:rsid w:val="00F912F5"/>
    <w:rsid w:val="00F915EE"/>
    <w:rsid w:val="00F9190B"/>
    <w:rsid w:val="00F91F8C"/>
    <w:rsid w:val="00F92DE2"/>
    <w:rsid w:val="00F94094"/>
    <w:rsid w:val="00F9432E"/>
    <w:rsid w:val="00FA03F7"/>
    <w:rsid w:val="00FA0C1E"/>
    <w:rsid w:val="00FA326E"/>
    <w:rsid w:val="00FA32F2"/>
    <w:rsid w:val="00FA383D"/>
    <w:rsid w:val="00FA3C28"/>
    <w:rsid w:val="00FA3D3E"/>
    <w:rsid w:val="00FA5000"/>
    <w:rsid w:val="00FA50DB"/>
    <w:rsid w:val="00FA67F6"/>
    <w:rsid w:val="00FA6F6F"/>
    <w:rsid w:val="00FA76ED"/>
    <w:rsid w:val="00FA7D43"/>
    <w:rsid w:val="00FB0485"/>
    <w:rsid w:val="00FB0773"/>
    <w:rsid w:val="00FB133C"/>
    <w:rsid w:val="00FB21F0"/>
    <w:rsid w:val="00FB2CB9"/>
    <w:rsid w:val="00FB2F83"/>
    <w:rsid w:val="00FB40E0"/>
    <w:rsid w:val="00FB49B8"/>
    <w:rsid w:val="00FB61AF"/>
    <w:rsid w:val="00FB694A"/>
    <w:rsid w:val="00FB752D"/>
    <w:rsid w:val="00FC106D"/>
    <w:rsid w:val="00FC2376"/>
    <w:rsid w:val="00FC4905"/>
    <w:rsid w:val="00FC5032"/>
    <w:rsid w:val="00FC6B17"/>
    <w:rsid w:val="00FC6CB6"/>
    <w:rsid w:val="00FD06F0"/>
    <w:rsid w:val="00FD06FA"/>
    <w:rsid w:val="00FD1434"/>
    <w:rsid w:val="00FD1455"/>
    <w:rsid w:val="00FD1D76"/>
    <w:rsid w:val="00FD49C7"/>
    <w:rsid w:val="00FD53F3"/>
    <w:rsid w:val="00FD54A7"/>
    <w:rsid w:val="00FD5AE4"/>
    <w:rsid w:val="00FD776D"/>
    <w:rsid w:val="00FD7ABF"/>
    <w:rsid w:val="00FD7BE3"/>
    <w:rsid w:val="00FE0B8D"/>
    <w:rsid w:val="00FE11F2"/>
    <w:rsid w:val="00FE13DF"/>
    <w:rsid w:val="00FE233B"/>
    <w:rsid w:val="00FE30BD"/>
    <w:rsid w:val="00FE3521"/>
    <w:rsid w:val="00FE398D"/>
    <w:rsid w:val="00FE4DAB"/>
    <w:rsid w:val="00FE6292"/>
    <w:rsid w:val="00FE744D"/>
    <w:rsid w:val="00FF0ADB"/>
    <w:rsid w:val="00FF0F74"/>
    <w:rsid w:val="00FF1BD2"/>
    <w:rsid w:val="00FF1FAD"/>
    <w:rsid w:val="00FF2670"/>
    <w:rsid w:val="00FF2B98"/>
    <w:rsid w:val="00FF363C"/>
    <w:rsid w:val="00FF383D"/>
    <w:rsid w:val="00FF39D2"/>
    <w:rsid w:val="00FF3C11"/>
    <w:rsid w:val="00FF5670"/>
    <w:rsid w:val="00FF5C0D"/>
    <w:rsid w:val="00FF5CDB"/>
    <w:rsid w:val="00FF6251"/>
    <w:rsid w:val="00FF7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ED4C7E0-9D23-45DB-8A84-4DADC76F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85"/>
    <w:rPr>
      <w:sz w:val="24"/>
      <w:szCs w:val="24"/>
      <w:lang w:eastAsia="bg-BG"/>
    </w:rPr>
  </w:style>
  <w:style w:type="paragraph" w:styleId="Heading1">
    <w:name w:val="heading 1"/>
    <w:basedOn w:val="Normal"/>
    <w:next w:val="Normal"/>
    <w:link w:val="Heading1Char"/>
    <w:uiPriority w:val="9"/>
    <w:qFormat/>
    <w:rsid w:val="000003AA"/>
    <w:pPr>
      <w:keepNext/>
      <w:tabs>
        <w:tab w:val="left" w:pos="475"/>
      </w:tabs>
      <w:spacing w:after="120"/>
      <w:jc w:val="both"/>
      <w:outlineLvl w:val="0"/>
    </w:pPr>
    <w:rPr>
      <w:rFonts w:ascii="Cambria" w:hAnsi="Cambria"/>
      <w:b/>
      <w:caps/>
      <w:sz w:val="26"/>
      <w:szCs w:val="22"/>
      <w:lang w:val="en-GB" w:eastAsia="en-US"/>
    </w:rPr>
  </w:style>
  <w:style w:type="paragraph" w:styleId="Heading2">
    <w:name w:val="heading 2"/>
    <w:basedOn w:val="Normal"/>
    <w:next w:val="Normal"/>
    <w:link w:val="Heading2Char"/>
    <w:uiPriority w:val="9"/>
    <w:unhideWhenUsed/>
    <w:qFormat/>
    <w:rsid w:val="00265FA9"/>
    <w:pPr>
      <w:keepNext/>
      <w:keepLines/>
      <w:spacing w:before="200"/>
      <w:outlineLvl w:val="1"/>
    </w:pPr>
    <w:rPr>
      <w:rFonts w:ascii="Cambria" w:eastAsia="Times New Roman" w:hAnsi="Cambria"/>
      <w:b/>
      <w:bCs/>
      <w:szCs w:val="26"/>
    </w:rPr>
  </w:style>
  <w:style w:type="paragraph" w:styleId="Heading3">
    <w:name w:val="heading 3"/>
    <w:basedOn w:val="Normal"/>
    <w:next w:val="Normal"/>
    <w:link w:val="Heading3Char"/>
    <w:uiPriority w:val="9"/>
    <w:unhideWhenUsed/>
    <w:qFormat/>
    <w:rsid w:val="000003AA"/>
    <w:pPr>
      <w:keepNext/>
      <w:keepLines/>
      <w:spacing w:before="200"/>
      <w:outlineLvl w:val="2"/>
    </w:pPr>
    <w:rPr>
      <w:rFonts w:ascii="Cambria" w:eastAsia="Times New Roman" w:hAnsi="Cambria"/>
      <w:b/>
      <w:bCs/>
      <w:sz w:val="22"/>
    </w:rPr>
  </w:style>
  <w:style w:type="paragraph" w:styleId="Heading4">
    <w:name w:val="heading 4"/>
    <w:basedOn w:val="Normal"/>
    <w:next w:val="Normal"/>
    <w:link w:val="Heading4Char"/>
    <w:uiPriority w:val="9"/>
    <w:qFormat/>
    <w:rsid w:val="00CD12CA"/>
    <w:pPr>
      <w:keepNext/>
      <w:spacing w:before="240" w:after="60"/>
      <w:outlineLvl w:val="3"/>
    </w:pPr>
    <w:rPr>
      <w:b/>
      <w:bCs/>
      <w:sz w:val="28"/>
      <w:szCs w:val="28"/>
    </w:rPr>
  </w:style>
  <w:style w:type="paragraph" w:styleId="Heading5">
    <w:name w:val="heading 5"/>
    <w:basedOn w:val="Normal"/>
    <w:next w:val="Normal"/>
    <w:link w:val="Heading5Char"/>
    <w:uiPriority w:val="9"/>
    <w:qFormat/>
    <w:rsid w:val="00CD12CA"/>
    <w:pPr>
      <w:keepNext/>
      <w:tabs>
        <w:tab w:val="center" w:pos="4680"/>
      </w:tabs>
      <w:spacing w:after="120"/>
      <w:jc w:val="center"/>
      <w:outlineLvl w:val="4"/>
    </w:pPr>
    <w:rPr>
      <w:sz w:val="22"/>
      <w:szCs w:val="20"/>
      <w:u w:val="single"/>
      <w:lang w:eastAsia="en-US"/>
    </w:rPr>
  </w:style>
  <w:style w:type="paragraph" w:styleId="Heading6">
    <w:name w:val="heading 6"/>
    <w:basedOn w:val="Normal"/>
    <w:next w:val="Normal"/>
    <w:link w:val="Heading6Char"/>
    <w:uiPriority w:val="9"/>
    <w:qFormat/>
    <w:rsid w:val="00CD12CA"/>
    <w:pPr>
      <w:keepNext/>
      <w:spacing w:after="120"/>
      <w:jc w:val="both"/>
      <w:outlineLvl w:val="5"/>
    </w:pPr>
    <w:rPr>
      <w:rFonts w:ascii="Arial" w:hAnsi="Arial"/>
      <w:b/>
      <w:sz w:val="32"/>
      <w:szCs w:val="20"/>
      <w:lang w:eastAsia="en-US"/>
    </w:rPr>
  </w:style>
  <w:style w:type="paragraph" w:styleId="Heading7">
    <w:name w:val="heading 7"/>
    <w:basedOn w:val="Normal"/>
    <w:next w:val="Normal"/>
    <w:link w:val="Heading7Char"/>
    <w:uiPriority w:val="9"/>
    <w:unhideWhenUsed/>
    <w:qFormat/>
    <w:rsid w:val="00CD12CA"/>
    <w:pPr>
      <w:keepNext/>
      <w:keepLines/>
      <w:spacing w:before="200"/>
      <w:outlineLvl w:val="6"/>
    </w:pPr>
    <w:rPr>
      <w:rFonts w:ascii="Calibri" w:eastAsia="Times New Roman" w:hAnsi="Calibri"/>
      <w:i/>
      <w:iCs/>
      <w:color w:val="404040"/>
    </w:rPr>
  </w:style>
  <w:style w:type="paragraph" w:styleId="Heading8">
    <w:name w:val="heading 8"/>
    <w:basedOn w:val="Normal"/>
    <w:next w:val="Normal"/>
    <w:link w:val="Heading8Char"/>
    <w:uiPriority w:val="9"/>
    <w:unhideWhenUsed/>
    <w:qFormat/>
    <w:rsid w:val="00CD12CA"/>
    <w:pPr>
      <w:keepNext/>
      <w:keepLines/>
      <w:spacing w:before="200"/>
      <w:outlineLvl w:val="7"/>
    </w:pPr>
    <w:rPr>
      <w:rFonts w:ascii="Calibri" w:eastAsia="Times New Roman" w:hAnsi="Calibri"/>
      <w:color w:val="404040"/>
      <w:sz w:val="20"/>
      <w:szCs w:val="20"/>
    </w:rPr>
  </w:style>
  <w:style w:type="paragraph" w:styleId="Heading9">
    <w:name w:val="heading 9"/>
    <w:basedOn w:val="Normal"/>
    <w:next w:val="Normal"/>
    <w:link w:val="Heading9Char"/>
    <w:uiPriority w:val="9"/>
    <w:qFormat/>
    <w:rsid w:val="00CD12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03AA"/>
    <w:rPr>
      <w:rFonts w:ascii="Cambria" w:hAnsi="Cambria"/>
      <w:b/>
      <w:caps/>
      <w:sz w:val="26"/>
      <w:szCs w:val="22"/>
      <w:lang w:val="en-GB"/>
    </w:rPr>
  </w:style>
  <w:style w:type="character" w:customStyle="1" w:styleId="Heading2Char">
    <w:name w:val="Heading 2 Char"/>
    <w:link w:val="Heading2"/>
    <w:uiPriority w:val="9"/>
    <w:rsid w:val="00265FA9"/>
    <w:rPr>
      <w:rFonts w:ascii="Cambria" w:eastAsia="Times New Roman" w:hAnsi="Cambria"/>
      <w:b/>
      <w:bCs/>
      <w:sz w:val="24"/>
      <w:szCs w:val="26"/>
      <w:lang w:eastAsia="bg-BG"/>
    </w:rPr>
  </w:style>
  <w:style w:type="character" w:customStyle="1" w:styleId="Heading3Char">
    <w:name w:val="Heading 3 Char"/>
    <w:link w:val="Heading3"/>
    <w:uiPriority w:val="9"/>
    <w:rsid w:val="000003AA"/>
    <w:rPr>
      <w:rFonts w:ascii="Cambria" w:eastAsia="Times New Roman" w:hAnsi="Cambria"/>
      <w:b/>
      <w:bCs/>
      <w:sz w:val="22"/>
      <w:szCs w:val="24"/>
      <w:lang w:eastAsia="bg-BG"/>
    </w:rPr>
  </w:style>
  <w:style w:type="character" w:customStyle="1" w:styleId="Heading4Char">
    <w:name w:val="Heading 4 Char"/>
    <w:link w:val="Heading4"/>
    <w:uiPriority w:val="9"/>
    <w:rsid w:val="00CD12CA"/>
    <w:rPr>
      <w:rFonts w:eastAsia="Times New Roman"/>
      <w:b/>
      <w:bCs/>
      <w:sz w:val="28"/>
      <w:szCs w:val="28"/>
      <w:lang w:val="sq-AL" w:eastAsia="bg-BG"/>
    </w:rPr>
  </w:style>
  <w:style w:type="character" w:customStyle="1" w:styleId="Heading5Char">
    <w:name w:val="Heading 5 Char"/>
    <w:link w:val="Heading5"/>
    <w:uiPriority w:val="9"/>
    <w:rsid w:val="00CD12CA"/>
    <w:rPr>
      <w:rFonts w:eastAsia="Times New Roman"/>
      <w:sz w:val="22"/>
      <w:szCs w:val="20"/>
      <w:u w:val="single"/>
      <w:lang w:val="en-US" w:eastAsia="en-US"/>
    </w:rPr>
  </w:style>
  <w:style w:type="character" w:customStyle="1" w:styleId="Heading6Char">
    <w:name w:val="Heading 6 Char"/>
    <w:link w:val="Heading6"/>
    <w:uiPriority w:val="9"/>
    <w:rsid w:val="00CD12CA"/>
    <w:rPr>
      <w:rFonts w:ascii="Arial" w:eastAsia="Times New Roman" w:hAnsi="Arial"/>
      <w:b/>
      <w:sz w:val="32"/>
      <w:szCs w:val="20"/>
      <w:lang w:val="en-US" w:eastAsia="en-US"/>
    </w:rPr>
  </w:style>
  <w:style w:type="character" w:customStyle="1" w:styleId="Heading7Char">
    <w:name w:val="Heading 7 Char"/>
    <w:link w:val="Heading7"/>
    <w:uiPriority w:val="9"/>
    <w:rsid w:val="00CD12CA"/>
    <w:rPr>
      <w:rFonts w:ascii="Calibri" w:eastAsia="Times New Roman" w:hAnsi="Calibri" w:cs="Times New Roman"/>
      <w:i/>
      <w:iCs/>
      <w:color w:val="404040"/>
      <w:lang w:val="sq-AL" w:eastAsia="bg-BG"/>
    </w:rPr>
  </w:style>
  <w:style w:type="character" w:customStyle="1" w:styleId="Heading8Char">
    <w:name w:val="Heading 8 Char"/>
    <w:link w:val="Heading8"/>
    <w:uiPriority w:val="9"/>
    <w:rsid w:val="00CD12CA"/>
    <w:rPr>
      <w:rFonts w:ascii="Calibri" w:eastAsia="Times New Roman" w:hAnsi="Calibri" w:cs="Times New Roman"/>
      <w:color w:val="404040"/>
      <w:sz w:val="20"/>
      <w:szCs w:val="20"/>
      <w:lang w:val="sq-AL" w:eastAsia="bg-BG"/>
    </w:rPr>
  </w:style>
  <w:style w:type="character" w:customStyle="1" w:styleId="Heading9Char">
    <w:name w:val="Heading 9 Char"/>
    <w:link w:val="Heading9"/>
    <w:uiPriority w:val="9"/>
    <w:rsid w:val="00CD12CA"/>
    <w:rPr>
      <w:rFonts w:ascii="Arial" w:eastAsia="Times New Roman" w:hAnsi="Arial" w:cs="Arial"/>
      <w:sz w:val="22"/>
      <w:szCs w:val="22"/>
      <w:lang w:val="sq-AL" w:eastAsia="bg-BG"/>
    </w:rPr>
  </w:style>
  <w:style w:type="paragraph" w:customStyle="1" w:styleId="Kapitel">
    <w:name w:val="Kapitel"/>
    <w:basedOn w:val="Normal"/>
    <w:autoRedefine/>
    <w:qFormat/>
    <w:rsid w:val="001B5991"/>
    <w:pPr>
      <w:spacing w:before="240" w:after="240" w:line="480" w:lineRule="auto"/>
      <w:ind w:left="360" w:hanging="360"/>
    </w:pPr>
    <w:rPr>
      <w:b/>
      <w:sz w:val="32"/>
    </w:rPr>
  </w:style>
  <w:style w:type="character" w:customStyle="1" w:styleId="longtext">
    <w:name w:val="long_text"/>
    <w:basedOn w:val="DefaultParagraphFont"/>
    <w:rsid w:val="00A661F3"/>
  </w:style>
  <w:style w:type="paragraph" w:styleId="ListParagraph">
    <w:name w:val="List Paragraph"/>
    <w:aliases w:val="Normal 1,List Paragraph (numbered (a)),List Paragraph 1,Akapit z listą BS,Bullets,Dot pt,F5 List Paragraph,List Paragraph Char Char Char,Indicator Text,Colorful List - Accent 11,Numbered Para 1,Bullet 1,Bullet Points,MAIN CONTENT"/>
    <w:basedOn w:val="Normal"/>
    <w:link w:val="ListParagraphChar"/>
    <w:uiPriority w:val="34"/>
    <w:qFormat/>
    <w:rsid w:val="00A661F3"/>
    <w:pPr>
      <w:spacing w:after="200" w:line="276" w:lineRule="auto"/>
      <w:ind w:left="720"/>
      <w:contextualSpacing/>
    </w:pPr>
    <w:rPr>
      <w:rFonts w:ascii="Cambria" w:hAnsi="Cambria"/>
      <w:sz w:val="22"/>
      <w:szCs w:val="22"/>
      <w:lang w:eastAsia="en-US" w:bidi="en-US"/>
    </w:rPr>
  </w:style>
  <w:style w:type="character" w:customStyle="1" w:styleId="ListParagraphChar">
    <w:name w:val="List Paragraph Char"/>
    <w:aliases w:val="Normal 1 Char,List Paragraph (numbered (a)) Char,List Paragraph 1 Char,Akapit z listą BS Char,Bullets Char,Dot pt Char,F5 List Paragraph Char,List Paragraph Char Char Char Char,Indicator Text Char,Colorful List - Accent 11 Char"/>
    <w:link w:val="ListParagraph"/>
    <w:uiPriority w:val="34"/>
    <w:rsid w:val="00A661F3"/>
    <w:rPr>
      <w:rFonts w:ascii="Cambria" w:eastAsia="MS Mincho" w:hAnsi="Cambria"/>
      <w:sz w:val="22"/>
      <w:szCs w:val="22"/>
      <w:lang w:val="en-US" w:eastAsia="en-US" w:bidi="en-US"/>
    </w:rPr>
  </w:style>
  <w:style w:type="paragraph" w:styleId="NoSpacing">
    <w:name w:val="No Spacing"/>
    <w:basedOn w:val="Normal"/>
    <w:link w:val="NoSpacingChar"/>
    <w:uiPriority w:val="1"/>
    <w:qFormat/>
    <w:rsid w:val="00A661F3"/>
    <w:rPr>
      <w:rFonts w:ascii="Cambria" w:hAnsi="Cambria"/>
      <w:sz w:val="22"/>
      <w:szCs w:val="22"/>
      <w:lang w:bidi="en-US"/>
    </w:rPr>
  </w:style>
  <w:style w:type="character" w:customStyle="1" w:styleId="NoSpacingChar">
    <w:name w:val="No Spacing Char"/>
    <w:link w:val="NoSpacing"/>
    <w:uiPriority w:val="1"/>
    <w:rsid w:val="00A661F3"/>
    <w:rPr>
      <w:rFonts w:ascii="Cambria" w:eastAsia="Times New Roman" w:hAnsi="Cambria"/>
      <w:sz w:val="22"/>
      <w:szCs w:val="22"/>
      <w:lang w:val="sq-AL" w:eastAsia="bg-BG" w:bidi="en-US"/>
    </w:rPr>
  </w:style>
  <w:style w:type="paragraph" w:styleId="BodyText3">
    <w:name w:val="Body Text 3"/>
    <w:basedOn w:val="Normal"/>
    <w:link w:val="BodyText3Char1"/>
    <w:rsid w:val="00A661F3"/>
    <w:pPr>
      <w:spacing w:after="120"/>
    </w:pPr>
    <w:rPr>
      <w:sz w:val="16"/>
      <w:szCs w:val="16"/>
      <w:lang w:val="bg-BG"/>
    </w:rPr>
  </w:style>
  <w:style w:type="character" w:customStyle="1" w:styleId="BodyText3Char1">
    <w:name w:val="Body Text 3 Char1"/>
    <w:link w:val="BodyText3"/>
    <w:rsid w:val="00A661F3"/>
    <w:rPr>
      <w:rFonts w:eastAsia="Times New Roman"/>
      <w:sz w:val="16"/>
      <w:szCs w:val="16"/>
      <w:lang w:val="bg-BG" w:eastAsia="bg-BG"/>
    </w:rPr>
  </w:style>
  <w:style w:type="table" w:styleId="MediumList1-Accent5">
    <w:name w:val="Medium List 1 Accent 5"/>
    <w:basedOn w:val="TableNormal"/>
    <w:uiPriority w:val="65"/>
    <w:rsid w:val="00A661F3"/>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BodyTextIndent2">
    <w:name w:val="Body Text Indent 2"/>
    <w:basedOn w:val="Normal"/>
    <w:link w:val="BodyTextIndent2Char"/>
    <w:unhideWhenUsed/>
    <w:rsid w:val="0006076F"/>
    <w:pPr>
      <w:spacing w:after="120" w:line="480" w:lineRule="auto"/>
      <w:ind w:left="283"/>
    </w:pPr>
  </w:style>
  <w:style w:type="character" w:customStyle="1" w:styleId="BodyTextIndent2Char">
    <w:name w:val="Body Text Indent 2 Char"/>
    <w:link w:val="BodyTextIndent2"/>
    <w:rsid w:val="0006076F"/>
    <w:rPr>
      <w:rFonts w:eastAsia="Times New Roman"/>
      <w:lang w:val="sq-AL" w:eastAsia="bg-BG"/>
    </w:rPr>
  </w:style>
  <w:style w:type="character" w:styleId="FootnoteReference">
    <w:name w:val="footnote reference"/>
    <w:uiPriority w:val="99"/>
    <w:rsid w:val="0006076F"/>
    <w:rPr>
      <w:rFonts w:ascii="Times New Roman" w:hAnsi="Times New Roman"/>
      <w:dstrike w:val="0"/>
      <w:spacing w:val="20"/>
      <w:position w:val="6"/>
      <w:sz w:val="18"/>
      <w:szCs w:val="18"/>
      <w:vertAlign w:val="baseline"/>
    </w:rPr>
  </w:style>
  <w:style w:type="paragraph" w:styleId="FootnoteText">
    <w:name w:val="footnote text"/>
    <w:basedOn w:val="Normal"/>
    <w:link w:val="FootnoteTextChar"/>
    <w:rsid w:val="0006076F"/>
    <w:pPr>
      <w:spacing w:after="120"/>
      <w:jc w:val="both"/>
    </w:pPr>
    <w:rPr>
      <w:sz w:val="16"/>
      <w:szCs w:val="20"/>
      <w:lang w:val="en-GB" w:eastAsia="en-US"/>
    </w:rPr>
  </w:style>
  <w:style w:type="character" w:customStyle="1" w:styleId="FootnoteTextChar">
    <w:name w:val="Footnote Text Char"/>
    <w:link w:val="FootnoteText"/>
    <w:rsid w:val="0006076F"/>
    <w:rPr>
      <w:rFonts w:eastAsia="Times New Roman"/>
      <w:sz w:val="16"/>
      <w:szCs w:val="20"/>
      <w:lang w:val="en-GB" w:eastAsia="en-US"/>
    </w:rPr>
  </w:style>
  <w:style w:type="paragraph" w:styleId="Caption">
    <w:name w:val="caption"/>
    <w:basedOn w:val="Normal"/>
    <w:next w:val="Normal"/>
    <w:uiPriority w:val="35"/>
    <w:qFormat/>
    <w:rsid w:val="0006076F"/>
    <w:pPr>
      <w:spacing w:after="120"/>
      <w:jc w:val="both"/>
    </w:pPr>
    <w:rPr>
      <w:b/>
      <w:bCs/>
      <w:sz w:val="20"/>
      <w:szCs w:val="20"/>
      <w:lang w:eastAsia="en-US"/>
    </w:rPr>
  </w:style>
  <w:style w:type="paragraph" w:styleId="HTMLPreformatted">
    <w:name w:val="HTML Preformatted"/>
    <w:basedOn w:val="Normal"/>
    <w:link w:val="HTMLPreformattedChar"/>
    <w:uiPriority w:val="99"/>
    <w:rsid w:val="0006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06076F"/>
    <w:rPr>
      <w:rFonts w:ascii="Courier New" w:eastAsia="Times New Roman" w:hAnsi="Courier New" w:cs="Courier New"/>
      <w:sz w:val="20"/>
      <w:szCs w:val="20"/>
      <w:lang w:val="en-US" w:eastAsia="en-US"/>
    </w:rPr>
  </w:style>
  <w:style w:type="character" w:customStyle="1" w:styleId="A0">
    <w:name w:val="A0"/>
    <w:rsid w:val="0006076F"/>
    <w:rPr>
      <w:color w:val="000000"/>
      <w:sz w:val="20"/>
      <w:szCs w:val="20"/>
    </w:rPr>
  </w:style>
  <w:style w:type="paragraph" w:styleId="BalloonText">
    <w:name w:val="Balloon Text"/>
    <w:basedOn w:val="Normal"/>
    <w:link w:val="BalloonTextChar"/>
    <w:uiPriority w:val="99"/>
    <w:semiHidden/>
    <w:unhideWhenUsed/>
    <w:rsid w:val="0006076F"/>
    <w:rPr>
      <w:rFonts w:ascii="Lucida Grande" w:hAnsi="Lucida Grande" w:cs="Lucida Grande"/>
      <w:sz w:val="18"/>
      <w:szCs w:val="18"/>
    </w:rPr>
  </w:style>
  <w:style w:type="character" w:customStyle="1" w:styleId="BalloonTextChar">
    <w:name w:val="Balloon Text Char"/>
    <w:link w:val="BalloonText"/>
    <w:uiPriority w:val="99"/>
    <w:semiHidden/>
    <w:rsid w:val="0006076F"/>
    <w:rPr>
      <w:rFonts w:ascii="Lucida Grande" w:eastAsia="Times New Roman" w:hAnsi="Lucida Grande" w:cs="Lucida Grande"/>
      <w:sz w:val="18"/>
      <w:szCs w:val="18"/>
      <w:lang w:val="sq-AL" w:eastAsia="bg-BG"/>
    </w:rPr>
  </w:style>
  <w:style w:type="paragraph" w:customStyle="1" w:styleId="Char">
    <w:name w:val="Char"/>
    <w:basedOn w:val="Normal"/>
    <w:rsid w:val="00CD12CA"/>
    <w:pPr>
      <w:tabs>
        <w:tab w:val="left" w:pos="709"/>
      </w:tabs>
    </w:pPr>
    <w:rPr>
      <w:rFonts w:ascii="Tahoma" w:hAnsi="Tahoma"/>
      <w:lang w:val="pl-PL" w:eastAsia="pl-PL"/>
    </w:rPr>
  </w:style>
  <w:style w:type="paragraph" w:customStyle="1" w:styleId="CharCharCharCharCharChar">
    <w:name w:val="Char Char Char Char Знак Char Char Знак"/>
    <w:basedOn w:val="Normal"/>
    <w:rsid w:val="00CD12CA"/>
    <w:pPr>
      <w:tabs>
        <w:tab w:val="left" w:pos="709"/>
      </w:tabs>
    </w:pPr>
    <w:rPr>
      <w:rFonts w:ascii="Tahoma" w:hAnsi="Tahoma"/>
      <w:lang w:val="pl-PL" w:eastAsia="pl-PL"/>
    </w:rPr>
  </w:style>
  <w:style w:type="paragraph" w:styleId="BodyText">
    <w:name w:val="Body Text"/>
    <w:aliases w:val="block style,Body"/>
    <w:basedOn w:val="Normal"/>
    <w:link w:val="BodyTextChar1"/>
    <w:rsid w:val="00CD12CA"/>
    <w:pPr>
      <w:spacing w:after="120"/>
    </w:pPr>
  </w:style>
  <w:style w:type="character" w:customStyle="1" w:styleId="BodyTextChar1">
    <w:name w:val="Body Text Char1"/>
    <w:aliases w:val="block style Char,Body Char"/>
    <w:link w:val="BodyText"/>
    <w:rsid w:val="00CD12CA"/>
    <w:rPr>
      <w:rFonts w:eastAsia="Times New Roman"/>
      <w:lang w:val="sq-AL" w:eastAsia="bg-BG"/>
    </w:rPr>
  </w:style>
  <w:style w:type="paragraph" w:customStyle="1" w:styleId="DefaultParagraphFontCharCharCharCharChar">
    <w:name w:val="Default Paragraph Font Char Char Char Char Char"/>
    <w:aliases w:val="Char1 Char Char Char Char Char Char Char Char Char Char"/>
    <w:basedOn w:val="Normal"/>
    <w:rsid w:val="00CD12CA"/>
    <w:pPr>
      <w:tabs>
        <w:tab w:val="left" w:pos="709"/>
      </w:tabs>
    </w:pPr>
    <w:rPr>
      <w:rFonts w:ascii="Tahoma" w:hAnsi="Tahoma"/>
      <w:lang w:val="pl-PL" w:eastAsia="pl-PL"/>
    </w:rPr>
  </w:style>
  <w:style w:type="paragraph" w:styleId="CommentText">
    <w:name w:val="annotation text"/>
    <w:basedOn w:val="Normal"/>
    <w:link w:val="CommentTextChar"/>
    <w:uiPriority w:val="99"/>
    <w:rsid w:val="00CD12CA"/>
    <w:rPr>
      <w:sz w:val="20"/>
      <w:szCs w:val="20"/>
    </w:rPr>
  </w:style>
  <w:style w:type="character" w:customStyle="1" w:styleId="CommentTextChar">
    <w:name w:val="Comment Text Char"/>
    <w:link w:val="CommentText"/>
    <w:uiPriority w:val="99"/>
    <w:rsid w:val="00CD12CA"/>
    <w:rPr>
      <w:rFonts w:eastAsia="Times New Roman"/>
      <w:sz w:val="20"/>
      <w:szCs w:val="20"/>
      <w:lang w:val="sq-AL" w:eastAsia="bg-BG"/>
    </w:rPr>
  </w:style>
  <w:style w:type="paragraph" w:styleId="CommentSubject">
    <w:name w:val="annotation subject"/>
    <w:basedOn w:val="CommentText"/>
    <w:next w:val="CommentText"/>
    <w:link w:val="CommentSubjectChar"/>
    <w:uiPriority w:val="99"/>
    <w:semiHidden/>
    <w:rsid w:val="00CD12CA"/>
    <w:rPr>
      <w:b/>
      <w:bCs/>
    </w:rPr>
  </w:style>
  <w:style w:type="character" w:customStyle="1" w:styleId="CommentSubjectChar">
    <w:name w:val="Comment Subject Char"/>
    <w:link w:val="CommentSubject"/>
    <w:uiPriority w:val="99"/>
    <w:semiHidden/>
    <w:rsid w:val="00CD12CA"/>
    <w:rPr>
      <w:rFonts w:eastAsia="Times New Roman"/>
      <w:b/>
      <w:bCs/>
      <w:sz w:val="20"/>
      <w:szCs w:val="20"/>
      <w:lang w:val="sq-AL" w:eastAsia="bg-BG"/>
    </w:rPr>
  </w:style>
  <w:style w:type="paragraph" w:customStyle="1" w:styleId="Char1">
    <w:name w:val="Char1"/>
    <w:basedOn w:val="Normal"/>
    <w:rsid w:val="00CD12CA"/>
    <w:pPr>
      <w:tabs>
        <w:tab w:val="left" w:pos="709"/>
      </w:tabs>
    </w:pPr>
    <w:rPr>
      <w:rFonts w:ascii="Tahoma" w:hAnsi="Tahoma"/>
      <w:lang w:val="pl-PL" w:eastAsia="pl-PL"/>
    </w:rPr>
  </w:style>
  <w:style w:type="paragraph" w:styleId="Footer">
    <w:name w:val="footer"/>
    <w:basedOn w:val="Normal"/>
    <w:link w:val="FooterChar"/>
    <w:uiPriority w:val="99"/>
    <w:rsid w:val="00CD12CA"/>
    <w:pPr>
      <w:tabs>
        <w:tab w:val="center" w:pos="4536"/>
        <w:tab w:val="right" w:pos="9072"/>
      </w:tabs>
    </w:pPr>
  </w:style>
  <w:style w:type="character" w:customStyle="1" w:styleId="FooterChar">
    <w:name w:val="Footer Char"/>
    <w:link w:val="Footer"/>
    <w:uiPriority w:val="99"/>
    <w:rsid w:val="00CD12CA"/>
    <w:rPr>
      <w:rFonts w:eastAsia="Times New Roman"/>
      <w:lang w:val="sq-AL" w:eastAsia="bg-BG"/>
    </w:rPr>
  </w:style>
  <w:style w:type="character" w:styleId="PageNumber">
    <w:name w:val="page number"/>
    <w:basedOn w:val="DefaultParagraphFont"/>
    <w:rsid w:val="00CD12CA"/>
  </w:style>
  <w:style w:type="paragraph" w:customStyle="1" w:styleId="CharCharCharChar">
    <w:name w:val="Char Char Char Char"/>
    <w:basedOn w:val="Normal"/>
    <w:rsid w:val="00CD12CA"/>
    <w:pPr>
      <w:tabs>
        <w:tab w:val="left" w:pos="709"/>
      </w:tabs>
    </w:pPr>
    <w:rPr>
      <w:rFonts w:ascii="Tahoma" w:hAnsi="Tahoma"/>
      <w:lang w:val="pl-PL" w:eastAsia="pl-PL"/>
    </w:rPr>
  </w:style>
  <w:style w:type="paragraph" w:styleId="BodyText2">
    <w:name w:val="Body Text 2"/>
    <w:basedOn w:val="Normal"/>
    <w:link w:val="BodyText2Char"/>
    <w:rsid w:val="00CD12CA"/>
    <w:pPr>
      <w:spacing w:after="120" w:line="480" w:lineRule="auto"/>
    </w:pPr>
  </w:style>
  <w:style w:type="character" w:customStyle="1" w:styleId="BodyText2Char">
    <w:name w:val="Body Text 2 Char"/>
    <w:link w:val="BodyText2"/>
    <w:rsid w:val="00CD12CA"/>
    <w:rPr>
      <w:rFonts w:eastAsia="Times New Roman"/>
      <w:lang w:val="sq-AL" w:eastAsia="bg-BG"/>
    </w:rPr>
  </w:style>
  <w:style w:type="paragraph" w:styleId="Header">
    <w:name w:val="header"/>
    <w:basedOn w:val="Normal"/>
    <w:link w:val="HeaderChar"/>
    <w:rsid w:val="00CD12CA"/>
    <w:pPr>
      <w:tabs>
        <w:tab w:val="center" w:pos="4153"/>
        <w:tab w:val="right" w:pos="8306"/>
      </w:tabs>
      <w:spacing w:after="120" w:line="360" w:lineRule="auto"/>
      <w:ind w:firstLine="720"/>
      <w:jc w:val="both"/>
    </w:pPr>
    <w:rPr>
      <w:rFonts w:ascii="Arial" w:hAnsi="Arial"/>
      <w:szCs w:val="20"/>
      <w:lang w:eastAsia="en-US"/>
    </w:rPr>
  </w:style>
  <w:style w:type="character" w:customStyle="1" w:styleId="HeaderChar">
    <w:name w:val="Header Char"/>
    <w:link w:val="Header"/>
    <w:rsid w:val="00CD12CA"/>
    <w:rPr>
      <w:rFonts w:ascii="Arial" w:eastAsia="Times New Roman" w:hAnsi="Arial"/>
      <w:szCs w:val="20"/>
      <w:lang w:val="sq-AL" w:eastAsia="en-US"/>
    </w:rPr>
  </w:style>
  <w:style w:type="paragraph" w:styleId="TOC1">
    <w:name w:val="toc 1"/>
    <w:basedOn w:val="Normal"/>
    <w:next w:val="Normal"/>
    <w:autoRedefine/>
    <w:uiPriority w:val="39"/>
    <w:qFormat/>
    <w:rsid w:val="00296FB3"/>
    <w:pPr>
      <w:spacing w:before="120" w:after="120"/>
    </w:pPr>
    <w:rPr>
      <w:rFonts w:ascii="Calibri" w:hAnsi="Calibri" w:cs="Calibri"/>
      <w:b/>
      <w:bCs/>
      <w:caps/>
      <w:sz w:val="20"/>
      <w:szCs w:val="20"/>
    </w:rPr>
  </w:style>
  <w:style w:type="character" w:styleId="Hyperlink">
    <w:name w:val="Hyperlink"/>
    <w:uiPriority w:val="99"/>
    <w:rsid w:val="00CD12CA"/>
    <w:rPr>
      <w:color w:val="0000FF"/>
      <w:u w:val="single"/>
    </w:rPr>
  </w:style>
  <w:style w:type="paragraph" w:customStyle="1" w:styleId="Style">
    <w:name w:val="Style"/>
    <w:rsid w:val="00CD12CA"/>
    <w:pPr>
      <w:widowControl w:val="0"/>
      <w:autoSpaceDE w:val="0"/>
      <w:autoSpaceDN w:val="0"/>
      <w:adjustRightInd w:val="0"/>
      <w:ind w:left="140" w:right="140" w:firstLine="840"/>
      <w:jc w:val="both"/>
    </w:pPr>
    <w:rPr>
      <w:sz w:val="24"/>
      <w:szCs w:val="24"/>
      <w:lang w:val="bg-BG" w:eastAsia="bg-BG"/>
    </w:rPr>
  </w:style>
  <w:style w:type="paragraph" w:customStyle="1" w:styleId="CharCharCharCharCharCharCharChar1CharCharCharChar">
    <w:name w:val="Char Char Char Char Char Char Char Char1 Char Char Char Char"/>
    <w:basedOn w:val="Normal"/>
    <w:rsid w:val="00CD12CA"/>
    <w:pPr>
      <w:tabs>
        <w:tab w:val="left" w:pos="720"/>
      </w:tabs>
      <w:spacing w:after="160" w:line="240" w:lineRule="exact"/>
    </w:pPr>
    <w:rPr>
      <w:rFonts w:ascii="Tahoma" w:hAnsi="Tahoma"/>
      <w:color w:val="000080"/>
      <w:sz w:val="20"/>
      <w:szCs w:val="20"/>
      <w:lang w:eastAsia="en-US"/>
    </w:rPr>
  </w:style>
  <w:style w:type="paragraph" w:styleId="NormalWeb">
    <w:name w:val="Normal (Web)"/>
    <w:basedOn w:val="Normal"/>
    <w:uiPriority w:val="99"/>
    <w:rsid w:val="00CD12CA"/>
    <w:pPr>
      <w:spacing w:before="100" w:beforeAutospacing="1" w:after="100" w:afterAutospacing="1"/>
    </w:pPr>
    <w:rPr>
      <w:lang w:eastAsia="en-US"/>
    </w:rPr>
  </w:style>
  <w:style w:type="paragraph" w:customStyle="1" w:styleId="Default">
    <w:name w:val="Default"/>
    <w:rsid w:val="00CD12CA"/>
    <w:pPr>
      <w:autoSpaceDE w:val="0"/>
      <w:autoSpaceDN w:val="0"/>
      <w:adjustRightInd w:val="0"/>
      <w:spacing w:after="200" w:line="276" w:lineRule="auto"/>
    </w:pPr>
    <w:rPr>
      <w:rFonts w:ascii="Georgia" w:hAnsi="Georgia" w:cs="Georgia"/>
      <w:color w:val="000000"/>
      <w:sz w:val="24"/>
      <w:szCs w:val="24"/>
    </w:rPr>
  </w:style>
  <w:style w:type="paragraph" w:customStyle="1" w:styleId="style38">
    <w:name w:val="style38"/>
    <w:basedOn w:val="Normal"/>
    <w:rsid w:val="00CD12CA"/>
    <w:pPr>
      <w:spacing w:before="100" w:beforeAutospacing="1" w:after="100" w:afterAutospacing="1"/>
    </w:pPr>
    <w:rPr>
      <w:rFonts w:ascii="Georgia" w:hAnsi="Georgia"/>
      <w:color w:val="660000"/>
      <w:sz w:val="20"/>
      <w:szCs w:val="20"/>
      <w:lang w:eastAsia="en-US"/>
    </w:rPr>
  </w:style>
  <w:style w:type="character" w:customStyle="1" w:styleId="style421">
    <w:name w:val="style421"/>
    <w:rsid w:val="00CD12CA"/>
    <w:rPr>
      <w:rFonts w:ascii="Verdana" w:hAnsi="Verdana" w:cs="Times New Roman"/>
      <w:sz w:val="20"/>
      <w:szCs w:val="20"/>
    </w:rPr>
  </w:style>
  <w:style w:type="paragraph" w:customStyle="1" w:styleId="CharCharCharCharCharCharCharCharChar">
    <w:name w:val="Char Char Char Char Char Char Char Char Char"/>
    <w:basedOn w:val="Normal"/>
    <w:rsid w:val="00CD12CA"/>
    <w:pPr>
      <w:spacing w:after="160" w:line="240" w:lineRule="exact"/>
    </w:pPr>
    <w:rPr>
      <w:rFonts w:ascii="Tahoma" w:hAnsi="Tahoma"/>
      <w:sz w:val="20"/>
      <w:szCs w:val="20"/>
      <w:lang w:eastAsia="en-US"/>
    </w:rPr>
  </w:style>
  <w:style w:type="character" w:customStyle="1" w:styleId="dictdef1">
    <w:name w:val="dictdef1"/>
    <w:rsid w:val="00CD12CA"/>
    <w:rPr>
      <w:color w:val="000000"/>
      <w:sz w:val="18"/>
      <w:szCs w:val="18"/>
    </w:rPr>
  </w:style>
  <w:style w:type="character" w:customStyle="1" w:styleId="dictdef">
    <w:name w:val="dictdef"/>
    <w:basedOn w:val="DefaultParagraphFont"/>
    <w:rsid w:val="00CD12CA"/>
  </w:style>
  <w:style w:type="character" w:customStyle="1" w:styleId="apple-style-span">
    <w:name w:val="apple-style-span"/>
    <w:basedOn w:val="DefaultParagraphFont"/>
    <w:rsid w:val="00CD12CA"/>
  </w:style>
  <w:style w:type="character" w:customStyle="1" w:styleId="apple-converted-space">
    <w:name w:val="apple-converted-space"/>
    <w:basedOn w:val="DefaultParagraphFont"/>
    <w:rsid w:val="00CD12CA"/>
  </w:style>
  <w:style w:type="character" w:customStyle="1" w:styleId="ecxlongtext">
    <w:name w:val="ecxlong_text"/>
    <w:basedOn w:val="DefaultParagraphFont"/>
    <w:rsid w:val="00CD12CA"/>
  </w:style>
  <w:style w:type="paragraph" w:customStyle="1" w:styleId="CharCharCharCharCharCharCharCharCharCharCharCharCharCharCharCharCharCharChar1CharCharCharCharCharCharCharChar">
    <w:name w:val="Char Char Char Char Char Char Char Char Char Char Char Char Char Char Char Char Char Char Char1 Char Char Char Char Char Char Char Char"/>
    <w:basedOn w:val="Normal"/>
    <w:rsid w:val="00CD12CA"/>
    <w:pPr>
      <w:spacing w:after="160" w:line="240" w:lineRule="exact"/>
    </w:pPr>
    <w:rPr>
      <w:rFonts w:ascii="Tahoma" w:hAnsi="Tahoma"/>
      <w:sz w:val="20"/>
      <w:szCs w:val="20"/>
      <w:lang w:eastAsia="en-US"/>
    </w:rPr>
  </w:style>
  <w:style w:type="character" w:customStyle="1" w:styleId="DocumentMapChar">
    <w:name w:val="Document Map Char"/>
    <w:link w:val="DocumentMap"/>
    <w:semiHidden/>
    <w:rsid w:val="00CD12CA"/>
    <w:rPr>
      <w:rFonts w:ascii="Tahoma" w:eastAsia="Times New Roman" w:hAnsi="Tahoma" w:cs="Tahoma"/>
      <w:sz w:val="20"/>
      <w:szCs w:val="20"/>
      <w:shd w:val="clear" w:color="auto" w:fill="000080"/>
      <w:lang w:val="sq-AL" w:eastAsia="bg-BG"/>
    </w:rPr>
  </w:style>
  <w:style w:type="paragraph" w:styleId="DocumentMap">
    <w:name w:val="Document Map"/>
    <w:basedOn w:val="Normal"/>
    <w:link w:val="DocumentMapChar"/>
    <w:semiHidden/>
    <w:rsid w:val="00CD12CA"/>
    <w:pPr>
      <w:shd w:val="clear" w:color="auto" w:fill="000080"/>
    </w:pPr>
    <w:rPr>
      <w:rFonts w:ascii="Tahoma" w:hAnsi="Tahoma" w:cs="Tahoma"/>
      <w:sz w:val="20"/>
      <w:szCs w:val="20"/>
    </w:rPr>
  </w:style>
  <w:style w:type="paragraph" w:customStyle="1" w:styleId="Char2">
    <w:name w:val="Char2"/>
    <w:basedOn w:val="Normal"/>
    <w:rsid w:val="00CD12CA"/>
    <w:pPr>
      <w:spacing w:after="160" w:line="240" w:lineRule="exact"/>
    </w:pPr>
    <w:rPr>
      <w:rFonts w:ascii="Tahoma" w:hAnsi="Tahoma"/>
      <w:sz w:val="20"/>
      <w:szCs w:val="20"/>
      <w:lang w:eastAsia="en-US"/>
    </w:rPr>
  </w:style>
  <w:style w:type="character" w:customStyle="1" w:styleId="hps">
    <w:name w:val="hps"/>
    <w:basedOn w:val="DefaultParagraphFont"/>
    <w:rsid w:val="00CD12CA"/>
  </w:style>
  <w:style w:type="paragraph" w:customStyle="1" w:styleId="yiv132867390msonormal">
    <w:name w:val="yiv132867390msonormal"/>
    <w:basedOn w:val="Normal"/>
    <w:rsid w:val="00CD12CA"/>
    <w:pPr>
      <w:spacing w:before="100" w:beforeAutospacing="1" w:after="100" w:afterAutospacing="1"/>
    </w:pPr>
    <w:rPr>
      <w:rFonts w:eastAsia="Calibri"/>
      <w:lang w:eastAsia="en-US"/>
    </w:rPr>
  </w:style>
  <w:style w:type="character" w:customStyle="1" w:styleId="CharChar5">
    <w:name w:val="Char Char5"/>
    <w:rsid w:val="00CD12CA"/>
    <w:rPr>
      <w:sz w:val="16"/>
      <w:szCs w:val="16"/>
      <w:lang w:val="bg-BG" w:eastAsia="bg-BG" w:bidi="ar-SA"/>
    </w:rPr>
  </w:style>
  <w:style w:type="character" w:customStyle="1" w:styleId="CharChar7">
    <w:name w:val="Char Char7"/>
    <w:rsid w:val="00CD12CA"/>
    <w:rPr>
      <w:sz w:val="24"/>
      <w:szCs w:val="24"/>
      <w:lang w:val="sq-AL" w:eastAsia="bg-BG"/>
    </w:rPr>
  </w:style>
  <w:style w:type="character" w:customStyle="1" w:styleId="Heading2CharChar">
    <w:name w:val="Heading 2 Char Char"/>
    <w:rsid w:val="00CD12CA"/>
    <w:rPr>
      <w:sz w:val="22"/>
      <w:szCs w:val="22"/>
      <w:u w:val="single"/>
      <w:lang w:val="en-GB" w:eastAsia="en-US" w:bidi="ar-SA"/>
    </w:rPr>
  </w:style>
  <w:style w:type="paragraph" w:customStyle="1" w:styleId="Level1">
    <w:name w:val="Level 1"/>
    <w:basedOn w:val="Normal"/>
    <w:rsid w:val="00CD12CA"/>
    <w:pPr>
      <w:widowControl w:val="0"/>
      <w:spacing w:after="120"/>
      <w:jc w:val="both"/>
    </w:pPr>
    <w:rPr>
      <w:snapToGrid w:val="0"/>
      <w:sz w:val="22"/>
      <w:szCs w:val="20"/>
      <w:lang w:eastAsia="en-US"/>
    </w:rPr>
  </w:style>
  <w:style w:type="paragraph" w:styleId="Title">
    <w:name w:val="Title"/>
    <w:basedOn w:val="Normal"/>
    <w:link w:val="TitleChar"/>
    <w:qFormat/>
    <w:rsid w:val="00CD12CA"/>
    <w:pPr>
      <w:spacing w:after="120"/>
      <w:jc w:val="center"/>
    </w:pPr>
    <w:rPr>
      <w:b/>
      <w:sz w:val="28"/>
      <w:szCs w:val="20"/>
      <w:lang w:val="en-GB" w:eastAsia="en-US"/>
    </w:rPr>
  </w:style>
  <w:style w:type="character" w:customStyle="1" w:styleId="TitleChar">
    <w:name w:val="Title Char"/>
    <w:link w:val="Title"/>
    <w:rsid w:val="00CD12CA"/>
    <w:rPr>
      <w:rFonts w:eastAsia="Times New Roman"/>
      <w:b/>
      <w:sz w:val="28"/>
      <w:szCs w:val="20"/>
      <w:lang w:val="en-GB" w:eastAsia="en-US"/>
    </w:rPr>
  </w:style>
  <w:style w:type="paragraph" w:styleId="TOC2">
    <w:name w:val="toc 2"/>
    <w:basedOn w:val="Normal"/>
    <w:next w:val="Normal"/>
    <w:autoRedefine/>
    <w:uiPriority w:val="39"/>
    <w:qFormat/>
    <w:rsid w:val="00A14353"/>
    <w:pPr>
      <w:tabs>
        <w:tab w:val="right" w:leader="dot" w:pos="9062"/>
      </w:tabs>
      <w:ind w:left="240"/>
    </w:pPr>
    <w:rPr>
      <w:rFonts w:ascii="Cambria" w:hAnsi="Cambria" w:cs="Calibri"/>
      <w:b/>
      <w:smallCaps/>
      <w:noProof/>
      <w:sz w:val="22"/>
      <w:szCs w:val="22"/>
    </w:rPr>
  </w:style>
  <w:style w:type="paragraph" w:styleId="TOC3">
    <w:name w:val="toc 3"/>
    <w:basedOn w:val="Normal"/>
    <w:next w:val="Normal"/>
    <w:autoRedefine/>
    <w:uiPriority w:val="39"/>
    <w:qFormat/>
    <w:rsid w:val="00CD12CA"/>
    <w:pPr>
      <w:ind w:left="480"/>
    </w:pPr>
    <w:rPr>
      <w:rFonts w:ascii="Calibri" w:hAnsi="Calibri" w:cs="Calibri"/>
      <w:i/>
      <w:iCs/>
      <w:sz w:val="20"/>
      <w:szCs w:val="20"/>
    </w:rPr>
  </w:style>
  <w:style w:type="paragraph" w:styleId="ListBullet">
    <w:name w:val="List Bullet"/>
    <w:basedOn w:val="Normal"/>
    <w:rsid w:val="00CD12CA"/>
    <w:pPr>
      <w:tabs>
        <w:tab w:val="num" w:pos="720"/>
      </w:tabs>
      <w:spacing w:after="120"/>
      <w:ind w:left="720" w:hanging="360"/>
      <w:jc w:val="both"/>
    </w:pPr>
    <w:rPr>
      <w:sz w:val="22"/>
      <w:szCs w:val="20"/>
      <w:lang w:eastAsia="en-US"/>
    </w:rPr>
  </w:style>
  <w:style w:type="paragraph" w:customStyle="1" w:styleId="StyleCaptionCentered">
    <w:name w:val="Style Caption + Centered"/>
    <w:basedOn w:val="Caption"/>
    <w:rsid w:val="00CD12CA"/>
    <w:pPr>
      <w:jc w:val="center"/>
    </w:pPr>
    <w:rPr>
      <w:b w:val="0"/>
    </w:rPr>
  </w:style>
  <w:style w:type="paragraph" w:customStyle="1" w:styleId="StyleCaptionNotBold">
    <w:name w:val="Style Caption + Not Bold"/>
    <w:basedOn w:val="Caption"/>
    <w:rsid w:val="00CD12CA"/>
    <w:pPr>
      <w:jc w:val="center"/>
    </w:pPr>
    <w:rPr>
      <w:b w:val="0"/>
      <w:bCs w:val="0"/>
    </w:rPr>
  </w:style>
  <w:style w:type="character" w:customStyle="1" w:styleId="CaptionChar">
    <w:name w:val="Caption Char"/>
    <w:rsid w:val="00CD12CA"/>
    <w:rPr>
      <w:b/>
      <w:bCs/>
      <w:lang w:val="en-US" w:eastAsia="en-US" w:bidi="ar-SA"/>
    </w:rPr>
  </w:style>
  <w:style w:type="paragraph" w:customStyle="1" w:styleId="Footnote">
    <w:name w:val="Footnote"/>
    <w:basedOn w:val="FootnoteText"/>
    <w:autoRedefine/>
    <w:rsid w:val="00CD12CA"/>
    <w:pPr>
      <w:widowControl w:val="0"/>
      <w:suppressAutoHyphens/>
      <w:spacing w:after="0"/>
      <w:ind w:left="86" w:hanging="86"/>
    </w:pPr>
    <w:rPr>
      <w:spacing w:val="5"/>
      <w:w w:val="104"/>
      <w:kern w:val="14"/>
      <w:szCs w:val="16"/>
    </w:rPr>
  </w:style>
  <w:style w:type="paragraph" w:customStyle="1" w:styleId="FigureHeading">
    <w:name w:val="Figure Heading"/>
    <w:basedOn w:val="Caption"/>
    <w:next w:val="Heading4"/>
    <w:autoRedefine/>
    <w:rsid w:val="00CD12CA"/>
    <w:pPr>
      <w:suppressAutoHyphens/>
    </w:pPr>
    <w:rPr>
      <w:b w:val="0"/>
      <w:spacing w:val="4"/>
      <w:w w:val="103"/>
      <w:kern w:val="14"/>
      <w:sz w:val="22"/>
      <w:szCs w:val="22"/>
      <w:lang w:val="en-GB"/>
    </w:rPr>
  </w:style>
  <w:style w:type="paragraph" w:customStyle="1" w:styleId="Annex">
    <w:name w:val="Annex"/>
    <w:basedOn w:val="Heading3"/>
    <w:autoRedefine/>
    <w:rsid w:val="00CD12CA"/>
    <w:pPr>
      <w:keepNext w:val="0"/>
      <w:keepLines w:val="0"/>
      <w:tabs>
        <w:tab w:val="left" w:pos="475"/>
        <w:tab w:val="left" w:pos="720"/>
        <w:tab w:val="num" w:pos="1440"/>
        <w:tab w:val="center" w:pos="4320"/>
        <w:tab w:val="right" w:pos="8640"/>
      </w:tabs>
      <w:suppressAutoHyphens/>
      <w:spacing w:before="0" w:after="120"/>
      <w:ind w:left="1440" w:hanging="360"/>
      <w:jc w:val="center"/>
    </w:pPr>
    <w:rPr>
      <w:rFonts w:ascii="Times New Roman" w:hAnsi="Times New Roman"/>
      <w:b w:val="0"/>
      <w:bCs w:val="0"/>
      <w:noProof/>
      <w:szCs w:val="22"/>
      <w:u w:val="single"/>
      <w:lang w:val="en-GB" w:eastAsia="en-US"/>
    </w:rPr>
  </w:style>
  <w:style w:type="character" w:customStyle="1" w:styleId="AnnexChar">
    <w:name w:val="Annex Char"/>
    <w:rsid w:val="00CD12CA"/>
    <w:rPr>
      <w:b/>
      <w:noProof/>
      <w:sz w:val="22"/>
      <w:u w:val="single"/>
      <w:lang w:val="en-US" w:eastAsia="en-US" w:bidi="ar-SA"/>
    </w:rPr>
  </w:style>
  <w:style w:type="character" w:customStyle="1" w:styleId="StyleCaptionNotBoldChar">
    <w:name w:val="Style Caption + Not Bold Char"/>
    <w:rsid w:val="00CD12CA"/>
    <w:rPr>
      <w:b/>
      <w:bCs/>
      <w:lang w:val="en-US" w:eastAsia="en-US" w:bidi="ar-SA"/>
    </w:rPr>
  </w:style>
  <w:style w:type="paragraph" w:customStyle="1" w:styleId="StyleCaptionCentered1">
    <w:name w:val="Style Caption + Centered1"/>
    <w:basedOn w:val="Caption"/>
    <w:rsid w:val="00CD12CA"/>
    <w:pPr>
      <w:jc w:val="center"/>
    </w:pPr>
    <w:rPr>
      <w:b w:val="0"/>
    </w:rPr>
  </w:style>
  <w:style w:type="character" w:customStyle="1" w:styleId="BodyTextChar">
    <w:name w:val="Body Text Char"/>
    <w:rsid w:val="00CD12CA"/>
    <w:rPr>
      <w:sz w:val="22"/>
      <w:szCs w:val="22"/>
      <w:lang w:val="en-US" w:eastAsia="en-US" w:bidi="ar-SA"/>
    </w:rPr>
  </w:style>
  <w:style w:type="paragraph" w:styleId="TableofFigures">
    <w:name w:val="table of figures"/>
    <w:basedOn w:val="Normal"/>
    <w:next w:val="Normal"/>
    <w:uiPriority w:val="99"/>
    <w:rsid w:val="00CD12CA"/>
    <w:pPr>
      <w:ind w:left="480" w:hanging="480"/>
    </w:pPr>
    <w:rPr>
      <w:rFonts w:ascii="Calibri" w:hAnsi="Calibri" w:cs="Calibri"/>
      <w:smallCaps/>
      <w:sz w:val="20"/>
      <w:szCs w:val="20"/>
    </w:rPr>
  </w:style>
  <w:style w:type="paragraph" w:styleId="PlainText">
    <w:name w:val="Plain Text"/>
    <w:basedOn w:val="Normal"/>
    <w:link w:val="PlainTextChar"/>
    <w:rsid w:val="00CD12CA"/>
    <w:rPr>
      <w:rFonts w:ascii="Courier New" w:hAnsi="Courier New" w:cs="Courier New"/>
      <w:sz w:val="20"/>
      <w:szCs w:val="20"/>
      <w:lang w:eastAsia="en-US"/>
    </w:rPr>
  </w:style>
  <w:style w:type="character" w:customStyle="1" w:styleId="PlainTextChar">
    <w:name w:val="Plain Text Char"/>
    <w:link w:val="PlainText"/>
    <w:rsid w:val="00CD12CA"/>
    <w:rPr>
      <w:rFonts w:ascii="Courier New" w:eastAsia="Times New Roman" w:hAnsi="Courier New" w:cs="Courier New"/>
      <w:sz w:val="20"/>
      <w:szCs w:val="20"/>
      <w:lang w:val="en-US" w:eastAsia="en-US"/>
    </w:rPr>
  </w:style>
  <w:style w:type="character" w:customStyle="1" w:styleId="FootnoteChar">
    <w:name w:val="Footnote Char"/>
    <w:rsid w:val="00CD12CA"/>
    <w:rPr>
      <w:spacing w:val="5"/>
      <w:w w:val="104"/>
      <w:kern w:val="14"/>
      <w:sz w:val="16"/>
      <w:szCs w:val="16"/>
      <w:lang w:val="en-GB" w:eastAsia="en-US" w:bidi="ar-SA"/>
    </w:rPr>
  </w:style>
  <w:style w:type="character" w:customStyle="1" w:styleId="StyleFootnoteReferenceTimesNewW1">
    <w:name w:val="Style Footnote Reference + Times New (W1)"/>
    <w:rsid w:val="00CD12CA"/>
    <w:rPr>
      <w:rFonts w:ascii="Times New Roman" w:hAnsi="Times New Roman"/>
      <w:dstrike w:val="0"/>
      <w:spacing w:val="20"/>
      <w:position w:val="6"/>
      <w:sz w:val="16"/>
      <w:szCs w:val="16"/>
      <w:vertAlign w:val="superscript"/>
    </w:rPr>
  </w:style>
  <w:style w:type="character" w:customStyle="1" w:styleId="StyleFootnoteReferenceTimesNewW11">
    <w:name w:val="Style Footnote Reference + Times New (W1)1"/>
    <w:rsid w:val="00CD12CA"/>
    <w:rPr>
      <w:rFonts w:ascii="Times New Roman" w:hAnsi="Times New Roman"/>
      <w:dstrike w:val="0"/>
      <w:spacing w:val="20"/>
      <w:position w:val="6"/>
      <w:sz w:val="16"/>
      <w:szCs w:val="16"/>
      <w:vertAlign w:val="superscript"/>
    </w:rPr>
  </w:style>
  <w:style w:type="paragraph" w:customStyle="1" w:styleId="StyleHeading3Underline">
    <w:name w:val="Style Heading 3 + Underline"/>
    <w:basedOn w:val="Heading3"/>
    <w:rsid w:val="00CD12CA"/>
    <w:pPr>
      <w:keepLines w:val="0"/>
      <w:tabs>
        <w:tab w:val="num" w:pos="360"/>
        <w:tab w:val="left" w:pos="475"/>
      </w:tabs>
      <w:suppressAutoHyphens/>
      <w:spacing w:before="0" w:after="120"/>
      <w:ind w:left="1467" w:hanging="1467"/>
      <w:jc w:val="center"/>
    </w:pPr>
    <w:rPr>
      <w:rFonts w:ascii="Times New Roman" w:hAnsi="Times New Roman"/>
      <w:b w:val="0"/>
      <w:bCs w:val="0"/>
      <w:szCs w:val="22"/>
      <w:u w:val="single"/>
      <w:lang w:val="en-GB" w:eastAsia="en-US"/>
    </w:rPr>
  </w:style>
  <w:style w:type="paragraph" w:customStyle="1" w:styleId="StyleHeading1CenteredAfter0pt">
    <w:name w:val="Style Heading 1 + Centered After:  0 pt"/>
    <w:basedOn w:val="Heading1"/>
    <w:rsid w:val="00CD12CA"/>
    <w:pPr>
      <w:tabs>
        <w:tab w:val="num" w:pos="360"/>
      </w:tabs>
      <w:spacing w:after="0"/>
      <w:ind w:left="360" w:hanging="360"/>
      <w:jc w:val="center"/>
    </w:pPr>
    <w:rPr>
      <w:szCs w:val="20"/>
    </w:rPr>
  </w:style>
  <w:style w:type="paragraph" w:customStyle="1" w:styleId="StyleHeading1Centered">
    <w:name w:val="Style Heading 1 + Centered"/>
    <w:basedOn w:val="Heading1"/>
    <w:rsid w:val="00CD12CA"/>
    <w:pPr>
      <w:jc w:val="center"/>
    </w:pPr>
    <w:rPr>
      <w:szCs w:val="20"/>
    </w:rPr>
  </w:style>
  <w:style w:type="paragraph" w:styleId="TOC4">
    <w:name w:val="toc 4"/>
    <w:basedOn w:val="Normal"/>
    <w:next w:val="Normal"/>
    <w:autoRedefine/>
    <w:uiPriority w:val="39"/>
    <w:rsid w:val="00CD12CA"/>
    <w:pPr>
      <w:ind w:left="720"/>
    </w:pPr>
    <w:rPr>
      <w:rFonts w:ascii="Calibri" w:hAnsi="Calibri" w:cs="Calibri"/>
      <w:sz w:val="18"/>
      <w:szCs w:val="18"/>
    </w:rPr>
  </w:style>
  <w:style w:type="paragraph" w:styleId="TOC5">
    <w:name w:val="toc 5"/>
    <w:basedOn w:val="Normal"/>
    <w:next w:val="Normal"/>
    <w:autoRedefine/>
    <w:uiPriority w:val="39"/>
    <w:rsid w:val="00CD12CA"/>
    <w:pPr>
      <w:ind w:left="960"/>
    </w:pPr>
    <w:rPr>
      <w:rFonts w:ascii="Calibri" w:hAnsi="Calibri" w:cs="Calibri"/>
      <w:sz w:val="18"/>
      <w:szCs w:val="18"/>
    </w:rPr>
  </w:style>
  <w:style w:type="paragraph" w:styleId="TOC6">
    <w:name w:val="toc 6"/>
    <w:basedOn w:val="Normal"/>
    <w:next w:val="Normal"/>
    <w:autoRedefine/>
    <w:uiPriority w:val="39"/>
    <w:rsid w:val="00CD12CA"/>
    <w:pPr>
      <w:ind w:left="1200"/>
    </w:pPr>
    <w:rPr>
      <w:rFonts w:ascii="Calibri" w:hAnsi="Calibri" w:cs="Calibri"/>
      <w:sz w:val="18"/>
      <w:szCs w:val="18"/>
    </w:rPr>
  </w:style>
  <w:style w:type="paragraph" w:styleId="TOC7">
    <w:name w:val="toc 7"/>
    <w:basedOn w:val="Normal"/>
    <w:next w:val="Normal"/>
    <w:autoRedefine/>
    <w:uiPriority w:val="39"/>
    <w:rsid w:val="00CD12CA"/>
    <w:pPr>
      <w:ind w:left="1440"/>
    </w:pPr>
    <w:rPr>
      <w:rFonts w:ascii="Calibri" w:hAnsi="Calibri" w:cs="Calibri"/>
      <w:sz w:val="18"/>
      <w:szCs w:val="18"/>
    </w:rPr>
  </w:style>
  <w:style w:type="paragraph" w:styleId="TOC8">
    <w:name w:val="toc 8"/>
    <w:basedOn w:val="Normal"/>
    <w:next w:val="Normal"/>
    <w:autoRedefine/>
    <w:uiPriority w:val="39"/>
    <w:rsid w:val="00CD12CA"/>
    <w:pPr>
      <w:ind w:left="1680"/>
    </w:pPr>
    <w:rPr>
      <w:rFonts w:ascii="Calibri" w:hAnsi="Calibri" w:cs="Calibri"/>
      <w:sz w:val="18"/>
      <w:szCs w:val="18"/>
    </w:rPr>
  </w:style>
  <w:style w:type="paragraph" w:styleId="TOC9">
    <w:name w:val="toc 9"/>
    <w:basedOn w:val="Normal"/>
    <w:next w:val="Normal"/>
    <w:autoRedefine/>
    <w:uiPriority w:val="39"/>
    <w:rsid w:val="00CD12CA"/>
    <w:pPr>
      <w:ind w:left="1920"/>
    </w:pPr>
    <w:rPr>
      <w:rFonts w:ascii="Calibri" w:hAnsi="Calibri" w:cs="Calibri"/>
      <w:sz w:val="18"/>
      <w:szCs w:val="18"/>
    </w:rPr>
  </w:style>
  <w:style w:type="paragraph" w:customStyle="1" w:styleId="NonumberHeader1">
    <w:name w:val="No number Header1"/>
    <w:basedOn w:val="Heading1"/>
    <w:rsid w:val="00CD12CA"/>
    <w:pPr>
      <w:jc w:val="center"/>
    </w:pPr>
  </w:style>
  <w:style w:type="paragraph" w:styleId="TOCHeading">
    <w:name w:val="TOC Heading"/>
    <w:basedOn w:val="Heading1"/>
    <w:next w:val="Normal"/>
    <w:uiPriority w:val="39"/>
    <w:qFormat/>
    <w:rsid w:val="00CD12CA"/>
    <w:pPr>
      <w:keepLines/>
      <w:tabs>
        <w:tab w:val="clear" w:pos="475"/>
      </w:tabs>
      <w:spacing w:before="480" w:after="0" w:line="276" w:lineRule="auto"/>
      <w:jc w:val="left"/>
      <w:outlineLvl w:val="9"/>
    </w:pPr>
    <w:rPr>
      <w:b w:val="0"/>
      <w:bCs/>
      <w:caps w:val="0"/>
      <w:color w:val="365F91"/>
      <w:sz w:val="28"/>
      <w:szCs w:val="28"/>
      <w:lang w:val="en-US"/>
    </w:rPr>
  </w:style>
  <w:style w:type="character" w:customStyle="1" w:styleId="s1">
    <w:name w:val="s1"/>
    <w:rsid w:val="00CD12CA"/>
    <w:rPr>
      <w:rFonts w:ascii="Arial" w:hAnsi="Arial" w:cs="Arial" w:hint="default"/>
      <w:color w:val="000000"/>
      <w:sz w:val="19"/>
      <w:szCs w:val="19"/>
      <w:shd w:val="clear" w:color="auto" w:fill="FFFFFF"/>
    </w:rPr>
  </w:style>
  <w:style w:type="character" w:styleId="FollowedHyperlink">
    <w:name w:val="FollowedHyperlink"/>
    <w:rsid w:val="00CD12CA"/>
    <w:rPr>
      <w:color w:val="800080"/>
      <w:u w:val="single"/>
    </w:rPr>
  </w:style>
  <w:style w:type="character" w:styleId="Strong">
    <w:name w:val="Strong"/>
    <w:uiPriority w:val="22"/>
    <w:qFormat/>
    <w:rsid w:val="00CD12CA"/>
    <w:rPr>
      <w:b/>
      <w:bCs/>
    </w:rPr>
  </w:style>
  <w:style w:type="character" w:customStyle="1" w:styleId="BodyText3Char">
    <w:name w:val="Body Text 3 Char"/>
    <w:locked/>
    <w:rsid w:val="00CD12CA"/>
    <w:rPr>
      <w:rFonts w:eastAsia="MS Mincho" w:cs="Times New Roman"/>
      <w:sz w:val="16"/>
      <w:szCs w:val="16"/>
      <w:lang w:val="en-US"/>
    </w:rPr>
  </w:style>
  <w:style w:type="paragraph" w:styleId="BodyTextIndent">
    <w:name w:val="Body Text Indent"/>
    <w:basedOn w:val="Normal"/>
    <w:link w:val="BodyTextIndentChar"/>
    <w:rsid w:val="00CD12CA"/>
    <w:pPr>
      <w:spacing w:after="120"/>
      <w:ind w:left="360"/>
      <w:jc w:val="both"/>
    </w:pPr>
    <w:rPr>
      <w:sz w:val="20"/>
      <w:szCs w:val="20"/>
    </w:rPr>
  </w:style>
  <w:style w:type="character" w:customStyle="1" w:styleId="BodyTextIndentChar">
    <w:name w:val="Body Text Indent Char"/>
    <w:link w:val="BodyTextIndent"/>
    <w:rsid w:val="00CD12CA"/>
    <w:rPr>
      <w:rFonts w:eastAsia="MS Mincho"/>
      <w:sz w:val="20"/>
      <w:szCs w:val="20"/>
      <w:lang w:val="sq-AL" w:eastAsia="bg-BG"/>
    </w:rPr>
  </w:style>
  <w:style w:type="character" w:styleId="Emphasis">
    <w:name w:val="Emphasis"/>
    <w:uiPriority w:val="20"/>
    <w:qFormat/>
    <w:rsid w:val="00CD12CA"/>
    <w:rPr>
      <w:i/>
      <w:iCs/>
    </w:rPr>
  </w:style>
  <w:style w:type="character" w:customStyle="1" w:styleId="longtext1">
    <w:name w:val="long_text1"/>
    <w:rsid w:val="00CD12CA"/>
    <w:rPr>
      <w:sz w:val="22"/>
      <w:szCs w:val="22"/>
    </w:rPr>
  </w:style>
  <w:style w:type="table" w:customStyle="1" w:styleId="LightShading1">
    <w:name w:val="Light Shading1"/>
    <w:basedOn w:val="TableNormal"/>
    <w:uiPriority w:val="60"/>
    <w:rsid w:val="00CD12C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basedOn w:val="Normal"/>
    <w:rsid w:val="00CD12CA"/>
    <w:pPr>
      <w:spacing w:after="200" w:line="260" w:lineRule="atLeast"/>
      <w:jc w:val="both"/>
    </w:pPr>
    <w:rPr>
      <w:rFonts w:ascii="Calibri" w:hAnsi="Calibri" w:cs="Calibri"/>
      <w:sz w:val="22"/>
      <w:szCs w:val="22"/>
      <w:lang w:eastAsia="sq-AL"/>
    </w:rPr>
  </w:style>
  <w:style w:type="paragraph" w:customStyle="1" w:styleId="Heading4a">
    <w:name w:val="Heading 4a"/>
    <w:basedOn w:val="Heading3"/>
    <w:rsid w:val="00CD12CA"/>
    <w:pPr>
      <w:keepLines w:val="0"/>
      <w:tabs>
        <w:tab w:val="left" w:pos="510"/>
      </w:tabs>
      <w:spacing w:before="300" w:after="60"/>
      <w:jc w:val="both"/>
    </w:pPr>
    <w:rPr>
      <w:rFonts w:ascii="Times New Roman Bold" w:hAnsi="Times New Roman Bold"/>
      <w:bCs w:val="0"/>
      <w:sz w:val="23"/>
      <w:szCs w:val="23"/>
    </w:rPr>
  </w:style>
  <w:style w:type="paragraph" w:customStyle="1" w:styleId="AnnualReportHeadingLevel2">
    <w:name w:val="Annual Report_Heading_Level2"/>
    <w:basedOn w:val="Normal"/>
    <w:qFormat/>
    <w:rsid w:val="00613794"/>
    <w:pPr>
      <w:spacing w:before="240" w:after="240"/>
    </w:pPr>
    <w:rPr>
      <w:rFonts w:ascii="Calibri" w:hAnsi="Calibri"/>
      <w:b/>
      <w:sz w:val="28"/>
    </w:rPr>
  </w:style>
  <w:style w:type="paragraph" w:customStyle="1" w:styleId="AnnualReportHeadingLevel3">
    <w:name w:val="Annual Report_Heading_Level3"/>
    <w:basedOn w:val="Normal"/>
    <w:qFormat/>
    <w:rsid w:val="00613794"/>
    <w:rPr>
      <w:rFonts w:ascii="Calibri" w:hAnsi="Calibri"/>
      <w:b/>
    </w:rPr>
  </w:style>
  <w:style w:type="paragraph" w:styleId="Revision">
    <w:name w:val="Revision"/>
    <w:hidden/>
    <w:uiPriority w:val="99"/>
    <w:semiHidden/>
    <w:rsid w:val="00FE11F2"/>
    <w:rPr>
      <w:sz w:val="24"/>
      <w:szCs w:val="24"/>
      <w:lang w:val="sq-AL" w:eastAsia="bg-BG"/>
    </w:rPr>
  </w:style>
  <w:style w:type="table" w:customStyle="1" w:styleId="MittlereSchattierung1-Akzent11">
    <w:name w:val="Mittlere Schattierung 1 - Akzent 11"/>
    <w:basedOn w:val="TableNormal"/>
    <w:next w:val="MediumShading1-Accent11"/>
    <w:uiPriority w:val="63"/>
    <w:rsid w:val="004E497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E497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horttext">
    <w:name w:val="short_text"/>
    <w:basedOn w:val="DefaultParagraphFont"/>
    <w:rsid w:val="002C7D2D"/>
  </w:style>
  <w:style w:type="table" w:customStyle="1" w:styleId="LightShading2">
    <w:name w:val="Light Shading2"/>
    <w:basedOn w:val="TableNormal"/>
    <w:uiPriority w:val="60"/>
    <w:rsid w:val="003F0BAD"/>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ontemporary">
    <w:name w:val="Table Contemporary"/>
    <w:basedOn w:val="TableNormal"/>
    <w:rsid w:val="00314B1B"/>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
    <w:name w:val="Light Shading3"/>
    <w:basedOn w:val="TableNormal"/>
    <w:uiPriority w:val="60"/>
    <w:rsid w:val="00314B1B"/>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943B8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
    <w:name w:val="Light Shading4"/>
    <w:basedOn w:val="TableNormal"/>
    <w:uiPriority w:val="60"/>
    <w:rsid w:val="00A677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6F72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Grid-Accent5">
    <w:name w:val="Colorful Grid Accent 5"/>
    <w:basedOn w:val="TableNormal"/>
    <w:uiPriority w:val="73"/>
    <w:rsid w:val="006F722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Grid2-Accent2">
    <w:name w:val="Medium Grid 2 Accent 2"/>
    <w:basedOn w:val="TableNormal"/>
    <w:uiPriority w:val="68"/>
    <w:rsid w:val="00D821D1"/>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styleId="CommentReference">
    <w:name w:val="annotation reference"/>
    <w:uiPriority w:val="99"/>
    <w:semiHidden/>
    <w:unhideWhenUsed/>
    <w:rsid w:val="000020D4"/>
    <w:rPr>
      <w:sz w:val="16"/>
      <w:szCs w:val="16"/>
    </w:rPr>
  </w:style>
  <w:style w:type="table" w:styleId="LightShading-Accent5">
    <w:name w:val="Light Shading Accent 5"/>
    <w:basedOn w:val="TableNormal"/>
    <w:uiPriority w:val="60"/>
    <w:rsid w:val="00296FB3"/>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
    <w:name w:val="Light Shading11"/>
    <w:basedOn w:val="TableNormal"/>
    <w:uiPriority w:val="60"/>
    <w:rsid w:val="00296FB3"/>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55657F"/>
  </w:style>
  <w:style w:type="table" w:customStyle="1" w:styleId="LightShading-Accent11">
    <w:name w:val="Light Shading - Accent 11"/>
    <w:basedOn w:val="TableNormal"/>
    <w:next w:val="LightShading-Accent1"/>
    <w:uiPriority w:val="60"/>
    <w:rsid w:val="0055657F"/>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55657F"/>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55657F"/>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
    <w:name w:val="Light Shading - Accent 111"/>
    <w:basedOn w:val="TableNormal"/>
    <w:uiPriority w:val="60"/>
    <w:rsid w:val="0055657F"/>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55657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5657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next w:val="LightShading-Accent1"/>
    <w:uiPriority w:val="60"/>
    <w:rsid w:val="00DB4CE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E6741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uiPriority w:val="60"/>
    <w:rsid w:val="003D446A"/>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E91D2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next w:val="LightShading-Accent1"/>
    <w:uiPriority w:val="60"/>
    <w:rsid w:val="00E91D2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next w:val="LightShading-Accent1"/>
    <w:uiPriority w:val="60"/>
    <w:rsid w:val="00E91D2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
    <w:name w:val="Light Shading - Accent 113"/>
    <w:basedOn w:val="TableNormal"/>
    <w:uiPriority w:val="60"/>
    <w:rsid w:val="00C436A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
    <w:name w:val="Light Shading - Accent 15"/>
    <w:basedOn w:val="TableNormal"/>
    <w:next w:val="LightShading-Accent1"/>
    <w:uiPriority w:val="60"/>
    <w:rsid w:val="00C436A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
    <w:name w:val="Light Shading - Accent 114"/>
    <w:basedOn w:val="TableNormal"/>
    <w:uiPriority w:val="60"/>
    <w:rsid w:val="00C436A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
    <w:name w:val="Light Shading - Accent 115"/>
    <w:basedOn w:val="TableNormal"/>
    <w:uiPriority w:val="60"/>
    <w:rsid w:val="0046252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
    <w:name w:val="Light Shading - Accent 16"/>
    <w:basedOn w:val="TableNormal"/>
    <w:next w:val="LightShading-Accent1"/>
    <w:uiPriority w:val="60"/>
    <w:rsid w:val="00E62073"/>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
    <w:name w:val="Light Shading - Accent 17"/>
    <w:basedOn w:val="TableNormal"/>
    <w:next w:val="LightShading-Accent1"/>
    <w:uiPriority w:val="60"/>
    <w:rsid w:val="00E62073"/>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
    <w:name w:val="Light Shading - Accent 116"/>
    <w:basedOn w:val="TableNormal"/>
    <w:uiPriority w:val="60"/>
    <w:rsid w:val="00E62073"/>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
    <w:name w:val="Light Shading - Accent 117"/>
    <w:basedOn w:val="TableNormal"/>
    <w:uiPriority w:val="60"/>
    <w:rsid w:val="00B34F82"/>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
    <w:name w:val="Light Shading - Accent 118"/>
    <w:basedOn w:val="TableNormal"/>
    <w:uiPriority w:val="60"/>
    <w:rsid w:val="00136E1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
    <w:name w:val="Light Shading - Accent 119"/>
    <w:basedOn w:val="TableNormal"/>
    <w:uiPriority w:val="60"/>
    <w:rsid w:val="00136E1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
    <w:name w:val="Light Shading - Accent 18"/>
    <w:basedOn w:val="TableNormal"/>
    <w:next w:val="LightShading-Accent1"/>
    <w:uiPriority w:val="60"/>
    <w:rsid w:val="00FA0C1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
    <w:name w:val="Light Shading - Accent 19"/>
    <w:basedOn w:val="TableNormal"/>
    <w:next w:val="LightShading-Accent1"/>
    <w:uiPriority w:val="60"/>
    <w:rsid w:val="00FA0C1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
    <w:name w:val="Light Shading - Accent 110"/>
    <w:basedOn w:val="TableNormal"/>
    <w:next w:val="LightShading-Accent1"/>
    <w:uiPriority w:val="60"/>
    <w:rsid w:val="00FA0C1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
    <w:name w:val="Light Shading - Accent 1110"/>
    <w:basedOn w:val="TableNormal"/>
    <w:uiPriority w:val="60"/>
    <w:rsid w:val="00945D3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
    <w:name w:val="Light Shading - Accent 1112"/>
    <w:basedOn w:val="TableNormal"/>
    <w:uiPriority w:val="60"/>
    <w:rsid w:val="00886AA9"/>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5">
    <w:name w:val="Medium Grid 3 Accent 5"/>
    <w:basedOn w:val="TableNormal"/>
    <w:uiPriority w:val="69"/>
    <w:rsid w:val="008C7CB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Shading-Accent5">
    <w:name w:val="Colorful Shading Accent 5"/>
    <w:basedOn w:val="TableNormal"/>
    <w:uiPriority w:val="71"/>
    <w:rsid w:val="008C7CBF"/>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LightShading-Accent2">
    <w:name w:val="Light Shading Accent 2"/>
    <w:basedOn w:val="TableNormal"/>
    <w:uiPriority w:val="60"/>
    <w:rsid w:val="008C7CB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60"/>
    <w:rsid w:val="008C7CB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4">
    <w:name w:val="Light Grid Accent 4"/>
    <w:basedOn w:val="TableNormal"/>
    <w:uiPriority w:val="62"/>
    <w:rsid w:val="008C7CBF"/>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eColumns3">
    <w:name w:val="Table Columns 3"/>
    <w:basedOn w:val="TableNormal"/>
    <w:rsid w:val="008C7CBF"/>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rsid w:val="008C7CBF"/>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ghtShading-Accent3">
    <w:name w:val="Light Shading Accent 3"/>
    <w:basedOn w:val="TableNormal"/>
    <w:uiPriority w:val="60"/>
    <w:rsid w:val="008C7CBF"/>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rsid w:val="008C7CB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C7CB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8C7CBF"/>
    <w:pPr>
      <w:widowControl w:val="0"/>
    </w:pPr>
    <w:rPr>
      <w:sz w:val="22"/>
      <w:szCs w:val="22"/>
      <w:lang w:eastAsia="en-US"/>
    </w:rPr>
  </w:style>
  <w:style w:type="character" w:customStyle="1" w:styleId="CharCharChar">
    <w:name w:val="Char Char Char"/>
    <w:rsid w:val="008C7CBF"/>
    <w:rPr>
      <w:rFonts w:ascii="Arial" w:hAnsi="Arial"/>
      <w:sz w:val="24"/>
      <w:lang w:val="en-US" w:eastAsia="en-US" w:bidi="ar-SA"/>
    </w:rPr>
  </w:style>
  <w:style w:type="paragraph" w:customStyle="1" w:styleId="Char0">
    <w:name w:val="Char"/>
    <w:basedOn w:val="Normal"/>
    <w:rsid w:val="008C7CBF"/>
    <w:pPr>
      <w:spacing w:after="160" w:line="240" w:lineRule="exact"/>
    </w:pPr>
    <w:rPr>
      <w:rFonts w:ascii="Tahoma" w:hAnsi="Tahoma"/>
      <w:sz w:val="20"/>
      <w:szCs w:val="20"/>
      <w:lang w:val="sq-AL" w:eastAsia="en-US"/>
    </w:rPr>
  </w:style>
  <w:style w:type="paragraph" w:styleId="Subtitle">
    <w:name w:val="Subtitle"/>
    <w:basedOn w:val="Normal"/>
    <w:link w:val="SubtitleChar"/>
    <w:uiPriority w:val="11"/>
    <w:qFormat/>
    <w:rsid w:val="008C7CBF"/>
    <w:pPr>
      <w:spacing w:after="60"/>
      <w:jc w:val="center"/>
      <w:outlineLvl w:val="1"/>
    </w:pPr>
    <w:rPr>
      <w:rFonts w:ascii="Arial" w:hAnsi="Arial"/>
      <w:szCs w:val="20"/>
      <w:lang w:val="x-none" w:eastAsia="x-none"/>
    </w:rPr>
  </w:style>
  <w:style w:type="character" w:customStyle="1" w:styleId="SubtitleChar">
    <w:name w:val="Subtitle Char"/>
    <w:link w:val="Subtitle"/>
    <w:uiPriority w:val="11"/>
    <w:rsid w:val="008C7CBF"/>
    <w:rPr>
      <w:rFonts w:ascii="Arial" w:hAnsi="Arial"/>
      <w:sz w:val="24"/>
      <w:lang w:val="x-none" w:eastAsia="x-none"/>
    </w:rPr>
  </w:style>
  <w:style w:type="paragraph" w:styleId="Closing">
    <w:name w:val="Closing"/>
    <w:basedOn w:val="BodyText"/>
    <w:next w:val="Normal"/>
    <w:link w:val="ClosingChar"/>
    <w:rsid w:val="008C7CBF"/>
    <w:pPr>
      <w:keepNext/>
      <w:spacing w:after="60" w:line="220" w:lineRule="atLeast"/>
    </w:pPr>
    <w:rPr>
      <w:rFonts w:ascii="Arial" w:hAnsi="Arial"/>
      <w:spacing w:val="-5"/>
      <w:sz w:val="20"/>
      <w:szCs w:val="20"/>
      <w:lang w:val="x-none" w:eastAsia="x-none"/>
    </w:rPr>
  </w:style>
  <w:style w:type="character" w:customStyle="1" w:styleId="ClosingChar">
    <w:name w:val="Closing Char"/>
    <w:link w:val="Closing"/>
    <w:rsid w:val="008C7CBF"/>
    <w:rPr>
      <w:rFonts w:ascii="Arial" w:eastAsia="MS Mincho" w:hAnsi="Arial"/>
      <w:spacing w:val="-5"/>
      <w:lang w:val="x-none" w:eastAsia="x-none"/>
    </w:rPr>
  </w:style>
  <w:style w:type="paragraph" w:styleId="Quote">
    <w:name w:val="Quote"/>
    <w:basedOn w:val="Normal"/>
    <w:next w:val="Normal"/>
    <w:link w:val="QuoteChar"/>
    <w:uiPriority w:val="29"/>
    <w:qFormat/>
    <w:rsid w:val="008C7CBF"/>
    <w:pPr>
      <w:ind w:firstLine="360"/>
    </w:pPr>
    <w:rPr>
      <w:rFonts w:ascii="Cambria" w:hAnsi="Cambria"/>
      <w:i/>
      <w:iCs/>
      <w:color w:val="5A5A5A"/>
      <w:sz w:val="22"/>
      <w:szCs w:val="22"/>
      <w:lang w:val="x-none" w:eastAsia="x-none" w:bidi="en-US"/>
    </w:rPr>
  </w:style>
  <w:style w:type="character" w:customStyle="1" w:styleId="QuoteChar">
    <w:name w:val="Quote Char"/>
    <w:link w:val="Quote"/>
    <w:uiPriority w:val="29"/>
    <w:rsid w:val="008C7CBF"/>
    <w:rPr>
      <w:rFonts w:ascii="Cambria" w:hAnsi="Cambria"/>
      <w:i/>
      <w:iCs/>
      <w:color w:val="5A5A5A"/>
      <w:sz w:val="22"/>
      <w:szCs w:val="22"/>
      <w:lang w:val="x-none" w:eastAsia="x-none" w:bidi="en-US"/>
    </w:rPr>
  </w:style>
  <w:style w:type="paragraph" w:styleId="IntenseQuote">
    <w:name w:val="Intense Quote"/>
    <w:basedOn w:val="Normal"/>
    <w:next w:val="Normal"/>
    <w:link w:val="IntenseQuoteChar"/>
    <w:uiPriority w:val="30"/>
    <w:qFormat/>
    <w:rsid w:val="008C7CB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x-none" w:eastAsia="x-none" w:bidi="en-US"/>
    </w:rPr>
  </w:style>
  <w:style w:type="character" w:customStyle="1" w:styleId="IntenseQuoteChar">
    <w:name w:val="Intense Quote Char"/>
    <w:link w:val="IntenseQuote"/>
    <w:uiPriority w:val="30"/>
    <w:rsid w:val="008C7CBF"/>
    <w:rPr>
      <w:rFonts w:ascii="Cambria" w:hAnsi="Cambria"/>
      <w:i/>
      <w:iCs/>
      <w:color w:val="FFFFFF"/>
      <w:sz w:val="24"/>
      <w:szCs w:val="24"/>
      <w:shd w:val="clear" w:color="auto" w:fill="4F81BD"/>
      <w:lang w:val="x-none" w:eastAsia="x-none" w:bidi="en-US"/>
    </w:rPr>
  </w:style>
  <w:style w:type="character" w:styleId="SubtleEmphasis">
    <w:name w:val="Subtle Emphasis"/>
    <w:uiPriority w:val="19"/>
    <w:qFormat/>
    <w:rsid w:val="008C7CBF"/>
    <w:rPr>
      <w:i/>
      <w:iCs/>
      <w:color w:val="5A5A5A"/>
    </w:rPr>
  </w:style>
  <w:style w:type="character" w:styleId="IntenseEmphasis">
    <w:name w:val="Intense Emphasis"/>
    <w:uiPriority w:val="21"/>
    <w:qFormat/>
    <w:rsid w:val="008C7CBF"/>
    <w:rPr>
      <w:b/>
      <w:bCs/>
      <w:i/>
      <w:iCs/>
      <w:color w:val="4F81BD"/>
      <w:sz w:val="22"/>
      <w:szCs w:val="22"/>
    </w:rPr>
  </w:style>
  <w:style w:type="character" w:styleId="SubtleReference">
    <w:name w:val="Subtle Reference"/>
    <w:uiPriority w:val="31"/>
    <w:qFormat/>
    <w:rsid w:val="008C7CBF"/>
    <w:rPr>
      <w:color w:val="auto"/>
      <w:u w:val="single" w:color="9BBB59"/>
    </w:rPr>
  </w:style>
  <w:style w:type="character" w:styleId="IntenseReference">
    <w:name w:val="Intense Reference"/>
    <w:uiPriority w:val="32"/>
    <w:qFormat/>
    <w:rsid w:val="008C7CBF"/>
    <w:rPr>
      <w:b/>
      <w:bCs/>
      <w:color w:val="76923C"/>
      <w:u w:val="single" w:color="9BBB59"/>
    </w:rPr>
  </w:style>
  <w:style w:type="character" w:styleId="BookTitle">
    <w:name w:val="Book Title"/>
    <w:uiPriority w:val="33"/>
    <w:qFormat/>
    <w:rsid w:val="008C7CBF"/>
    <w:rPr>
      <w:rFonts w:ascii="Cambria" w:eastAsia="Times New Roman" w:hAnsi="Cambria" w:cs="Times New Roman"/>
      <w:b/>
      <w:bCs/>
      <w:i/>
      <w:iCs/>
      <w:color w:val="auto"/>
    </w:rPr>
  </w:style>
  <w:style w:type="paragraph" w:customStyle="1" w:styleId="broj-d">
    <w:name w:val="broj-d"/>
    <w:basedOn w:val="Normal"/>
    <w:rsid w:val="008C7CBF"/>
    <w:pPr>
      <w:spacing w:before="100" w:beforeAutospacing="1" w:after="100" w:afterAutospacing="1"/>
      <w:jc w:val="right"/>
    </w:pPr>
    <w:rPr>
      <w:b/>
      <w:bCs/>
      <w:sz w:val="26"/>
      <w:szCs w:val="26"/>
      <w:lang w:val="hr-HR" w:eastAsia="hr-HR"/>
    </w:rPr>
  </w:style>
  <w:style w:type="paragraph" w:customStyle="1" w:styleId="t-10-9-fett">
    <w:name w:val="t-10-9-fett"/>
    <w:basedOn w:val="Normal"/>
    <w:rsid w:val="008C7CBF"/>
    <w:pPr>
      <w:spacing w:before="100" w:beforeAutospacing="1" w:after="100" w:afterAutospacing="1"/>
    </w:pPr>
    <w:rPr>
      <w:b/>
      <w:bCs/>
      <w:sz w:val="26"/>
      <w:szCs w:val="26"/>
      <w:lang w:val="hr-HR" w:eastAsia="hr-HR"/>
    </w:rPr>
  </w:style>
  <w:style w:type="paragraph" w:customStyle="1" w:styleId="t-12-9-fett-s">
    <w:name w:val="t-12-9-fett-s"/>
    <w:basedOn w:val="Normal"/>
    <w:rsid w:val="008C7CBF"/>
    <w:pPr>
      <w:spacing w:before="100" w:beforeAutospacing="1" w:after="100" w:afterAutospacing="1"/>
      <w:jc w:val="center"/>
    </w:pPr>
    <w:rPr>
      <w:b/>
      <w:bCs/>
      <w:sz w:val="28"/>
      <w:szCs w:val="28"/>
      <w:lang w:val="hr-HR" w:eastAsia="hr-HR"/>
    </w:rPr>
  </w:style>
  <w:style w:type="paragraph" w:customStyle="1" w:styleId="tb-na16">
    <w:name w:val="tb-na16"/>
    <w:basedOn w:val="Normal"/>
    <w:rsid w:val="008C7CBF"/>
    <w:pPr>
      <w:spacing w:before="100" w:beforeAutospacing="1" w:after="100" w:afterAutospacing="1"/>
      <w:jc w:val="center"/>
    </w:pPr>
    <w:rPr>
      <w:b/>
      <w:bCs/>
      <w:sz w:val="36"/>
      <w:szCs w:val="36"/>
      <w:lang w:val="hr-HR" w:eastAsia="hr-HR"/>
    </w:rPr>
  </w:style>
  <w:style w:type="paragraph" w:customStyle="1" w:styleId="tb-na18">
    <w:name w:val="tb-na18"/>
    <w:basedOn w:val="Normal"/>
    <w:rsid w:val="008C7CBF"/>
    <w:pPr>
      <w:spacing w:before="100" w:beforeAutospacing="1" w:after="100" w:afterAutospacing="1"/>
      <w:jc w:val="center"/>
    </w:pPr>
    <w:rPr>
      <w:b/>
      <w:bCs/>
      <w:sz w:val="40"/>
      <w:szCs w:val="40"/>
      <w:lang w:val="hr-HR" w:eastAsia="hr-HR"/>
    </w:rPr>
  </w:style>
  <w:style w:type="paragraph" w:customStyle="1" w:styleId="clanak">
    <w:name w:val="clanak"/>
    <w:basedOn w:val="Normal"/>
    <w:rsid w:val="008C7CBF"/>
    <w:pPr>
      <w:spacing w:before="100" w:beforeAutospacing="1" w:after="100" w:afterAutospacing="1"/>
      <w:jc w:val="center"/>
    </w:pPr>
    <w:rPr>
      <w:lang w:val="hr-HR" w:eastAsia="hr-HR"/>
    </w:rPr>
  </w:style>
  <w:style w:type="paragraph" w:customStyle="1" w:styleId="t-9-8">
    <w:name w:val="t-9-8"/>
    <w:basedOn w:val="Normal"/>
    <w:rsid w:val="008C7CBF"/>
    <w:pPr>
      <w:spacing w:before="100" w:beforeAutospacing="1" w:after="100" w:afterAutospacing="1"/>
    </w:pPr>
    <w:rPr>
      <w:lang w:val="hr-HR" w:eastAsia="hr-HR"/>
    </w:rPr>
  </w:style>
  <w:style w:type="character" w:customStyle="1" w:styleId="kurziv1">
    <w:name w:val="kurziv1"/>
    <w:rsid w:val="008C7CBF"/>
    <w:rPr>
      <w:i/>
      <w:iCs/>
    </w:rPr>
  </w:style>
  <w:style w:type="character" w:customStyle="1" w:styleId="customstyle7">
    <w:name w:val="customstyle7"/>
    <w:rsid w:val="008C7CBF"/>
  </w:style>
  <w:style w:type="paragraph" w:customStyle="1" w:styleId="Paragrafi">
    <w:name w:val="Paragrafi"/>
    <w:rsid w:val="008C7CBF"/>
    <w:pPr>
      <w:widowControl w:val="0"/>
      <w:ind w:firstLine="720"/>
      <w:jc w:val="both"/>
    </w:pPr>
    <w:rPr>
      <w:rFonts w:ascii="CG Times" w:hAnsi="CG Times"/>
      <w:sz w:val="22"/>
    </w:rPr>
  </w:style>
  <w:style w:type="table" w:styleId="MediumShading1-Accent1">
    <w:name w:val="Medium Shading 1 Accent 1"/>
    <w:basedOn w:val="TableNormal"/>
    <w:uiPriority w:val="63"/>
    <w:rsid w:val="008C7CBF"/>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8C7CBF"/>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
    <w:name w:val="Table Grid2"/>
    <w:basedOn w:val="TableNormal"/>
    <w:next w:val="TableGrid"/>
    <w:uiPriority w:val="59"/>
    <w:rsid w:val="005C5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basedOn w:val="TableNormal"/>
    <w:uiPriority w:val="60"/>
    <w:rsid w:val="0040418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TableNormal"/>
    <w:uiPriority w:val="60"/>
    <w:rsid w:val="0040418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
    <w:name w:val="No List2"/>
    <w:next w:val="NoList"/>
    <w:uiPriority w:val="99"/>
    <w:semiHidden/>
    <w:unhideWhenUsed/>
    <w:rsid w:val="00530558"/>
  </w:style>
  <w:style w:type="table" w:customStyle="1" w:styleId="LightShading-Accent1113">
    <w:name w:val="Light Shading - Accent 1113"/>
    <w:basedOn w:val="TableNormal"/>
    <w:next w:val="LightShading-Accent1"/>
    <w:uiPriority w:val="60"/>
    <w:rsid w:val="00530558"/>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0">
    <w:name w:val="Light Shading - Accent 120"/>
    <w:basedOn w:val="TableNormal"/>
    <w:next w:val="LightShading-Accent1"/>
    <w:uiPriority w:val="60"/>
    <w:semiHidden/>
    <w:unhideWhenUsed/>
    <w:rsid w:val="00530558"/>
    <w:rPr>
      <w:rFonts w:ascii="Calibri" w:hAnsi="Calibri"/>
      <w:color w:val="2E74B5"/>
      <w:sz w:val="22"/>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4">
    <w:name w:val="Light Shading - Accent 1114"/>
    <w:basedOn w:val="TableNormal"/>
    <w:uiPriority w:val="60"/>
    <w:rsid w:val="00530558"/>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
    <w:name w:val="No List3"/>
    <w:next w:val="NoList"/>
    <w:uiPriority w:val="99"/>
    <w:semiHidden/>
    <w:unhideWhenUsed/>
    <w:rsid w:val="009E5C24"/>
  </w:style>
  <w:style w:type="table" w:customStyle="1" w:styleId="LightShading5">
    <w:name w:val="Light Shading5"/>
    <w:basedOn w:val="TableNormal"/>
    <w:next w:val="LightShading"/>
    <w:uiPriority w:val="60"/>
    <w:rsid w:val="009E5C2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7216D3"/>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
    <w:name w:val="Light Shading15"/>
    <w:basedOn w:val="TableNormal"/>
    <w:uiPriority w:val="60"/>
    <w:rsid w:val="00D6099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
    <w:name w:val="Light Shading122"/>
    <w:basedOn w:val="TableNormal"/>
    <w:uiPriority w:val="60"/>
    <w:rsid w:val="00D6099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dp7b217766msonormal">
    <w:name w:val="ydp7b217766msonormal"/>
    <w:basedOn w:val="Normal"/>
    <w:rsid w:val="001F4315"/>
    <w:pPr>
      <w:spacing w:before="100" w:beforeAutospacing="1" w:after="100" w:afterAutospacing="1"/>
    </w:pPr>
    <w:rPr>
      <w:rFonts w:eastAsia="Calibri"/>
      <w:lang w:eastAsia="en-US"/>
    </w:rPr>
  </w:style>
  <w:style w:type="table" w:customStyle="1" w:styleId="LightShading16">
    <w:name w:val="Light Shading16"/>
    <w:basedOn w:val="TableNormal"/>
    <w:uiPriority w:val="60"/>
    <w:rsid w:val="008566A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221EA6"/>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0">
    <w:name w:val="List Table 6 Colorful1"/>
    <w:basedOn w:val="TableNormal"/>
    <w:uiPriority w:val="51"/>
    <w:rsid w:val="009676D8"/>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9D71CB"/>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4">
    <w:name w:val="No List4"/>
    <w:next w:val="NoList"/>
    <w:uiPriority w:val="99"/>
    <w:semiHidden/>
    <w:unhideWhenUsed/>
    <w:rsid w:val="001000CC"/>
  </w:style>
  <w:style w:type="numbering" w:customStyle="1" w:styleId="NoList11">
    <w:name w:val="No List11"/>
    <w:next w:val="NoList"/>
    <w:uiPriority w:val="99"/>
    <w:semiHidden/>
    <w:unhideWhenUsed/>
    <w:rsid w:val="001000CC"/>
  </w:style>
  <w:style w:type="table" w:customStyle="1" w:styleId="MediumList1-Accent51">
    <w:name w:val="Medium List 1 - Accent 51"/>
    <w:basedOn w:val="TableNormal"/>
    <w:next w:val="MediumList1-Accent5"/>
    <w:uiPriority w:val="65"/>
    <w:rsid w:val="001000CC"/>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DocumentMapChar1">
    <w:name w:val="Document Map Char1"/>
    <w:uiPriority w:val="99"/>
    <w:semiHidden/>
    <w:rsid w:val="001000CC"/>
    <w:rPr>
      <w:rFonts w:ascii="Segoe UI" w:hAnsi="Segoe UI" w:cs="Segoe UI"/>
      <w:sz w:val="16"/>
      <w:szCs w:val="16"/>
    </w:rPr>
  </w:style>
  <w:style w:type="table" w:customStyle="1" w:styleId="LightShading17">
    <w:name w:val="Light Shading17"/>
    <w:basedOn w:val="TableNormal"/>
    <w:uiPriority w:val="60"/>
    <w:rsid w:val="001000CC"/>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ittlereSchattierung1-Akzent111">
    <w:name w:val="Mittlere Schattierung 1 - Akzent 111"/>
    <w:basedOn w:val="TableNormal"/>
    <w:next w:val="MediumShading1-Accent11"/>
    <w:uiPriority w:val="63"/>
    <w:rsid w:val="001000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1000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1">
    <w:name w:val="Light Shading21"/>
    <w:basedOn w:val="TableNormal"/>
    <w:uiPriority w:val="60"/>
    <w:rsid w:val="001000CC"/>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1">
    <w:name w:val="Table Contemporary1"/>
    <w:basedOn w:val="TableNormal"/>
    <w:next w:val="TableContemporary"/>
    <w:rsid w:val="001000CC"/>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1">
    <w:name w:val="Light Shading31"/>
    <w:basedOn w:val="TableNormal"/>
    <w:uiPriority w:val="60"/>
    <w:rsid w:val="001000CC"/>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
    <w:name w:val="Medium List 111"/>
    <w:basedOn w:val="TableNormal"/>
    <w:uiPriority w:val="65"/>
    <w:rsid w:val="001000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1">
    <w:name w:val="Light Shading41"/>
    <w:basedOn w:val="TableNormal"/>
    <w:uiPriority w:val="60"/>
    <w:rsid w:val="001000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rsid w:val="001000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Grid-Accent51">
    <w:name w:val="Colorful Grid - Accent 51"/>
    <w:basedOn w:val="TableNormal"/>
    <w:next w:val="ColorfulGrid-Accent5"/>
    <w:uiPriority w:val="73"/>
    <w:rsid w:val="001000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21">
    <w:name w:val="Medium Grid 2 - Accent 21"/>
    <w:basedOn w:val="TableNormal"/>
    <w:next w:val="MediumGrid2-Accent2"/>
    <w:uiPriority w:val="68"/>
    <w:rsid w:val="001000CC"/>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ghtShading-Accent52">
    <w:name w:val="Light Shading - Accent 52"/>
    <w:basedOn w:val="TableNormal"/>
    <w:next w:val="LightShading-Accent5"/>
    <w:uiPriority w:val="60"/>
    <w:rsid w:val="001000CC"/>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1">
    <w:name w:val="Light Shading111"/>
    <w:basedOn w:val="TableNormal"/>
    <w:uiPriority w:val="60"/>
    <w:rsid w:val="001000C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
    <w:name w:val="No List111"/>
    <w:next w:val="NoList"/>
    <w:uiPriority w:val="99"/>
    <w:semiHidden/>
    <w:unhideWhenUsed/>
    <w:rsid w:val="001000CC"/>
  </w:style>
  <w:style w:type="table" w:customStyle="1" w:styleId="LightShading-Accent1115">
    <w:name w:val="Light Shading - Accent 1115"/>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3">
    <w:name w:val="Light Shading123"/>
    <w:basedOn w:val="TableNormal"/>
    <w:uiPriority w:val="60"/>
    <w:rsid w:val="001000C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next w:val="LightShading-Accent5"/>
    <w:uiPriority w:val="60"/>
    <w:rsid w:val="001000CC"/>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6">
    <w:name w:val="Light Shading - Accent 1116"/>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
    <w:name w:val="Table Grid11"/>
    <w:basedOn w:val="TableNormal"/>
    <w:next w:val="TableGrid"/>
    <w:uiPriority w:val="59"/>
    <w:rsid w:val="001000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1">
    <w:name w:val="Light Shading - Accent 121"/>
    <w:basedOn w:val="TableNormal"/>
    <w:uiPriority w:val="60"/>
    <w:rsid w:val="001000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6">
    <w:name w:val="Light Shading6"/>
    <w:basedOn w:val="TableNormal"/>
    <w:uiPriority w:val="60"/>
    <w:rsid w:val="001000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1">
    <w:name w:val="Light Shading - Accent 11111"/>
    <w:basedOn w:val="TableNormal"/>
    <w:uiPriority w:val="60"/>
    <w:rsid w:val="001000CC"/>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1">
    <w:name w:val="Light Shading - Accent 112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next w:val="LightShading-Accent121"/>
    <w:uiPriority w:val="60"/>
    <w:rsid w:val="001000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1">
    <w:name w:val="Light Shading - Accent 14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1">
    <w:name w:val="Light Shading - Accent 113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1">
    <w:name w:val="Light Shading - Accent 151"/>
    <w:basedOn w:val="TableNormal"/>
    <w:next w:val="LightShading-Accent121"/>
    <w:uiPriority w:val="60"/>
    <w:rsid w:val="001000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1">
    <w:name w:val="Light Shading - Accent 114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1">
    <w:name w:val="Light Shading - Accent 115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1">
    <w:name w:val="Light Shading - Accent 16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1">
    <w:name w:val="Light Shading - Accent 17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1">
    <w:name w:val="Light Shading - Accent 116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1">
    <w:name w:val="Light Shading - Accent 117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1">
    <w:name w:val="Light Shading - Accent 118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1">
    <w:name w:val="Light Shading - Accent 119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1">
    <w:name w:val="Light Shading - Accent 18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1">
    <w:name w:val="Light Shading - Accent 19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1">
    <w:name w:val="Light Shading - Accent 110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1">
    <w:name w:val="Light Shading - Accent 1110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1">
    <w:name w:val="Light Shading - Accent 1112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51">
    <w:name w:val="Medium Grid 3 - Accent 51"/>
    <w:basedOn w:val="TableNormal"/>
    <w:next w:val="MediumGrid3-Accent5"/>
    <w:uiPriority w:val="69"/>
    <w:rsid w:val="001000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Shading-Accent51">
    <w:name w:val="Colorful Shading - Accent 51"/>
    <w:basedOn w:val="TableNormal"/>
    <w:next w:val="ColorfulShading-Accent5"/>
    <w:uiPriority w:val="71"/>
    <w:rsid w:val="001000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21">
    <w:name w:val="Light Shading - Accent 21"/>
    <w:basedOn w:val="TableNormal"/>
    <w:next w:val="LightShading-Accent2"/>
    <w:uiPriority w:val="60"/>
    <w:rsid w:val="001000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
    <w:name w:val="Light Shading - Accent 41"/>
    <w:basedOn w:val="TableNormal"/>
    <w:next w:val="LightShading-Accent4"/>
    <w:uiPriority w:val="60"/>
    <w:rsid w:val="001000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
    <w:name w:val="Light Grid - Accent 41"/>
    <w:basedOn w:val="TableNormal"/>
    <w:next w:val="LightGrid-Accent4"/>
    <w:uiPriority w:val="62"/>
    <w:rsid w:val="001000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olumns31">
    <w:name w:val="Table Columns 31"/>
    <w:basedOn w:val="TableNormal"/>
    <w:next w:val="TableColumns3"/>
    <w:rsid w:val="001000CC"/>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000CC"/>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ightShading-Accent31">
    <w:name w:val="Light Shading - Accent 31"/>
    <w:basedOn w:val="TableNormal"/>
    <w:next w:val="LightShading-Accent3"/>
    <w:uiPriority w:val="60"/>
    <w:rsid w:val="001000CC"/>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1">
    <w:name w:val="Medium Shading 2 - Accent 21"/>
    <w:basedOn w:val="TableNormal"/>
    <w:next w:val="MediumShading2-Accent2"/>
    <w:uiPriority w:val="64"/>
    <w:rsid w:val="001000CC"/>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1000CC"/>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Char0">
    <w:name w:val="Char Char Char"/>
    <w:rsid w:val="001000CC"/>
    <w:rPr>
      <w:rFonts w:ascii="Arial" w:hAnsi="Arial"/>
      <w:sz w:val="24"/>
      <w:lang w:val="en-US" w:eastAsia="en-US" w:bidi="ar-SA"/>
    </w:rPr>
  </w:style>
  <w:style w:type="paragraph" w:customStyle="1" w:styleId="Char3">
    <w:name w:val="Char3"/>
    <w:basedOn w:val="Normal"/>
    <w:rsid w:val="001000CC"/>
    <w:pPr>
      <w:spacing w:after="160" w:line="240" w:lineRule="exact"/>
    </w:pPr>
    <w:rPr>
      <w:rFonts w:ascii="Tahoma" w:hAnsi="Tahoma"/>
      <w:sz w:val="20"/>
      <w:szCs w:val="20"/>
      <w:lang w:val="sq-AL" w:eastAsia="en-US"/>
    </w:rPr>
  </w:style>
  <w:style w:type="table" w:customStyle="1" w:styleId="MediumShading1-Accent12">
    <w:name w:val="Medium Shading 1 - Accent 12"/>
    <w:basedOn w:val="TableNormal"/>
    <w:uiPriority w:val="63"/>
    <w:rsid w:val="001000CC"/>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000CC"/>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
    <w:name w:val="Table Grid21"/>
    <w:basedOn w:val="TableNormal"/>
    <w:next w:val="TableGrid"/>
    <w:uiPriority w:val="59"/>
    <w:rsid w:val="001000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1">
    <w:name w:val="Light Shading13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1">
    <w:name w:val="Light Shading121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
    <w:name w:val="No List21"/>
    <w:next w:val="NoList"/>
    <w:uiPriority w:val="99"/>
    <w:semiHidden/>
    <w:unhideWhenUsed/>
    <w:rsid w:val="001000CC"/>
  </w:style>
  <w:style w:type="table" w:customStyle="1" w:styleId="LightShading-Accent11131">
    <w:name w:val="Light Shading - Accent 11131"/>
    <w:basedOn w:val="TableNormal"/>
    <w:next w:val="LightShading-Accent121"/>
    <w:uiPriority w:val="60"/>
    <w:rsid w:val="001000CC"/>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01">
    <w:name w:val="Light Shading - Accent 1201"/>
    <w:basedOn w:val="TableNormal"/>
    <w:next w:val="LightShading-Accent121"/>
    <w:uiPriority w:val="60"/>
    <w:semiHidden/>
    <w:unhideWhenUsed/>
    <w:rsid w:val="001000CC"/>
    <w:rPr>
      <w:rFonts w:ascii="Calibri" w:hAnsi="Calibri"/>
      <w:color w:val="2E74B5"/>
      <w:sz w:val="22"/>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41">
    <w:name w:val="Light Shading - Accent 11141"/>
    <w:basedOn w:val="TableNormal"/>
    <w:uiPriority w:val="60"/>
    <w:rsid w:val="001000CC"/>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1">
    <w:name w:val="No List31"/>
    <w:next w:val="NoList"/>
    <w:uiPriority w:val="99"/>
    <w:semiHidden/>
    <w:unhideWhenUsed/>
    <w:rsid w:val="001000CC"/>
  </w:style>
  <w:style w:type="table" w:customStyle="1" w:styleId="LightShading51">
    <w:name w:val="Light Shading51"/>
    <w:basedOn w:val="TableNormal"/>
    <w:next w:val="LightShading6"/>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
    <w:name w:val="Light Shading14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1">
    <w:name w:val="Light Shading15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1">
    <w:name w:val="Light Shading122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1">
    <w:name w:val="Light Shading16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027E0E"/>
  </w:style>
  <w:style w:type="numbering" w:customStyle="1" w:styleId="NoList12">
    <w:name w:val="No List12"/>
    <w:next w:val="NoList"/>
    <w:uiPriority w:val="99"/>
    <w:semiHidden/>
    <w:unhideWhenUsed/>
    <w:rsid w:val="00027E0E"/>
  </w:style>
  <w:style w:type="table" w:customStyle="1" w:styleId="MediumList1-Accent52">
    <w:name w:val="Medium List 1 - Accent 52"/>
    <w:basedOn w:val="TableNormal"/>
    <w:next w:val="MediumList1-Accent5"/>
    <w:uiPriority w:val="65"/>
    <w:rsid w:val="00027E0E"/>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8">
    <w:name w:val="Light Shading18"/>
    <w:basedOn w:val="TableNormal"/>
    <w:uiPriority w:val="60"/>
    <w:rsid w:val="00027E0E"/>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ittlereSchattierung1-Akzent112">
    <w:name w:val="Mittlere Schattierung 1 - Akzent 112"/>
    <w:basedOn w:val="TableNormal"/>
    <w:next w:val="MediumShading1-Accent11"/>
    <w:uiPriority w:val="63"/>
    <w:rsid w:val="00027E0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027E0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027E0E"/>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2">
    <w:name w:val="Table Contemporary2"/>
    <w:basedOn w:val="TableNormal"/>
    <w:next w:val="TableContemporary"/>
    <w:rsid w:val="00027E0E"/>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2">
    <w:name w:val="Light Shading32"/>
    <w:basedOn w:val="TableNormal"/>
    <w:uiPriority w:val="60"/>
    <w:rsid w:val="00027E0E"/>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2">
    <w:name w:val="Medium List 112"/>
    <w:basedOn w:val="TableNormal"/>
    <w:uiPriority w:val="65"/>
    <w:rsid w:val="00027E0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2">
    <w:name w:val="Light Shading42"/>
    <w:basedOn w:val="TableNormal"/>
    <w:uiPriority w:val="60"/>
    <w:rsid w:val="00027E0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rsid w:val="00027E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Grid-Accent52">
    <w:name w:val="Colorful Grid - Accent 52"/>
    <w:basedOn w:val="TableNormal"/>
    <w:next w:val="ColorfulGrid-Accent5"/>
    <w:uiPriority w:val="73"/>
    <w:rsid w:val="00027E0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22">
    <w:name w:val="Medium Grid 2 - Accent 22"/>
    <w:basedOn w:val="TableNormal"/>
    <w:next w:val="MediumGrid2-Accent2"/>
    <w:uiPriority w:val="68"/>
    <w:rsid w:val="00027E0E"/>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ghtShading-Accent53">
    <w:name w:val="Light Shading - Accent 53"/>
    <w:basedOn w:val="TableNormal"/>
    <w:next w:val="LightShading-Accent5"/>
    <w:uiPriority w:val="60"/>
    <w:rsid w:val="00027E0E"/>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2">
    <w:name w:val="Light Shading112"/>
    <w:basedOn w:val="TableNormal"/>
    <w:uiPriority w:val="60"/>
    <w:rsid w:val="00027E0E"/>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
    <w:name w:val="No List112"/>
    <w:next w:val="NoList"/>
    <w:uiPriority w:val="99"/>
    <w:semiHidden/>
    <w:unhideWhenUsed/>
    <w:rsid w:val="00027E0E"/>
  </w:style>
  <w:style w:type="table" w:customStyle="1" w:styleId="LightShading-Accent1117">
    <w:name w:val="Light Shading - Accent 1117"/>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4">
    <w:name w:val="Light Shading124"/>
    <w:basedOn w:val="TableNormal"/>
    <w:uiPriority w:val="60"/>
    <w:rsid w:val="00027E0E"/>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next w:val="LightShading-Accent5"/>
    <w:uiPriority w:val="60"/>
    <w:rsid w:val="00027E0E"/>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8">
    <w:name w:val="Light Shading - Accent 1118"/>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59"/>
    <w:rsid w:val="00027E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11">
    <w:name w:val="Light Shading - Accent 1211"/>
    <w:basedOn w:val="TableNormal"/>
    <w:uiPriority w:val="60"/>
    <w:rsid w:val="00027E0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
    <w:name w:val="Light Shading - Accent 123"/>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61">
    <w:name w:val="Light Shading61"/>
    <w:basedOn w:val="TableNormal"/>
    <w:uiPriority w:val="60"/>
    <w:rsid w:val="00027E0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2">
    <w:name w:val="Light Shading - Accent 11112"/>
    <w:basedOn w:val="TableNormal"/>
    <w:uiPriority w:val="60"/>
    <w:rsid w:val="00027E0E"/>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2">
    <w:name w:val="Light Shading - Accent 112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
    <w:name w:val="Light Shading - Accent 132"/>
    <w:basedOn w:val="TableNormal"/>
    <w:next w:val="LightShading-Accent121"/>
    <w:uiPriority w:val="60"/>
    <w:rsid w:val="00027E0E"/>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2">
    <w:name w:val="Light Shading - Accent 14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2">
    <w:name w:val="Light Shading - Accent 113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2">
    <w:name w:val="Light Shading - Accent 152"/>
    <w:basedOn w:val="TableNormal"/>
    <w:next w:val="LightShading-Accent121"/>
    <w:uiPriority w:val="60"/>
    <w:rsid w:val="00027E0E"/>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2">
    <w:name w:val="Light Shading - Accent 114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2">
    <w:name w:val="Light Shading - Accent 115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2">
    <w:name w:val="Light Shading - Accent 16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2">
    <w:name w:val="Light Shading - Accent 17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2">
    <w:name w:val="Light Shading - Accent 116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2">
    <w:name w:val="Light Shading - Accent 117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2">
    <w:name w:val="Light Shading - Accent 118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2">
    <w:name w:val="Light Shading - Accent 119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2">
    <w:name w:val="Light Shading - Accent 18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2">
    <w:name w:val="Light Shading - Accent 19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2">
    <w:name w:val="Light Shading - Accent 110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2">
    <w:name w:val="Light Shading - Accent 1110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2">
    <w:name w:val="Light Shading - Accent 1112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52">
    <w:name w:val="Medium Grid 3 - Accent 52"/>
    <w:basedOn w:val="TableNormal"/>
    <w:next w:val="MediumGrid3-Accent5"/>
    <w:uiPriority w:val="69"/>
    <w:rsid w:val="00027E0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Shading-Accent52">
    <w:name w:val="Colorful Shading - Accent 52"/>
    <w:basedOn w:val="TableNormal"/>
    <w:next w:val="ColorfulShading-Accent5"/>
    <w:uiPriority w:val="71"/>
    <w:rsid w:val="00027E0E"/>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22">
    <w:name w:val="Light Shading - Accent 22"/>
    <w:basedOn w:val="TableNormal"/>
    <w:next w:val="LightShading-Accent2"/>
    <w:uiPriority w:val="60"/>
    <w:rsid w:val="00027E0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2">
    <w:name w:val="Light Shading - Accent 42"/>
    <w:basedOn w:val="TableNormal"/>
    <w:next w:val="LightShading-Accent4"/>
    <w:uiPriority w:val="60"/>
    <w:rsid w:val="00027E0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2">
    <w:name w:val="Light Grid - Accent 42"/>
    <w:basedOn w:val="TableNormal"/>
    <w:next w:val="LightGrid-Accent4"/>
    <w:uiPriority w:val="62"/>
    <w:rsid w:val="00027E0E"/>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olumns32">
    <w:name w:val="Table Columns 32"/>
    <w:basedOn w:val="TableNormal"/>
    <w:next w:val="TableColumns3"/>
    <w:rsid w:val="00027E0E"/>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027E0E"/>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ightShading-Accent32">
    <w:name w:val="Light Shading - Accent 32"/>
    <w:basedOn w:val="TableNormal"/>
    <w:next w:val="LightShading-Accent3"/>
    <w:uiPriority w:val="60"/>
    <w:rsid w:val="00027E0E"/>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2">
    <w:name w:val="Medium Shading 2 - Accent 22"/>
    <w:basedOn w:val="TableNormal"/>
    <w:next w:val="MediumShading2-Accent2"/>
    <w:uiPriority w:val="64"/>
    <w:rsid w:val="00027E0E"/>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027E0E"/>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1">
    <w:name w:val="Medium Shading 1 - Accent 121"/>
    <w:basedOn w:val="TableNormal"/>
    <w:uiPriority w:val="63"/>
    <w:rsid w:val="00027E0E"/>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1">
    <w:name w:val="Light Grid - Accent 111"/>
    <w:basedOn w:val="TableNormal"/>
    <w:uiPriority w:val="62"/>
    <w:rsid w:val="00027E0E"/>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2">
    <w:name w:val="Table Grid22"/>
    <w:basedOn w:val="TableNormal"/>
    <w:next w:val="TableGrid"/>
    <w:uiPriority w:val="59"/>
    <w:rsid w:val="00027E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2">
    <w:name w:val="Light Shading13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2">
    <w:name w:val="Light Shading121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2">
    <w:name w:val="No List22"/>
    <w:next w:val="NoList"/>
    <w:uiPriority w:val="99"/>
    <w:semiHidden/>
    <w:unhideWhenUsed/>
    <w:rsid w:val="00027E0E"/>
  </w:style>
  <w:style w:type="table" w:customStyle="1" w:styleId="LightShading-Accent11132">
    <w:name w:val="Light Shading - Accent 11132"/>
    <w:basedOn w:val="TableNormal"/>
    <w:next w:val="LightShading-Accent121"/>
    <w:uiPriority w:val="60"/>
    <w:rsid w:val="00027E0E"/>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02">
    <w:name w:val="Light Shading - Accent 1202"/>
    <w:basedOn w:val="TableNormal"/>
    <w:next w:val="LightShading-Accent121"/>
    <w:uiPriority w:val="60"/>
    <w:semiHidden/>
    <w:unhideWhenUsed/>
    <w:rsid w:val="00027E0E"/>
    <w:rPr>
      <w:rFonts w:ascii="Calibri" w:hAnsi="Calibri"/>
      <w:color w:val="2E74B5"/>
      <w:sz w:val="22"/>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42">
    <w:name w:val="Light Shading - Accent 11142"/>
    <w:basedOn w:val="TableNormal"/>
    <w:uiPriority w:val="60"/>
    <w:rsid w:val="00027E0E"/>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2">
    <w:name w:val="No List32"/>
    <w:next w:val="NoList"/>
    <w:uiPriority w:val="99"/>
    <w:semiHidden/>
    <w:unhideWhenUsed/>
    <w:rsid w:val="00027E0E"/>
  </w:style>
  <w:style w:type="table" w:customStyle="1" w:styleId="LightShading52">
    <w:name w:val="Light Shading52"/>
    <w:basedOn w:val="TableNormal"/>
    <w:next w:val="LightShading6"/>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2">
    <w:name w:val="Light Shading14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2">
    <w:name w:val="Light Shading15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2">
    <w:name w:val="Light Shading122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2">
    <w:name w:val="Light Shading16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unhideWhenUsed/>
    <w:rsid w:val="000721DC"/>
  </w:style>
  <w:style w:type="table" w:customStyle="1" w:styleId="ListTable6Colorful3">
    <w:name w:val="List Table 6 Colorful3"/>
    <w:basedOn w:val="TableNormal"/>
    <w:uiPriority w:val="51"/>
    <w:rsid w:val="000721DC"/>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601901"/>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styleId="LineNumber">
    <w:name w:val="line number"/>
    <w:basedOn w:val="DefaultParagraphFont"/>
    <w:uiPriority w:val="99"/>
    <w:semiHidden/>
    <w:unhideWhenUsed/>
    <w:rsid w:val="003B5260"/>
  </w:style>
  <w:style w:type="numbering" w:customStyle="1" w:styleId="NoList7">
    <w:name w:val="No List7"/>
    <w:next w:val="NoList"/>
    <w:uiPriority w:val="99"/>
    <w:semiHidden/>
    <w:unhideWhenUsed/>
    <w:rsid w:val="00D8352B"/>
  </w:style>
  <w:style w:type="table" w:customStyle="1" w:styleId="ListTable6Colorful4">
    <w:name w:val="List Table 6 Colorful4"/>
    <w:basedOn w:val="TableNormal"/>
    <w:next w:val="ListTable6Colorful5"/>
    <w:uiPriority w:val="51"/>
    <w:rsid w:val="00CE2F55"/>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5">
    <w:name w:val="List Table 6 Colorful5"/>
    <w:basedOn w:val="TableNormal"/>
    <w:uiPriority w:val="51"/>
    <w:rsid w:val="00CE2F5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
    <w:name w:val="List Table 6 Colorful21"/>
    <w:basedOn w:val="TableNormal"/>
    <w:uiPriority w:val="51"/>
    <w:rsid w:val="003A7D0F"/>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
    <w:name w:val="List Table 6 Colorful22"/>
    <w:basedOn w:val="TableNormal"/>
    <w:uiPriority w:val="51"/>
    <w:rsid w:val="003A7D0F"/>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8">
    <w:name w:val="No List8"/>
    <w:next w:val="NoList"/>
    <w:uiPriority w:val="99"/>
    <w:semiHidden/>
    <w:unhideWhenUsed/>
    <w:rsid w:val="00827575"/>
  </w:style>
  <w:style w:type="table" w:customStyle="1" w:styleId="TableGrid5">
    <w:name w:val="Table Grid5"/>
    <w:basedOn w:val="TableNormal"/>
    <w:next w:val="TableGrid"/>
    <w:rsid w:val="0082757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53">
    <w:name w:val="Medium List 1 - Accent 53"/>
    <w:basedOn w:val="TableNormal"/>
    <w:next w:val="MediumList1-Accent5"/>
    <w:uiPriority w:val="65"/>
    <w:rsid w:val="00827575"/>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9">
    <w:name w:val="Light Shading19"/>
    <w:basedOn w:val="TableNormal"/>
    <w:uiPriority w:val="60"/>
    <w:rsid w:val="0082757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ittlereSchattierung1-Akzent113">
    <w:name w:val="Mittlere Schattierung 1 - Akzent 113"/>
    <w:basedOn w:val="TableNormal"/>
    <w:next w:val="MediumShading1-Accent11"/>
    <w:uiPriority w:val="63"/>
    <w:rsid w:val="0082757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3">
    <w:name w:val="Medium Shading 1 - Accent 113"/>
    <w:basedOn w:val="TableNormal"/>
    <w:uiPriority w:val="63"/>
    <w:rsid w:val="0082757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3">
    <w:name w:val="Light Shading23"/>
    <w:basedOn w:val="TableNormal"/>
    <w:uiPriority w:val="60"/>
    <w:rsid w:val="00827575"/>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3">
    <w:name w:val="Table Contemporary3"/>
    <w:basedOn w:val="TableNormal"/>
    <w:next w:val="TableContemporary"/>
    <w:rsid w:val="00827575"/>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3">
    <w:name w:val="Light Shading33"/>
    <w:basedOn w:val="TableNormal"/>
    <w:uiPriority w:val="60"/>
    <w:rsid w:val="00827575"/>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3">
    <w:name w:val="Medium List 113"/>
    <w:basedOn w:val="TableNormal"/>
    <w:uiPriority w:val="65"/>
    <w:rsid w:val="008275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3">
    <w:name w:val="Light Shading43"/>
    <w:basedOn w:val="TableNormal"/>
    <w:uiPriority w:val="60"/>
    <w:rsid w:val="008275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Accent53">
    <w:name w:val="Colorful Grid - Accent 53"/>
    <w:basedOn w:val="TableNormal"/>
    <w:next w:val="ColorfulGrid-Accent5"/>
    <w:uiPriority w:val="73"/>
    <w:rsid w:val="008275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23">
    <w:name w:val="Medium Grid 2 - Accent 23"/>
    <w:basedOn w:val="TableNormal"/>
    <w:next w:val="MediumGrid2-Accent2"/>
    <w:uiPriority w:val="68"/>
    <w:rsid w:val="00827575"/>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ghtShading-Accent54">
    <w:name w:val="Light Shading - Accent 54"/>
    <w:basedOn w:val="TableNormal"/>
    <w:next w:val="LightShading-Accent5"/>
    <w:uiPriority w:val="60"/>
    <w:rsid w:val="00827575"/>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3">
    <w:name w:val="Light Shading113"/>
    <w:basedOn w:val="TableNormal"/>
    <w:uiPriority w:val="60"/>
    <w:rsid w:val="0082757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3">
    <w:name w:val="No List13"/>
    <w:next w:val="NoList"/>
    <w:uiPriority w:val="99"/>
    <w:semiHidden/>
    <w:unhideWhenUsed/>
    <w:rsid w:val="00827575"/>
  </w:style>
  <w:style w:type="table" w:customStyle="1" w:styleId="LightShading-Accent1119">
    <w:name w:val="Light Shading - Accent 1119"/>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5">
    <w:name w:val="Light Shading125"/>
    <w:basedOn w:val="TableNormal"/>
    <w:uiPriority w:val="60"/>
    <w:rsid w:val="0082757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3">
    <w:name w:val="Light Shading - Accent 513"/>
    <w:basedOn w:val="TableNormal"/>
    <w:next w:val="LightShading-Accent5"/>
    <w:uiPriority w:val="60"/>
    <w:rsid w:val="00827575"/>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0">
    <w:name w:val="Light Shading - Accent 11110"/>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
    <w:name w:val="Table Grid13"/>
    <w:basedOn w:val="TableNormal"/>
    <w:next w:val="TableGrid"/>
    <w:uiPriority w:val="59"/>
    <w:rsid w:val="0082757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4">
    <w:name w:val="Light Shading - Accent 124"/>
    <w:basedOn w:val="TableNormal"/>
    <w:uiPriority w:val="60"/>
    <w:rsid w:val="0082757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5">
    <w:name w:val="Light Shading - Accent 125"/>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53">
    <w:name w:val="Light Shading53"/>
    <w:basedOn w:val="TableNormal"/>
    <w:uiPriority w:val="60"/>
    <w:rsid w:val="008275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3">
    <w:name w:val="Light Shading - Accent 11113"/>
    <w:basedOn w:val="TableNormal"/>
    <w:uiPriority w:val="60"/>
    <w:rsid w:val="00827575"/>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3">
    <w:name w:val="Light Shading - Accent 112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3">
    <w:name w:val="Light Shading - Accent 133"/>
    <w:basedOn w:val="TableNormal"/>
    <w:next w:val="LightShading-Accent12"/>
    <w:uiPriority w:val="60"/>
    <w:rsid w:val="0082757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3">
    <w:name w:val="Light Shading - Accent 14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3">
    <w:name w:val="Light Shading - Accent 113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3">
    <w:name w:val="Light Shading - Accent 153"/>
    <w:basedOn w:val="TableNormal"/>
    <w:next w:val="LightShading-Accent12"/>
    <w:uiPriority w:val="60"/>
    <w:rsid w:val="0082757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3">
    <w:name w:val="Light Shading - Accent 114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3">
    <w:name w:val="Light Shading - Accent 115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3">
    <w:name w:val="Light Shading - Accent 16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3">
    <w:name w:val="Light Shading - Accent 17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3">
    <w:name w:val="Light Shading - Accent 116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3">
    <w:name w:val="Light Shading - Accent 117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3">
    <w:name w:val="Light Shading - Accent 118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3">
    <w:name w:val="Light Shading - Accent 119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3">
    <w:name w:val="Light Shading - Accent 18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3">
    <w:name w:val="Light Shading - Accent 19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3">
    <w:name w:val="Light Shading - Accent 110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3">
    <w:name w:val="Light Shading - Accent 1110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3">
    <w:name w:val="Light Shading - Accent 1112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53">
    <w:name w:val="Medium Grid 3 - Accent 53"/>
    <w:basedOn w:val="TableNormal"/>
    <w:next w:val="MediumGrid3-Accent5"/>
    <w:uiPriority w:val="69"/>
    <w:rsid w:val="008275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Shading-Accent53">
    <w:name w:val="Colorful Shading - Accent 53"/>
    <w:basedOn w:val="TableNormal"/>
    <w:next w:val="ColorfulShading-Accent5"/>
    <w:uiPriority w:val="71"/>
    <w:rsid w:val="0082757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23">
    <w:name w:val="Light Shading - Accent 23"/>
    <w:basedOn w:val="TableNormal"/>
    <w:next w:val="LightShading-Accent2"/>
    <w:uiPriority w:val="60"/>
    <w:rsid w:val="0082757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3">
    <w:name w:val="Light Shading - Accent 43"/>
    <w:basedOn w:val="TableNormal"/>
    <w:next w:val="LightShading-Accent4"/>
    <w:uiPriority w:val="60"/>
    <w:rsid w:val="0082757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3">
    <w:name w:val="Light Grid - Accent 43"/>
    <w:basedOn w:val="TableNormal"/>
    <w:next w:val="LightGrid-Accent4"/>
    <w:uiPriority w:val="62"/>
    <w:rsid w:val="0082757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olumns33">
    <w:name w:val="Table Columns 33"/>
    <w:basedOn w:val="TableNormal"/>
    <w:next w:val="TableColumns3"/>
    <w:rsid w:val="00827575"/>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27575"/>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ightShading-Accent33">
    <w:name w:val="Light Shading - Accent 33"/>
    <w:basedOn w:val="TableNormal"/>
    <w:next w:val="LightShading-Accent3"/>
    <w:uiPriority w:val="60"/>
    <w:rsid w:val="00827575"/>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3">
    <w:name w:val="Medium Shading 2 - Accent 23"/>
    <w:basedOn w:val="TableNormal"/>
    <w:next w:val="MediumShading2-Accent2"/>
    <w:uiPriority w:val="64"/>
    <w:rsid w:val="00827575"/>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827575"/>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2">
    <w:name w:val="Medium Shading 1 - Accent 122"/>
    <w:basedOn w:val="TableNormal"/>
    <w:uiPriority w:val="63"/>
    <w:rsid w:val="00827575"/>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2">
    <w:name w:val="Light Grid - Accent 112"/>
    <w:basedOn w:val="TableNormal"/>
    <w:uiPriority w:val="62"/>
    <w:rsid w:val="00827575"/>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3">
    <w:name w:val="Table Grid23"/>
    <w:basedOn w:val="TableNormal"/>
    <w:next w:val="TableGrid"/>
    <w:uiPriority w:val="59"/>
    <w:rsid w:val="0082757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11">
    <w:name w:val="Grid Table 3 - Accent 111"/>
    <w:basedOn w:val="TableNormal"/>
    <w:uiPriority w:val="48"/>
    <w:rsid w:val="00827575"/>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tlid-translation">
    <w:name w:val="tlid-translation"/>
    <w:basedOn w:val="DefaultParagraphFont"/>
    <w:rsid w:val="00827575"/>
  </w:style>
  <w:style w:type="table" w:customStyle="1" w:styleId="ListTable6Colorful23">
    <w:name w:val="List Table 6 Colorful23"/>
    <w:basedOn w:val="TableNormal"/>
    <w:uiPriority w:val="51"/>
    <w:rsid w:val="0042342D"/>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4304">
      <w:bodyDiv w:val="1"/>
      <w:marLeft w:val="0"/>
      <w:marRight w:val="0"/>
      <w:marTop w:val="0"/>
      <w:marBottom w:val="0"/>
      <w:divBdr>
        <w:top w:val="none" w:sz="0" w:space="0" w:color="auto"/>
        <w:left w:val="none" w:sz="0" w:space="0" w:color="auto"/>
        <w:bottom w:val="none" w:sz="0" w:space="0" w:color="auto"/>
        <w:right w:val="none" w:sz="0" w:space="0" w:color="auto"/>
      </w:divBdr>
    </w:div>
    <w:div w:id="83958073">
      <w:bodyDiv w:val="1"/>
      <w:marLeft w:val="0"/>
      <w:marRight w:val="0"/>
      <w:marTop w:val="0"/>
      <w:marBottom w:val="0"/>
      <w:divBdr>
        <w:top w:val="none" w:sz="0" w:space="0" w:color="auto"/>
        <w:left w:val="none" w:sz="0" w:space="0" w:color="auto"/>
        <w:bottom w:val="none" w:sz="0" w:space="0" w:color="auto"/>
        <w:right w:val="none" w:sz="0" w:space="0" w:color="auto"/>
      </w:divBdr>
    </w:div>
    <w:div w:id="189228279">
      <w:bodyDiv w:val="1"/>
      <w:marLeft w:val="0"/>
      <w:marRight w:val="0"/>
      <w:marTop w:val="0"/>
      <w:marBottom w:val="0"/>
      <w:divBdr>
        <w:top w:val="none" w:sz="0" w:space="0" w:color="auto"/>
        <w:left w:val="none" w:sz="0" w:space="0" w:color="auto"/>
        <w:bottom w:val="none" w:sz="0" w:space="0" w:color="auto"/>
        <w:right w:val="none" w:sz="0" w:space="0" w:color="auto"/>
      </w:divBdr>
    </w:div>
    <w:div w:id="551119608">
      <w:bodyDiv w:val="1"/>
      <w:marLeft w:val="0"/>
      <w:marRight w:val="0"/>
      <w:marTop w:val="0"/>
      <w:marBottom w:val="0"/>
      <w:divBdr>
        <w:top w:val="none" w:sz="0" w:space="0" w:color="auto"/>
        <w:left w:val="none" w:sz="0" w:space="0" w:color="auto"/>
        <w:bottom w:val="none" w:sz="0" w:space="0" w:color="auto"/>
        <w:right w:val="none" w:sz="0" w:space="0" w:color="auto"/>
      </w:divBdr>
    </w:div>
    <w:div w:id="876745391">
      <w:bodyDiv w:val="1"/>
      <w:marLeft w:val="0"/>
      <w:marRight w:val="0"/>
      <w:marTop w:val="0"/>
      <w:marBottom w:val="0"/>
      <w:divBdr>
        <w:top w:val="none" w:sz="0" w:space="0" w:color="auto"/>
        <w:left w:val="none" w:sz="0" w:space="0" w:color="auto"/>
        <w:bottom w:val="none" w:sz="0" w:space="0" w:color="auto"/>
        <w:right w:val="none" w:sz="0" w:space="0" w:color="auto"/>
      </w:divBdr>
    </w:div>
    <w:div w:id="890462302">
      <w:bodyDiv w:val="1"/>
      <w:marLeft w:val="0"/>
      <w:marRight w:val="0"/>
      <w:marTop w:val="0"/>
      <w:marBottom w:val="0"/>
      <w:divBdr>
        <w:top w:val="none" w:sz="0" w:space="0" w:color="auto"/>
        <w:left w:val="none" w:sz="0" w:space="0" w:color="auto"/>
        <w:bottom w:val="none" w:sz="0" w:space="0" w:color="auto"/>
        <w:right w:val="none" w:sz="0" w:space="0" w:color="auto"/>
      </w:divBdr>
    </w:div>
    <w:div w:id="1050765996">
      <w:bodyDiv w:val="1"/>
      <w:marLeft w:val="0"/>
      <w:marRight w:val="0"/>
      <w:marTop w:val="0"/>
      <w:marBottom w:val="0"/>
      <w:divBdr>
        <w:top w:val="none" w:sz="0" w:space="0" w:color="auto"/>
        <w:left w:val="none" w:sz="0" w:space="0" w:color="auto"/>
        <w:bottom w:val="none" w:sz="0" w:space="0" w:color="auto"/>
        <w:right w:val="none" w:sz="0" w:space="0" w:color="auto"/>
      </w:divBdr>
    </w:div>
    <w:div w:id="1085761975">
      <w:bodyDiv w:val="1"/>
      <w:marLeft w:val="0"/>
      <w:marRight w:val="0"/>
      <w:marTop w:val="0"/>
      <w:marBottom w:val="0"/>
      <w:divBdr>
        <w:top w:val="none" w:sz="0" w:space="0" w:color="auto"/>
        <w:left w:val="none" w:sz="0" w:space="0" w:color="auto"/>
        <w:bottom w:val="none" w:sz="0" w:space="0" w:color="auto"/>
        <w:right w:val="none" w:sz="0" w:space="0" w:color="auto"/>
      </w:divBdr>
    </w:div>
    <w:div w:id="1109475339">
      <w:bodyDiv w:val="1"/>
      <w:marLeft w:val="0"/>
      <w:marRight w:val="0"/>
      <w:marTop w:val="0"/>
      <w:marBottom w:val="0"/>
      <w:divBdr>
        <w:top w:val="none" w:sz="0" w:space="0" w:color="auto"/>
        <w:left w:val="none" w:sz="0" w:space="0" w:color="auto"/>
        <w:bottom w:val="none" w:sz="0" w:space="0" w:color="auto"/>
        <w:right w:val="none" w:sz="0" w:space="0" w:color="auto"/>
      </w:divBdr>
    </w:div>
    <w:div w:id="1153451770">
      <w:bodyDiv w:val="1"/>
      <w:marLeft w:val="0"/>
      <w:marRight w:val="0"/>
      <w:marTop w:val="0"/>
      <w:marBottom w:val="0"/>
      <w:divBdr>
        <w:top w:val="none" w:sz="0" w:space="0" w:color="auto"/>
        <w:left w:val="none" w:sz="0" w:space="0" w:color="auto"/>
        <w:bottom w:val="none" w:sz="0" w:space="0" w:color="auto"/>
        <w:right w:val="none" w:sz="0" w:space="0" w:color="auto"/>
      </w:divBdr>
    </w:div>
    <w:div w:id="1253467259">
      <w:bodyDiv w:val="1"/>
      <w:marLeft w:val="0"/>
      <w:marRight w:val="0"/>
      <w:marTop w:val="0"/>
      <w:marBottom w:val="0"/>
      <w:divBdr>
        <w:top w:val="none" w:sz="0" w:space="0" w:color="auto"/>
        <w:left w:val="none" w:sz="0" w:space="0" w:color="auto"/>
        <w:bottom w:val="none" w:sz="0" w:space="0" w:color="auto"/>
        <w:right w:val="none" w:sz="0" w:space="0" w:color="auto"/>
      </w:divBdr>
    </w:div>
    <w:div w:id="1962031518">
      <w:bodyDiv w:val="1"/>
      <w:marLeft w:val="0"/>
      <w:marRight w:val="0"/>
      <w:marTop w:val="0"/>
      <w:marBottom w:val="0"/>
      <w:divBdr>
        <w:top w:val="none" w:sz="0" w:space="0" w:color="auto"/>
        <w:left w:val="none" w:sz="0" w:space="0" w:color="auto"/>
        <w:bottom w:val="none" w:sz="0" w:space="0" w:color="auto"/>
        <w:right w:val="none" w:sz="0" w:space="0" w:color="auto"/>
      </w:divBdr>
    </w:div>
    <w:div w:id="2049259629">
      <w:bodyDiv w:val="1"/>
      <w:marLeft w:val="0"/>
      <w:marRight w:val="0"/>
      <w:marTop w:val="0"/>
      <w:marBottom w:val="0"/>
      <w:divBdr>
        <w:top w:val="none" w:sz="0" w:space="0" w:color="auto"/>
        <w:left w:val="none" w:sz="0" w:space="0" w:color="auto"/>
        <w:bottom w:val="none" w:sz="0" w:space="0" w:color="auto"/>
        <w:right w:val="none" w:sz="0" w:space="0" w:color="auto"/>
      </w:divBdr>
    </w:div>
    <w:div w:id="209678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nevila.piciri\Desktop\New%20folder\2017\Pyetesoret%202017%20(2).xls"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ser\Desktop\Raporti%202018\Grafiket\Grafiket%20e%20Pyetesorit%202018.xls"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New%20folder\2017\Grafiket%202017.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New%20folder\2017\Grafiket%202017.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aporti%202018\Grafiket\Grafiket.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New%20folder\2017\Grafiket%202017.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esktop\Raporti%202018\Grafiket\Grafiket.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nevila.piciri\Desktop\New%20folder\2017\Pyetesoret%202017%20(2).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nevila.piciri\Desktop\New%20folder\2017\Pyetesoret%202017%20(2).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r>
              <a:rPr lang="en-US" b="1">
                <a:latin typeface="Cambria" panose="02040503050406030204" pitchFamily="18" charset="0"/>
              </a:rPr>
              <a:t>Numri i NJQP-ve që kanë plotësuar pyetësorët e vetëvlerësimit</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f>
              <c:strCache>
                <c:ptCount val="1"/>
                <c:pt idx="0">
                  <c:v>Dërguar për raportim</c:v>
                </c:pt>
              </c:strCache>
            </c:strRef>
          </c:tx>
          <c:spPr>
            <a:solidFill>
              <a:schemeClr val="accent1"/>
            </a:solidFill>
            <a:ln>
              <a:noFill/>
            </a:ln>
            <a:effectLst/>
            <a:sp3d/>
          </c:spPr>
          <c:invertIfNegative val="0"/>
          <c:dLbls>
            <c:dLbl>
              <c:idx val="0"/>
              <c:layout>
                <c:manualLayout>
                  <c:x val="1.8575851393188837E-2"/>
                  <c:y val="-1.858303617546486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63983488132095E-2"/>
                  <c:y val="-1.858303617546483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703818369452969E-2"/>
                  <c:y val="-1.548586347955402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63983488132095E-2"/>
                  <c:y val="-1.548586347955402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Bashki dhe Këshill Qarku</c:v>
                </c:pt>
                <c:pt idx="1">
                  <c:v>Ministri</c:v>
                </c:pt>
                <c:pt idx="2">
                  <c:v>Institucione të Pavarura</c:v>
                </c:pt>
                <c:pt idx="3">
                  <c:v>Institucione Varësie</c:v>
                </c:pt>
              </c:strCache>
            </c:strRef>
          </c:cat>
          <c:val>
            <c:numRef>
              <c:f>Sheet1!$C$4:$C$7</c:f>
              <c:numCache>
                <c:formatCode>General</c:formatCode>
                <c:ptCount val="4"/>
                <c:pt idx="0">
                  <c:v>73</c:v>
                </c:pt>
                <c:pt idx="1">
                  <c:v>11</c:v>
                </c:pt>
                <c:pt idx="2">
                  <c:v>50</c:v>
                </c:pt>
                <c:pt idx="3">
                  <c:v>15</c:v>
                </c:pt>
              </c:numCache>
            </c:numRef>
          </c:val>
        </c:ser>
        <c:ser>
          <c:idx val="1"/>
          <c:order val="1"/>
          <c:tx>
            <c:strRef>
              <c:f>Sheet1!$D$3</c:f>
              <c:strCache>
                <c:ptCount val="1"/>
                <c:pt idx="0">
                  <c:v>Raportuar faktikisht</c:v>
                </c:pt>
              </c:strCache>
            </c:strRef>
          </c:tx>
          <c:spPr>
            <a:solidFill>
              <a:schemeClr val="accent2"/>
            </a:solidFill>
            <a:ln>
              <a:noFill/>
            </a:ln>
            <a:effectLst/>
            <a:sp3d/>
          </c:spPr>
          <c:invertIfNegative val="0"/>
          <c:dLbls>
            <c:dLbl>
              <c:idx val="0"/>
              <c:layout>
                <c:manualLayout>
                  <c:x val="2.0639834881320911E-2"/>
                  <c:y val="-9.291518087732415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63983488132095E-2"/>
                  <c:y val="-1.23886907836432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38390092879257E-2"/>
                  <c:y val="-9.291518087732415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575851393188854E-2"/>
                  <c:y val="-1.858303617546483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Bashki dhe Këshill Qarku</c:v>
                </c:pt>
                <c:pt idx="1">
                  <c:v>Ministri</c:v>
                </c:pt>
                <c:pt idx="2">
                  <c:v>Institucione të Pavarura</c:v>
                </c:pt>
                <c:pt idx="3">
                  <c:v>Institucione Varësie</c:v>
                </c:pt>
              </c:strCache>
            </c:strRef>
          </c:cat>
          <c:val>
            <c:numRef>
              <c:f>Sheet1!$D$4:$D$7</c:f>
              <c:numCache>
                <c:formatCode>General</c:formatCode>
                <c:ptCount val="4"/>
                <c:pt idx="0">
                  <c:v>71</c:v>
                </c:pt>
                <c:pt idx="1">
                  <c:v>10</c:v>
                </c:pt>
                <c:pt idx="2">
                  <c:v>47</c:v>
                </c:pt>
                <c:pt idx="3">
                  <c:v>15</c:v>
                </c:pt>
              </c:numCache>
            </c:numRef>
          </c:val>
        </c:ser>
        <c:dLbls>
          <c:showLegendKey val="0"/>
          <c:showVal val="0"/>
          <c:showCatName val="0"/>
          <c:showSerName val="0"/>
          <c:showPercent val="0"/>
          <c:showBubbleSize val="0"/>
        </c:dLbls>
        <c:gapWidth val="150"/>
        <c:shape val="box"/>
        <c:axId val="259555200"/>
        <c:axId val="259555760"/>
        <c:axId val="0"/>
      </c:bar3DChart>
      <c:catAx>
        <c:axId val="25955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j-lt"/>
                <a:ea typeface="+mn-ea"/>
                <a:cs typeface="+mn-cs"/>
              </a:defRPr>
            </a:pPr>
            <a:endParaRPr lang="en-US"/>
          </a:p>
        </c:txPr>
        <c:crossAx val="259555760"/>
        <c:crosses val="autoZero"/>
        <c:auto val="1"/>
        <c:lblAlgn val="ctr"/>
        <c:lblOffset val="100"/>
        <c:noMultiLvlLbl val="0"/>
      </c:catAx>
      <c:valAx>
        <c:axId val="25955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25955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Grafiket!$C$21</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Grafiket!$C$22:$C$24</c:f>
              <c:numCache>
                <c:formatCode>0%</c:formatCode>
                <c:ptCount val="3"/>
                <c:pt idx="0">
                  <c:v>0</c:v>
                </c:pt>
                <c:pt idx="1">
                  <c:v>0</c:v>
                </c:pt>
                <c:pt idx="2">
                  <c:v>0</c:v>
                </c:pt>
              </c:numCache>
            </c:numRef>
          </c:val>
        </c:ser>
        <c:ser>
          <c:idx val="1"/>
          <c:order val="1"/>
          <c:tx>
            <c:strRef>
              <c:f>Grafiket!$D$21</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Grafiket!$D$22:$D$24</c:f>
              <c:numCache>
                <c:formatCode>0%</c:formatCode>
                <c:ptCount val="3"/>
                <c:pt idx="0">
                  <c:v>3.0000000000000002E-2</c:v>
                </c:pt>
                <c:pt idx="1">
                  <c:v>3.0000000000000002E-2</c:v>
                </c:pt>
                <c:pt idx="2">
                  <c:v>2.0000000000000011E-2</c:v>
                </c:pt>
              </c:numCache>
            </c:numRef>
          </c:val>
        </c:ser>
        <c:ser>
          <c:idx val="2"/>
          <c:order val="2"/>
          <c:tx>
            <c:strRef>
              <c:f>Grafiket!$E$21</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Grafiket!$E$22:$E$24</c:f>
              <c:numCache>
                <c:formatCode>0%</c:formatCode>
                <c:ptCount val="3"/>
                <c:pt idx="0">
                  <c:v>0.27</c:v>
                </c:pt>
                <c:pt idx="1">
                  <c:v>0.2100000000000001</c:v>
                </c:pt>
                <c:pt idx="2">
                  <c:v>0.14000000000000001</c:v>
                </c:pt>
              </c:numCache>
            </c:numRef>
          </c:val>
        </c:ser>
        <c:ser>
          <c:idx val="3"/>
          <c:order val="3"/>
          <c:tx>
            <c:strRef>
              <c:f>Grafiket!$F$21</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Grafiket!$F$22:$F$24</c:f>
              <c:numCache>
                <c:formatCode>0%</c:formatCode>
                <c:ptCount val="3"/>
                <c:pt idx="0">
                  <c:v>0.7000000000000004</c:v>
                </c:pt>
                <c:pt idx="1">
                  <c:v>0.76000000000000045</c:v>
                </c:pt>
                <c:pt idx="2">
                  <c:v>0.84000000000000041</c:v>
                </c:pt>
              </c:numCache>
            </c:numRef>
          </c:val>
        </c:ser>
        <c:dLbls>
          <c:showLegendKey val="0"/>
          <c:showVal val="0"/>
          <c:showCatName val="0"/>
          <c:showSerName val="0"/>
          <c:showPercent val="0"/>
          <c:showBubbleSize val="0"/>
        </c:dLbls>
        <c:gapWidth val="150"/>
        <c:axId val="387613472"/>
        <c:axId val="387614032"/>
      </c:barChart>
      <c:catAx>
        <c:axId val="387613472"/>
        <c:scaling>
          <c:orientation val="minMax"/>
        </c:scaling>
        <c:delete val="0"/>
        <c:axPos val="b"/>
        <c:numFmt formatCode="General" sourceLinked="1"/>
        <c:majorTickMark val="none"/>
        <c:minorTickMark val="none"/>
        <c:tickLblPos val="nextTo"/>
        <c:crossAx val="387614032"/>
        <c:crosses val="autoZero"/>
        <c:auto val="1"/>
        <c:lblAlgn val="ctr"/>
        <c:lblOffset val="100"/>
        <c:noMultiLvlLbl val="0"/>
      </c:catAx>
      <c:valAx>
        <c:axId val="387614032"/>
        <c:scaling>
          <c:orientation val="minMax"/>
        </c:scaling>
        <c:delete val="1"/>
        <c:axPos val="l"/>
        <c:numFmt formatCode="0%" sourceLinked="1"/>
        <c:majorTickMark val="out"/>
        <c:minorTickMark val="none"/>
        <c:tickLblPos val="none"/>
        <c:crossAx val="387613472"/>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Grafiket!$C$21</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Grafiket!$C$22:$C$24</c:f>
              <c:numCache>
                <c:formatCode>0%</c:formatCode>
                <c:ptCount val="3"/>
                <c:pt idx="0">
                  <c:v>7.0000000000000021E-2</c:v>
                </c:pt>
                <c:pt idx="1">
                  <c:v>0.11</c:v>
                </c:pt>
                <c:pt idx="2">
                  <c:v>7.0000000000000021E-2</c:v>
                </c:pt>
              </c:numCache>
            </c:numRef>
          </c:val>
        </c:ser>
        <c:ser>
          <c:idx val="1"/>
          <c:order val="1"/>
          <c:tx>
            <c:strRef>
              <c:f>Grafiket!$D$21</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Grafiket!$D$22:$D$24</c:f>
              <c:numCache>
                <c:formatCode>0%</c:formatCode>
                <c:ptCount val="3"/>
                <c:pt idx="0">
                  <c:v>0.13</c:v>
                </c:pt>
                <c:pt idx="1">
                  <c:v>9.0000000000000024E-2</c:v>
                </c:pt>
                <c:pt idx="2">
                  <c:v>0.11</c:v>
                </c:pt>
              </c:numCache>
            </c:numRef>
          </c:val>
        </c:ser>
        <c:ser>
          <c:idx val="2"/>
          <c:order val="2"/>
          <c:tx>
            <c:strRef>
              <c:f>Grafiket!$E$21</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Grafiket!$E$22:$E$24</c:f>
              <c:numCache>
                <c:formatCode>0%</c:formatCode>
                <c:ptCount val="3"/>
                <c:pt idx="0">
                  <c:v>0.30000000000000016</c:v>
                </c:pt>
                <c:pt idx="1">
                  <c:v>0.23</c:v>
                </c:pt>
                <c:pt idx="2">
                  <c:v>0.18000000000000008</c:v>
                </c:pt>
              </c:numCache>
            </c:numRef>
          </c:val>
        </c:ser>
        <c:ser>
          <c:idx val="3"/>
          <c:order val="3"/>
          <c:tx>
            <c:strRef>
              <c:f>Grafiket!$F$21</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Grafiket!$F$22:$F$24</c:f>
              <c:numCache>
                <c:formatCode>0%</c:formatCode>
                <c:ptCount val="3"/>
                <c:pt idx="0">
                  <c:v>0.5</c:v>
                </c:pt>
                <c:pt idx="1">
                  <c:v>0.56999999999999995</c:v>
                </c:pt>
                <c:pt idx="2">
                  <c:v>0.64000000000000035</c:v>
                </c:pt>
              </c:numCache>
            </c:numRef>
          </c:val>
        </c:ser>
        <c:dLbls>
          <c:showLegendKey val="0"/>
          <c:showVal val="0"/>
          <c:showCatName val="0"/>
          <c:showSerName val="0"/>
          <c:showPercent val="0"/>
          <c:showBubbleSize val="0"/>
        </c:dLbls>
        <c:gapWidth val="150"/>
        <c:axId val="321904192"/>
        <c:axId val="321904752"/>
      </c:barChart>
      <c:catAx>
        <c:axId val="321904192"/>
        <c:scaling>
          <c:orientation val="minMax"/>
        </c:scaling>
        <c:delete val="0"/>
        <c:axPos val="b"/>
        <c:numFmt formatCode="General" sourceLinked="1"/>
        <c:majorTickMark val="none"/>
        <c:minorTickMark val="none"/>
        <c:tickLblPos val="nextTo"/>
        <c:crossAx val="321904752"/>
        <c:crosses val="autoZero"/>
        <c:auto val="1"/>
        <c:lblAlgn val="ctr"/>
        <c:lblOffset val="100"/>
        <c:noMultiLvlLbl val="0"/>
      </c:catAx>
      <c:valAx>
        <c:axId val="321904752"/>
        <c:scaling>
          <c:orientation val="minMax"/>
        </c:scaling>
        <c:delete val="1"/>
        <c:axPos val="l"/>
        <c:numFmt formatCode="0%" sourceLinked="1"/>
        <c:majorTickMark val="out"/>
        <c:minorTickMark val="none"/>
        <c:tickLblPos val="none"/>
        <c:crossAx val="321904192"/>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GRAFIKET!$M$6</c:f>
              <c:strCache>
                <c:ptCount val="1"/>
                <c:pt idx="0">
                  <c:v>Më pak se 5 vjet punë si AB</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GRAFIKET!$N$5:$Q$5</c:f>
              <c:numCache>
                <c:formatCode>General</c:formatCode>
                <c:ptCount val="4"/>
                <c:pt idx="0">
                  <c:v>2015</c:v>
                </c:pt>
                <c:pt idx="1">
                  <c:v>2016</c:v>
                </c:pt>
                <c:pt idx="2">
                  <c:v>2017</c:v>
                </c:pt>
                <c:pt idx="3">
                  <c:v>2018</c:v>
                </c:pt>
              </c:numCache>
            </c:numRef>
          </c:cat>
          <c:val>
            <c:numRef>
              <c:f>GRAFIKET!$N$6:$Q$6</c:f>
              <c:numCache>
                <c:formatCode>General</c:formatCode>
                <c:ptCount val="4"/>
                <c:pt idx="0">
                  <c:v>135</c:v>
                </c:pt>
                <c:pt idx="1">
                  <c:v>172</c:v>
                </c:pt>
                <c:pt idx="2">
                  <c:v>162</c:v>
                </c:pt>
                <c:pt idx="3">
                  <c:v>200</c:v>
                </c:pt>
              </c:numCache>
            </c:numRef>
          </c:val>
        </c:ser>
        <c:ser>
          <c:idx val="1"/>
          <c:order val="1"/>
          <c:tx>
            <c:strRef>
              <c:f>GRAFIKET!$M$7</c:f>
              <c:strCache>
                <c:ptCount val="1"/>
                <c:pt idx="0">
                  <c:v>Mbi 5 vjet punë si AB</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GRAFIKET!$N$5:$Q$5</c:f>
              <c:numCache>
                <c:formatCode>General</c:formatCode>
                <c:ptCount val="4"/>
                <c:pt idx="0">
                  <c:v>2015</c:v>
                </c:pt>
                <c:pt idx="1">
                  <c:v>2016</c:v>
                </c:pt>
                <c:pt idx="2">
                  <c:v>2017</c:v>
                </c:pt>
                <c:pt idx="3">
                  <c:v>2018</c:v>
                </c:pt>
              </c:numCache>
            </c:numRef>
          </c:cat>
          <c:val>
            <c:numRef>
              <c:f>GRAFIKET!$N$7:$Q$7</c:f>
              <c:numCache>
                <c:formatCode>General</c:formatCode>
                <c:ptCount val="4"/>
                <c:pt idx="0">
                  <c:v>228</c:v>
                </c:pt>
                <c:pt idx="1">
                  <c:v>214</c:v>
                </c:pt>
                <c:pt idx="2">
                  <c:v>238</c:v>
                </c:pt>
                <c:pt idx="3">
                  <c:v>229</c:v>
                </c:pt>
              </c:numCache>
            </c:numRef>
          </c:val>
        </c:ser>
        <c:dLbls>
          <c:showLegendKey val="0"/>
          <c:showVal val="0"/>
          <c:showCatName val="0"/>
          <c:showSerName val="0"/>
          <c:showPercent val="0"/>
          <c:showBubbleSize val="0"/>
        </c:dLbls>
        <c:gapWidth val="75"/>
        <c:overlap val="-25"/>
        <c:axId val="259031696"/>
        <c:axId val="259032256"/>
      </c:barChart>
      <c:catAx>
        <c:axId val="259031696"/>
        <c:scaling>
          <c:orientation val="minMax"/>
        </c:scaling>
        <c:delete val="0"/>
        <c:axPos val="b"/>
        <c:numFmt formatCode="General" sourceLinked="1"/>
        <c:majorTickMark val="none"/>
        <c:minorTickMark val="none"/>
        <c:tickLblPos val="nextTo"/>
        <c:crossAx val="259032256"/>
        <c:crosses val="autoZero"/>
        <c:auto val="1"/>
        <c:lblAlgn val="ctr"/>
        <c:lblOffset val="100"/>
        <c:noMultiLvlLbl val="0"/>
      </c:catAx>
      <c:valAx>
        <c:axId val="259032256"/>
        <c:scaling>
          <c:orientation val="minMax"/>
        </c:scaling>
        <c:delete val="0"/>
        <c:axPos val="l"/>
        <c:majorGridlines/>
        <c:numFmt formatCode="General" sourceLinked="1"/>
        <c:majorTickMark val="none"/>
        <c:minorTickMark val="none"/>
        <c:tickLblPos val="nextTo"/>
        <c:crossAx val="259031696"/>
        <c:crosses val="autoZero"/>
        <c:crossBetween val="between"/>
      </c:valAx>
    </c:plotArea>
    <c:legend>
      <c:legendPos val="b"/>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GRAFIKET!$M$21:$M$23</c:f>
              <c:strCache>
                <c:ptCount val="3"/>
                <c:pt idx="0">
                  <c:v>Ekonomistë</c:v>
                </c:pt>
                <c:pt idx="1">
                  <c:v>Juristë</c:v>
                </c:pt>
                <c:pt idx="2">
                  <c:v>Profesione të tjera </c:v>
                </c:pt>
              </c:strCache>
            </c:strRef>
          </c:cat>
          <c:val>
            <c:numRef>
              <c:f>GRAFIKET!$N$21:$N$23</c:f>
              <c:numCache>
                <c:formatCode>0%</c:formatCode>
                <c:ptCount val="3"/>
                <c:pt idx="0">
                  <c:v>0.84000000000000064</c:v>
                </c:pt>
                <c:pt idx="1">
                  <c:v>0.12000000000000002</c:v>
                </c:pt>
                <c:pt idx="2">
                  <c:v>4.0000000000000022E-2</c:v>
                </c:pt>
              </c:numCache>
            </c:numRef>
          </c:val>
        </c:ser>
        <c:dLbls>
          <c:showLegendKey val="0"/>
          <c:showVal val="0"/>
          <c:showCatName val="0"/>
          <c:showSerName val="0"/>
          <c:showPercent val="0"/>
          <c:showBubbleSize val="0"/>
        </c:dLbls>
        <c:gapWidth val="150"/>
        <c:axId val="259034496"/>
        <c:axId val="253470816"/>
      </c:barChart>
      <c:catAx>
        <c:axId val="259034496"/>
        <c:scaling>
          <c:orientation val="minMax"/>
        </c:scaling>
        <c:delete val="0"/>
        <c:axPos val="b"/>
        <c:numFmt formatCode="General" sourceLinked="1"/>
        <c:majorTickMark val="out"/>
        <c:minorTickMark val="none"/>
        <c:tickLblPos val="nextTo"/>
        <c:crossAx val="253470816"/>
        <c:crosses val="autoZero"/>
        <c:auto val="1"/>
        <c:lblAlgn val="ctr"/>
        <c:lblOffset val="100"/>
        <c:noMultiLvlLbl val="0"/>
      </c:catAx>
      <c:valAx>
        <c:axId val="253470816"/>
        <c:scaling>
          <c:orientation val="minMax"/>
        </c:scaling>
        <c:delete val="0"/>
        <c:axPos val="l"/>
        <c:majorGridlines/>
        <c:numFmt formatCode="0%" sourceLinked="1"/>
        <c:majorTickMark val="out"/>
        <c:minorTickMark val="none"/>
        <c:tickLblPos val="nextTo"/>
        <c:crossAx val="259034496"/>
        <c:crosses val="autoZero"/>
        <c:crossBetween val="between"/>
      </c:valAx>
    </c:plotArea>
    <c:plotVisOnly val="1"/>
    <c:dispBlanksAs val="gap"/>
    <c:showDLblsOverMax val="0"/>
  </c:chart>
  <c:txPr>
    <a:bodyPr/>
    <a:lstStyle/>
    <a:p>
      <a:pPr>
        <a:defRPr>
          <a:latin typeface="+mj-lt"/>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GRAFIKET!$M$43:$M$49</c:f>
              <c:strCache>
                <c:ptCount val="7"/>
                <c:pt idx="0">
                  <c:v>Aud. Përputhshmërie</c:v>
                </c:pt>
                <c:pt idx="1">
                  <c:v>Aud. Performance </c:v>
                </c:pt>
                <c:pt idx="2">
                  <c:v>Aud. Financiare</c:v>
                </c:pt>
                <c:pt idx="3">
                  <c:v>Aud. të TI</c:v>
                </c:pt>
                <c:pt idx="4">
                  <c:v>Aud. të Kombinuara </c:v>
                </c:pt>
                <c:pt idx="5">
                  <c:v>Shërb. këshillimi</c:v>
                </c:pt>
                <c:pt idx="6">
                  <c:v>Aud. kërkesë të Titullarit</c:v>
                </c:pt>
              </c:strCache>
            </c:strRef>
          </c:cat>
          <c:val>
            <c:numRef>
              <c:f>GRAFIKET!$N$43:$N$49</c:f>
              <c:numCache>
                <c:formatCode>General</c:formatCode>
                <c:ptCount val="7"/>
                <c:pt idx="0">
                  <c:v>371</c:v>
                </c:pt>
                <c:pt idx="1">
                  <c:v>39</c:v>
                </c:pt>
                <c:pt idx="2">
                  <c:v>116</c:v>
                </c:pt>
                <c:pt idx="3">
                  <c:v>3</c:v>
                </c:pt>
                <c:pt idx="4">
                  <c:v>557</c:v>
                </c:pt>
                <c:pt idx="5">
                  <c:v>14</c:v>
                </c:pt>
                <c:pt idx="6">
                  <c:v>132</c:v>
                </c:pt>
              </c:numCache>
            </c:numRef>
          </c:val>
        </c:ser>
        <c:dLbls>
          <c:showLegendKey val="0"/>
          <c:showVal val="0"/>
          <c:showCatName val="0"/>
          <c:showSerName val="0"/>
          <c:showPercent val="0"/>
          <c:showBubbleSize val="0"/>
        </c:dLbls>
        <c:gapWidth val="150"/>
        <c:axId val="253473056"/>
        <c:axId val="253473616"/>
      </c:barChart>
      <c:catAx>
        <c:axId val="253473056"/>
        <c:scaling>
          <c:orientation val="minMax"/>
        </c:scaling>
        <c:delete val="0"/>
        <c:axPos val="b"/>
        <c:numFmt formatCode="General" sourceLinked="1"/>
        <c:majorTickMark val="none"/>
        <c:minorTickMark val="none"/>
        <c:tickLblPos val="nextTo"/>
        <c:crossAx val="253473616"/>
        <c:crosses val="autoZero"/>
        <c:auto val="1"/>
        <c:lblAlgn val="ctr"/>
        <c:lblOffset val="100"/>
        <c:noMultiLvlLbl val="0"/>
      </c:catAx>
      <c:valAx>
        <c:axId val="253473616"/>
        <c:scaling>
          <c:orientation val="minMax"/>
        </c:scaling>
        <c:delete val="0"/>
        <c:axPos val="l"/>
        <c:majorGridlines/>
        <c:numFmt formatCode="General" sourceLinked="1"/>
        <c:majorTickMark val="none"/>
        <c:minorTickMark val="none"/>
        <c:tickLblPos val="nextTo"/>
        <c:crossAx val="253473056"/>
        <c:crosses val="autoZero"/>
        <c:crossBetween val="between"/>
      </c:valAx>
    </c:plotArea>
    <c:plotVisOnly val="1"/>
    <c:dispBlanksAs val="gap"/>
    <c:showDLblsOverMax val="0"/>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mj-lt"/>
          <a:ea typeface="+mn-ea"/>
          <a:cs typeface="+mn-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877862595420296E-2"/>
          <c:y val="5.5555555555555455E-2"/>
          <c:w val="0.76717557251908719"/>
          <c:h val="0.82592592592592551"/>
        </c:manualLayout>
      </c:layout>
      <c:barChart>
        <c:barDir val="col"/>
        <c:grouping val="clustered"/>
        <c:varyColors val="0"/>
        <c:ser>
          <c:idx val="0"/>
          <c:order val="0"/>
          <c:tx>
            <c:v>plan</c:v>
          </c:tx>
          <c:invertIfNegative val="0"/>
          <c:dLbls>
            <c:spPr>
              <a:noFill/>
              <a:ln w="25400">
                <a:noFill/>
              </a:ln>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GRAFIKET!$M$96:$P$96</c:f>
              <c:numCache>
                <c:formatCode>General</c:formatCode>
                <c:ptCount val="4"/>
                <c:pt idx="0">
                  <c:v>2015</c:v>
                </c:pt>
                <c:pt idx="1">
                  <c:v>2016</c:v>
                </c:pt>
                <c:pt idx="2">
                  <c:v>2017</c:v>
                </c:pt>
                <c:pt idx="3">
                  <c:v>2018</c:v>
                </c:pt>
              </c:numCache>
            </c:numRef>
          </c:cat>
          <c:val>
            <c:numRef>
              <c:f>GRAFIKET!$M$97:$P$97</c:f>
              <c:numCache>
                <c:formatCode>General</c:formatCode>
                <c:ptCount val="4"/>
                <c:pt idx="0">
                  <c:v>1609</c:v>
                </c:pt>
                <c:pt idx="1">
                  <c:v>1552</c:v>
                </c:pt>
                <c:pt idx="2">
                  <c:v>1358</c:v>
                </c:pt>
                <c:pt idx="3">
                  <c:v>1240</c:v>
                </c:pt>
              </c:numCache>
            </c:numRef>
          </c:val>
        </c:ser>
        <c:ser>
          <c:idx val="1"/>
          <c:order val="1"/>
          <c:tx>
            <c:v>fakt</c:v>
          </c:tx>
          <c:invertIfNegative val="0"/>
          <c:dLbls>
            <c:spPr>
              <a:noFill/>
              <a:ln w="25400">
                <a:noFill/>
              </a:ln>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GRAFIKET!$M$96:$P$96</c:f>
              <c:numCache>
                <c:formatCode>General</c:formatCode>
                <c:ptCount val="4"/>
                <c:pt idx="0">
                  <c:v>2015</c:v>
                </c:pt>
                <c:pt idx="1">
                  <c:v>2016</c:v>
                </c:pt>
                <c:pt idx="2">
                  <c:v>2017</c:v>
                </c:pt>
                <c:pt idx="3">
                  <c:v>2018</c:v>
                </c:pt>
              </c:numCache>
            </c:numRef>
          </c:cat>
          <c:val>
            <c:numRef>
              <c:f>GRAFIKET!$M$98:$P$98</c:f>
              <c:numCache>
                <c:formatCode>General</c:formatCode>
                <c:ptCount val="4"/>
                <c:pt idx="0">
                  <c:v>1515</c:v>
                </c:pt>
                <c:pt idx="1">
                  <c:v>1361</c:v>
                </c:pt>
                <c:pt idx="2">
                  <c:v>1360</c:v>
                </c:pt>
                <c:pt idx="3">
                  <c:v>1232</c:v>
                </c:pt>
              </c:numCache>
            </c:numRef>
          </c:val>
        </c:ser>
        <c:dLbls>
          <c:showLegendKey val="0"/>
          <c:showVal val="0"/>
          <c:showCatName val="0"/>
          <c:showSerName val="0"/>
          <c:showPercent val="0"/>
          <c:showBubbleSize val="0"/>
        </c:dLbls>
        <c:gapWidth val="150"/>
        <c:axId val="263539824"/>
        <c:axId val="263540384"/>
      </c:barChart>
      <c:catAx>
        <c:axId val="263539824"/>
        <c:scaling>
          <c:orientation val="minMax"/>
        </c:scaling>
        <c:delete val="0"/>
        <c:axPos val="b"/>
        <c:numFmt formatCode="General" sourceLinked="1"/>
        <c:majorTickMark val="none"/>
        <c:minorTickMark val="none"/>
        <c:tickLblPos val="nextTo"/>
        <c:crossAx val="263540384"/>
        <c:crosses val="autoZero"/>
        <c:auto val="1"/>
        <c:lblAlgn val="ctr"/>
        <c:lblOffset val="100"/>
        <c:noMultiLvlLbl val="0"/>
      </c:catAx>
      <c:valAx>
        <c:axId val="263540384"/>
        <c:scaling>
          <c:orientation val="minMax"/>
        </c:scaling>
        <c:delete val="0"/>
        <c:axPos val="l"/>
        <c:majorGridlines/>
        <c:numFmt formatCode="General" sourceLinked="1"/>
        <c:majorTickMark val="none"/>
        <c:minorTickMark val="none"/>
        <c:tickLblPos val="nextTo"/>
        <c:spPr>
          <a:noFill/>
          <a:ln w="12700" cap="flat" cmpd="sng" algn="ctr">
            <a:solidFill>
              <a:schemeClr val="accent5"/>
            </a:solidFill>
            <a:prstDash val="solid"/>
            <a:miter lim="800000"/>
          </a:ln>
          <a:effectLst/>
        </c:spPr>
        <c:crossAx val="263539824"/>
        <c:crosses val="autoZero"/>
        <c:crossBetween val="between"/>
      </c:valAx>
    </c:plotArea>
    <c:legend>
      <c:legendPos val="r"/>
      <c:layout>
        <c:manualLayout>
          <c:xMode val="edge"/>
          <c:yMode val="edge"/>
          <c:x val="0.8633072423810525"/>
          <c:y val="0.40977432765959193"/>
          <c:w val="0.11691038620172478"/>
          <c:h val="0.16541336680741051"/>
        </c:manualLayout>
      </c:layout>
      <c:overlay val="0"/>
    </c:legend>
    <c:plotVisOnly val="1"/>
    <c:dispBlanksAs val="gap"/>
    <c:showDLblsOverMax val="0"/>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GRAFIKET!$M$59</c:f>
              <c:strCache>
                <c:ptCount val="1"/>
                <c:pt idx="0">
                  <c:v>Rekomandime të pranuara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GRAFIKET!$N$58:$Q$58</c:f>
              <c:numCache>
                <c:formatCode>General</c:formatCode>
                <c:ptCount val="4"/>
                <c:pt idx="0">
                  <c:v>2015</c:v>
                </c:pt>
                <c:pt idx="1">
                  <c:v>2016</c:v>
                </c:pt>
                <c:pt idx="2">
                  <c:v>2017</c:v>
                </c:pt>
                <c:pt idx="3">
                  <c:v>2018</c:v>
                </c:pt>
              </c:numCache>
            </c:numRef>
          </c:cat>
          <c:val>
            <c:numRef>
              <c:f>GRAFIKET!$N$59:$Q$59</c:f>
              <c:numCache>
                <c:formatCode>General</c:formatCode>
                <c:ptCount val="4"/>
                <c:pt idx="0">
                  <c:v>7459</c:v>
                </c:pt>
                <c:pt idx="1">
                  <c:v>7629</c:v>
                </c:pt>
                <c:pt idx="2">
                  <c:v>8341</c:v>
                </c:pt>
                <c:pt idx="3">
                  <c:v>7897</c:v>
                </c:pt>
              </c:numCache>
            </c:numRef>
          </c:val>
        </c:ser>
        <c:ser>
          <c:idx val="1"/>
          <c:order val="1"/>
          <c:tx>
            <c:strRef>
              <c:f>GRAFIKET!$M$60</c:f>
              <c:strCache>
                <c:ptCount val="1"/>
                <c:pt idx="0">
                  <c:v>Rekomandime të zbatuara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GRAFIKET!$N$58:$Q$58</c:f>
              <c:numCache>
                <c:formatCode>General</c:formatCode>
                <c:ptCount val="4"/>
                <c:pt idx="0">
                  <c:v>2015</c:v>
                </c:pt>
                <c:pt idx="1">
                  <c:v>2016</c:v>
                </c:pt>
                <c:pt idx="2">
                  <c:v>2017</c:v>
                </c:pt>
                <c:pt idx="3">
                  <c:v>2018</c:v>
                </c:pt>
              </c:numCache>
            </c:numRef>
          </c:cat>
          <c:val>
            <c:numRef>
              <c:f>GRAFIKET!$N$60:$Q$60</c:f>
              <c:numCache>
                <c:formatCode>General</c:formatCode>
                <c:ptCount val="4"/>
                <c:pt idx="0">
                  <c:v>4652</c:v>
                </c:pt>
                <c:pt idx="1">
                  <c:v>5183</c:v>
                </c:pt>
                <c:pt idx="2">
                  <c:v>4625</c:v>
                </c:pt>
                <c:pt idx="3">
                  <c:v>4501</c:v>
                </c:pt>
              </c:numCache>
            </c:numRef>
          </c:val>
        </c:ser>
        <c:dLbls>
          <c:showLegendKey val="0"/>
          <c:showVal val="1"/>
          <c:showCatName val="0"/>
          <c:showSerName val="0"/>
          <c:showPercent val="0"/>
          <c:showBubbleSize val="0"/>
        </c:dLbls>
        <c:gapWidth val="75"/>
        <c:axId val="375199888"/>
        <c:axId val="375200448"/>
      </c:barChart>
      <c:catAx>
        <c:axId val="375199888"/>
        <c:scaling>
          <c:orientation val="minMax"/>
        </c:scaling>
        <c:delete val="0"/>
        <c:axPos val="b"/>
        <c:numFmt formatCode="General" sourceLinked="1"/>
        <c:majorTickMark val="none"/>
        <c:minorTickMark val="none"/>
        <c:tickLblPos val="nextTo"/>
        <c:crossAx val="375200448"/>
        <c:crosses val="autoZero"/>
        <c:auto val="1"/>
        <c:lblAlgn val="ctr"/>
        <c:lblOffset val="100"/>
        <c:noMultiLvlLbl val="0"/>
      </c:catAx>
      <c:valAx>
        <c:axId val="375200448"/>
        <c:scaling>
          <c:orientation val="minMax"/>
        </c:scaling>
        <c:delete val="0"/>
        <c:axPos val="l"/>
        <c:numFmt formatCode="General" sourceLinked="1"/>
        <c:majorTickMark val="none"/>
        <c:minorTickMark val="none"/>
        <c:tickLblPos val="nextTo"/>
        <c:crossAx val="375199888"/>
        <c:crosses val="autoZero"/>
        <c:crossBetween val="between"/>
      </c:valAx>
    </c:plotArea>
    <c:legend>
      <c:legendPos val="b"/>
      <c:overlay val="0"/>
      <c:spPr>
        <a:ln>
          <a:solidFill>
            <a:srgbClr val="00B0F0"/>
          </a:solidFill>
        </a:ln>
      </c:spPr>
    </c:legend>
    <c:plotVisOnly val="1"/>
    <c:dispBlanksAs val="gap"/>
    <c:showDLblsOverMax val="0"/>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GRAFIKET!$N$115</c:f>
              <c:strCache>
                <c:ptCount val="1"/>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GRAFIKET!$M$116:$M$117</c:f>
              <c:strCache>
                <c:ptCount val="2"/>
                <c:pt idx="0">
                  <c:v>Rekomandime të zbatuara </c:v>
                </c:pt>
                <c:pt idx="1">
                  <c:v>Rekomandime në proces </c:v>
                </c:pt>
              </c:strCache>
            </c:strRef>
          </c:cat>
          <c:val>
            <c:numRef>
              <c:f>GRAFIKET!$N$116:$N$117</c:f>
              <c:numCache>
                <c:formatCode>0%</c:formatCode>
                <c:ptCount val="2"/>
                <c:pt idx="0">
                  <c:v>0.56999999999999995</c:v>
                </c:pt>
                <c:pt idx="1">
                  <c:v>0.43000000000000038</c:v>
                </c:pt>
              </c:numCache>
            </c:numRef>
          </c:val>
        </c:ser>
        <c:dLbls>
          <c:showLegendKey val="0"/>
          <c:showVal val="0"/>
          <c:showCatName val="0"/>
          <c:showSerName val="0"/>
          <c:showPercent val="0"/>
          <c:showBubbleSize val="0"/>
        </c:dLbls>
        <c:gapWidth val="75"/>
        <c:overlap val="-25"/>
        <c:axId val="324766592"/>
        <c:axId val="324767152"/>
      </c:barChart>
      <c:catAx>
        <c:axId val="324766592"/>
        <c:scaling>
          <c:orientation val="minMax"/>
        </c:scaling>
        <c:delete val="0"/>
        <c:axPos val="b"/>
        <c:numFmt formatCode="General" sourceLinked="1"/>
        <c:majorTickMark val="none"/>
        <c:minorTickMark val="none"/>
        <c:tickLblPos val="nextTo"/>
        <c:crossAx val="324767152"/>
        <c:crosses val="autoZero"/>
        <c:auto val="1"/>
        <c:lblAlgn val="ctr"/>
        <c:lblOffset val="100"/>
        <c:noMultiLvlLbl val="0"/>
      </c:catAx>
      <c:valAx>
        <c:axId val="324767152"/>
        <c:scaling>
          <c:orientation val="minMax"/>
        </c:scaling>
        <c:delete val="0"/>
        <c:axPos val="l"/>
        <c:majorGridlines/>
        <c:numFmt formatCode="0%" sourceLinked="1"/>
        <c:majorTickMark val="none"/>
        <c:minorTickMark val="none"/>
        <c:tickLblPos val="nextTo"/>
        <c:spPr>
          <a:ln w="9525">
            <a:noFill/>
          </a:ln>
        </c:spPr>
        <c:crossAx val="324766592"/>
        <c:crosses val="autoZero"/>
        <c:crossBetween val="between"/>
      </c:valAx>
    </c:plotArea>
    <c:plotVisOnly val="1"/>
    <c:dispBlanksAs val="gap"/>
    <c:showDLblsOverMax val="0"/>
  </c:chart>
  <c:spPr>
    <a:solidFill>
      <a:schemeClr val="lt1"/>
    </a:solidFill>
    <a:ln w="12700" cap="flat" cmpd="sng" algn="ctr">
      <a:solidFill>
        <a:srgbClr val="0070C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Grafiket!$C$4</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Grafiket!$C$5:$C$8</c:f>
              <c:numCache>
                <c:formatCode>0%</c:formatCode>
                <c:ptCount val="4"/>
                <c:pt idx="0">
                  <c:v>1.0000000000000005E-2</c:v>
                </c:pt>
                <c:pt idx="1">
                  <c:v>2.0000000000000011E-2</c:v>
                </c:pt>
                <c:pt idx="2">
                  <c:v>6.0000000000000032E-2</c:v>
                </c:pt>
                <c:pt idx="3">
                  <c:v>0</c:v>
                </c:pt>
              </c:numCache>
            </c:numRef>
          </c:val>
        </c:ser>
        <c:ser>
          <c:idx val="1"/>
          <c:order val="1"/>
          <c:tx>
            <c:strRef>
              <c:f>Grafiket!$D$4</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Grafiket!$D$5:$D$8</c:f>
              <c:numCache>
                <c:formatCode>0%</c:formatCode>
                <c:ptCount val="4"/>
                <c:pt idx="0">
                  <c:v>2.0000000000000011E-2</c:v>
                </c:pt>
                <c:pt idx="1">
                  <c:v>1.0000000000000005E-2</c:v>
                </c:pt>
                <c:pt idx="2">
                  <c:v>0</c:v>
                </c:pt>
                <c:pt idx="3">
                  <c:v>1.0000000000000005E-2</c:v>
                </c:pt>
              </c:numCache>
            </c:numRef>
          </c:val>
        </c:ser>
        <c:ser>
          <c:idx val="2"/>
          <c:order val="2"/>
          <c:tx>
            <c:strRef>
              <c:f>Grafiket!$E$4</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Grafiket!$E$5:$E$8</c:f>
              <c:numCache>
                <c:formatCode>0%</c:formatCode>
                <c:ptCount val="4"/>
                <c:pt idx="0">
                  <c:v>0.1800000000000001</c:v>
                </c:pt>
                <c:pt idx="1">
                  <c:v>0.13</c:v>
                </c:pt>
                <c:pt idx="2">
                  <c:v>7.0000000000000021E-2</c:v>
                </c:pt>
                <c:pt idx="3">
                  <c:v>0.13</c:v>
                </c:pt>
              </c:numCache>
            </c:numRef>
          </c:val>
        </c:ser>
        <c:ser>
          <c:idx val="3"/>
          <c:order val="3"/>
          <c:tx>
            <c:strRef>
              <c:f>Grafiket!$F$4</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Grafiket!$F$5:$F$8</c:f>
              <c:numCache>
                <c:formatCode>0%</c:formatCode>
                <c:ptCount val="4"/>
                <c:pt idx="0">
                  <c:v>0.79</c:v>
                </c:pt>
                <c:pt idx="1">
                  <c:v>0.84000000000000041</c:v>
                </c:pt>
                <c:pt idx="2">
                  <c:v>0.87000000000000044</c:v>
                </c:pt>
                <c:pt idx="3">
                  <c:v>0.86000000000000043</c:v>
                </c:pt>
              </c:numCache>
            </c:numRef>
          </c:val>
        </c:ser>
        <c:dLbls>
          <c:showLegendKey val="0"/>
          <c:showVal val="0"/>
          <c:showCatName val="0"/>
          <c:showSerName val="0"/>
          <c:showPercent val="0"/>
          <c:showBubbleSize val="0"/>
        </c:dLbls>
        <c:gapWidth val="150"/>
        <c:axId val="317207328"/>
        <c:axId val="317207888"/>
      </c:barChart>
      <c:catAx>
        <c:axId val="317207328"/>
        <c:scaling>
          <c:orientation val="minMax"/>
        </c:scaling>
        <c:delete val="0"/>
        <c:axPos val="b"/>
        <c:numFmt formatCode="General" sourceLinked="1"/>
        <c:majorTickMark val="none"/>
        <c:minorTickMark val="none"/>
        <c:tickLblPos val="nextTo"/>
        <c:crossAx val="317207888"/>
        <c:crosses val="autoZero"/>
        <c:auto val="1"/>
        <c:lblAlgn val="ctr"/>
        <c:lblOffset val="100"/>
        <c:noMultiLvlLbl val="0"/>
      </c:catAx>
      <c:valAx>
        <c:axId val="317207888"/>
        <c:scaling>
          <c:orientation val="minMax"/>
        </c:scaling>
        <c:delete val="1"/>
        <c:axPos val="l"/>
        <c:numFmt formatCode="0%" sourceLinked="1"/>
        <c:majorTickMark val="out"/>
        <c:minorTickMark val="none"/>
        <c:tickLblPos val="none"/>
        <c:crossAx val="317207328"/>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Grafiket!$C$12</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Grafiket!$C$13:$C$16</c:f>
              <c:numCache>
                <c:formatCode>0%</c:formatCode>
                <c:ptCount val="4"/>
                <c:pt idx="0">
                  <c:v>0</c:v>
                </c:pt>
                <c:pt idx="1">
                  <c:v>0</c:v>
                </c:pt>
                <c:pt idx="2">
                  <c:v>2.0000000000000011E-2</c:v>
                </c:pt>
                <c:pt idx="3">
                  <c:v>0</c:v>
                </c:pt>
              </c:numCache>
            </c:numRef>
          </c:val>
        </c:ser>
        <c:ser>
          <c:idx val="1"/>
          <c:order val="1"/>
          <c:tx>
            <c:strRef>
              <c:f>Grafiket!$D$12</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Grafiket!$D$13:$D$16</c:f>
              <c:numCache>
                <c:formatCode>0%</c:formatCode>
                <c:ptCount val="4"/>
                <c:pt idx="0">
                  <c:v>1.0000000000000005E-2</c:v>
                </c:pt>
                <c:pt idx="1">
                  <c:v>3.0000000000000002E-2</c:v>
                </c:pt>
                <c:pt idx="2">
                  <c:v>0.05</c:v>
                </c:pt>
                <c:pt idx="3">
                  <c:v>3.0000000000000002E-2</c:v>
                </c:pt>
              </c:numCache>
            </c:numRef>
          </c:val>
        </c:ser>
        <c:ser>
          <c:idx val="2"/>
          <c:order val="2"/>
          <c:tx>
            <c:strRef>
              <c:f>Grafiket!$E$12</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Grafiket!$E$13:$E$16</c:f>
              <c:numCache>
                <c:formatCode>0%</c:formatCode>
                <c:ptCount val="4"/>
                <c:pt idx="0">
                  <c:v>0.23</c:v>
                </c:pt>
                <c:pt idx="1">
                  <c:v>0.28000000000000008</c:v>
                </c:pt>
                <c:pt idx="2">
                  <c:v>0.26</c:v>
                </c:pt>
                <c:pt idx="3">
                  <c:v>0.19</c:v>
                </c:pt>
              </c:numCache>
            </c:numRef>
          </c:val>
        </c:ser>
        <c:ser>
          <c:idx val="3"/>
          <c:order val="3"/>
          <c:tx>
            <c:strRef>
              <c:f>Grafiket!$F$12</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Grafiket!$F$13:$F$16</c:f>
              <c:numCache>
                <c:formatCode>0%</c:formatCode>
                <c:ptCount val="4"/>
                <c:pt idx="0">
                  <c:v>0.76000000000000045</c:v>
                </c:pt>
                <c:pt idx="1">
                  <c:v>0.69000000000000039</c:v>
                </c:pt>
                <c:pt idx="2">
                  <c:v>0.67000000000000071</c:v>
                </c:pt>
                <c:pt idx="3">
                  <c:v>0.78</c:v>
                </c:pt>
              </c:numCache>
            </c:numRef>
          </c:val>
        </c:ser>
        <c:dLbls>
          <c:showLegendKey val="0"/>
          <c:showVal val="0"/>
          <c:showCatName val="0"/>
          <c:showSerName val="0"/>
          <c:showPercent val="0"/>
          <c:showBubbleSize val="0"/>
        </c:dLbls>
        <c:gapWidth val="150"/>
        <c:axId val="383011920"/>
        <c:axId val="383012480"/>
      </c:barChart>
      <c:catAx>
        <c:axId val="383011920"/>
        <c:scaling>
          <c:orientation val="minMax"/>
        </c:scaling>
        <c:delete val="0"/>
        <c:axPos val="b"/>
        <c:numFmt formatCode="General" sourceLinked="1"/>
        <c:majorTickMark val="none"/>
        <c:minorTickMark val="none"/>
        <c:tickLblPos val="nextTo"/>
        <c:crossAx val="383012480"/>
        <c:crosses val="autoZero"/>
        <c:auto val="1"/>
        <c:lblAlgn val="ctr"/>
        <c:lblOffset val="100"/>
        <c:noMultiLvlLbl val="0"/>
      </c:catAx>
      <c:valAx>
        <c:axId val="383012480"/>
        <c:scaling>
          <c:orientation val="minMax"/>
        </c:scaling>
        <c:delete val="1"/>
        <c:axPos val="l"/>
        <c:numFmt formatCode="0%" sourceLinked="1"/>
        <c:majorTickMark val="out"/>
        <c:minorTickMark val="none"/>
        <c:tickLblPos val="none"/>
        <c:crossAx val="383011920"/>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7DC9B-B45B-4F55-86D2-B741E4E7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28705</Words>
  <Characters>163619</Characters>
  <Application>Microsoft Office Word</Application>
  <DocSecurity>0</DocSecurity>
  <Lines>1363</Lines>
  <Paragraphs>383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OSCE</Company>
  <LinksUpToDate>false</LinksUpToDate>
  <CharactersWithSpaces>191941</CharactersWithSpaces>
  <SharedDoc>false</SharedDoc>
  <HLinks>
    <vt:vector size="366" baseType="variant">
      <vt:variant>
        <vt:i4>1179705</vt:i4>
      </vt:variant>
      <vt:variant>
        <vt:i4>368</vt:i4>
      </vt:variant>
      <vt:variant>
        <vt:i4>0</vt:i4>
      </vt:variant>
      <vt:variant>
        <vt:i4>5</vt:i4>
      </vt:variant>
      <vt:variant>
        <vt:lpwstr/>
      </vt:variant>
      <vt:variant>
        <vt:lpwstr>_Toc514413935</vt:lpwstr>
      </vt:variant>
      <vt:variant>
        <vt:i4>1179705</vt:i4>
      </vt:variant>
      <vt:variant>
        <vt:i4>362</vt:i4>
      </vt:variant>
      <vt:variant>
        <vt:i4>0</vt:i4>
      </vt:variant>
      <vt:variant>
        <vt:i4>5</vt:i4>
      </vt:variant>
      <vt:variant>
        <vt:lpwstr/>
      </vt:variant>
      <vt:variant>
        <vt:lpwstr>_Toc514413934</vt:lpwstr>
      </vt:variant>
      <vt:variant>
        <vt:i4>1179705</vt:i4>
      </vt:variant>
      <vt:variant>
        <vt:i4>356</vt:i4>
      </vt:variant>
      <vt:variant>
        <vt:i4>0</vt:i4>
      </vt:variant>
      <vt:variant>
        <vt:i4>5</vt:i4>
      </vt:variant>
      <vt:variant>
        <vt:lpwstr/>
      </vt:variant>
      <vt:variant>
        <vt:lpwstr>_Toc514413933</vt:lpwstr>
      </vt:variant>
      <vt:variant>
        <vt:i4>1179705</vt:i4>
      </vt:variant>
      <vt:variant>
        <vt:i4>350</vt:i4>
      </vt:variant>
      <vt:variant>
        <vt:i4>0</vt:i4>
      </vt:variant>
      <vt:variant>
        <vt:i4>5</vt:i4>
      </vt:variant>
      <vt:variant>
        <vt:lpwstr/>
      </vt:variant>
      <vt:variant>
        <vt:lpwstr>_Toc514413932</vt:lpwstr>
      </vt:variant>
      <vt:variant>
        <vt:i4>1179705</vt:i4>
      </vt:variant>
      <vt:variant>
        <vt:i4>344</vt:i4>
      </vt:variant>
      <vt:variant>
        <vt:i4>0</vt:i4>
      </vt:variant>
      <vt:variant>
        <vt:i4>5</vt:i4>
      </vt:variant>
      <vt:variant>
        <vt:lpwstr/>
      </vt:variant>
      <vt:variant>
        <vt:lpwstr>_Toc514413931</vt:lpwstr>
      </vt:variant>
      <vt:variant>
        <vt:i4>1179705</vt:i4>
      </vt:variant>
      <vt:variant>
        <vt:i4>338</vt:i4>
      </vt:variant>
      <vt:variant>
        <vt:i4>0</vt:i4>
      </vt:variant>
      <vt:variant>
        <vt:i4>5</vt:i4>
      </vt:variant>
      <vt:variant>
        <vt:lpwstr/>
      </vt:variant>
      <vt:variant>
        <vt:lpwstr>_Toc514413930</vt:lpwstr>
      </vt:variant>
      <vt:variant>
        <vt:i4>1245241</vt:i4>
      </vt:variant>
      <vt:variant>
        <vt:i4>332</vt:i4>
      </vt:variant>
      <vt:variant>
        <vt:i4>0</vt:i4>
      </vt:variant>
      <vt:variant>
        <vt:i4>5</vt:i4>
      </vt:variant>
      <vt:variant>
        <vt:lpwstr/>
      </vt:variant>
      <vt:variant>
        <vt:lpwstr>_Toc514413929</vt:lpwstr>
      </vt:variant>
      <vt:variant>
        <vt:i4>1245241</vt:i4>
      </vt:variant>
      <vt:variant>
        <vt:i4>326</vt:i4>
      </vt:variant>
      <vt:variant>
        <vt:i4>0</vt:i4>
      </vt:variant>
      <vt:variant>
        <vt:i4>5</vt:i4>
      </vt:variant>
      <vt:variant>
        <vt:lpwstr/>
      </vt:variant>
      <vt:variant>
        <vt:lpwstr>_Toc514413928</vt:lpwstr>
      </vt:variant>
      <vt:variant>
        <vt:i4>1245241</vt:i4>
      </vt:variant>
      <vt:variant>
        <vt:i4>320</vt:i4>
      </vt:variant>
      <vt:variant>
        <vt:i4>0</vt:i4>
      </vt:variant>
      <vt:variant>
        <vt:i4>5</vt:i4>
      </vt:variant>
      <vt:variant>
        <vt:lpwstr/>
      </vt:variant>
      <vt:variant>
        <vt:lpwstr>_Toc514413927</vt:lpwstr>
      </vt:variant>
      <vt:variant>
        <vt:i4>1245241</vt:i4>
      </vt:variant>
      <vt:variant>
        <vt:i4>314</vt:i4>
      </vt:variant>
      <vt:variant>
        <vt:i4>0</vt:i4>
      </vt:variant>
      <vt:variant>
        <vt:i4>5</vt:i4>
      </vt:variant>
      <vt:variant>
        <vt:lpwstr/>
      </vt:variant>
      <vt:variant>
        <vt:lpwstr>_Toc514413926</vt:lpwstr>
      </vt:variant>
      <vt:variant>
        <vt:i4>1245241</vt:i4>
      </vt:variant>
      <vt:variant>
        <vt:i4>308</vt:i4>
      </vt:variant>
      <vt:variant>
        <vt:i4>0</vt:i4>
      </vt:variant>
      <vt:variant>
        <vt:i4>5</vt:i4>
      </vt:variant>
      <vt:variant>
        <vt:lpwstr/>
      </vt:variant>
      <vt:variant>
        <vt:lpwstr>_Toc514413925</vt:lpwstr>
      </vt:variant>
      <vt:variant>
        <vt:i4>1245241</vt:i4>
      </vt:variant>
      <vt:variant>
        <vt:i4>302</vt:i4>
      </vt:variant>
      <vt:variant>
        <vt:i4>0</vt:i4>
      </vt:variant>
      <vt:variant>
        <vt:i4>5</vt:i4>
      </vt:variant>
      <vt:variant>
        <vt:lpwstr/>
      </vt:variant>
      <vt:variant>
        <vt:lpwstr>_Toc514413924</vt:lpwstr>
      </vt:variant>
      <vt:variant>
        <vt:i4>1245241</vt:i4>
      </vt:variant>
      <vt:variant>
        <vt:i4>296</vt:i4>
      </vt:variant>
      <vt:variant>
        <vt:i4>0</vt:i4>
      </vt:variant>
      <vt:variant>
        <vt:i4>5</vt:i4>
      </vt:variant>
      <vt:variant>
        <vt:lpwstr/>
      </vt:variant>
      <vt:variant>
        <vt:lpwstr>_Toc514413923</vt:lpwstr>
      </vt:variant>
      <vt:variant>
        <vt:i4>1245241</vt:i4>
      </vt:variant>
      <vt:variant>
        <vt:i4>290</vt:i4>
      </vt:variant>
      <vt:variant>
        <vt:i4>0</vt:i4>
      </vt:variant>
      <vt:variant>
        <vt:i4>5</vt:i4>
      </vt:variant>
      <vt:variant>
        <vt:lpwstr/>
      </vt:variant>
      <vt:variant>
        <vt:lpwstr>_Toc514413922</vt:lpwstr>
      </vt:variant>
      <vt:variant>
        <vt:i4>1245241</vt:i4>
      </vt:variant>
      <vt:variant>
        <vt:i4>284</vt:i4>
      </vt:variant>
      <vt:variant>
        <vt:i4>0</vt:i4>
      </vt:variant>
      <vt:variant>
        <vt:i4>5</vt:i4>
      </vt:variant>
      <vt:variant>
        <vt:lpwstr/>
      </vt:variant>
      <vt:variant>
        <vt:lpwstr>_Toc514413921</vt:lpwstr>
      </vt:variant>
      <vt:variant>
        <vt:i4>1245241</vt:i4>
      </vt:variant>
      <vt:variant>
        <vt:i4>275</vt:i4>
      </vt:variant>
      <vt:variant>
        <vt:i4>0</vt:i4>
      </vt:variant>
      <vt:variant>
        <vt:i4>5</vt:i4>
      </vt:variant>
      <vt:variant>
        <vt:lpwstr/>
      </vt:variant>
      <vt:variant>
        <vt:lpwstr>_Toc514413920</vt:lpwstr>
      </vt:variant>
      <vt:variant>
        <vt:i4>1048633</vt:i4>
      </vt:variant>
      <vt:variant>
        <vt:i4>269</vt:i4>
      </vt:variant>
      <vt:variant>
        <vt:i4>0</vt:i4>
      </vt:variant>
      <vt:variant>
        <vt:i4>5</vt:i4>
      </vt:variant>
      <vt:variant>
        <vt:lpwstr/>
      </vt:variant>
      <vt:variant>
        <vt:lpwstr>_Toc514413919</vt:lpwstr>
      </vt:variant>
      <vt:variant>
        <vt:i4>1048633</vt:i4>
      </vt:variant>
      <vt:variant>
        <vt:i4>263</vt:i4>
      </vt:variant>
      <vt:variant>
        <vt:i4>0</vt:i4>
      </vt:variant>
      <vt:variant>
        <vt:i4>5</vt:i4>
      </vt:variant>
      <vt:variant>
        <vt:lpwstr/>
      </vt:variant>
      <vt:variant>
        <vt:lpwstr>_Toc514413918</vt:lpwstr>
      </vt:variant>
      <vt:variant>
        <vt:i4>1048633</vt:i4>
      </vt:variant>
      <vt:variant>
        <vt:i4>257</vt:i4>
      </vt:variant>
      <vt:variant>
        <vt:i4>0</vt:i4>
      </vt:variant>
      <vt:variant>
        <vt:i4>5</vt:i4>
      </vt:variant>
      <vt:variant>
        <vt:lpwstr/>
      </vt:variant>
      <vt:variant>
        <vt:lpwstr>_Toc514413917</vt:lpwstr>
      </vt:variant>
      <vt:variant>
        <vt:i4>1048633</vt:i4>
      </vt:variant>
      <vt:variant>
        <vt:i4>251</vt:i4>
      </vt:variant>
      <vt:variant>
        <vt:i4>0</vt:i4>
      </vt:variant>
      <vt:variant>
        <vt:i4>5</vt:i4>
      </vt:variant>
      <vt:variant>
        <vt:lpwstr/>
      </vt:variant>
      <vt:variant>
        <vt:lpwstr>_Toc514413916</vt:lpwstr>
      </vt:variant>
      <vt:variant>
        <vt:i4>1048633</vt:i4>
      </vt:variant>
      <vt:variant>
        <vt:i4>245</vt:i4>
      </vt:variant>
      <vt:variant>
        <vt:i4>0</vt:i4>
      </vt:variant>
      <vt:variant>
        <vt:i4>5</vt:i4>
      </vt:variant>
      <vt:variant>
        <vt:lpwstr/>
      </vt:variant>
      <vt:variant>
        <vt:lpwstr>_Toc514413915</vt:lpwstr>
      </vt:variant>
      <vt:variant>
        <vt:i4>1048633</vt:i4>
      </vt:variant>
      <vt:variant>
        <vt:i4>239</vt:i4>
      </vt:variant>
      <vt:variant>
        <vt:i4>0</vt:i4>
      </vt:variant>
      <vt:variant>
        <vt:i4>5</vt:i4>
      </vt:variant>
      <vt:variant>
        <vt:lpwstr/>
      </vt:variant>
      <vt:variant>
        <vt:lpwstr>_Toc514413914</vt:lpwstr>
      </vt:variant>
      <vt:variant>
        <vt:i4>1048633</vt:i4>
      </vt:variant>
      <vt:variant>
        <vt:i4>233</vt:i4>
      </vt:variant>
      <vt:variant>
        <vt:i4>0</vt:i4>
      </vt:variant>
      <vt:variant>
        <vt:i4>5</vt:i4>
      </vt:variant>
      <vt:variant>
        <vt:lpwstr/>
      </vt:variant>
      <vt:variant>
        <vt:lpwstr>_Toc514413913</vt:lpwstr>
      </vt:variant>
      <vt:variant>
        <vt:i4>1048633</vt:i4>
      </vt:variant>
      <vt:variant>
        <vt:i4>227</vt:i4>
      </vt:variant>
      <vt:variant>
        <vt:i4>0</vt:i4>
      </vt:variant>
      <vt:variant>
        <vt:i4>5</vt:i4>
      </vt:variant>
      <vt:variant>
        <vt:lpwstr/>
      </vt:variant>
      <vt:variant>
        <vt:lpwstr>_Toc514413912</vt:lpwstr>
      </vt:variant>
      <vt:variant>
        <vt:i4>1048633</vt:i4>
      </vt:variant>
      <vt:variant>
        <vt:i4>221</vt:i4>
      </vt:variant>
      <vt:variant>
        <vt:i4>0</vt:i4>
      </vt:variant>
      <vt:variant>
        <vt:i4>5</vt:i4>
      </vt:variant>
      <vt:variant>
        <vt:lpwstr/>
      </vt:variant>
      <vt:variant>
        <vt:lpwstr>_Toc514413911</vt:lpwstr>
      </vt:variant>
      <vt:variant>
        <vt:i4>1048633</vt:i4>
      </vt:variant>
      <vt:variant>
        <vt:i4>215</vt:i4>
      </vt:variant>
      <vt:variant>
        <vt:i4>0</vt:i4>
      </vt:variant>
      <vt:variant>
        <vt:i4>5</vt:i4>
      </vt:variant>
      <vt:variant>
        <vt:lpwstr/>
      </vt:variant>
      <vt:variant>
        <vt:lpwstr>_Toc514413910</vt:lpwstr>
      </vt:variant>
      <vt:variant>
        <vt:i4>1114169</vt:i4>
      </vt:variant>
      <vt:variant>
        <vt:i4>209</vt:i4>
      </vt:variant>
      <vt:variant>
        <vt:i4>0</vt:i4>
      </vt:variant>
      <vt:variant>
        <vt:i4>5</vt:i4>
      </vt:variant>
      <vt:variant>
        <vt:lpwstr/>
      </vt:variant>
      <vt:variant>
        <vt:lpwstr>_Toc514413909</vt:lpwstr>
      </vt:variant>
      <vt:variant>
        <vt:i4>1114169</vt:i4>
      </vt:variant>
      <vt:variant>
        <vt:i4>203</vt:i4>
      </vt:variant>
      <vt:variant>
        <vt:i4>0</vt:i4>
      </vt:variant>
      <vt:variant>
        <vt:i4>5</vt:i4>
      </vt:variant>
      <vt:variant>
        <vt:lpwstr/>
      </vt:variant>
      <vt:variant>
        <vt:lpwstr>_Toc514413908</vt:lpwstr>
      </vt:variant>
      <vt:variant>
        <vt:i4>1114169</vt:i4>
      </vt:variant>
      <vt:variant>
        <vt:i4>197</vt:i4>
      </vt:variant>
      <vt:variant>
        <vt:i4>0</vt:i4>
      </vt:variant>
      <vt:variant>
        <vt:i4>5</vt:i4>
      </vt:variant>
      <vt:variant>
        <vt:lpwstr/>
      </vt:variant>
      <vt:variant>
        <vt:lpwstr>_Toc514413907</vt:lpwstr>
      </vt:variant>
      <vt:variant>
        <vt:i4>1114169</vt:i4>
      </vt:variant>
      <vt:variant>
        <vt:i4>191</vt:i4>
      </vt:variant>
      <vt:variant>
        <vt:i4>0</vt:i4>
      </vt:variant>
      <vt:variant>
        <vt:i4>5</vt:i4>
      </vt:variant>
      <vt:variant>
        <vt:lpwstr/>
      </vt:variant>
      <vt:variant>
        <vt:lpwstr>_Toc514413906</vt:lpwstr>
      </vt:variant>
      <vt:variant>
        <vt:i4>1114169</vt:i4>
      </vt:variant>
      <vt:variant>
        <vt:i4>185</vt:i4>
      </vt:variant>
      <vt:variant>
        <vt:i4>0</vt:i4>
      </vt:variant>
      <vt:variant>
        <vt:i4>5</vt:i4>
      </vt:variant>
      <vt:variant>
        <vt:lpwstr/>
      </vt:variant>
      <vt:variant>
        <vt:lpwstr>_Toc514413905</vt:lpwstr>
      </vt:variant>
      <vt:variant>
        <vt:i4>1572919</vt:i4>
      </vt:variant>
      <vt:variant>
        <vt:i4>176</vt:i4>
      </vt:variant>
      <vt:variant>
        <vt:i4>0</vt:i4>
      </vt:variant>
      <vt:variant>
        <vt:i4>5</vt:i4>
      </vt:variant>
      <vt:variant>
        <vt:lpwstr/>
      </vt:variant>
      <vt:variant>
        <vt:lpwstr>_Toc514413797</vt:lpwstr>
      </vt:variant>
      <vt:variant>
        <vt:i4>1572919</vt:i4>
      </vt:variant>
      <vt:variant>
        <vt:i4>170</vt:i4>
      </vt:variant>
      <vt:variant>
        <vt:i4>0</vt:i4>
      </vt:variant>
      <vt:variant>
        <vt:i4>5</vt:i4>
      </vt:variant>
      <vt:variant>
        <vt:lpwstr/>
      </vt:variant>
      <vt:variant>
        <vt:lpwstr>_Toc514413796</vt:lpwstr>
      </vt:variant>
      <vt:variant>
        <vt:i4>1572919</vt:i4>
      </vt:variant>
      <vt:variant>
        <vt:i4>164</vt:i4>
      </vt:variant>
      <vt:variant>
        <vt:i4>0</vt:i4>
      </vt:variant>
      <vt:variant>
        <vt:i4>5</vt:i4>
      </vt:variant>
      <vt:variant>
        <vt:lpwstr/>
      </vt:variant>
      <vt:variant>
        <vt:lpwstr>_Toc514413795</vt:lpwstr>
      </vt:variant>
      <vt:variant>
        <vt:i4>1572919</vt:i4>
      </vt:variant>
      <vt:variant>
        <vt:i4>158</vt:i4>
      </vt:variant>
      <vt:variant>
        <vt:i4>0</vt:i4>
      </vt:variant>
      <vt:variant>
        <vt:i4>5</vt:i4>
      </vt:variant>
      <vt:variant>
        <vt:lpwstr/>
      </vt:variant>
      <vt:variant>
        <vt:lpwstr>_Toc514413790</vt:lpwstr>
      </vt:variant>
      <vt:variant>
        <vt:i4>1638455</vt:i4>
      </vt:variant>
      <vt:variant>
        <vt:i4>152</vt:i4>
      </vt:variant>
      <vt:variant>
        <vt:i4>0</vt:i4>
      </vt:variant>
      <vt:variant>
        <vt:i4>5</vt:i4>
      </vt:variant>
      <vt:variant>
        <vt:lpwstr/>
      </vt:variant>
      <vt:variant>
        <vt:lpwstr>_Toc514413787</vt:lpwstr>
      </vt:variant>
      <vt:variant>
        <vt:i4>1638455</vt:i4>
      </vt:variant>
      <vt:variant>
        <vt:i4>146</vt:i4>
      </vt:variant>
      <vt:variant>
        <vt:i4>0</vt:i4>
      </vt:variant>
      <vt:variant>
        <vt:i4>5</vt:i4>
      </vt:variant>
      <vt:variant>
        <vt:lpwstr/>
      </vt:variant>
      <vt:variant>
        <vt:lpwstr>_Toc514413784</vt:lpwstr>
      </vt:variant>
      <vt:variant>
        <vt:i4>1638455</vt:i4>
      </vt:variant>
      <vt:variant>
        <vt:i4>140</vt:i4>
      </vt:variant>
      <vt:variant>
        <vt:i4>0</vt:i4>
      </vt:variant>
      <vt:variant>
        <vt:i4>5</vt:i4>
      </vt:variant>
      <vt:variant>
        <vt:lpwstr/>
      </vt:variant>
      <vt:variant>
        <vt:lpwstr>_Toc514413782</vt:lpwstr>
      </vt:variant>
      <vt:variant>
        <vt:i4>1441847</vt:i4>
      </vt:variant>
      <vt:variant>
        <vt:i4>134</vt:i4>
      </vt:variant>
      <vt:variant>
        <vt:i4>0</vt:i4>
      </vt:variant>
      <vt:variant>
        <vt:i4>5</vt:i4>
      </vt:variant>
      <vt:variant>
        <vt:lpwstr/>
      </vt:variant>
      <vt:variant>
        <vt:lpwstr>_Toc514413778</vt:lpwstr>
      </vt:variant>
      <vt:variant>
        <vt:i4>1441847</vt:i4>
      </vt:variant>
      <vt:variant>
        <vt:i4>128</vt:i4>
      </vt:variant>
      <vt:variant>
        <vt:i4>0</vt:i4>
      </vt:variant>
      <vt:variant>
        <vt:i4>5</vt:i4>
      </vt:variant>
      <vt:variant>
        <vt:lpwstr/>
      </vt:variant>
      <vt:variant>
        <vt:lpwstr>_Toc514413774</vt:lpwstr>
      </vt:variant>
      <vt:variant>
        <vt:i4>1441847</vt:i4>
      </vt:variant>
      <vt:variant>
        <vt:i4>122</vt:i4>
      </vt:variant>
      <vt:variant>
        <vt:i4>0</vt:i4>
      </vt:variant>
      <vt:variant>
        <vt:i4>5</vt:i4>
      </vt:variant>
      <vt:variant>
        <vt:lpwstr/>
      </vt:variant>
      <vt:variant>
        <vt:lpwstr>_Toc514413773</vt:lpwstr>
      </vt:variant>
      <vt:variant>
        <vt:i4>1441847</vt:i4>
      </vt:variant>
      <vt:variant>
        <vt:i4>116</vt:i4>
      </vt:variant>
      <vt:variant>
        <vt:i4>0</vt:i4>
      </vt:variant>
      <vt:variant>
        <vt:i4>5</vt:i4>
      </vt:variant>
      <vt:variant>
        <vt:lpwstr/>
      </vt:variant>
      <vt:variant>
        <vt:lpwstr>_Toc514413772</vt:lpwstr>
      </vt:variant>
      <vt:variant>
        <vt:i4>1441847</vt:i4>
      </vt:variant>
      <vt:variant>
        <vt:i4>110</vt:i4>
      </vt:variant>
      <vt:variant>
        <vt:i4>0</vt:i4>
      </vt:variant>
      <vt:variant>
        <vt:i4>5</vt:i4>
      </vt:variant>
      <vt:variant>
        <vt:lpwstr/>
      </vt:variant>
      <vt:variant>
        <vt:lpwstr>_Toc514413771</vt:lpwstr>
      </vt:variant>
      <vt:variant>
        <vt:i4>1441847</vt:i4>
      </vt:variant>
      <vt:variant>
        <vt:i4>104</vt:i4>
      </vt:variant>
      <vt:variant>
        <vt:i4>0</vt:i4>
      </vt:variant>
      <vt:variant>
        <vt:i4>5</vt:i4>
      </vt:variant>
      <vt:variant>
        <vt:lpwstr/>
      </vt:variant>
      <vt:variant>
        <vt:lpwstr>_Toc514413770</vt:lpwstr>
      </vt:variant>
      <vt:variant>
        <vt:i4>1507383</vt:i4>
      </vt:variant>
      <vt:variant>
        <vt:i4>98</vt:i4>
      </vt:variant>
      <vt:variant>
        <vt:i4>0</vt:i4>
      </vt:variant>
      <vt:variant>
        <vt:i4>5</vt:i4>
      </vt:variant>
      <vt:variant>
        <vt:lpwstr/>
      </vt:variant>
      <vt:variant>
        <vt:lpwstr>_Toc514413769</vt:lpwstr>
      </vt:variant>
      <vt:variant>
        <vt:i4>1507383</vt:i4>
      </vt:variant>
      <vt:variant>
        <vt:i4>92</vt:i4>
      </vt:variant>
      <vt:variant>
        <vt:i4>0</vt:i4>
      </vt:variant>
      <vt:variant>
        <vt:i4>5</vt:i4>
      </vt:variant>
      <vt:variant>
        <vt:lpwstr/>
      </vt:variant>
      <vt:variant>
        <vt:lpwstr>_Toc514413767</vt:lpwstr>
      </vt:variant>
      <vt:variant>
        <vt:i4>1507383</vt:i4>
      </vt:variant>
      <vt:variant>
        <vt:i4>86</vt:i4>
      </vt:variant>
      <vt:variant>
        <vt:i4>0</vt:i4>
      </vt:variant>
      <vt:variant>
        <vt:i4>5</vt:i4>
      </vt:variant>
      <vt:variant>
        <vt:lpwstr/>
      </vt:variant>
      <vt:variant>
        <vt:lpwstr>_Toc514413765</vt:lpwstr>
      </vt:variant>
      <vt:variant>
        <vt:i4>1507383</vt:i4>
      </vt:variant>
      <vt:variant>
        <vt:i4>80</vt:i4>
      </vt:variant>
      <vt:variant>
        <vt:i4>0</vt:i4>
      </vt:variant>
      <vt:variant>
        <vt:i4>5</vt:i4>
      </vt:variant>
      <vt:variant>
        <vt:lpwstr/>
      </vt:variant>
      <vt:variant>
        <vt:lpwstr>_Toc514413760</vt:lpwstr>
      </vt:variant>
      <vt:variant>
        <vt:i4>1310775</vt:i4>
      </vt:variant>
      <vt:variant>
        <vt:i4>74</vt:i4>
      </vt:variant>
      <vt:variant>
        <vt:i4>0</vt:i4>
      </vt:variant>
      <vt:variant>
        <vt:i4>5</vt:i4>
      </vt:variant>
      <vt:variant>
        <vt:lpwstr/>
      </vt:variant>
      <vt:variant>
        <vt:lpwstr>_Toc514413758</vt:lpwstr>
      </vt:variant>
      <vt:variant>
        <vt:i4>1310775</vt:i4>
      </vt:variant>
      <vt:variant>
        <vt:i4>68</vt:i4>
      </vt:variant>
      <vt:variant>
        <vt:i4>0</vt:i4>
      </vt:variant>
      <vt:variant>
        <vt:i4>5</vt:i4>
      </vt:variant>
      <vt:variant>
        <vt:lpwstr/>
      </vt:variant>
      <vt:variant>
        <vt:lpwstr>_Toc514413757</vt:lpwstr>
      </vt:variant>
      <vt:variant>
        <vt:i4>1310775</vt:i4>
      </vt:variant>
      <vt:variant>
        <vt:i4>62</vt:i4>
      </vt:variant>
      <vt:variant>
        <vt:i4>0</vt:i4>
      </vt:variant>
      <vt:variant>
        <vt:i4>5</vt:i4>
      </vt:variant>
      <vt:variant>
        <vt:lpwstr/>
      </vt:variant>
      <vt:variant>
        <vt:lpwstr>_Toc514413756</vt:lpwstr>
      </vt:variant>
      <vt:variant>
        <vt:i4>1310775</vt:i4>
      </vt:variant>
      <vt:variant>
        <vt:i4>56</vt:i4>
      </vt:variant>
      <vt:variant>
        <vt:i4>0</vt:i4>
      </vt:variant>
      <vt:variant>
        <vt:i4>5</vt:i4>
      </vt:variant>
      <vt:variant>
        <vt:lpwstr/>
      </vt:variant>
      <vt:variant>
        <vt:lpwstr>_Toc514413752</vt:lpwstr>
      </vt:variant>
      <vt:variant>
        <vt:i4>1376311</vt:i4>
      </vt:variant>
      <vt:variant>
        <vt:i4>50</vt:i4>
      </vt:variant>
      <vt:variant>
        <vt:i4>0</vt:i4>
      </vt:variant>
      <vt:variant>
        <vt:i4>5</vt:i4>
      </vt:variant>
      <vt:variant>
        <vt:lpwstr/>
      </vt:variant>
      <vt:variant>
        <vt:lpwstr>_Toc514413749</vt:lpwstr>
      </vt:variant>
      <vt:variant>
        <vt:i4>1376311</vt:i4>
      </vt:variant>
      <vt:variant>
        <vt:i4>44</vt:i4>
      </vt:variant>
      <vt:variant>
        <vt:i4>0</vt:i4>
      </vt:variant>
      <vt:variant>
        <vt:i4>5</vt:i4>
      </vt:variant>
      <vt:variant>
        <vt:lpwstr/>
      </vt:variant>
      <vt:variant>
        <vt:lpwstr>_Toc514413745</vt:lpwstr>
      </vt:variant>
      <vt:variant>
        <vt:i4>1376311</vt:i4>
      </vt:variant>
      <vt:variant>
        <vt:i4>38</vt:i4>
      </vt:variant>
      <vt:variant>
        <vt:i4>0</vt:i4>
      </vt:variant>
      <vt:variant>
        <vt:i4>5</vt:i4>
      </vt:variant>
      <vt:variant>
        <vt:lpwstr/>
      </vt:variant>
      <vt:variant>
        <vt:lpwstr>_Toc514413744</vt:lpwstr>
      </vt:variant>
      <vt:variant>
        <vt:i4>1376311</vt:i4>
      </vt:variant>
      <vt:variant>
        <vt:i4>32</vt:i4>
      </vt:variant>
      <vt:variant>
        <vt:i4>0</vt:i4>
      </vt:variant>
      <vt:variant>
        <vt:i4>5</vt:i4>
      </vt:variant>
      <vt:variant>
        <vt:lpwstr/>
      </vt:variant>
      <vt:variant>
        <vt:lpwstr>_Toc514413743</vt:lpwstr>
      </vt:variant>
      <vt:variant>
        <vt:i4>1179703</vt:i4>
      </vt:variant>
      <vt:variant>
        <vt:i4>26</vt:i4>
      </vt:variant>
      <vt:variant>
        <vt:i4>0</vt:i4>
      </vt:variant>
      <vt:variant>
        <vt:i4>5</vt:i4>
      </vt:variant>
      <vt:variant>
        <vt:lpwstr/>
      </vt:variant>
      <vt:variant>
        <vt:lpwstr>_Toc514413735</vt:lpwstr>
      </vt:variant>
      <vt:variant>
        <vt:i4>1179703</vt:i4>
      </vt:variant>
      <vt:variant>
        <vt:i4>20</vt:i4>
      </vt:variant>
      <vt:variant>
        <vt:i4>0</vt:i4>
      </vt:variant>
      <vt:variant>
        <vt:i4>5</vt:i4>
      </vt:variant>
      <vt:variant>
        <vt:lpwstr/>
      </vt:variant>
      <vt:variant>
        <vt:lpwstr>_Toc514413734</vt:lpwstr>
      </vt:variant>
      <vt:variant>
        <vt:i4>1179703</vt:i4>
      </vt:variant>
      <vt:variant>
        <vt:i4>14</vt:i4>
      </vt:variant>
      <vt:variant>
        <vt:i4>0</vt:i4>
      </vt:variant>
      <vt:variant>
        <vt:i4>5</vt:i4>
      </vt:variant>
      <vt:variant>
        <vt:lpwstr/>
      </vt:variant>
      <vt:variant>
        <vt:lpwstr>_Toc514413733</vt:lpwstr>
      </vt:variant>
      <vt:variant>
        <vt:i4>1179703</vt:i4>
      </vt:variant>
      <vt:variant>
        <vt:i4>8</vt:i4>
      </vt:variant>
      <vt:variant>
        <vt:i4>0</vt:i4>
      </vt:variant>
      <vt:variant>
        <vt:i4>5</vt:i4>
      </vt:variant>
      <vt:variant>
        <vt:lpwstr/>
      </vt:variant>
      <vt:variant>
        <vt:lpwstr>_Toc514413732</vt:lpwstr>
      </vt:variant>
      <vt:variant>
        <vt:i4>1179703</vt:i4>
      </vt:variant>
      <vt:variant>
        <vt:i4>2</vt:i4>
      </vt:variant>
      <vt:variant>
        <vt:i4>0</vt:i4>
      </vt:variant>
      <vt:variant>
        <vt:i4>5</vt:i4>
      </vt:variant>
      <vt:variant>
        <vt:lpwstr/>
      </vt:variant>
      <vt:variant>
        <vt:lpwstr>_Toc514413731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z</dc:creator>
  <cp:lastModifiedBy>Irena Dervishi</cp:lastModifiedBy>
  <cp:revision>7</cp:revision>
  <cp:lastPrinted>2019-05-21T13:36:00Z</cp:lastPrinted>
  <dcterms:created xsi:type="dcterms:W3CDTF">2019-05-21T13:17:00Z</dcterms:created>
  <dcterms:modified xsi:type="dcterms:W3CDTF">2019-05-21T13:36:00Z</dcterms:modified>
</cp:coreProperties>
</file>