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DC8" w:rsidRPr="00642AF5" w:rsidRDefault="00BE5DC8" w:rsidP="00894DEB">
      <w:pPr>
        <w:jc w:val="both"/>
        <w:rPr>
          <w:rFonts w:ascii="Cambria" w:hAnsi="Cambria"/>
          <w:lang w:val="sq-AL"/>
        </w:rPr>
      </w:pPr>
      <w:r w:rsidRPr="00642AF5">
        <w:rPr>
          <w:rFonts w:ascii="Cambria" w:hAnsi="Cambria" w:cs="Tahoma"/>
          <w:noProof/>
          <w:lang w:val="en-GB" w:eastAsia="en-GB"/>
        </w:rPr>
        <w:drawing>
          <wp:anchor distT="0" distB="0" distL="114300" distR="114300" simplePos="0" relativeHeight="251661312" behindDoc="1" locked="0" layoutInCell="1" allowOverlap="1" wp14:anchorId="7AC78D03" wp14:editId="54799D28">
            <wp:simplePos x="0" y="0"/>
            <wp:positionH relativeFrom="column">
              <wp:posOffset>921744</wp:posOffset>
            </wp:positionH>
            <wp:positionV relativeFrom="paragraph">
              <wp:posOffset>-1270</wp:posOffset>
            </wp:positionV>
            <wp:extent cx="4102735" cy="1647825"/>
            <wp:effectExtent l="0" t="0" r="0" b="0"/>
            <wp:wrapTight wrapText="bothSides">
              <wp:wrapPolygon edited="0">
                <wp:start x="0" y="0"/>
                <wp:lineTo x="0" y="17230"/>
                <wp:lineTo x="1204" y="18229"/>
                <wp:lineTo x="18855" y="18229"/>
                <wp:lineTo x="21463" y="17230"/>
                <wp:lineTo x="21463" y="0"/>
                <wp:lineTo x="0"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035" r="13364"/>
                    <a:stretch/>
                  </pic:blipFill>
                  <pic:spPr bwMode="auto">
                    <a:xfrm>
                      <a:off x="0" y="0"/>
                      <a:ext cx="4102735" cy="1647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4D4245" w:rsidRPr="00642AF5" w:rsidRDefault="004D4245" w:rsidP="00894DEB">
      <w:pPr>
        <w:pStyle w:val="Default"/>
        <w:spacing w:line="276" w:lineRule="auto"/>
        <w:jc w:val="both"/>
        <w:rPr>
          <w:rFonts w:ascii="Cambria" w:hAnsi="Cambria" w:cs="Times New Roman"/>
          <w:b/>
          <w:color w:val="auto"/>
          <w:sz w:val="34"/>
          <w:szCs w:val="34"/>
          <w:lang w:val="en"/>
        </w:rPr>
      </w:pPr>
    </w:p>
    <w:p w:rsidR="00BE5DC8" w:rsidRPr="00642AF5" w:rsidRDefault="00BE5DC8" w:rsidP="00894DEB">
      <w:pPr>
        <w:pStyle w:val="Default"/>
        <w:spacing w:line="276" w:lineRule="auto"/>
        <w:jc w:val="both"/>
        <w:rPr>
          <w:rFonts w:ascii="Cambria" w:hAnsi="Cambria" w:cs="Times New Roman"/>
          <w:b/>
          <w:color w:val="auto"/>
          <w:sz w:val="34"/>
          <w:szCs w:val="34"/>
          <w:lang w:val="en"/>
        </w:rPr>
      </w:pPr>
    </w:p>
    <w:p w:rsidR="00BE5DC8" w:rsidRDefault="00BE5DC8"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Pr="00642AF5" w:rsidRDefault="00642AF5" w:rsidP="00894DEB">
      <w:pPr>
        <w:pStyle w:val="Default"/>
        <w:spacing w:line="276" w:lineRule="auto"/>
        <w:jc w:val="both"/>
        <w:rPr>
          <w:rFonts w:ascii="Cambria" w:hAnsi="Cambria" w:cs="Times New Roman"/>
          <w:b/>
          <w:color w:val="auto"/>
          <w:sz w:val="34"/>
          <w:szCs w:val="34"/>
          <w:lang w:val="en"/>
        </w:rPr>
      </w:pPr>
    </w:p>
    <w:p w:rsidR="00BE5DC8" w:rsidRPr="00642AF5" w:rsidRDefault="00BE5DC8" w:rsidP="00894DEB">
      <w:pPr>
        <w:pStyle w:val="Default"/>
        <w:spacing w:line="276" w:lineRule="auto"/>
        <w:jc w:val="both"/>
        <w:rPr>
          <w:rFonts w:ascii="Cambria" w:hAnsi="Cambria" w:cs="Times New Roman"/>
          <w:b/>
          <w:color w:val="auto"/>
          <w:sz w:val="34"/>
          <w:szCs w:val="34"/>
          <w:lang w:val="en"/>
        </w:rPr>
      </w:pPr>
    </w:p>
    <w:p w:rsidR="004D4245" w:rsidRPr="00642AF5" w:rsidRDefault="004D4245" w:rsidP="00894DEB">
      <w:pPr>
        <w:pStyle w:val="Default"/>
        <w:spacing w:line="276" w:lineRule="auto"/>
        <w:jc w:val="both"/>
        <w:rPr>
          <w:rFonts w:ascii="Cambria" w:hAnsi="Cambria" w:cs="Times New Roman"/>
          <w:b/>
          <w:color w:val="auto"/>
          <w:sz w:val="34"/>
          <w:szCs w:val="34"/>
          <w:lang w:val="en"/>
        </w:rPr>
      </w:pPr>
    </w:p>
    <w:p w:rsidR="004D4245" w:rsidRPr="00642AF5" w:rsidRDefault="00C25C51" w:rsidP="0076734E">
      <w:pPr>
        <w:pStyle w:val="Default"/>
        <w:spacing w:line="276" w:lineRule="auto"/>
        <w:jc w:val="center"/>
        <w:rPr>
          <w:rFonts w:ascii="Cambria" w:hAnsi="Cambria" w:cs="Times New Roman"/>
          <w:b/>
          <w:color w:val="auto"/>
          <w:sz w:val="34"/>
          <w:szCs w:val="34"/>
          <w:lang w:val="en"/>
        </w:rPr>
      </w:pPr>
      <w:r w:rsidRPr="00642AF5">
        <w:rPr>
          <w:rFonts w:ascii="Cambria" w:hAnsi="Cambria"/>
          <w:b/>
          <w:color w:val="auto"/>
          <w:sz w:val="62"/>
          <w:szCs w:val="62"/>
          <w:lang w:val="en-GB"/>
        </w:rPr>
        <w:t>PROGRAMI BUXHETOR AFATMES</w:t>
      </w:r>
      <w:r w:rsidR="00642AF5">
        <w:rPr>
          <w:rFonts w:ascii="Cambria" w:hAnsi="Cambria"/>
          <w:b/>
          <w:color w:val="auto"/>
          <w:sz w:val="62"/>
          <w:szCs w:val="62"/>
          <w:lang w:val="en-GB"/>
        </w:rPr>
        <w:t>Ë</w:t>
      </w:r>
      <w:r w:rsidR="005119BD">
        <w:rPr>
          <w:rFonts w:ascii="Cambria" w:hAnsi="Cambria"/>
          <w:b/>
          <w:color w:val="auto"/>
          <w:sz w:val="62"/>
          <w:szCs w:val="62"/>
          <w:lang w:val="en-GB"/>
        </w:rPr>
        <w:t>M 2020-2022</w:t>
      </w:r>
    </w:p>
    <w:p w:rsidR="003E1FC0" w:rsidRPr="00642AF5" w:rsidRDefault="003E1FC0" w:rsidP="00894DEB">
      <w:pPr>
        <w:pStyle w:val="Default"/>
        <w:spacing w:line="276" w:lineRule="auto"/>
        <w:jc w:val="both"/>
        <w:rPr>
          <w:rFonts w:ascii="Cambria" w:hAnsi="Cambria" w:cs="Times New Roman"/>
          <w:b/>
          <w:color w:val="auto"/>
          <w:sz w:val="34"/>
          <w:szCs w:val="34"/>
          <w:lang w:val="en"/>
        </w:rPr>
      </w:pPr>
    </w:p>
    <w:p w:rsidR="003E1FC0" w:rsidRDefault="003E1FC0"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0440F2" w:rsidRDefault="000440F2" w:rsidP="00894DEB">
      <w:pPr>
        <w:pStyle w:val="Default"/>
        <w:spacing w:line="276" w:lineRule="auto"/>
        <w:jc w:val="both"/>
        <w:rPr>
          <w:rFonts w:ascii="Cambria" w:hAnsi="Cambria" w:cs="Times New Roman"/>
          <w:b/>
          <w:color w:val="auto"/>
          <w:sz w:val="34"/>
          <w:szCs w:val="34"/>
          <w:lang w:val="en"/>
        </w:rPr>
      </w:pPr>
    </w:p>
    <w:p w:rsidR="000440F2" w:rsidRDefault="000440F2" w:rsidP="00894DEB">
      <w:pPr>
        <w:pStyle w:val="Default"/>
        <w:spacing w:line="276" w:lineRule="auto"/>
        <w:jc w:val="both"/>
        <w:rPr>
          <w:rFonts w:ascii="Cambria" w:hAnsi="Cambria" w:cs="Times New Roman"/>
          <w:b/>
          <w:color w:val="auto"/>
          <w:sz w:val="34"/>
          <w:szCs w:val="34"/>
          <w:lang w:val="en"/>
        </w:rPr>
      </w:pPr>
    </w:p>
    <w:p w:rsidR="000440F2" w:rsidRDefault="000440F2" w:rsidP="00894DEB">
      <w:pPr>
        <w:pStyle w:val="Default"/>
        <w:spacing w:line="276" w:lineRule="auto"/>
        <w:jc w:val="both"/>
        <w:rPr>
          <w:rFonts w:ascii="Cambria" w:hAnsi="Cambria" w:cs="Times New Roman"/>
          <w:b/>
          <w:color w:val="auto"/>
          <w:sz w:val="34"/>
          <w:szCs w:val="34"/>
          <w:lang w:val="en"/>
        </w:rPr>
      </w:pPr>
    </w:p>
    <w:p w:rsidR="000440F2" w:rsidRDefault="000440F2"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sdt>
      <w:sdtPr>
        <w:rPr>
          <w:rFonts w:asciiTheme="minorHAnsi" w:eastAsiaTheme="minorHAnsi" w:hAnsiTheme="minorHAnsi" w:cstheme="minorBidi"/>
          <w:color w:val="auto"/>
          <w:sz w:val="22"/>
          <w:szCs w:val="22"/>
        </w:rPr>
        <w:id w:val="-1796203193"/>
        <w:docPartObj>
          <w:docPartGallery w:val="Table of Contents"/>
          <w:docPartUnique/>
        </w:docPartObj>
      </w:sdtPr>
      <w:sdtEndPr>
        <w:rPr>
          <w:rFonts w:eastAsiaTheme="minorEastAsia"/>
          <w:b/>
          <w:bCs/>
          <w:noProof/>
        </w:rPr>
      </w:sdtEndPr>
      <w:sdtContent>
        <w:p w:rsidR="009B79CF" w:rsidRPr="00B515B7" w:rsidRDefault="00B515B7" w:rsidP="00B515B7">
          <w:pPr>
            <w:pStyle w:val="TOCHeading"/>
            <w:jc w:val="center"/>
            <w:rPr>
              <w:rFonts w:ascii="Cambria" w:hAnsi="Cambria"/>
              <w:b/>
              <w:color w:val="auto"/>
            </w:rPr>
          </w:pPr>
          <w:r w:rsidRPr="00B515B7">
            <w:rPr>
              <w:rFonts w:ascii="Cambria" w:hAnsi="Cambria"/>
              <w:b/>
              <w:color w:val="auto"/>
            </w:rPr>
            <w:t>P</w:t>
          </w:r>
          <w:r>
            <w:rPr>
              <w:rFonts w:ascii="Cambria" w:hAnsi="Cambria"/>
              <w:b/>
              <w:color w:val="auto"/>
            </w:rPr>
            <w:t>Ë</w:t>
          </w:r>
          <w:r w:rsidRPr="00B515B7">
            <w:rPr>
              <w:rFonts w:ascii="Cambria" w:hAnsi="Cambria"/>
              <w:b/>
              <w:color w:val="auto"/>
            </w:rPr>
            <w:t>RMBAJTJA</w:t>
          </w:r>
        </w:p>
        <w:p w:rsidR="001B61E7" w:rsidRDefault="001B61E7"/>
        <w:p w:rsidR="00B515B7" w:rsidRPr="00B515B7" w:rsidRDefault="00B515B7" w:rsidP="00B515B7"/>
        <w:p w:rsidR="00D9146A" w:rsidRDefault="009B79CF">
          <w:pPr>
            <w:pStyle w:val="TOC1"/>
            <w:rPr>
              <w:noProof/>
              <w:lang w:val="en-GB" w:eastAsia="en-GB"/>
            </w:rPr>
          </w:pPr>
          <w:r>
            <w:fldChar w:fldCharType="begin"/>
          </w:r>
          <w:r>
            <w:instrText xml:space="preserve"> TOC \o "1-2" \h \z \u </w:instrText>
          </w:r>
          <w:r>
            <w:fldChar w:fldCharType="separate"/>
          </w:r>
          <w:hyperlink w:anchor="_Toc13653970" w:history="1">
            <w:r w:rsidR="00D9146A" w:rsidRPr="00A0278B">
              <w:rPr>
                <w:rStyle w:val="Hyperlink"/>
                <w:rFonts w:ascii="Cambria" w:hAnsi="Cambria"/>
                <w:b/>
                <w:noProof/>
                <w:lang w:val="en"/>
              </w:rPr>
              <w:t>1</w:t>
            </w:r>
            <w:r w:rsidR="00D9146A">
              <w:rPr>
                <w:noProof/>
                <w:lang w:val="en-GB" w:eastAsia="en-GB"/>
              </w:rPr>
              <w:tab/>
            </w:r>
            <w:r w:rsidR="00D9146A" w:rsidRPr="00A0278B">
              <w:rPr>
                <w:rStyle w:val="Hyperlink"/>
                <w:rFonts w:ascii="Cambria" w:hAnsi="Cambria"/>
                <w:b/>
                <w:noProof/>
                <w:lang w:val="en"/>
              </w:rPr>
              <w:t>PRIORITETET AFATMESME NË PBA 2020 - 2022</w:t>
            </w:r>
            <w:r w:rsidR="00D9146A">
              <w:rPr>
                <w:noProof/>
                <w:webHidden/>
              </w:rPr>
              <w:tab/>
            </w:r>
            <w:r w:rsidR="00D9146A">
              <w:rPr>
                <w:noProof/>
                <w:webHidden/>
              </w:rPr>
              <w:fldChar w:fldCharType="begin"/>
            </w:r>
            <w:r w:rsidR="00D9146A">
              <w:rPr>
                <w:noProof/>
                <w:webHidden/>
              </w:rPr>
              <w:instrText xml:space="preserve"> PAGEREF _Toc13653970 \h </w:instrText>
            </w:r>
            <w:r w:rsidR="00D9146A">
              <w:rPr>
                <w:noProof/>
                <w:webHidden/>
              </w:rPr>
            </w:r>
            <w:r w:rsidR="00D9146A">
              <w:rPr>
                <w:noProof/>
                <w:webHidden/>
              </w:rPr>
              <w:fldChar w:fldCharType="separate"/>
            </w:r>
            <w:r w:rsidR="00D9146A">
              <w:rPr>
                <w:noProof/>
                <w:webHidden/>
              </w:rPr>
              <w:t>3</w:t>
            </w:r>
            <w:r w:rsidR="00D9146A">
              <w:rPr>
                <w:noProof/>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71" w:history="1">
            <w:r w:rsidRPr="00A0278B">
              <w:rPr>
                <w:rStyle w:val="Hyperlink"/>
                <w:lang w:val="en"/>
              </w:rPr>
              <w:t>1.1</w:t>
            </w:r>
            <w:r>
              <w:rPr>
                <w:rFonts w:asciiTheme="minorHAnsi" w:eastAsiaTheme="minorEastAsia" w:hAnsiTheme="minorHAnsi" w:cstheme="minorBidi"/>
                <w:b w:val="0"/>
                <w:bCs w:val="0"/>
                <w:iCs w:val="0"/>
                <w:lang w:val="en-GB" w:eastAsia="en-GB"/>
              </w:rPr>
              <w:tab/>
            </w:r>
            <w:r w:rsidRPr="00A0278B">
              <w:rPr>
                <w:rStyle w:val="Hyperlink"/>
                <w:lang w:val="en"/>
              </w:rPr>
              <w:t>Përmbledhje e trendeve afatmesme të zhvillimit makroekonomik</w:t>
            </w:r>
            <w:r>
              <w:rPr>
                <w:webHidden/>
              </w:rPr>
              <w:tab/>
            </w:r>
            <w:r>
              <w:rPr>
                <w:webHidden/>
              </w:rPr>
              <w:fldChar w:fldCharType="begin"/>
            </w:r>
            <w:r>
              <w:rPr>
                <w:webHidden/>
              </w:rPr>
              <w:instrText xml:space="preserve"> PAGEREF _Toc13653971 \h </w:instrText>
            </w:r>
            <w:r>
              <w:rPr>
                <w:webHidden/>
              </w:rPr>
            </w:r>
            <w:r>
              <w:rPr>
                <w:webHidden/>
              </w:rPr>
              <w:fldChar w:fldCharType="separate"/>
            </w:r>
            <w:r>
              <w:rPr>
                <w:webHidden/>
              </w:rPr>
              <w:t>3</w:t>
            </w:r>
            <w:r>
              <w:rPr>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72" w:history="1">
            <w:r w:rsidRPr="00A0278B">
              <w:rPr>
                <w:rStyle w:val="Hyperlink"/>
                <w:lang w:val="en"/>
              </w:rPr>
              <w:t>1.2</w:t>
            </w:r>
            <w:r>
              <w:rPr>
                <w:rFonts w:asciiTheme="minorHAnsi" w:eastAsiaTheme="minorEastAsia" w:hAnsiTheme="minorHAnsi" w:cstheme="minorBidi"/>
                <w:b w:val="0"/>
                <w:bCs w:val="0"/>
                <w:iCs w:val="0"/>
                <w:lang w:val="en-GB" w:eastAsia="en-GB"/>
              </w:rPr>
              <w:tab/>
            </w:r>
            <w:r w:rsidRPr="00A0278B">
              <w:rPr>
                <w:rStyle w:val="Hyperlink"/>
                <w:lang w:val="en"/>
              </w:rPr>
              <w:t>Prioritetet buxhetore afatmesme 2020 – 2022</w:t>
            </w:r>
            <w:r>
              <w:rPr>
                <w:webHidden/>
              </w:rPr>
              <w:tab/>
            </w:r>
            <w:r>
              <w:rPr>
                <w:webHidden/>
              </w:rPr>
              <w:fldChar w:fldCharType="begin"/>
            </w:r>
            <w:r>
              <w:rPr>
                <w:webHidden/>
              </w:rPr>
              <w:instrText xml:space="preserve"> PAGEREF _Toc13653972 \h </w:instrText>
            </w:r>
            <w:r>
              <w:rPr>
                <w:webHidden/>
              </w:rPr>
            </w:r>
            <w:r>
              <w:rPr>
                <w:webHidden/>
              </w:rPr>
              <w:fldChar w:fldCharType="separate"/>
            </w:r>
            <w:r>
              <w:rPr>
                <w:webHidden/>
              </w:rPr>
              <w:t>4</w:t>
            </w:r>
            <w:r>
              <w:rPr>
                <w:webHidden/>
              </w:rPr>
              <w:fldChar w:fldCharType="end"/>
            </w:r>
          </w:hyperlink>
        </w:p>
        <w:p w:rsidR="00D9146A" w:rsidRDefault="00D9146A">
          <w:pPr>
            <w:pStyle w:val="TOC1"/>
            <w:rPr>
              <w:noProof/>
              <w:lang w:val="en-GB" w:eastAsia="en-GB"/>
            </w:rPr>
          </w:pPr>
          <w:hyperlink w:anchor="_Toc13653973" w:history="1">
            <w:r w:rsidRPr="00A0278B">
              <w:rPr>
                <w:rStyle w:val="Hyperlink"/>
                <w:rFonts w:ascii="Cambria" w:hAnsi="Cambria"/>
                <w:b/>
                <w:noProof/>
                <w:lang w:val="en"/>
              </w:rPr>
              <w:t>2</w:t>
            </w:r>
            <w:r>
              <w:rPr>
                <w:noProof/>
                <w:lang w:val="en-GB" w:eastAsia="en-GB"/>
              </w:rPr>
              <w:tab/>
            </w:r>
            <w:r w:rsidRPr="00A0278B">
              <w:rPr>
                <w:rStyle w:val="Hyperlink"/>
                <w:rFonts w:ascii="Cambria" w:hAnsi="Cambria"/>
                <w:b/>
                <w:noProof/>
                <w:lang w:val="en"/>
              </w:rPr>
              <w:t>KUADRI MAKROEKONOMIK DHE FISKAL 2020-2022</w:t>
            </w:r>
            <w:r>
              <w:rPr>
                <w:noProof/>
                <w:webHidden/>
              </w:rPr>
              <w:tab/>
            </w:r>
            <w:r>
              <w:rPr>
                <w:noProof/>
                <w:webHidden/>
              </w:rPr>
              <w:fldChar w:fldCharType="begin"/>
            </w:r>
            <w:r>
              <w:rPr>
                <w:noProof/>
                <w:webHidden/>
              </w:rPr>
              <w:instrText xml:space="preserve"> PAGEREF _Toc13653973 \h </w:instrText>
            </w:r>
            <w:r>
              <w:rPr>
                <w:noProof/>
                <w:webHidden/>
              </w:rPr>
            </w:r>
            <w:r>
              <w:rPr>
                <w:noProof/>
                <w:webHidden/>
              </w:rPr>
              <w:fldChar w:fldCharType="separate"/>
            </w:r>
            <w:r>
              <w:rPr>
                <w:noProof/>
                <w:webHidden/>
              </w:rPr>
              <w:t>8</w:t>
            </w:r>
            <w:r>
              <w:rPr>
                <w:noProof/>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74" w:history="1">
            <w:r w:rsidRPr="00A0278B">
              <w:rPr>
                <w:rStyle w:val="Hyperlink"/>
                <w:rFonts w:cs="Calibri"/>
              </w:rPr>
              <w:t>2.1</w:t>
            </w:r>
            <w:r>
              <w:rPr>
                <w:rFonts w:asciiTheme="minorHAnsi" w:eastAsiaTheme="minorEastAsia" w:hAnsiTheme="minorHAnsi" w:cstheme="minorBidi"/>
                <w:b w:val="0"/>
                <w:bCs w:val="0"/>
                <w:iCs w:val="0"/>
                <w:lang w:val="en-GB" w:eastAsia="en-GB"/>
              </w:rPr>
              <w:tab/>
            </w:r>
            <w:r w:rsidRPr="00A0278B">
              <w:rPr>
                <w:rStyle w:val="Hyperlink"/>
              </w:rPr>
              <w:t>Zhvillimet Makroekonomike</w:t>
            </w:r>
            <w:r>
              <w:rPr>
                <w:webHidden/>
              </w:rPr>
              <w:tab/>
            </w:r>
            <w:r>
              <w:rPr>
                <w:webHidden/>
              </w:rPr>
              <w:fldChar w:fldCharType="begin"/>
            </w:r>
            <w:r>
              <w:rPr>
                <w:webHidden/>
              </w:rPr>
              <w:instrText xml:space="preserve"> PAGEREF _Toc13653974 \h </w:instrText>
            </w:r>
            <w:r>
              <w:rPr>
                <w:webHidden/>
              </w:rPr>
            </w:r>
            <w:r>
              <w:rPr>
                <w:webHidden/>
              </w:rPr>
              <w:fldChar w:fldCharType="separate"/>
            </w:r>
            <w:r>
              <w:rPr>
                <w:webHidden/>
              </w:rPr>
              <w:t>8</w:t>
            </w:r>
            <w:r>
              <w:rPr>
                <w:webHidden/>
              </w:rPr>
              <w:fldChar w:fldCharType="end"/>
            </w:r>
          </w:hyperlink>
        </w:p>
        <w:p w:rsidR="00D9146A" w:rsidRDefault="00D9146A">
          <w:pPr>
            <w:pStyle w:val="TOC1"/>
            <w:rPr>
              <w:noProof/>
              <w:lang w:val="en-GB" w:eastAsia="en-GB"/>
            </w:rPr>
          </w:pPr>
          <w:hyperlink w:anchor="_Toc13653975" w:history="1">
            <w:r w:rsidRPr="00A0278B">
              <w:rPr>
                <w:rStyle w:val="Hyperlink"/>
                <w:rFonts w:ascii="Cambria" w:hAnsi="Cambria" w:cs="Times New Roman"/>
                <w:b/>
                <w:noProof/>
                <w:lang w:val="en"/>
              </w:rPr>
              <w:t>3</w:t>
            </w:r>
            <w:r>
              <w:rPr>
                <w:noProof/>
                <w:lang w:val="en-GB" w:eastAsia="en-GB"/>
              </w:rPr>
              <w:tab/>
            </w:r>
            <w:r w:rsidRPr="00A0278B">
              <w:rPr>
                <w:rStyle w:val="Hyperlink"/>
                <w:rFonts w:ascii="Cambria" w:hAnsi="Cambria" w:cs="Times New Roman"/>
                <w:b/>
                <w:noProof/>
                <w:lang w:val="en"/>
              </w:rPr>
              <w:t>PROGRAMI BUXHETOR AFATMESËM 2020-2022</w:t>
            </w:r>
            <w:r>
              <w:rPr>
                <w:noProof/>
                <w:webHidden/>
              </w:rPr>
              <w:tab/>
            </w:r>
            <w:r>
              <w:rPr>
                <w:noProof/>
                <w:webHidden/>
              </w:rPr>
              <w:fldChar w:fldCharType="begin"/>
            </w:r>
            <w:r>
              <w:rPr>
                <w:noProof/>
                <w:webHidden/>
              </w:rPr>
              <w:instrText xml:space="preserve"> PAGEREF _Toc13653975 \h </w:instrText>
            </w:r>
            <w:r>
              <w:rPr>
                <w:noProof/>
                <w:webHidden/>
              </w:rPr>
            </w:r>
            <w:r>
              <w:rPr>
                <w:noProof/>
                <w:webHidden/>
              </w:rPr>
              <w:fldChar w:fldCharType="separate"/>
            </w:r>
            <w:r>
              <w:rPr>
                <w:noProof/>
                <w:webHidden/>
              </w:rPr>
              <w:t>17</w:t>
            </w:r>
            <w:r>
              <w:rPr>
                <w:noProof/>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76" w:history="1">
            <w:r w:rsidRPr="00A0278B">
              <w:rPr>
                <w:rStyle w:val="Hyperlink"/>
              </w:rPr>
              <w:t>3.1</w:t>
            </w:r>
            <w:r>
              <w:rPr>
                <w:rFonts w:asciiTheme="minorHAnsi" w:eastAsiaTheme="minorEastAsia" w:hAnsiTheme="minorHAnsi" w:cstheme="minorBidi"/>
                <w:b w:val="0"/>
                <w:bCs w:val="0"/>
                <w:iCs w:val="0"/>
                <w:lang w:val="en-GB" w:eastAsia="en-GB"/>
              </w:rPr>
              <w:tab/>
            </w:r>
            <w:r w:rsidRPr="00A0278B">
              <w:rPr>
                <w:rStyle w:val="Hyperlink"/>
              </w:rPr>
              <w:t>MINISTRIA E SHËNDETËSISË DHE MBROJTJES SOCIALE</w:t>
            </w:r>
            <w:r>
              <w:rPr>
                <w:webHidden/>
              </w:rPr>
              <w:tab/>
            </w:r>
            <w:r>
              <w:rPr>
                <w:webHidden/>
              </w:rPr>
              <w:fldChar w:fldCharType="begin"/>
            </w:r>
            <w:r>
              <w:rPr>
                <w:webHidden/>
              </w:rPr>
              <w:instrText xml:space="preserve"> PAGEREF _Toc13653976 \h </w:instrText>
            </w:r>
            <w:r>
              <w:rPr>
                <w:webHidden/>
              </w:rPr>
            </w:r>
            <w:r>
              <w:rPr>
                <w:webHidden/>
              </w:rPr>
              <w:fldChar w:fldCharType="separate"/>
            </w:r>
            <w:r>
              <w:rPr>
                <w:webHidden/>
              </w:rPr>
              <w:t>17</w:t>
            </w:r>
            <w:r>
              <w:rPr>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77" w:history="1">
            <w:r w:rsidRPr="00A0278B">
              <w:rPr>
                <w:rStyle w:val="Hyperlink"/>
              </w:rPr>
              <w:t>3.2</w:t>
            </w:r>
            <w:r>
              <w:rPr>
                <w:rFonts w:asciiTheme="minorHAnsi" w:eastAsiaTheme="minorEastAsia" w:hAnsiTheme="minorHAnsi" w:cstheme="minorBidi"/>
                <w:b w:val="0"/>
                <w:bCs w:val="0"/>
                <w:iCs w:val="0"/>
                <w:lang w:val="en-GB" w:eastAsia="en-GB"/>
              </w:rPr>
              <w:tab/>
            </w:r>
            <w:r w:rsidRPr="00A0278B">
              <w:rPr>
                <w:rStyle w:val="Hyperlink"/>
              </w:rPr>
              <w:t>MINISTRIA E ARSIMIT, SPORTIT DHE RINISË</w:t>
            </w:r>
            <w:r>
              <w:rPr>
                <w:webHidden/>
              </w:rPr>
              <w:tab/>
            </w:r>
            <w:r>
              <w:rPr>
                <w:webHidden/>
              </w:rPr>
              <w:fldChar w:fldCharType="begin"/>
            </w:r>
            <w:r>
              <w:rPr>
                <w:webHidden/>
              </w:rPr>
              <w:instrText xml:space="preserve"> PAGEREF _Toc13653977 \h </w:instrText>
            </w:r>
            <w:r>
              <w:rPr>
                <w:webHidden/>
              </w:rPr>
            </w:r>
            <w:r>
              <w:rPr>
                <w:webHidden/>
              </w:rPr>
              <w:fldChar w:fldCharType="separate"/>
            </w:r>
            <w:r>
              <w:rPr>
                <w:webHidden/>
              </w:rPr>
              <w:t>20</w:t>
            </w:r>
            <w:r>
              <w:rPr>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78" w:history="1">
            <w:r w:rsidRPr="00A0278B">
              <w:rPr>
                <w:rStyle w:val="Hyperlink"/>
              </w:rPr>
              <w:t>3.3</w:t>
            </w:r>
            <w:r>
              <w:rPr>
                <w:rFonts w:asciiTheme="minorHAnsi" w:eastAsiaTheme="minorEastAsia" w:hAnsiTheme="minorHAnsi" w:cstheme="minorBidi"/>
                <w:b w:val="0"/>
                <w:bCs w:val="0"/>
                <w:iCs w:val="0"/>
                <w:lang w:val="en-GB" w:eastAsia="en-GB"/>
              </w:rPr>
              <w:tab/>
            </w:r>
            <w:r w:rsidRPr="00A0278B">
              <w:rPr>
                <w:rStyle w:val="Hyperlink"/>
              </w:rPr>
              <w:t>MINISTRIA E BUJQËSISË DHE ZHVILLIMIT RURAL</w:t>
            </w:r>
            <w:r>
              <w:rPr>
                <w:webHidden/>
              </w:rPr>
              <w:tab/>
            </w:r>
            <w:r>
              <w:rPr>
                <w:webHidden/>
              </w:rPr>
              <w:fldChar w:fldCharType="begin"/>
            </w:r>
            <w:r>
              <w:rPr>
                <w:webHidden/>
              </w:rPr>
              <w:instrText xml:space="preserve"> PAGEREF _Toc13653978 \h </w:instrText>
            </w:r>
            <w:r>
              <w:rPr>
                <w:webHidden/>
              </w:rPr>
            </w:r>
            <w:r>
              <w:rPr>
                <w:webHidden/>
              </w:rPr>
              <w:fldChar w:fldCharType="separate"/>
            </w:r>
            <w:r>
              <w:rPr>
                <w:webHidden/>
              </w:rPr>
              <w:t>25</w:t>
            </w:r>
            <w:r>
              <w:rPr>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79" w:history="1">
            <w:r w:rsidRPr="00A0278B">
              <w:rPr>
                <w:rStyle w:val="Hyperlink"/>
              </w:rPr>
              <w:t>3.4</w:t>
            </w:r>
            <w:r>
              <w:rPr>
                <w:rFonts w:asciiTheme="minorHAnsi" w:eastAsiaTheme="minorEastAsia" w:hAnsiTheme="minorHAnsi" w:cstheme="minorBidi"/>
                <w:b w:val="0"/>
                <w:bCs w:val="0"/>
                <w:iCs w:val="0"/>
                <w:lang w:val="en-GB" w:eastAsia="en-GB"/>
              </w:rPr>
              <w:tab/>
            </w:r>
            <w:r w:rsidRPr="00A0278B">
              <w:rPr>
                <w:rStyle w:val="Hyperlink"/>
              </w:rPr>
              <w:t>MINISTRIA E DREJTËSISË</w:t>
            </w:r>
            <w:r>
              <w:rPr>
                <w:webHidden/>
              </w:rPr>
              <w:tab/>
            </w:r>
            <w:r>
              <w:rPr>
                <w:webHidden/>
              </w:rPr>
              <w:fldChar w:fldCharType="begin"/>
            </w:r>
            <w:r>
              <w:rPr>
                <w:webHidden/>
              </w:rPr>
              <w:instrText xml:space="preserve"> PAGEREF _Toc13653979 \h </w:instrText>
            </w:r>
            <w:r>
              <w:rPr>
                <w:webHidden/>
              </w:rPr>
            </w:r>
            <w:r>
              <w:rPr>
                <w:webHidden/>
              </w:rPr>
              <w:fldChar w:fldCharType="separate"/>
            </w:r>
            <w:r>
              <w:rPr>
                <w:webHidden/>
              </w:rPr>
              <w:t>28</w:t>
            </w:r>
            <w:r>
              <w:rPr>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80" w:history="1">
            <w:r w:rsidRPr="00A0278B">
              <w:rPr>
                <w:rStyle w:val="Hyperlink"/>
              </w:rPr>
              <w:t>3.5</w:t>
            </w:r>
            <w:r>
              <w:rPr>
                <w:rFonts w:asciiTheme="minorHAnsi" w:eastAsiaTheme="minorEastAsia" w:hAnsiTheme="minorHAnsi" w:cstheme="minorBidi"/>
                <w:b w:val="0"/>
                <w:bCs w:val="0"/>
                <w:iCs w:val="0"/>
                <w:lang w:val="en-GB" w:eastAsia="en-GB"/>
              </w:rPr>
              <w:tab/>
            </w:r>
            <w:r w:rsidRPr="00A0278B">
              <w:rPr>
                <w:rStyle w:val="Hyperlink"/>
              </w:rPr>
              <w:t>MINISTRIA E INFRASTRUKTURËS DHE ENERGJISË</w:t>
            </w:r>
            <w:r>
              <w:rPr>
                <w:webHidden/>
              </w:rPr>
              <w:tab/>
            </w:r>
            <w:r>
              <w:rPr>
                <w:webHidden/>
              </w:rPr>
              <w:fldChar w:fldCharType="begin"/>
            </w:r>
            <w:r>
              <w:rPr>
                <w:webHidden/>
              </w:rPr>
              <w:instrText xml:space="preserve"> PAGEREF _Toc13653980 \h </w:instrText>
            </w:r>
            <w:r>
              <w:rPr>
                <w:webHidden/>
              </w:rPr>
            </w:r>
            <w:r>
              <w:rPr>
                <w:webHidden/>
              </w:rPr>
              <w:fldChar w:fldCharType="separate"/>
            </w:r>
            <w:r>
              <w:rPr>
                <w:webHidden/>
              </w:rPr>
              <w:t>30</w:t>
            </w:r>
            <w:r>
              <w:rPr>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85" w:history="1">
            <w:r w:rsidRPr="00A0278B">
              <w:rPr>
                <w:rStyle w:val="Hyperlink"/>
              </w:rPr>
              <w:t>3.6</w:t>
            </w:r>
            <w:r>
              <w:rPr>
                <w:rFonts w:asciiTheme="minorHAnsi" w:eastAsiaTheme="minorEastAsia" w:hAnsiTheme="minorHAnsi" w:cstheme="minorBidi"/>
                <w:b w:val="0"/>
                <w:bCs w:val="0"/>
                <w:iCs w:val="0"/>
                <w:lang w:val="en-GB" w:eastAsia="en-GB"/>
              </w:rPr>
              <w:tab/>
            </w:r>
            <w:r w:rsidRPr="00A0278B">
              <w:rPr>
                <w:rStyle w:val="Hyperlink"/>
              </w:rPr>
              <w:t>MINISTRIA E BRENDSHME</w:t>
            </w:r>
            <w:r>
              <w:rPr>
                <w:webHidden/>
              </w:rPr>
              <w:tab/>
            </w:r>
            <w:r>
              <w:rPr>
                <w:webHidden/>
              </w:rPr>
              <w:fldChar w:fldCharType="begin"/>
            </w:r>
            <w:r>
              <w:rPr>
                <w:webHidden/>
              </w:rPr>
              <w:instrText xml:space="preserve"> PAGEREF _Toc13653985 \h </w:instrText>
            </w:r>
            <w:r>
              <w:rPr>
                <w:webHidden/>
              </w:rPr>
            </w:r>
            <w:r>
              <w:rPr>
                <w:webHidden/>
              </w:rPr>
              <w:fldChar w:fldCharType="separate"/>
            </w:r>
            <w:r>
              <w:rPr>
                <w:webHidden/>
              </w:rPr>
              <w:t>34</w:t>
            </w:r>
            <w:r>
              <w:rPr>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86" w:history="1">
            <w:r w:rsidRPr="00A0278B">
              <w:rPr>
                <w:rStyle w:val="Hyperlink"/>
              </w:rPr>
              <w:t>3.7</w:t>
            </w:r>
            <w:r>
              <w:rPr>
                <w:rFonts w:asciiTheme="minorHAnsi" w:eastAsiaTheme="minorEastAsia" w:hAnsiTheme="minorHAnsi" w:cstheme="minorBidi"/>
                <w:b w:val="0"/>
                <w:bCs w:val="0"/>
                <w:iCs w:val="0"/>
                <w:lang w:val="en-GB" w:eastAsia="en-GB"/>
              </w:rPr>
              <w:tab/>
            </w:r>
            <w:r w:rsidRPr="00A0278B">
              <w:rPr>
                <w:rStyle w:val="Hyperlink"/>
              </w:rPr>
              <w:t>MINISTRIA E MBROJTJES</w:t>
            </w:r>
            <w:r>
              <w:rPr>
                <w:webHidden/>
              </w:rPr>
              <w:tab/>
            </w:r>
            <w:r>
              <w:rPr>
                <w:webHidden/>
              </w:rPr>
              <w:fldChar w:fldCharType="begin"/>
            </w:r>
            <w:r>
              <w:rPr>
                <w:webHidden/>
              </w:rPr>
              <w:instrText xml:space="preserve"> PAGEREF _Toc13653986 \h </w:instrText>
            </w:r>
            <w:r>
              <w:rPr>
                <w:webHidden/>
              </w:rPr>
            </w:r>
            <w:r>
              <w:rPr>
                <w:webHidden/>
              </w:rPr>
              <w:fldChar w:fldCharType="separate"/>
            </w:r>
            <w:r>
              <w:rPr>
                <w:webHidden/>
              </w:rPr>
              <w:t>37</w:t>
            </w:r>
            <w:r>
              <w:rPr>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87" w:history="1">
            <w:r w:rsidRPr="00A0278B">
              <w:rPr>
                <w:rStyle w:val="Hyperlink"/>
              </w:rPr>
              <w:t>3.8</w:t>
            </w:r>
            <w:r>
              <w:rPr>
                <w:rFonts w:asciiTheme="minorHAnsi" w:eastAsiaTheme="minorEastAsia" w:hAnsiTheme="minorHAnsi" w:cstheme="minorBidi"/>
                <w:b w:val="0"/>
                <w:bCs w:val="0"/>
                <w:iCs w:val="0"/>
                <w:lang w:val="en-GB" w:eastAsia="en-GB"/>
              </w:rPr>
              <w:tab/>
            </w:r>
            <w:r w:rsidRPr="00A0278B">
              <w:rPr>
                <w:rStyle w:val="Hyperlink"/>
              </w:rPr>
              <w:t>MINISTRIA E TURIZMIT DHE MJEDISIT</w:t>
            </w:r>
            <w:r>
              <w:rPr>
                <w:webHidden/>
              </w:rPr>
              <w:tab/>
            </w:r>
            <w:r>
              <w:rPr>
                <w:webHidden/>
              </w:rPr>
              <w:fldChar w:fldCharType="begin"/>
            </w:r>
            <w:r>
              <w:rPr>
                <w:webHidden/>
              </w:rPr>
              <w:instrText xml:space="preserve"> PAGEREF _Toc13653987 \h </w:instrText>
            </w:r>
            <w:r>
              <w:rPr>
                <w:webHidden/>
              </w:rPr>
            </w:r>
            <w:r>
              <w:rPr>
                <w:webHidden/>
              </w:rPr>
              <w:fldChar w:fldCharType="separate"/>
            </w:r>
            <w:r>
              <w:rPr>
                <w:webHidden/>
              </w:rPr>
              <w:t>39</w:t>
            </w:r>
            <w:r>
              <w:rPr>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95" w:history="1">
            <w:r w:rsidRPr="00A0278B">
              <w:rPr>
                <w:rStyle w:val="Hyperlink"/>
              </w:rPr>
              <w:t>3.9</w:t>
            </w:r>
            <w:r>
              <w:rPr>
                <w:rFonts w:asciiTheme="minorHAnsi" w:eastAsiaTheme="minorEastAsia" w:hAnsiTheme="minorHAnsi" w:cstheme="minorBidi"/>
                <w:b w:val="0"/>
                <w:bCs w:val="0"/>
                <w:iCs w:val="0"/>
                <w:lang w:val="en-GB" w:eastAsia="en-GB"/>
              </w:rPr>
              <w:tab/>
            </w:r>
            <w:r w:rsidRPr="00A0278B">
              <w:rPr>
                <w:rStyle w:val="Hyperlink"/>
              </w:rPr>
              <w:t>MINISTRIA PËR EVROPËN DHE PUNËT E JASHTME</w:t>
            </w:r>
            <w:r>
              <w:rPr>
                <w:webHidden/>
              </w:rPr>
              <w:tab/>
            </w:r>
            <w:r>
              <w:rPr>
                <w:webHidden/>
              </w:rPr>
              <w:fldChar w:fldCharType="begin"/>
            </w:r>
            <w:r>
              <w:rPr>
                <w:webHidden/>
              </w:rPr>
              <w:instrText xml:space="preserve"> PAGEREF _Toc13653995 \h </w:instrText>
            </w:r>
            <w:r>
              <w:rPr>
                <w:webHidden/>
              </w:rPr>
            </w:r>
            <w:r>
              <w:rPr>
                <w:webHidden/>
              </w:rPr>
              <w:fldChar w:fldCharType="separate"/>
            </w:r>
            <w:r>
              <w:rPr>
                <w:webHidden/>
              </w:rPr>
              <w:t>41</w:t>
            </w:r>
            <w:r>
              <w:rPr>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96" w:history="1">
            <w:r w:rsidRPr="00A0278B">
              <w:rPr>
                <w:rStyle w:val="Hyperlink"/>
              </w:rPr>
              <w:t>3.10</w:t>
            </w:r>
            <w:r>
              <w:rPr>
                <w:rFonts w:asciiTheme="minorHAnsi" w:eastAsiaTheme="minorEastAsia" w:hAnsiTheme="minorHAnsi" w:cstheme="minorBidi"/>
                <w:b w:val="0"/>
                <w:bCs w:val="0"/>
                <w:iCs w:val="0"/>
                <w:lang w:val="en-GB" w:eastAsia="en-GB"/>
              </w:rPr>
              <w:tab/>
            </w:r>
            <w:r w:rsidRPr="00A0278B">
              <w:rPr>
                <w:rStyle w:val="Hyperlink"/>
              </w:rPr>
              <w:t>MINISTRIA E KULTURËS</w:t>
            </w:r>
            <w:r>
              <w:rPr>
                <w:webHidden/>
              </w:rPr>
              <w:tab/>
            </w:r>
            <w:r>
              <w:rPr>
                <w:webHidden/>
              </w:rPr>
              <w:fldChar w:fldCharType="begin"/>
            </w:r>
            <w:r>
              <w:rPr>
                <w:webHidden/>
              </w:rPr>
              <w:instrText xml:space="preserve"> PAGEREF _Toc13653996 \h </w:instrText>
            </w:r>
            <w:r>
              <w:rPr>
                <w:webHidden/>
              </w:rPr>
            </w:r>
            <w:r>
              <w:rPr>
                <w:webHidden/>
              </w:rPr>
              <w:fldChar w:fldCharType="separate"/>
            </w:r>
            <w:r>
              <w:rPr>
                <w:webHidden/>
              </w:rPr>
              <w:t>43</w:t>
            </w:r>
            <w:r>
              <w:rPr>
                <w:webHidden/>
              </w:rPr>
              <w:fldChar w:fldCharType="end"/>
            </w:r>
          </w:hyperlink>
        </w:p>
        <w:p w:rsidR="00D9146A" w:rsidRDefault="00D9146A">
          <w:pPr>
            <w:pStyle w:val="TOC2"/>
            <w:rPr>
              <w:rFonts w:asciiTheme="minorHAnsi" w:eastAsiaTheme="minorEastAsia" w:hAnsiTheme="minorHAnsi" w:cstheme="minorBidi"/>
              <w:b w:val="0"/>
              <w:bCs w:val="0"/>
              <w:iCs w:val="0"/>
              <w:lang w:val="en-GB" w:eastAsia="en-GB"/>
            </w:rPr>
          </w:pPr>
          <w:hyperlink w:anchor="_Toc13653997" w:history="1">
            <w:r w:rsidRPr="00A0278B">
              <w:rPr>
                <w:rStyle w:val="Hyperlink"/>
              </w:rPr>
              <w:t>3.11</w:t>
            </w:r>
            <w:r>
              <w:rPr>
                <w:rFonts w:asciiTheme="minorHAnsi" w:eastAsiaTheme="minorEastAsia" w:hAnsiTheme="minorHAnsi" w:cstheme="minorBidi"/>
                <w:b w:val="0"/>
                <w:bCs w:val="0"/>
                <w:iCs w:val="0"/>
                <w:lang w:val="en-GB" w:eastAsia="en-GB"/>
              </w:rPr>
              <w:tab/>
            </w:r>
            <w:r w:rsidRPr="00A0278B">
              <w:rPr>
                <w:rStyle w:val="Hyperlink"/>
              </w:rPr>
              <w:t>MINISTRIA E FINANCAVE DHE EKONOMISË</w:t>
            </w:r>
            <w:r>
              <w:rPr>
                <w:webHidden/>
              </w:rPr>
              <w:tab/>
            </w:r>
            <w:r>
              <w:rPr>
                <w:webHidden/>
              </w:rPr>
              <w:fldChar w:fldCharType="begin"/>
            </w:r>
            <w:r>
              <w:rPr>
                <w:webHidden/>
              </w:rPr>
              <w:instrText xml:space="preserve"> PAGEREF _Toc13653997 \h </w:instrText>
            </w:r>
            <w:r>
              <w:rPr>
                <w:webHidden/>
              </w:rPr>
            </w:r>
            <w:r>
              <w:rPr>
                <w:webHidden/>
              </w:rPr>
              <w:fldChar w:fldCharType="separate"/>
            </w:r>
            <w:r>
              <w:rPr>
                <w:webHidden/>
              </w:rPr>
              <w:t>45</w:t>
            </w:r>
            <w:r>
              <w:rPr>
                <w:webHidden/>
              </w:rPr>
              <w:fldChar w:fldCharType="end"/>
            </w:r>
          </w:hyperlink>
        </w:p>
        <w:p w:rsidR="00D9146A" w:rsidRDefault="00D9146A">
          <w:pPr>
            <w:pStyle w:val="TOC1"/>
            <w:rPr>
              <w:noProof/>
              <w:lang w:val="en-GB" w:eastAsia="en-GB"/>
            </w:rPr>
          </w:pPr>
          <w:hyperlink w:anchor="_Toc13653998" w:history="1">
            <w:r w:rsidRPr="00A0278B">
              <w:rPr>
                <w:rStyle w:val="Hyperlink"/>
                <w:rFonts w:ascii="Cambria" w:hAnsi="Cambria"/>
                <w:b/>
                <w:noProof/>
                <w:lang w:eastAsia="sq-AL"/>
              </w:rPr>
              <w:t>4</w:t>
            </w:r>
            <w:r>
              <w:rPr>
                <w:noProof/>
                <w:lang w:val="en-GB" w:eastAsia="en-GB"/>
              </w:rPr>
              <w:tab/>
            </w:r>
            <w:r w:rsidRPr="00A0278B">
              <w:rPr>
                <w:rStyle w:val="Hyperlink"/>
                <w:rFonts w:ascii="Cambria" w:hAnsi="Cambria"/>
                <w:b/>
                <w:noProof/>
              </w:rPr>
              <w:t>Anekse</w:t>
            </w:r>
            <w:r>
              <w:rPr>
                <w:noProof/>
                <w:webHidden/>
              </w:rPr>
              <w:tab/>
            </w:r>
            <w:r>
              <w:rPr>
                <w:noProof/>
                <w:webHidden/>
              </w:rPr>
              <w:fldChar w:fldCharType="begin"/>
            </w:r>
            <w:r>
              <w:rPr>
                <w:noProof/>
                <w:webHidden/>
              </w:rPr>
              <w:instrText xml:space="preserve"> PAGEREF _Toc13653998 \h </w:instrText>
            </w:r>
            <w:r>
              <w:rPr>
                <w:noProof/>
                <w:webHidden/>
              </w:rPr>
            </w:r>
            <w:r>
              <w:rPr>
                <w:noProof/>
                <w:webHidden/>
              </w:rPr>
              <w:fldChar w:fldCharType="separate"/>
            </w:r>
            <w:r>
              <w:rPr>
                <w:noProof/>
                <w:webHidden/>
              </w:rPr>
              <w:t>49</w:t>
            </w:r>
            <w:r>
              <w:rPr>
                <w:noProof/>
                <w:webHidden/>
              </w:rPr>
              <w:fldChar w:fldCharType="end"/>
            </w:r>
          </w:hyperlink>
        </w:p>
        <w:p w:rsidR="009B79CF" w:rsidRDefault="009B79CF">
          <w:r>
            <w:fldChar w:fldCharType="end"/>
          </w:r>
        </w:p>
      </w:sdtContent>
    </w:sdt>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Pr="00642AF5" w:rsidRDefault="009B79CF" w:rsidP="00894DEB">
      <w:pPr>
        <w:pStyle w:val="Default"/>
        <w:spacing w:line="276" w:lineRule="auto"/>
        <w:jc w:val="both"/>
        <w:rPr>
          <w:rFonts w:ascii="Cambria" w:hAnsi="Cambria" w:cs="Times New Roman"/>
          <w:b/>
          <w:color w:val="auto"/>
          <w:sz w:val="34"/>
          <w:szCs w:val="34"/>
          <w:lang w:val="en"/>
        </w:rPr>
      </w:pPr>
    </w:p>
    <w:p w:rsidR="003E1FC0" w:rsidRPr="003B7710" w:rsidRDefault="00C25C51" w:rsidP="0048061C">
      <w:pPr>
        <w:pStyle w:val="Heading1"/>
        <w:rPr>
          <w:rFonts w:ascii="Cambria" w:hAnsi="Cambria"/>
          <w:b/>
          <w:color w:val="auto"/>
          <w:sz w:val="36"/>
          <w:lang w:val="en"/>
        </w:rPr>
      </w:pPr>
      <w:bookmarkStart w:id="0" w:name="_Toc13653970"/>
      <w:r w:rsidRPr="003B7710">
        <w:rPr>
          <w:rFonts w:ascii="Cambria" w:hAnsi="Cambria"/>
          <w:b/>
          <w:color w:val="auto"/>
          <w:sz w:val="36"/>
          <w:lang w:val="en"/>
        </w:rPr>
        <w:lastRenderedPageBreak/>
        <w:t>PRIORITETET AFATMESME N</w:t>
      </w:r>
      <w:r w:rsidR="00642AF5" w:rsidRPr="003B7710">
        <w:rPr>
          <w:rFonts w:ascii="Cambria" w:hAnsi="Cambria"/>
          <w:b/>
          <w:color w:val="auto"/>
          <w:sz w:val="36"/>
          <w:lang w:val="en"/>
        </w:rPr>
        <w:t>Ë</w:t>
      </w:r>
      <w:r w:rsidRPr="003B7710">
        <w:rPr>
          <w:rFonts w:ascii="Cambria" w:hAnsi="Cambria"/>
          <w:b/>
          <w:color w:val="auto"/>
          <w:sz w:val="36"/>
          <w:lang w:val="en"/>
        </w:rPr>
        <w:t xml:space="preserve"> PBA </w:t>
      </w:r>
      <w:r w:rsidR="005119BD" w:rsidRPr="003B7710">
        <w:rPr>
          <w:rFonts w:ascii="Cambria" w:hAnsi="Cambria"/>
          <w:b/>
          <w:color w:val="auto"/>
          <w:sz w:val="36"/>
          <w:lang w:val="en"/>
        </w:rPr>
        <w:t>2020</w:t>
      </w:r>
      <w:r w:rsidR="0077356C" w:rsidRPr="003B7710">
        <w:rPr>
          <w:rFonts w:ascii="Cambria" w:hAnsi="Cambria"/>
          <w:b/>
          <w:color w:val="auto"/>
          <w:sz w:val="36"/>
          <w:lang w:val="en"/>
        </w:rPr>
        <w:t xml:space="preserve"> - 202</w:t>
      </w:r>
      <w:r w:rsidR="005119BD" w:rsidRPr="003B7710">
        <w:rPr>
          <w:rFonts w:ascii="Cambria" w:hAnsi="Cambria"/>
          <w:b/>
          <w:color w:val="auto"/>
          <w:sz w:val="36"/>
          <w:lang w:val="en"/>
        </w:rPr>
        <w:t>2</w:t>
      </w:r>
      <w:bookmarkEnd w:id="0"/>
      <w:r w:rsidR="003E1FC0" w:rsidRPr="003B7710">
        <w:rPr>
          <w:rFonts w:ascii="Cambria" w:hAnsi="Cambria"/>
          <w:b/>
          <w:color w:val="auto"/>
          <w:sz w:val="36"/>
          <w:lang w:val="en"/>
        </w:rPr>
        <w:t xml:space="preserve"> </w:t>
      </w:r>
    </w:p>
    <w:p w:rsidR="0077356C" w:rsidRPr="007D34E9" w:rsidRDefault="00642AF5" w:rsidP="00CB4E98">
      <w:pPr>
        <w:pStyle w:val="Heading2"/>
        <w:rPr>
          <w:rFonts w:ascii="Cambria" w:hAnsi="Cambria"/>
          <w:i w:val="0"/>
          <w:lang w:val="en"/>
        </w:rPr>
      </w:pPr>
      <w:bookmarkStart w:id="1" w:name="_Toc13653971"/>
      <w:r w:rsidRPr="007D34E9">
        <w:rPr>
          <w:rFonts w:ascii="Cambria" w:hAnsi="Cambria"/>
          <w:i w:val="0"/>
          <w:lang w:val="en"/>
        </w:rPr>
        <w:t>Përmbledhje e trendeve afatmesme të zhvillimit makroekonomik</w:t>
      </w:r>
      <w:bookmarkEnd w:id="1"/>
    </w:p>
    <w:p w:rsidR="0077356C" w:rsidRPr="007D34E9" w:rsidRDefault="0077356C" w:rsidP="00894DEB">
      <w:pPr>
        <w:autoSpaceDE w:val="0"/>
        <w:autoSpaceDN w:val="0"/>
        <w:adjustRightInd w:val="0"/>
        <w:spacing w:after="0" w:line="240" w:lineRule="auto"/>
        <w:jc w:val="both"/>
        <w:rPr>
          <w:rFonts w:ascii="Cambria" w:hAnsi="Cambria" w:cs="Times New Roman"/>
          <w:lang w:val="sq-AL"/>
        </w:rPr>
      </w:pP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r w:rsidRPr="007D34E9">
        <w:rPr>
          <w:rFonts w:ascii="Cambria" w:hAnsi="Cambria" w:cs="Times New Roman"/>
          <w:lang w:val="sq-AL"/>
        </w:rPr>
        <w:t>Ekonomia pritet të vazhdojë trendin pozitiv në periudhën afatmesme. Rritja ekonomike parashikohet të vijojë të qëndrojë mbi nivelin prej 4% edhe gjatë tre viteve të tjera 2020-2022, madje duke vijuar ende një përshpejtim, megjithëse marxhinal, edhe gjatë këtyre viteve. Më konkretisht, rritja ekonomike parashikohet të jetë në nivelin prej 4.4% në vitin 2020 nga 4.2% e parashikuar për 2018 dhe 4.3% për 2019. Edhe në dy vitet e tjera 2021 dhe 2022 ajo parashikohet të vijojë të përshpejtohet marxhinalisht me rreth 0.1 pikë përqindje, respektivisht në  4.5% në vitin 2021 dhe në 2022.</w:t>
      </w: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r w:rsidRPr="007D34E9">
        <w:rPr>
          <w:rFonts w:ascii="Cambria" w:hAnsi="Cambria" w:cs="Times New Roman"/>
          <w:b/>
          <w:lang w:val="sq-AL"/>
        </w:rPr>
        <w:t xml:space="preserve">           Grafiku nr.1 </w:t>
      </w:r>
      <w:r w:rsidRPr="007D34E9">
        <w:rPr>
          <w:rFonts w:ascii="Cambria" w:hAnsi="Cambria" w:cs="Times New Roman"/>
          <w:lang w:val="sq-AL"/>
        </w:rPr>
        <w:t>Rritja Reale e PBB në %</w:t>
      </w:r>
    </w:p>
    <w:p w:rsidR="007D34E9" w:rsidRPr="007D34E9" w:rsidRDefault="007D34E9" w:rsidP="007D34E9">
      <w:pPr>
        <w:autoSpaceDE w:val="0"/>
        <w:autoSpaceDN w:val="0"/>
        <w:adjustRightInd w:val="0"/>
        <w:spacing w:after="0" w:line="240" w:lineRule="auto"/>
        <w:jc w:val="center"/>
        <w:rPr>
          <w:rFonts w:ascii="Cambria" w:hAnsi="Cambria" w:cs="Times New Roman"/>
          <w:lang w:val="sq-AL"/>
        </w:rPr>
      </w:pPr>
      <w:r w:rsidRPr="007D34E9">
        <w:rPr>
          <w:noProof/>
          <w:lang w:val="en-GB" w:eastAsia="en-GB"/>
        </w:rPr>
        <w:drawing>
          <wp:inline distT="0" distB="0" distL="0" distR="0" wp14:anchorId="0AF07C6D" wp14:editId="46E22B7A">
            <wp:extent cx="5311051" cy="2341499"/>
            <wp:effectExtent l="0" t="0" r="444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308" t="32226" r="15354" b="19699"/>
                    <a:stretch/>
                  </pic:blipFill>
                  <pic:spPr bwMode="auto">
                    <a:xfrm>
                      <a:off x="0" y="0"/>
                      <a:ext cx="5323673" cy="2347064"/>
                    </a:xfrm>
                    <a:prstGeom prst="rect">
                      <a:avLst/>
                    </a:prstGeom>
                    <a:ln>
                      <a:noFill/>
                    </a:ln>
                    <a:extLst>
                      <a:ext uri="{53640926-AAD7-44D8-BBD7-CCE9431645EC}">
                        <a14:shadowObscured xmlns:a14="http://schemas.microsoft.com/office/drawing/2010/main"/>
                      </a:ext>
                    </a:extLst>
                  </pic:spPr>
                </pic:pic>
              </a:graphicData>
            </a:graphic>
          </wp:inline>
        </w:drawing>
      </w:r>
    </w:p>
    <w:p w:rsidR="007D34E9" w:rsidRPr="007D34E9" w:rsidRDefault="007D34E9" w:rsidP="007D34E9">
      <w:pPr>
        <w:autoSpaceDE w:val="0"/>
        <w:autoSpaceDN w:val="0"/>
        <w:adjustRightInd w:val="0"/>
        <w:spacing w:after="0" w:line="240" w:lineRule="auto"/>
        <w:jc w:val="both"/>
        <w:rPr>
          <w:rFonts w:ascii="Cambria" w:hAnsi="Cambria" w:cs="Times New Roman"/>
          <w:i/>
          <w:lang w:val="sq-AL"/>
        </w:rPr>
      </w:pPr>
      <w:r w:rsidRPr="007D34E9">
        <w:rPr>
          <w:rFonts w:ascii="Cambria" w:hAnsi="Cambria" w:cs="Times New Roman"/>
          <w:i/>
          <w:lang w:val="sq-AL"/>
        </w:rPr>
        <w:t xml:space="preserve">           Burimi: Ministria e Financave dhe Ekonomisë</w:t>
      </w: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r w:rsidRPr="007D34E9">
        <w:rPr>
          <w:rFonts w:ascii="Cambria" w:hAnsi="Cambria" w:cs="Times New Roman"/>
          <w:lang w:val="sq-AL"/>
        </w:rPr>
        <w:t>Gjatë periudhës afatmesme rritja pritet të gjenerohet kryesisht nga kërkesa e brendshme, si konsumi privat ashtu edhe investimet.</w:t>
      </w: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r w:rsidRPr="007D34E9">
        <w:rPr>
          <w:rFonts w:ascii="Cambria" w:hAnsi="Cambria" w:cs="Times New Roman"/>
          <w:lang w:val="sq-AL"/>
        </w:rPr>
        <w:t>Kërkesa e jashtme neto pritet të ketë efekte pozitive minimale në periudhën afatmesme. Eksportet e shërbimeve, veçanërisht shërbimet turistike, priten gjithashtu të vijojnë performancën pozitive në periudhën afatmesme dhe do të jenë elementi kryesor për të kompensuar kontributin negativ të ardhur prej rritjes së importeve.</w:t>
      </w: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r w:rsidRPr="007D34E9">
        <w:rPr>
          <w:rFonts w:ascii="Cambria" w:hAnsi="Cambria" w:cs="Times New Roman"/>
          <w:lang w:val="sq-AL"/>
        </w:rPr>
        <w:t>Konsumi privat pritet të nxitet kryesisht nga përmirësimi i besimit të konsumatorit, si dhe nga përmirësimet në tregun e punës. Këto të fundit pritet të transmetohen në një rritje graduale të pagave të cilat më tej pritet të stimulojnë të ardhurat reale të disponueshme të individëve, duke krijuar efektin e raundit të dytë në nxitjen e konsumit, si dhe duke intensifikuar prirjen e konsumatorëve për financimin e mëtejshëm</w:t>
      </w:r>
      <w:bookmarkStart w:id="2" w:name="_GoBack"/>
      <w:bookmarkEnd w:id="2"/>
      <w:r w:rsidRPr="007D34E9">
        <w:rPr>
          <w:rFonts w:ascii="Cambria" w:hAnsi="Cambria" w:cs="Times New Roman"/>
          <w:lang w:val="sq-AL"/>
        </w:rPr>
        <w:t xml:space="preserve"> të konsumit nëpërmjet një kredi-marrje më të lartë.</w:t>
      </w: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r w:rsidRPr="007D34E9">
        <w:rPr>
          <w:rFonts w:ascii="Cambria" w:hAnsi="Cambria" w:cs="Times New Roman"/>
          <w:lang w:val="sq-AL"/>
        </w:rPr>
        <w:t>Në përputhje me parashikimet afatmesme të rritjes, punësimi pritet të rritet me një mesatare prej rreth 2.4% në vit gjatë viteve 2020-2022. Shkalla më e lartë e pjesëmarrjes në forcat e punës do të jetë gjeneruesi kryesor i rritjes së ofertës së punës.</w:t>
      </w: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p>
    <w:p w:rsidR="007D34E9" w:rsidRPr="007D34E9" w:rsidRDefault="007D34E9" w:rsidP="007D34E9">
      <w:pPr>
        <w:spacing w:before="120" w:after="120"/>
        <w:jc w:val="both"/>
        <w:rPr>
          <w:rFonts w:ascii="Cambria" w:hAnsi="Cambria" w:cs="Times New Roman"/>
          <w:lang w:val="sq-AL"/>
        </w:rPr>
      </w:pPr>
      <w:r w:rsidRPr="007D34E9">
        <w:rPr>
          <w:rFonts w:ascii="Cambria" w:hAnsi="Cambria" w:cs="Times New Roman"/>
          <w:lang w:val="sq-AL"/>
        </w:rPr>
        <w:t xml:space="preserve">Konsumi final total për periudhën afatmesme (2020 – 2022) parashikohet të rritet në terma real me mesatarisht rreth 3.1% në vit, duke kontribuar me mesatarisht rreth 2.8 pikë përqindje në vit </w:t>
      </w:r>
      <w:r w:rsidRPr="007D34E9">
        <w:rPr>
          <w:rFonts w:ascii="Cambria" w:hAnsi="Cambria" w:cs="Times New Roman"/>
          <w:lang w:val="sq-AL"/>
        </w:rPr>
        <w:lastRenderedPageBreak/>
        <w:t xml:space="preserve">në rritjen e PBB. Ndërsa investimet totale në ekonomi parashikohen të rriten në terma real me mesatarisht rreth 5.9% në vit, me një përshpejtim të lehtë në vitet 2021 dhe 2022, me një kontribut mesatar në rritjen totale prej rreth 1.5 pikë përqindje në vit. </w:t>
      </w: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r w:rsidRPr="007D34E9">
        <w:rPr>
          <w:rFonts w:ascii="Cambria" w:hAnsi="Cambria" w:cs="Times New Roman"/>
          <w:lang w:val="sq-AL"/>
        </w:rPr>
        <w:t>Nga pikëpamja e ofertës agregate pritet që të gjithë sektorët kryesorë të vazhdojnë të rriten pak a shumë me të njëjtin trend të mesatares së tyre historike. Megjithatë, për shkak të peshës së tyre ndaj strukturës së ofertës agregate, shërbimet pritet të kontribuojnë më shumë sesa sektorët e tjerë në rritjen e PBB.</w:t>
      </w: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p>
    <w:p w:rsidR="007D34E9" w:rsidRPr="007D34E9" w:rsidRDefault="007D34E9" w:rsidP="007D34E9">
      <w:pPr>
        <w:pStyle w:val="ListParagraph"/>
        <w:numPr>
          <w:ilvl w:val="0"/>
          <w:numId w:val="1"/>
        </w:numPr>
        <w:autoSpaceDE w:val="0"/>
        <w:autoSpaceDN w:val="0"/>
        <w:adjustRightInd w:val="0"/>
        <w:spacing w:after="0" w:line="240" w:lineRule="auto"/>
        <w:jc w:val="both"/>
        <w:rPr>
          <w:rFonts w:ascii="Cambria" w:hAnsi="Cambria" w:cs="Times New Roman"/>
          <w:lang w:val="sq-AL"/>
        </w:rPr>
      </w:pPr>
      <w:r w:rsidRPr="007D34E9">
        <w:rPr>
          <w:rFonts w:ascii="Cambria" w:hAnsi="Cambria" w:cs="Times New Roman"/>
          <w:lang w:val="sq-AL"/>
        </w:rPr>
        <w:t xml:space="preserve">Politika fiskale për periudhën afatmesme 2020-2022 synon një deficit fiskal të përgjithshëm prej 1.6% të PBB-së për 2020, nga 1.9% i programuar për vitin 2019; nivel prej 1.2% të PBB në 2021; dhe 1.1% në vitin 2022. </w:t>
      </w:r>
    </w:p>
    <w:p w:rsidR="007D34E9" w:rsidRPr="007D34E9" w:rsidRDefault="007D34E9" w:rsidP="007D34E9">
      <w:pPr>
        <w:autoSpaceDE w:val="0"/>
        <w:autoSpaceDN w:val="0"/>
        <w:adjustRightInd w:val="0"/>
        <w:spacing w:after="0" w:line="240" w:lineRule="auto"/>
        <w:ind w:left="360"/>
        <w:jc w:val="both"/>
        <w:rPr>
          <w:rFonts w:ascii="Cambria" w:hAnsi="Cambria" w:cs="Times New Roman"/>
          <w:lang w:val="sq-AL"/>
        </w:rPr>
      </w:pPr>
    </w:p>
    <w:p w:rsidR="007D34E9" w:rsidRPr="007D34E9" w:rsidRDefault="007D34E9" w:rsidP="007D34E9">
      <w:pPr>
        <w:pStyle w:val="ListParagraph"/>
        <w:numPr>
          <w:ilvl w:val="0"/>
          <w:numId w:val="1"/>
        </w:numPr>
        <w:autoSpaceDE w:val="0"/>
        <w:autoSpaceDN w:val="0"/>
        <w:adjustRightInd w:val="0"/>
        <w:spacing w:after="0" w:line="240" w:lineRule="auto"/>
        <w:jc w:val="both"/>
        <w:rPr>
          <w:rFonts w:ascii="Cambria" w:hAnsi="Cambria" w:cs="Times New Roman"/>
          <w:lang w:val="sq-AL"/>
        </w:rPr>
      </w:pPr>
      <w:r w:rsidRPr="007D34E9">
        <w:rPr>
          <w:rFonts w:ascii="Cambria" w:hAnsi="Cambria" w:cs="Times New Roman"/>
          <w:lang w:val="sq-AL"/>
        </w:rPr>
        <w:t>Ky konsolidim fiskal synon që niveli i borxhit publik si raport ndaj PBB-së të vijojë trajektoren e sigurtë rënëse të nisur që në vitin 2016. Borxhi publik pritet që të bjerë rreth nivelit 63.6% të PBB në 2020, 59.9% në 2021 dhe më tej në 59.5% në vitin 2022.</w:t>
      </w:r>
    </w:p>
    <w:p w:rsidR="007D34E9" w:rsidRPr="007D34E9" w:rsidRDefault="007D34E9" w:rsidP="007D34E9">
      <w:pPr>
        <w:autoSpaceDE w:val="0"/>
        <w:autoSpaceDN w:val="0"/>
        <w:adjustRightInd w:val="0"/>
        <w:spacing w:after="0" w:line="240" w:lineRule="auto"/>
        <w:jc w:val="both"/>
        <w:rPr>
          <w:rFonts w:ascii="Cambria" w:hAnsi="Cambria" w:cs="Times New Roman"/>
          <w:lang w:val="sq-AL"/>
        </w:rPr>
      </w:pPr>
    </w:p>
    <w:p w:rsidR="007D34E9" w:rsidRPr="007D34E9" w:rsidRDefault="007D34E9" w:rsidP="007D34E9">
      <w:pPr>
        <w:pStyle w:val="ListParagraph"/>
        <w:numPr>
          <w:ilvl w:val="0"/>
          <w:numId w:val="1"/>
        </w:numPr>
        <w:autoSpaceDE w:val="0"/>
        <w:autoSpaceDN w:val="0"/>
        <w:adjustRightInd w:val="0"/>
        <w:spacing w:after="0" w:line="240" w:lineRule="auto"/>
        <w:jc w:val="both"/>
        <w:rPr>
          <w:rFonts w:ascii="Cambria" w:hAnsi="Cambria" w:cs="Times New Roman"/>
          <w:lang w:val="sq-AL"/>
        </w:rPr>
      </w:pPr>
      <w:r w:rsidRPr="007D34E9">
        <w:rPr>
          <w:rFonts w:ascii="Cambria" w:hAnsi="Cambria" w:cs="Times New Roman"/>
          <w:lang w:val="sq-AL"/>
        </w:rPr>
        <w:t xml:space="preserve">Njëkohësisht targeton në vijimësi një balancë primare pozitive dhe në rritje për vitet 2020-2022, respektivisht 0.9% në 2020 nga 0.5% i targetuar në buxhetin 2019; 1.5% në 2021; dhe 1.5% në vitin 2022. </w:t>
      </w:r>
    </w:p>
    <w:p w:rsidR="000D6665" w:rsidRPr="00F50FEB" w:rsidRDefault="00C25C51" w:rsidP="0048061C">
      <w:pPr>
        <w:pStyle w:val="Heading2"/>
        <w:rPr>
          <w:rFonts w:ascii="Cambria" w:hAnsi="Cambria"/>
          <w:i w:val="0"/>
          <w:lang w:val="en"/>
        </w:rPr>
      </w:pPr>
      <w:bookmarkStart w:id="3" w:name="_Toc13653972"/>
      <w:r w:rsidRPr="00F50FEB">
        <w:rPr>
          <w:rFonts w:ascii="Cambria" w:hAnsi="Cambria"/>
          <w:i w:val="0"/>
          <w:lang w:val="en"/>
        </w:rPr>
        <w:t>Prioritetet buxhetore afatmesme</w:t>
      </w:r>
      <w:r w:rsidR="005A1938" w:rsidRPr="00F50FEB">
        <w:rPr>
          <w:rFonts w:ascii="Cambria" w:hAnsi="Cambria"/>
          <w:i w:val="0"/>
          <w:lang w:val="en"/>
        </w:rPr>
        <w:t xml:space="preserve"> 2020</w:t>
      </w:r>
      <w:r w:rsidR="0077356C" w:rsidRPr="00F50FEB">
        <w:rPr>
          <w:rFonts w:ascii="Cambria" w:hAnsi="Cambria"/>
          <w:i w:val="0"/>
          <w:lang w:val="en"/>
        </w:rPr>
        <w:t xml:space="preserve"> – 202</w:t>
      </w:r>
      <w:r w:rsidR="005A1938" w:rsidRPr="00F50FEB">
        <w:rPr>
          <w:rFonts w:ascii="Cambria" w:hAnsi="Cambria"/>
          <w:i w:val="0"/>
          <w:lang w:val="en"/>
        </w:rPr>
        <w:t>2</w:t>
      </w:r>
      <w:bookmarkEnd w:id="3"/>
      <w:r w:rsidR="0077356C" w:rsidRPr="00F50FEB">
        <w:rPr>
          <w:rFonts w:ascii="Cambria" w:hAnsi="Cambria"/>
          <w:i w:val="0"/>
          <w:lang w:val="en"/>
        </w:rPr>
        <w:t xml:space="preserve"> </w:t>
      </w:r>
    </w:p>
    <w:p w:rsidR="00BC0573" w:rsidRDefault="00BC0573" w:rsidP="00894DEB">
      <w:pPr>
        <w:pStyle w:val="Default"/>
        <w:spacing w:line="276" w:lineRule="auto"/>
        <w:jc w:val="both"/>
        <w:rPr>
          <w:rFonts w:ascii="Cambria" w:hAnsi="Cambria" w:cs="Times New Roman"/>
          <w:color w:val="auto"/>
          <w:sz w:val="22"/>
          <w:szCs w:val="22"/>
          <w:lang w:val="en"/>
        </w:rPr>
      </w:pPr>
    </w:p>
    <w:p w:rsidR="005D3405" w:rsidRPr="00CF27FD" w:rsidRDefault="00DC7799" w:rsidP="00894DEB">
      <w:pPr>
        <w:pStyle w:val="Default"/>
        <w:spacing w:line="276" w:lineRule="auto"/>
        <w:jc w:val="both"/>
        <w:rPr>
          <w:rFonts w:ascii="Cambria" w:hAnsi="Cambria" w:cs="Times New Roman"/>
          <w:color w:val="auto"/>
          <w:sz w:val="22"/>
          <w:szCs w:val="22"/>
          <w:lang w:val="en"/>
        </w:rPr>
      </w:pPr>
      <w:r w:rsidRPr="00CF27FD">
        <w:rPr>
          <w:rFonts w:ascii="Cambria" w:hAnsi="Cambria" w:cs="Times New Roman"/>
          <w:color w:val="auto"/>
          <w:sz w:val="22"/>
          <w:szCs w:val="22"/>
          <w:lang w:val="en"/>
        </w:rPr>
        <w:t>Politikat fiskale 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vitet 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vijim do 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vazhdojn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mb</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shtesin sip</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rmarrjen</w:t>
      </w:r>
      <w:r w:rsidR="005D3405" w:rsidRPr="00CF27FD">
        <w:rPr>
          <w:rFonts w:ascii="Cambria" w:hAnsi="Cambria" w:cs="Times New Roman"/>
          <w:color w:val="auto"/>
          <w:sz w:val="22"/>
          <w:szCs w:val="22"/>
          <w:lang w:val="en"/>
        </w:rPr>
        <w:t xml:space="preserve"> dhe sektor</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t strategjik</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t</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rritjes</w:t>
      </w:r>
      <w:r w:rsidRPr="00CF27FD">
        <w:rPr>
          <w:rFonts w:ascii="Cambria" w:hAnsi="Cambria" w:cs="Times New Roman"/>
          <w:color w:val="auto"/>
          <w:sz w:val="22"/>
          <w:szCs w:val="22"/>
          <w:lang w:val="en"/>
        </w:rPr>
        <w:t>. Nisma e qeveris</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r rritjen e kufirit </w:t>
      </w:r>
      <w:r w:rsidR="002C0FCB" w:rsidRPr="00CF27FD">
        <w:rPr>
          <w:rFonts w:ascii="Cambria" w:hAnsi="Cambria" w:cs="Times New Roman"/>
          <w:color w:val="auto"/>
          <w:sz w:val="22"/>
          <w:szCs w:val="22"/>
          <w:lang w:val="en"/>
        </w:rPr>
        <w:t>p</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 aplikimin e tatimit fitimit nga 8 n</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14 milion</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qarkullim vjetor, duke ulur ngarkes</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n fiskale p</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 mbi 91% t</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nd</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rmarrjeve n</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0% ose 5%. Kjo politik</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synon t</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krijoj</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m</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shum</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nxitje p</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 nd</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rmarrjet e vogla dhe t</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mesme p</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 t’u rritur dhe p</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 t</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krijuar m</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shum</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pun</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sim. </w:t>
      </w:r>
      <w:r w:rsidR="005D3405" w:rsidRPr="00CF27FD">
        <w:rPr>
          <w:rFonts w:ascii="Cambria" w:hAnsi="Cambria" w:cs="Times New Roman"/>
          <w:color w:val="auto"/>
          <w:sz w:val="22"/>
          <w:szCs w:val="22"/>
          <w:lang w:val="en"/>
        </w:rPr>
        <w:t>P</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rtej shkall</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s s</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reduktuar t</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TVSH-s</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r aktivitetet e hoteleris</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n</w:t>
      </w:r>
      <w:r w:rsidR="00FA0246">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turiz</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m prej 6%, n</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k</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t</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cik</w:t>
      </w:r>
      <w:r w:rsidR="00642AF5" w:rsidRPr="00CF27FD">
        <w:rPr>
          <w:rFonts w:ascii="Cambria" w:hAnsi="Cambria" w:cs="Times New Roman"/>
          <w:color w:val="auto"/>
          <w:sz w:val="22"/>
          <w:szCs w:val="22"/>
          <w:lang w:val="en"/>
        </w:rPr>
        <w:t>ë</w:t>
      </w:r>
      <w:r w:rsidR="00BC0573">
        <w:rPr>
          <w:rFonts w:ascii="Cambria" w:hAnsi="Cambria" w:cs="Times New Roman"/>
          <w:color w:val="auto"/>
          <w:sz w:val="22"/>
          <w:szCs w:val="22"/>
          <w:lang w:val="en"/>
        </w:rPr>
        <w:t>l tre-v</w:t>
      </w:r>
      <w:r w:rsidR="005D3405" w:rsidRPr="00CF27FD">
        <w:rPr>
          <w:rFonts w:ascii="Cambria" w:hAnsi="Cambria" w:cs="Times New Roman"/>
          <w:color w:val="auto"/>
          <w:sz w:val="22"/>
          <w:szCs w:val="22"/>
          <w:lang w:val="en"/>
        </w:rPr>
        <w:t xml:space="preserve">jeçar </w:t>
      </w:r>
      <w:r w:rsidR="003E78B3">
        <w:rPr>
          <w:rFonts w:ascii="Cambria" w:hAnsi="Cambria" w:cs="Times New Roman"/>
          <w:color w:val="auto"/>
          <w:sz w:val="22"/>
          <w:szCs w:val="22"/>
          <w:lang w:val="en"/>
        </w:rPr>
        <w:t>vijojm</w:t>
      </w:r>
      <w:r w:rsidR="007B0023">
        <w:rPr>
          <w:rFonts w:ascii="Cambria" w:hAnsi="Cambria" w:cs="Times New Roman"/>
          <w:color w:val="auto"/>
          <w:sz w:val="22"/>
          <w:szCs w:val="22"/>
          <w:lang w:val="en"/>
        </w:rPr>
        <w:t>ë</w:t>
      </w:r>
      <w:r w:rsidR="003E78B3">
        <w:rPr>
          <w:rFonts w:ascii="Cambria" w:hAnsi="Cambria" w:cs="Times New Roman"/>
          <w:color w:val="auto"/>
          <w:sz w:val="22"/>
          <w:szCs w:val="22"/>
          <w:lang w:val="en"/>
        </w:rPr>
        <w:t xml:space="preserve"> </w:t>
      </w:r>
      <w:r w:rsidR="005D3405" w:rsidRPr="00CF27FD">
        <w:rPr>
          <w:rFonts w:ascii="Cambria" w:hAnsi="Cambria" w:cs="Times New Roman"/>
          <w:color w:val="auto"/>
          <w:sz w:val="22"/>
          <w:szCs w:val="22"/>
          <w:lang w:val="en"/>
        </w:rPr>
        <w:t>nxitjen e agroturizmit, me aplikimin e tatim fitimit n</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shkall</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n 5% dhe TVSH-s</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n</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shkall</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n 6% p</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r sh</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rbimet e akomodimit, si edhe p</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rjashtimin nga taksa e ndikimit n</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infrastruktur</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r zhvillimet e agrotuzimit. </w:t>
      </w:r>
    </w:p>
    <w:p w:rsidR="00C25C51" w:rsidRPr="00CF27FD" w:rsidRDefault="00C25C51" w:rsidP="00894DEB">
      <w:pPr>
        <w:pStyle w:val="Default"/>
        <w:spacing w:line="276" w:lineRule="auto"/>
        <w:jc w:val="both"/>
        <w:rPr>
          <w:rFonts w:ascii="Cambria" w:hAnsi="Cambria" w:cs="Times New Roman"/>
          <w:color w:val="auto"/>
          <w:sz w:val="22"/>
          <w:szCs w:val="22"/>
          <w:lang w:val="en"/>
        </w:rPr>
      </w:pPr>
    </w:p>
    <w:p w:rsidR="005D3405" w:rsidRPr="00CF27FD" w:rsidRDefault="005D3405" w:rsidP="00894DEB">
      <w:pPr>
        <w:pStyle w:val="Default"/>
        <w:spacing w:line="276" w:lineRule="auto"/>
        <w:jc w:val="both"/>
        <w:rPr>
          <w:rFonts w:ascii="Cambria" w:hAnsi="Cambria" w:cs="Times New Roman"/>
          <w:color w:val="auto"/>
          <w:sz w:val="22"/>
          <w:szCs w:val="22"/>
          <w:lang w:val="en"/>
        </w:rPr>
      </w:pPr>
      <w:r w:rsidRPr="00CF27FD">
        <w:rPr>
          <w:rFonts w:ascii="Cambria" w:hAnsi="Cambria" w:cs="Times New Roman"/>
          <w:color w:val="auto"/>
          <w:sz w:val="22"/>
          <w:szCs w:val="22"/>
          <w:lang w:val="en"/>
        </w:rPr>
        <w:t>K</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to politika synojn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jo vet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m nxitjen e turizmit, por edhe bujq</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sis</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e cila mbetet nj</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tjet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r sektor </w:t>
      </w:r>
      <w:r w:rsidR="00A42ADE" w:rsidRPr="00CF27FD">
        <w:rPr>
          <w:rFonts w:ascii="Cambria" w:hAnsi="Cambria" w:cs="Times New Roman"/>
          <w:color w:val="auto"/>
          <w:sz w:val="22"/>
          <w:szCs w:val="22"/>
          <w:lang w:val="en"/>
        </w:rPr>
        <w:t>priorit</w:t>
      </w:r>
      <w:r w:rsidRPr="00CF27FD">
        <w:rPr>
          <w:rFonts w:ascii="Cambria" w:hAnsi="Cambria" w:cs="Times New Roman"/>
          <w:color w:val="auto"/>
          <w:sz w:val="22"/>
          <w:szCs w:val="22"/>
          <w:lang w:val="en"/>
        </w:rPr>
        <w:t>ar p</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r k</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cik</w:t>
      </w:r>
      <w:r w:rsidR="00642AF5" w:rsidRPr="00CF27FD">
        <w:rPr>
          <w:rFonts w:ascii="Cambria" w:hAnsi="Cambria" w:cs="Times New Roman"/>
          <w:color w:val="auto"/>
          <w:sz w:val="22"/>
          <w:szCs w:val="22"/>
          <w:lang w:val="en"/>
        </w:rPr>
        <w:t>ë</w:t>
      </w:r>
      <w:r w:rsidR="00A42ADE" w:rsidRPr="00CF27FD">
        <w:rPr>
          <w:rFonts w:ascii="Cambria" w:hAnsi="Cambria" w:cs="Times New Roman"/>
          <w:color w:val="auto"/>
          <w:sz w:val="22"/>
          <w:szCs w:val="22"/>
          <w:lang w:val="en"/>
        </w:rPr>
        <w:t>l trevjeçar,</w:t>
      </w:r>
      <w:r w:rsidRPr="00CF27FD">
        <w:rPr>
          <w:rFonts w:ascii="Cambria" w:hAnsi="Cambria" w:cs="Times New Roman"/>
          <w:color w:val="auto"/>
          <w:sz w:val="22"/>
          <w:szCs w:val="22"/>
          <w:lang w:val="en"/>
        </w:rPr>
        <w:t xml:space="preserve"> shoq</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rit</w:t>
      </w:r>
      <w:r w:rsidR="00FA0246">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e bashk</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punimit bujq</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sor do 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rfitojn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rimbursimin e TVSH-s</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mas</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n 20%, si fermer</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t, pa kufizime 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lidhje me mas</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n e qarkullimit vjetor, nd</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rkoh</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q</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b</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hen subjekt i tatim fitimit 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reduktuar nga 15% 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5%.</w:t>
      </w:r>
    </w:p>
    <w:p w:rsidR="00C25C51" w:rsidRPr="00CF27FD" w:rsidRDefault="00C25C51" w:rsidP="00894DEB">
      <w:pPr>
        <w:pStyle w:val="Default"/>
        <w:spacing w:line="276" w:lineRule="auto"/>
        <w:jc w:val="both"/>
        <w:rPr>
          <w:rFonts w:ascii="Cambria" w:hAnsi="Cambria" w:cs="Times New Roman"/>
          <w:color w:val="auto"/>
          <w:sz w:val="22"/>
          <w:szCs w:val="22"/>
          <w:lang w:val="en"/>
        </w:rPr>
      </w:pPr>
    </w:p>
    <w:p w:rsidR="002C0FCB" w:rsidRPr="00E0706E" w:rsidRDefault="005D3405" w:rsidP="00894DEB">
      <w:pPr>
        <w:pStyle w:val="Default"/>
        <w:spacing w:line="276" w:lineRule="auto"/>
        <w:jc w:val="both"/>
        <w:rPr>
          <w:rFonts w:ascii="Cambria" w:hAnsi="Cambria" w:cs="Times New Roman"/>
          <w:color w:val="auto"/>
          <w:sz w:val="22"/>
          <w:szCs w:val="22"/>
          <w:lang w:val="en"/>
        </w:rPr>
      </w:pPr>
      <w:r w:rsidRPr="00CF27FD">
        <w:rPr>
          <w:rFonts w:ascii="Cambria" w:hAnsi="Cambria" w:cs="Times New Roman"/>
          <w:color w:val="auto"/>
          <w:sz w:val="22"/>
          <w:szCs w:val="22"/>
          <w:lang w:val="en"/>
        </w:rPr>
        <w:t>Kjo politik</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trevjeçare synon nxitjen dhe rritjen e ekonom</w:t>
      </w:r>
      <w:r w:rsidR="005F27F4" w:rsidRPr="00CF27FD">
        <w:rPr>
          <w:rFonts w:ascii="Cambria" w:hAnsi="Cambria" w:cs="Times New Roman"/>
          <w:color w:val="auto"/>
          <w:sz w:val="22"/>
          <w:szCs w:val="22"/>
          <w:lang w:val="en"/>
        </w:rPr>
        <w:t>is</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 zhvillim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q</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ndruesh</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m 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p</w:t>
      </w:r>
      <w:r w:rsidR="009E4923">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rmjet</w:t>
      </w:r>
      <w:r w:rsidRPr="00CF27FD">
        <w:rPr>
          <w:rFonts w:ascii="Cambria" w:hAnsi="Cambria" w:cs="Times New Roman"/>
          <w:color w:val="auto"/>
          <w:sz w:val="22"/>
          <w:szCs w:val="22"/>
          <w:lang w:val="en"/>
        </w:rPr>
        <w:t xml:space="preserve"> </w:t>
      </w:r>
      <w:r w:rsidR="005F27F4" w:rsidRPr="00CF27FD">
        <w:rPr>
          <w:rFonts w:ascii="Cambria" w:hAnsi="Cambria" w:cs="Times New Roman"/>
          <w:color w:val="auto"/>
          <w:sz w:val="22"/>
          <w:szCs w:val="22"/>
          <w:lang w:val="en"/>
        </w:rPr>
        <w:t>k</w:t>
      </w:r>
      <w:r w:rsidRPr="00CF27FD">
        <w:rPr>
          <w:rFonts w:ascii="Cambria" w:hAnsi="Cambria" w:cs="Times New Roman"/>
          <w:color w:val="auto"/>
          <w:sz w:val="22"/>
          <w:szCs w:val="22"/>
          <w:lang w:val="en"/>
        </w:rPr>
        <w:t>uadri</w:t>
      </w:r>
      <w:r w:rsidR="005F27F4" w:rsidRPr="00CF27FD">
        <w:rPr>
          <w:rFonts w:ascii="Cambria" w:hAnsi="Cambria" w:cs="Times New Roman"/>
          <w:color w:val="auto"/>
          <w:sz w:val="22"/>
          <w:szCs w:val="22"/>
          <w:lang w:val="en"/>
        </w:rPr>
        <w:t>t</w:t>
      </w:r>
      <w:r w:rsidRPr="00CF27FD">
        <w:rPr>
          <w:rFonts w:ascii="Cambria" w:hAnsi="Cambria" w:cs="Times New Roman"/>
          <w:color w:val="auto"/>
          <w:sz w:val="22"/>
          <w:szCs w:val="22"/>
          <w:lang w:val="en"/>
        </w:rPr>
        <w:t xml:space="preserve"> </w:t>
      </w:r>
      <w:r w:rsidR="005F27F4" w:rsidRPr="00CF27FD">
        <w:rPr>
          <w:rFonts w:ascii="Cambria" w:hAnsi="Cambria" w:cs="Times New Roman"/>
          <w:color w:val="auto"/>
          <w:sz w:val="22"/>
          <w:szCs w:val="22"/>
          <w:lang w:val="en"/>
        </w:rPr>
        <w:t>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ri ligjor p</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r nxitjen e </w:t>
      </w:r>
      <w:r w:rsidR="005F27F4" w:rsidRPr="00CF27FD">
        <w:rPr>
          <w:rFonts w:ascii="Cambria" w:hAnsi="Cambria" w:cs="Times New Roman"/>
          <w:color w:val="auto"/>
          <w:sz w:val="22"/>
          <w:szCs w:val="22"/>
          <w:lang w:val="en"/>
        </w:rPr>
        <w:t>investimeve strategjike,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 zonat e zhvillimit ekonomik dhe teknologjik dhe ligji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 turizmin;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cilat synojn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rthithjen e teknologjive dhe investimeve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huaja private. Nj</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koh</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sisht,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rmir</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simi </w:t>
      </w:r>
      <w:r w:rsidR="00E0706E">
        <w:rPr>
          <w:rFonts w:ascii="Cambria" w:hAnsi="Cambria" w:cs="Times New Roman"/>
          <w:color w:val="auto"/>
          <w:sz w:val="22"/>
          <w:szCs w:val="22"/>
          <w:lang w:val="en"/>
        </w:rPr>
        <w:t>i</w:t>
      </w:r>
      <w:r w:rsidR="005F27F4" w:rsidRPr="00CF27FD">
        <w:rPr>
          <w:rFonts w:ascii="Cambria" w:hAnsi="Cambria" w:cs="Times New Roman"/>
          <w:color w:val="auto"/>
          <w:sz w:val="22"/>
          <w:szCs w:val="22"/>
          <w:lang w:val="en"/>
        </w:rPr>
        <w:t xml:space="preserve"> klim</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s s</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biznesit dhe derregullimi leht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sojn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aksesin 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sh</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rbimet publike 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koh</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dhe kosto: platforma e unifikuar e qeveris</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e-Albania po zgjerohet p</w:t>
      </w:r>
      <w:r w:rsidR="00642AF5" w:rsidRPr="00CF27FD">
        <w:rPr>
          <w:rFonts w:ascii="Cambria" w:hAnsi="Cambria" w:cs="Times New Roman"/>
          <w:color w:val="auto"/>
          <w:sz w:val="22"/>
          <w:szCs w:val="22"/>
          <w:lang w:val="en"/>
        </w:rPr>
        <w:t>ë</w:t>
      </w:r>
      <w:r w:rsidR="00CC67FD">
        <w:rPr>
          <w:rFonts w:ascii="Cambria" w:hAnsi="Cambria" w:cs="Times New Roman"/>
          <w:color w:val="auto"/>
          <w:sz w:val="22"/>
          <w:szCs w:val="22"/>
          <w:lang w:val="en"/>
        </w:rPr>
        <w:t>r</w:t>
      </w:r>
      <w:r w:rsidR="005F27F4" w:rsidRPr="00CF27FD">
        <w:rPr>
          <w:rFonts w:ascii="Cambria" w:hAnsi="Cambria" w:cs="Times New Roman"/>
          <w:color w:val="auto"/>
          <w:sz w:val="22"/>
          <w:szCs w:val="22"/>
          <w:lang w:val="en"/>
        </w:rPr>
        <w:t xml:space="preserve">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rfshir</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Tatimet, Doganat, Qendren Komb</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tare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Biznesit, Inspektoratin e Pun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s dhe nj</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s</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institutcionesh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tjera shtet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rore. </w:t>
      </w:r>
    </w:p>
    <w:p w:rsidR="00630AF5" w:rsidRPr="00642AF5" w:rsidRDefault="00630AF5" w:rsidP="00894DEB">
      <w:pPr>
        <w:pStyle w:val="Default"/>
        <w:spacing w:line="276" w:lineRule="auto"/>
        <w:jc w:val="both"/>
        <w:rPr>
          <w:rFonts w:ascii="Cambria" w:hAnsi="Cambria" w:cs="Times New Roman"/>
          <w:color w:val="auto"/>
          <w:sz w:val="22"/>
          <w:szCs w:val="22"/>
          <w:highlight w:val="cyan"/>
          <w:lang w:val="sq-AL"/>
        </w:rPr>
      </w:pPr>
    </w:p>
    <w:p w:rsidR="00B711F9" w:rsidRPr="00B711F9" w:rsidRDefault="005F27F4" w:rsidP="00894DEB">
      <w:pPr>
        <w:pStyle w:val="Default"/>
        <w:spacing w:after="120" w:line="276" w:lineRule="auto"/>
        <w:jc w:val="both"/>
        <w:rPr>
          <w:rFonts w:ascii="Cambria" w:hAnsi="Cambria" w:cs="Times New Roman"/>
          <w:color w:val="auto"/>
          <w:sz w:val="22"/>
          <w:szCs w:val="22"/>
          <w:lang w:val="sq-AL"/>
        </w:rPr>
      </w:pPr>
      <w:r w:rsidRPr="00A27733">
        <w:rPr>
          <w:rFonts w:ascii="Cambria" w:hAnsi="Cambria" w:cs="Times New Roman"/>
          <w:color w:val="auto"/>
          <w:sz w:val="22"/>
          <w:szCs w:val="22"/>
          <w:lang w:val="sq-AL"/>
        </w:rPr>
        <w:lastRenderedPageBreak/>
        <w:t>P</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r t</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 xml:space="preserve"> mund</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suar zhvillimin ekonomik dhe p</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rmir</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suar kushtet social-ekonomike t</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 xml:space="preserve"> popullsis</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 xml:space="preserve"> gjat</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 xml:space="preserve"> ciklit afatmes</w:t>
      </w:r>
      <w:r w:rsidR="00642AF5" w:rsidRPr="00A27733">
        <w:rPr>
          <w:rFonts w:ascii="Cambria" w:hAnsi="Cambria" w:cs="Times New Roman"/>
          <w:color w:val="auto"/>
          <w:sz w:val="22"/>
          <w:szCs w:val="22"/>
          <w:lang w:val="sq-AL"/>
        </w:rPr>
        <w:t>ë</w:t>
      </w:r>
      <w:r w:rsidR="00470114">
        <w:rPr>
          <w:rFonts w:ascii="Cambria" w:hAnsi="Cambria" w:cs="Times New Roman"/>
          <w:color w:val="auto"/>
          <w:sz w:val="22"/>
          <w:szCs w:val="22"/>
          <w:lang w:val="sq-AL"/>
        </w:rPr>
        <w:t>m 2020 – 2022</w:t>
      </w:r>
      <w:r w:rsidRPr="00A27733">
        <w:rPr>
          <w:rFonts w:ascii="Cambria" w:hAnsi="Cambria" w:cs="Times New Roman"/>
          <w:color w:val="auto"/>
          <w:sz w:val="22"/>
          <w:szCs w:val="22"/>
          <w:lang w:val="sq-AL"/>
        </w:rPr>
        <w:t>, qeveria do t</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 xml:space="preserve"> </w:t>
      </w:r>
      <w:r w:rsidR="00A27733" w:rsidRPr="00A27733">
        <w:rPr>
          <w:rFonts w:ascii="Cambria" w:hAnsi="Cambria" w:cs="Times New Roman"/>
          <w:color w:val="auto"/>
          <w:sz w:val="22"/>
          <w:szCs w:val="22"/>
          <w:lang w:val="sq-AL"/>
        </w:rPr>
        <w:t>vazhdoj</w:t>
      </w:r>
      <w:r w:rsidR="00836A0D">
        <w:rPr>
          <w:rFonts w:ascii="Cambria" w:hAnsi="Cambria" w:cs="Times New Roman"/>
          <w:color w:val="auto"/>
          <w:sz w:val="22"/>
          <w:szCs w:val="22"/>
          <w:lang w:val="sq-AL"/>
        </w:rPr>
        <w:t>ë</w:t>
      </w:r>
      <w:r w:rsidR="00A27733" w:rsidRPr="00A27733">
        <w:rPr>
          <w:rFonts w:ascii="Cambria" w:hAnsi="Cambria" w:cs="Times New Roman"/>
          <w:color w:val="auto"/>
          <w:sz w:val="22"/>
          <w:szCs w:val="22"/>
          <w:lang w:val="sq-AL"/>
        </w:rPr>
        <w:t xml:space="preserve"> financimin e prioriteteve t</w:t>
      </w:r>
      <w:r w:rsidR="00836A0D">
        <w:rPr>
          <w:rFonts w:ascii="Cambria" w:hAnsi="Cambria" w:cs="Times New Roman"/>
          <w:color w:val="auto"/>
          <w:sz w:val="22"/>
          <w:szCs w:val="22"/>
          <w:lang w:val="sq-AL"/>
        </w:rPr>
        <w:t>ë</w:t>
      </w:r>
      <w:r w:rsidR="00A27733" w:rsidRPr="00A27733">
        <w:rPr>
          <w:rFonts w:ascii="Cambria" w:hAnsi="Cambria" w:cs="Times New Roman"/>
          <w:color w:val="auto"/>
          <w:sz w:val="22"/>
          <w:szCs w:val="22"/>
          <w:lang w:val="sq-AL"/>
        </w:rPr>
        <w:t xml:space="preserve"> shpallura n</w:t>
      </w:r>
      <w:r w:rsidR="00836A0D">
        <w:rPr>
          <w:rFonts w:ascii="Cambria" w:hAnsi="Cambria" w:cs="Times New Roman"/>
          <w:color w:val="auto"/>
          <w:sz w:val="22"/>
          <w:szCs w:val="22"/>
          <w:lang w:val="sq-AL"/>
        </w:rPr>
        <w:t>ë</w:t>
      </w:r>
      <w:r w:rsidR="00A27733" w:rsidRPr="00A27733">
        <w:rPr>
          <w:rFonts w:ascii="Cambria" w:hAnsi="Cambria" w:cs="Times New Roman"/>
          <w:color w:val="auto"/>
          <w:sz w:val="22"/>
          <w:szCs w:val="22"/>
          <w:lang w:val="sq-AL"/>
        </w:rPr>
        <w:t xml:space="preserve"> programin e saj qeveris</w:t>
      </w:r>
      <w:r w:rsidR="00836A0D">
        <w:rPr>
          <w:rFonts w:ascii="Cambria" w:hAnsi="Cambria" w:cs="Times New Roman"/>
          <w:color w:val="auto"/>
          <w:sz w:val="22"/>
          <w:szCs w:val="22"/>
          <w:lang w:val="sq-AL"/>
        </w:rPr>
        <w:t>ë</w:t>
      </w:r>
      <w:r w:rsidR="00A27733" w:rsidRPr="00A27733">
        <w:rPr>
          <w:rFonts w:ascii="Cambria" w:hAnsi="Cambria" w:cs="Times New Roman"/>
          <w:color w:val="auto"/>
          <w:sz w:val="22"/>
          <w:szCs w:val="22"/>
          <w:lang w:val="sq-AL"/>
        </w:rPr>
        <w:t>s 2017-2021 si vijon:</w:t>
      </w:r>
    </w:p>
    <w:p w:rsidR="008F345A" w:rsidRDefault="00B711F9" w:rsidP="00894DEB">
      <w:pPr>
        <w:jc w:val="both"/>
        <w:rPr>
          <w:rFonts w:ascii="Cambria" w:hAnsi="Cambria" w:cs="Times New Roman"/>
          <w:lang w:val="sq-AL"/>
        </w:rPr>
      </w:pPr>
      <w:r w:rsidRPr="00FB3DCA">
        <w:rPr>
          <w:rFonts w:ascii="Cambria" w:hAnsi="Cambria" w:cs="Times New Roman"/>
          <w:b/>
          <w:lang w:val="sq-AL"/>
        </w:rPr>
        <w:t>Pun</w:t>
      </w:r>
      <w:r w:rsidR="00836A0D">
        <w:rPr>
          <w:rFonts w:ascii="Cambria" w:hAnsi="Cambria" w:cs="Times New Roman"/>
          <w:b/>
          <w:lang w:val="sq-AL"/>
        </w:rPr>
        <w:t>ë</w:t>
      </w:r>
      <w:r w:rsidRPr="00FB3DCA">
        <w:rPr>
          <w:rFonts w:ascii="Cambria" w:hAnsi="Cambria" w:cs="Times New Roman"/>
          <w:b/>
          <w:lang w:val="sq-AL"/>
        </w:rPr>
        <w:t>simi</w:t>
      </w:r>
      <w:r w:rsidR="00FB3DCA" w:rsidRPr="00FB3DCA">
        <w:rPr>
          <w:rFonts w:ascii="Cambria" w:hAnsi="Cambria" w:cs="Times New Roman"/>
          <w:b/>
          <w:lang w:val="sq-AL"/>
        </w:rPr>
        <w:t xml:space="preserve"> </w:t>
      </w:r>
      <w:r w:rsidR="00FB3DCA" w:rsidRPr="00FB3DCA">
        <w:rPr>
          <w:rFonts w:ascii="Cambria" w:hAnsi="Cambria" w:cs="Times New Roman"/>
          <w:lang w:val="sq-AL"/>
        </w:rPr>
        <w:t>ku synohet r</w:t>
      </w:r>
      <w:r w:rsidR="00A27733">
        <w:rPr>
          <w:rFonts w:ascii="Cambria" w:hAnsi="Cambria" w:cs="Times New Roman"/>
          <w:lang w:val="sq-AL"/>
        </w:rPr>
        <w:t>ritja e</w:t>
      </w:r>
      <w:r w:rsidR="00A27733" w:rsidRPr="00B711F9">
        <w:rPr>
          <w:rFonts w:ascii="Cambria" w:hAnsi="Cambria" w:cs="Times New Roman"/>
          <w:lang w:val="sq-AL"/>
        </w:rPr>
        <w:t xml:space="preserve"> punësimi</w:t>
      </w:r>
      <w:r>
        <w:rPr>
          <w:rFonts w:ascii="Cambria" w:hAnsi="Cambria" w:cs="Times New Roman"/>
          <w:lang w:val="sq-AL"/>
        </w:rPr>
        <w:t>t</w:t>
      </w:r>
      <w:r w:rsidR="00A27733" w:rsidRPr="00B711F9">
        <w:rPr>
          <w:rFonts w:ascii="Cambria" w:hAnsi="Cambria" w:cs="Times New Roman"/>
          <w:lang w:val="sq-AL"/>
        </w:rPr>
        <w:t xml:space="preserve"> </w:t>
      </w:r>
      <w:r>
        <w:rPr>
          <w:rFonts w:ascii="Cambria" w:hAnsi="Cambria" w:cs="Times New Roman"/>
          <w:lang w:val="sq-AL"/>
        </w:rPr>
        <w:t xml:space="preserve">si dhe </w:t>
      </w:r>
      <w:r w:rsidR="00A27733" w:rsidRPr="00A27733">
        <w:rPr>
          <w:rFonts w:ascii="Cambria" w:hAnsi="Cambria" w:cs="Times New Roman"/>
          <w:lang w:val="sq-AL"/>
        </w:rPr>
        <w:t>përgjysm</w:t>
      </w:r>
      <w:r>
        <w:rPr>
          <w:rFonts w:ascii="Cambria" w:hAnsi="Cambria" w:cs="Times New Roman"/>
          <w:lang w:val="sq-AL"/>
        </w:rPr>
        <w:t>imi i diferencës</w:t>
      </w:r>
      <w:r w:rsidR="00A27733" w:rsidRPr="00A27733">
        <w:rPr>
          <w:rFonts w:ascii="Cambria" w:hAnsi="Cambria" w:cs="Times New Roman"/>
          <w:lang w:val="sq-AL"/>
        </w:rPr>
        <w:t xml:space="preserve"> midis papunësisë rinore e papunësisë së përgjithshme, nëpërmjet mbështetjes së programeve “start-up”, shkollimit, formimit profesional dhe korsive preferenciale në treg për punësimin e vajzave dhe djemve</w:t>
      </w:r>
      <w:r>
        <w:rPr>
          <w:rFonts w:ascii="Cambria" w:hAnsi="Cambria" w:cs="Times New Roman"/>
          <w:lang w:val="sq-AL"/>
        </w:rPr>
        <w:t>. P</w:t>
      </w:r>
      <w:r w:rsidR="00836A0D">
        <w:rPr>
          <w:rFonts w:ascii="Cambria" w:hAnsi="Cambria" w:cs="Times New Roman"/>
          <w:lang w:val="sq-AL"/>
        </w:rPr>
        <w:t>ë</w:t>
      </w:r>
      <w:r>
        <w:rPr>
          <w:rFonts w:ascii="Cambria" w:hAnsi="Cambria" w:cs="Times New Roman"/>
          <w:lang w:val="sq-AL"/>
        </w:rPr>
        <w:t>rgjat</w:t>
      </w:r>
      <w:r w:rsidR="00836A0D">
        <w:rPr>
          <w:rFonts w:ascii="Cambria" w:hAnsi="Cambria" w:cs="Times New Roman"/>
          <w:lang w:val="sq-AL"/>
        </w:rPr>
        <w:t>ë</w:t>
      </w:r>
      <w:r>
        <w:rPr>
          <w:rFonts w:ascii="Cambria" w:hAnsi="Cambria" w:cs="Times New Roman"/>
          <w:lang w:val="sq-AL"/>
        </w:rPr>
        <w:t xml:space="preserve"> k</w:t>
      </w:r>
      <w:r w:rsidR="00836A0D">
        <w:rPr>
          <w:rFonts w:ascii="Cambria" w:hAnsi="Cambria" w:cs="Times New Roman"/>
          <w:lang w:val="sq-AL"/>
        </w:rPr>
        <w:t>ë</w:t>
      </w:r>
      <w:r>
        <w:rPr>
          <w:rFonts w:ascii="Cambria" w:hAnsi="Cambria" w:cs="Times New Roman"/>
          <w:lang w:val="sq-AL"/>
        </w:rPr>
        <w:t>saj periudhe, programet e nxitjes s</w:t>
      </w:r>
      <w:r w:rsidR="00836A0D">
        <w:rPr>
          <w:rFonts w:ascii="Cambria" w:hAnsi="Cambria" w:cs="Times New Roman"/>
          <w:lang w:val="sq-AL"/>
        </w:rPr>
        <w:t>ë</w:t>
      </w:r>
      <w:r>
        <w:rPr>
          <w:rFonts w:ascii="Cambria" w:hAnsi="Cambria" w:cs="Times New Roman"/>
          <w:lang w:val="sq-AL"/>
        </w:rPr>
        <w:t xml:space="preserve"> pun</w:t>
      </w:r>
      <w:r w:rsidR="00836A0D">
        <w:rPr>
          <w:rFonts w:ascii="Cambria" w:hAnsi="Cambria" w:cs="Times New Roman"/>
          <w:lang w:val="sq-AL"/>
        </w:rPr>
        <w:t>ë</w:t>
      </w:r>
      <w:r>
        <w:rPr>
          <w:rFonts w:ascii="Cambria" w:hAnsi="Cambria" w:cs="Times New Roman"/>
          <w:lang w:val="sq-AL"/>
        </w:rPr>
        <w:t>simit dhe te arsimit e formimit profesional do t</w:t>
      </w:r>
      <w:r w:rsidR="00836A0D">
        <w:rPr>
          <w:rFonts w:ascii="Cambria" w:hAnsi="Cambria" w:cs="Times New Roman"/>
          <w:lang w:val="sq-AL"/>
        </w:rPr>
        <w:t>ë</w:t>
      </w:r>
      <w:r>
        <w:rPr>
          <w:rFonts w:ascii="Cambria" w:hAnsi="Cambria" w:cs="Times New Roman"/>
          <w:lang w:val="sq-AL"/>
        </w:rPr>
        <w:t xml:space="preserve"> p</w:t>
      </w:r>
      <w:r w:rsidR="00836A0D">
        <w:rPr>
          <w:rFonts w:ascii="Cambria" w:hAnsi="Cambria" w:cs="Times New Roman"/>
          <w:lang w:val="sq-AL"/>
        </w:rPr>
        <w:t>ë</w:t>
      </w:r>
      <w:r>
        <w:rPr>
          <w:rFonts w:ascii="Cambria" w:hAnsi="Cambria" w:cs="Times New Roman"/>
          <w:lang w:val="sq-AL"/>
        </w:rPr>
        <w:t>rfitojn</w:t>
      </w:r>
      <w:r w:rsidR="00836A0D">
        <w:rPr>
          <w:rFonts w:ascii="Cambria" w:hAnsi="Cambria" w:cs="Times New Roman"/>
          <w:lang w:val="sq-AL"/>
        </w:rPr>
        <w:t>ë</w:t>
      </w:r>
      <w:r>
        <w:rPr>
          <w:rFonts w:ascii="Cambria" w:hAnsi="Cambria" w:cs="Times New Roman"/>
          <w:lang w:val="sq-AL"/>
        </w:rPr>
        <w:t xml:space="preserve"> nj</w:t>
      </w:r>
      <w:r w:rsidR="00836A0D">
        <w:rPr>
          <w:rFonts w:ascii="Cambria" w:hAnsi="Cambria" w:cs="Times New Roman"/>
          <w:lang w:val="sq-AL"/>
        </w:rPr>
        <w:t>ë</w:t>
      </w:r>
      <w:r>
        <w:rPr>
          <w:rFonts w:ascii="Cambria" w:hAnsi="Cambria" w:cs="Times New Roman"/>
          <w:lang w:val="sq-AL"/>
        </w:rPr>
        <w:t xml:space="preserve"> financim t</w:t>
      </w:r>
      <w:r w:rsidR="00836A0D">
        <w:rPr>
          <w:rFonts w:ascii="Cambria" w:hAnsi="Cambria" w:cs="Times New Roman"/>
          <w:lang w:val="sq-AL"/>
        </w:rPr>
        <w:t>ë</w:t>
      </w:r>
      <w:r>
        <w:rPr>
          <w:rFonts w:ascii="Cambria" w:hAnsi="Cambria" w:cs="Times New Roman"/>
          <w:lang w:val="sq-AL"/>
        </w:rPr>
        <w:t xml:space="preserve"> konsideruesh</w:t>
      </w:r>
      <w:r w:rsidR="00836A0D">
        <w:rPr>
          <w:rFonts w:ascii="Cambria" w:hAnsi="Cambria" w:cs="Times New Roman"/>
          <w:lang w:val="sq-AL"/>
        </w:rPr>
        <w:t>ë</w:t>
      </w:r>
      <w:r>
        <w:rPr>
          <w:rFonts w:ascii="Cambria" w:hAnsi="Cambria" w:cs="Times New Roman"/>
          <w:lang w:val="sq-AL"/>
        </w:rPr>
        <w:t xml:space="preserve">m </w:t>
      </w:r>
      <w:r w:rsidR="008F345A">
        <w:rPr>
          <w:rFonts w:ascii="Cambria" w:hAnsi="Cambria" w:cs="Times New Roman"/>
          <w:lang w:val="sq-AL"/>
        </w:rPr>
        <w:t xml:space="preserve">mesatarisht </w:t>
      </w:r>
      <w:r w:rsidR="008F345A" w:rsidRPr="009E4923">
        <w:rPr>
          <w:rFonts w:ascii="Cambria" w:hAnsi="Cambria" w:cs="Times New Roman"/>
          <w:lang w:val="sq-AL"/>
        </w:rPr>
        <w:t>n</w:t>
      </w:r>
      <w:r w:rsidR="00836A0D" w:rsidRPr="009E4923">
        <w:rPr>
          <w:rFonts w:ascii="Cambria" w:hAnsi="Cambria" w:cs="Times New Roman"/>
          <w:lang w:val="sq-AL"/>
        </w:rPr>
        <w:t>ë</w:t>
      </w:r>
      <w:r w:rsidR="008F345A" w:rsidRPr="009E4923">
        <w:rPr>
          <w:rFonts w:ascii="Cambria" w:hAnsi="Cambria" w:cs="Times New Roman"/>
          <w:lang w:val="sq-AL"/>
        </w:rPr>
        <w:t xml:space="preserve"> mas</w:t>
      </w:r>
      <w:r w:rsidR="00836A0D" w:rsidRPr="009E4923">
        <w:rPr>
          <w:rFonts w:ascii="Cambria" w:hAnsi="Cambria" w:cs="Times New Roman"/>
          <w:lang w:val="sq-AL"/>
        </w:rPr>
        <w:t>ë</w:t>
      </w:r>
      <w:r w:rsidR="008F345A" w:rsidRPr="009E4923">
        <w:rPr>
          <w:rFonts w:ascii="Cambria" w:hAnsi="Cambria" w:cs="Times New Roman"/>
          <w:lang w:val="sq-AL"/>
        </w:rPr>
        <w:t>n</w:t>
      </w:r>
      <w:r w:rsidRPr="009E4923">
        <w:rPr>
          <w:rFonts w:ascii="Cambria" w:hAnsi="Cambria" w:cs="Times New Roman"/>
          <w:lang w:val="sq-AL"/>
        </w:rPr>
        <w:t xml:space="preserve"> 6 miliard</w:t>
      </w:r>
      <w:r w:rsidR="00836A0D" w:rsidRPr="009E4923">
        <w:rPr>
          <w:rFonts w:ascii="Cambria" w:hAnsi="Cambria" w:cs="Times New Roman"/>
          <w:lang w:val="sq-AL"/>
        </w:rPr>
        <w:t>ë</w:t>
      </w:r>
      <w:r w:rsidRPr="009E4923">
        <w:rPr>
          <w:rFonts w:ascii="Cambria" w:hAnsi="Cambria" w:cs="Times New Roman"/>
          <w:lang w:val="sq-AL"/>
        </w:rPr>
        <w:t xml:space="preserve"> lek</w:t>
      </w:r>
      <w:r w:rsidR="00836A0D" w:rsidRPr="009E4923">
        <w:rPr>
          <w:rFonts w:ascii="Cambria" w:hAnsi="Cambria" w:cs="Times New Roman"/>
          <w:lang w:val="sq-AL"/>
        </w:rPr>
        <w:t>ë</w:t>
      </w:r>
      <w:r w:rsidRPr="009E4923">
        <w:rPr>
          <w:rFonts w:ascii="Cambria" w:hAnsi="Cambria" w:cs="Times New Roman"/>
          <w:lang w:val="sq-AL"/>
        </w:rPr>
        <w:t xml:space="preserve"> n</w:t>
      </w:r>
      <w:r w:rsidR="00836A0D" w:rsidRPr="009E4923">
        <w:rPr>
          <w:rFonts w:ascii="Cambria" w:hAnsi="Cambria" w:cs="Times New Roman"/>
          <w:lang w:val="sq-AL"/>
        </w:rPr>
        <w:t>ë</w:t>
      </w:r>
      <w:r w:rsidRPr="009E4923">
        <w:rPr>
          <w:rFonts w:ascii="Cambria" w:hAnsi="Cambria" w:cs="Times New Roman"/>
          <w:lang w:val="sq-AL"/>
        </w:rPr>
        <w:t xml:space="preserve"> vit</w:t>
      </w:r>
      <w:r w:rsidR="008F345A" w:rsidRPr="009E4923">
        <w:rPr>
          <w:rFonts w:ascii="Cambria" w:hAnsi="Cambria" w:cs="Times New Roman"/>
          <w:lang w:val="sq-AL"/>
        </w:rPr>
        <w:t>.</w:t>
      </w:r>
      <w:r w:rsidR="008F345A">
        <w:rPr>
          <w:rFonts w:ascii="Cambria" w:hAnsi="Cambria" w:cs="Times New Roman"/>
          <w:lang w:val="sq-AL"/>
        </w:rPr>
        <w:t xml:space="preserve"> </w:t>
      </w:r>
    </w:p>
    <w:p w:rsidR="00FB3DCA" w:rsidRPr="00FB3DCA" w:rsidRDefault="00FB3DCA" w:rsidP="00894DEB">
      <w:pPr>
        <w:jc w:val="both"/>
        <w:rPr>
          <w:rFonts w:ascii="Cambria" w:hAnsi="Cambria" w:cs="Times New Roman"/>
          <w:lang w:val="sq-AL"/>
        </w:rPr>
      </w:pPr>
      <w:r w:rsidRPr="00FB3DCA">
        <w:rPr>
          <w:rFonts w:ascii="Cambria" w:hAnsi="Cambria" w:cs="Times New Roman"/>
          <w:b/>
          <w:lang w:val="sq-AL"/>
        </w:rPr>
        <w:t>Infrastruktura e Ujit</w:t>
      </w:r>
      <w:r>
        <w:rPr>
          <w:rFonts w:ascii="Cambria" w:hAnsi="Cambria" w:cs="Times New Roman"/>
          <w:b/>
          <w:lang w:val="sq-AL"/>
        </w:rPr>
        <w:t xml:space="preserve"> </w:t>
      </w:r>
      <w:r w:rsidRPr="00FB3DCA">
        <w:rPr>
          <w:rFonts w:ascii="Cambria" w:hAnsi="Cambria" w:cs="Times New Roman"/>
          <w:lang w:val="sq-AL"/>
        </w:rPr>
        <w:t xml:space="preserve">ku </w:t>
      </w:r>
      <w:r>
        <w:rPr>
          <w:rFonts w:ascii="Cambria" w:hAnsi="Cambria" w:cs="Times New Roman"/>
          <w:lang w:val="sq-AL"/>
        </w:rPr>
        <w:t>synohet p</w:t>
      </w:r>
      <w:r w:rsidR="00836A0D">
        <w:rPr>
          <w:rFonts w:ascii="Cambria" w:hAnsi="Cambria" w:cs="Times New Roman"/>
          <w:lang w:val="sq-AL"/>
        </w:rPr>
        <w:t>ë</w:t>
      </w:r>
      <w:r>
        <w:rPr>
          <w:rFonts w:ascii="Cambria" w:hAnsi="Cambria" w:cs="Times New Roman"/>
          <w:lang w:val="sq-AL"/>
        </w:rPr>
        <w:t>rmbushja e</w:t>
      </w:r>
      <w:r w:rsidRPr="00FB3DCA">
        <w:rPr>
          <w:rFonts w:ascii="Cambria" w:hAnsi="Cambria" w:cs="Times New Roman"/>
          <w:lang w:val="sq-AL"/>
        </w:rPr>
        <w:t xml:space="preserve"> nevoja</w:t>
      </w:r>
      <w:r>
        <w:rPr>
          <w:rFonts w:ascii="Cambria" w:hAnsi="Cambria" w:cs="Times New Roman"/>
          <w:lang w:val="sq-AL"/>
        </w:rPr>
        <w:t>ve</w:t>
      </w:r>
      <w:r w:rsidRPr="00FB3DCA">
        <w:rPr>
          <w:rFonts w:ascii="Cambria" w:hAnsi="Cambria" w:cs="Times New Roman"/>
          <w:lang w:val="sq-AL"/>
        </w:rPr>
        <w:t xml:space="preserve"> </w:t>
      </w:r>
      <w:r>
        <w:rPr>
          <w:rFonts w:ascii="Cambria" w:hAnsi="Cambria" w:cs="Times New Roman"/>
          <w:lang w:val="sq-AL"/>
        </w:rPr>
        <w:t>t</w:t>
      </w:r>
      <w:r w:rsidR="00836A0D">
        <w:rPr>
          <w:rFonts w:ascii="Cambria" w:hAnsi="Cambria" w:cs="Times New Roman"/>
          <w:lang w:val="sq-AL"/>
        </w:rPr>
        <w:t>ë</w:t>
      </w:r>
      <w:r w:rsidRPr="00FB3DCA">
        <w:rPr>
          <w:rFonts w:ascii="Cambria" w:hAnsi="Cambria" w:cs="Times New Roman"/>
          <w:lang w:val="sq-AL"/>
        </w:rPr>
        <w:t xml:space="preserve"> përdoruesve të ujit</w:t>
      </w:r>
      <w:r>
        <w:rPr>
          <w:rFonts w:ascii="Cambria" w:hAnsi="Cambria" w:cs="Times New Roman"/>
          <w:lang w:val="sq-AL"/>
        </w:rPr>
        <w:t>,</w:t>
      </w:r>
      <w:r w:rsidRPr="00FB3DCA">
        <w:rPr>
          <w:rFonts w:ascii="Cambria" w:hAnsi="Cambria" w:cs="Times New Roman"/>
          <w:lang w:val="sq-AL"/>
        </w:rPr>
        <w:t xml:space="preserve"> përmes:</w:t>
      </w:r>
    </w:p>
    <w:p w:rsidR="00FB3DCA" w:rsidRPr="00FB3DCA" w:rsidRDefault="00FB3DCA" w:rsidP="007133FB">
      <w:pPr>
        <w:numPr>
          <w:ilvl w:val="0"/>
          <w:numId w:val="2"/>
        </w:numPr>
        <w:jc w:val="both"/>
        <w:rPr>
          <w:rFonts w:ascii="Cambria" w:hAnsi="Cambria" w:cs="Times New Roman"/>
          <w:lang w:val="sq-AL"/>
        </w:rPr>
      </w:pPr>
      <w:r w:rsidRPr="00FB3DCA">
        <w:rPr>
          <w:rFonts w:ascii="Cambria" w:hAnsi="Cambria" w:cs="Times New Roman"/>
          <w:lang w:val="sq-AL"/>
        </w:rPr>
        <w:t xml:space="preserve">shtrirjes së shërbimit të furnizimit me ujë, që do të arrijë në </w:t>
      </w:r>
      <w:r>
        <w:rPr>
          <w:rFonts w:ascii="Cambria" w:hAnsi="Cambria" w:cs="Times New Roman"/>
          <w:lang w:val="sq-AL"/>
        </w:rPr>
        <w:t>nivel kombëtar në masën 75 %;</w:t>
      </w:r>
      <w:r w:rsidRPr="00FB3DCA">
        <w:rPr>
          <w:rFonts w:ascii="Cambria" w:hAnsi="Cambria" w:cs="Times New Roman"/>
          <w:lang w:val="sq-AL"/>
        </w:rPr>
        <w:t xml:space="preserve"> </w:t>
      </w:r>
    </w:p>
    <w:p w:rsidR="00FB3DCA" w:rsidRPr="00710211" w:rsidRDefault="00FB3DCA" w:rsidP="007133FB">
      <w:pPr>
        <w:numPr>
          <w:ilvl w:val="0"/>
          <w:numId w:val="2"/>
        </w:numPr>
        <w:jc w:val="both"/>
        <w:rPr>
          <w:rFonts w:ascii="Cambria" w:hAnsi="Cambria" w:cs="Times New Roman"/>
          <w:lang w:val="sq-AL"/>
        </w:rPr>
      </w:pPr>
      <w:r w:rsidRPr="00FB3DCA">
        <w:rPr>
          <w:rFonts w:ascii="Cambria" w:hAnsi="Cambria" w:cs="Times New Roman"/>
          <w:lang w:val="sq-AL"/>
        </w:rPr>
        <w:t>shtrirjes së rrjeteve të kanalizimeve për largimin e ujërave të ndotur urbanë, që do të arrij</w:t>
      </w:r>
      <w:r>
        <w:rPr>
          <w:rFonts w:ascii="Cambria" w:hAnsi="Cambria" w:cs="Times New Roman"/>
          <w:lang w:val="sq-AL"/>
        </w:rPr>
        <w:t xml:space="preserve">ë në </w:t>
      </w:r>
      <w:r w:rsidRPr="00710211">
        <w:rPr>
          <w:rFonts w:ascii="Cambria" w:hAnsi="Cambria" w:cs="Times New Roman"/>
          <w:lang w:val="sq-AL"/>
        </w:rPr>
        <w:t>nivel kombëtar në masën 48%;</w:t>
      </w:r>
    </w:p>
    <w:p w:rsidR="00FB3DCA" w:rsidRPr="00710211" w:rsidRDefault="00FB3DCA" w:rsidP="007133FB">
      <w:pPr>
        <w:numPr>
          <w:ilvl w:val="0"/>
          <w:numId w:val="2"/>
        </w:numPr>
        <w:jc w:val="both"/>
        <w:rPr>
          <w:rFonts w:ascii="Cambria" w:hAnsi="Cambria" w:cs="Times New Roman"/>
          <w:lang w:val="sq-AL"/>
        </w:rPr>
      </w:pPr>
      <w:r w:rsidRPr="00710211">
        <w:rPr>
          <w:rFonts w:ascii="Cambria" w:hAnsi="Cambria" w:cs="Times New Roman"/>
          <w:lang w:val="sq-AL"/>
        </w:rPr>
        <w:t>mbulimit të sipërfaqeve të tokave bujqësore me infrastrukturë ujitjeje e kullim</w:t>
      </w:r>
      <w:r w:rsidR="00A42ADE" w:rsidRPr="00710211">
        <w:rPr>
          <w:rFonts w:ascii="Cambria" w:hAnsi="Cambria" w:cs="Times New Roman"/>
          <w:lang w:val="sq-AL"/>
        </w:rPr>
        <w:t>i, që do të rritet me 4</w:t>
      </w:r>
      <w:r w:rsidR="00710211" w:rsidRPr="00710211">
        <w:rPr>
          <w:rFonts w:ascii="Cambria" w:hAnsi="Cambria" w:cs="Times New Roman"/>
          <w:lang w:val="sq-AL"/>
        </w:rPr>
        <w:t>5</w:t>
      </w:r>
      <w:r w:rsidR="00A42ADE" w:rsidRPr="00710211">
        <w:rPr>
          <w:rFonts w:ascii="Cambria" w:hAnsi="Cambria" w:cs="Times New Roman"/>
          <w:lang w:val="sq-AL"/>
        </w:rPr>
        <w:t>,</w:t>
      </w:r>
      <w:r w:rsidRPr="00710211">
        <w:rPr>
          <w:rFonts w:ascii="Cambria" w:hAnsi="Cambria" w:cs="Times New Roman"/>
          <w:lang w:val="sq-AL"/>
        </w:rPr>
        <w:t>000 ha për ujitjen dhe 70’000 ha për kullimin;</w:t>
      </w:r>
    </w:p>
    <w:p w:rsidR="00FB3DCA" w:rsidRDefault="00FB3DCA" w:rsidP="007133FB">
      <w:pPr>
        <w:numPr>
          <w:ilvl w:val="0"/>
          <w:numId w:val="2"/>
        </w:numPr>
        <w:jc w:val="both"/>
        <w:rPr>
          <w:rFonts w:ascii="Cambria" w:hAnsi="Cambria" w:cs="Times New Roman"/>
          <w:lang w:val="sq-AL"/>
        </w:rPr>
      </w:pPr>
      <w:r>
        <w:rPr>
          <w:rFonts w:ascii="Cambria" w:hAnsi="Cambria" w:cs="Times New Roman"/>
          <w:lang w:val="sq-AL"/>
        </w:rPr>
        <w:t>p</w:t>
      </w:r>
      <w:r w:rsidRPr="00FB3DCA">
        <w:rPr>
          <w:rFonts w:ascii="Cambria" w:hAnsi="Cambria" w:cs="Times New Roman"/>
          <w:lang w:val="sq-AL"/>
        </w:rPr>
        <w:t>lotësimi</w:t>
      </w:r>
      <w:r>
        <w:rPr>
          <w:rFonts w:ascii="Cambria" w:hAnsi="Cambria" w:cs="Times New Roman"/>
          <w:lang w:val="sq-AL"/>
        </w:rPr>
        <w:t>t</w:t>
      </w:r>
      <w:r w:rsidRPr="00FB3DCA">
        <w:rPr>
          <w:rFonts w:ascii="Cambria" w:hAnsi="Cambria" w:cs="Times New Roman"/>
          <w:lang w:val="sq-AL"/>
        </w:rPr>
        <w:t xml:space="preserve"> </w:t>
      </w:r>
      <w:r>
        <w:rPr>
          <w:rFonts w:ascii="Cambria" w:hAnsi="Cambria" w:cs="Times New Roman"/>
          <w:lang w:val="sq-AL"/>
        </w:rPr>
        <w:t>t</w:t>
      </w:r>
      <w:r w:rsidR="00836A0D">
        <w:rPr>
          <w:rFonts w:ascii="Cambria" w:hAnsi="Cambria" w:cs="Times New Roman"/>
          <w:lang w:val="sq-AL"/>
        </w:rPr>
        <w:t>ë</w:t>
      </w:r>
      <w:r w:rsidRPr="00FB3DCA">
        <w:rPr>
          <w:rFonts w:ascii="Cambria" w:hAnsi="Cambria" w:cs="Times New Roman"/>
          <w:lang w:val="sq-AL"/>
        </w:rPr>
        <w:t xml:space="preserve"> nevojave të industrisë me ujë, me synim garantimin e ujit në sasinë dhe cilësinë e nevojshme do të jetë 100%.</w:t>
      </w:r>
    </w:p>
    <w:p w:rsidR="00FB3DCA" w:rsidRDefault="00FB3DCA" w:rsidP="00894DEB">
      <w:pPr>
        <w:jc w:val="both"/>
        <w:rPr>
          <w:rFonts w:ascii="Cambria" w:hAnsi="Cambria" w:cs="Times New Roman"/>
          <w:lang w:val="sq-AL"/>
        </w:rPr>
      </w:pPr>
      <w:r>
        <w:rPr>
          <w:rFonts w:ascii="Cambria" w:hAnsi="Cambria" w:cs="Times New Roman"/>
          <w:lang w:val="sq-AL"/>
        </w:rPr>
        <w:t>P</w:t>
      </w:r>
      <w:r w:rsidR="00836A0D">
        <w:rPr>
          <w:rFonts w:ascii="Cambria" w:hAnsi="Cambria" w:cs="Times New Roman"/>
          <w:lang w:val="sq-AL"/>
        </w:rPr>
        <w:t>ë</w:t>
      </w:r>
      <w:r>
        <w:rPr>
          <w:rFonts w:ascii="Cambria" w:hAnsi="Cambria" w:cs="Times New Roman"/>
          <w:lang w:val="sq-AL"/>
        </w:rPr>
        <w:t>r periu</w:t>
      </w:r>
      <w:r w:rsidR="004D63DB">
        <w:rPr>
          <w:rFonts w:ascii="Cambria" w:hAnsi="Cambria" w:cs="Times New Roman"/>
          <w:lang w:val="sq-AL"/>
        </w:rPr>
        <w:t>dh</w:t>
      </w:r>
      <w:r w:rsidR="00836A0D">
        <w:rPr>
          <w:rFonts w:ascii="Cambria" w:hAnsi="Cambria" w:cs="Times New Roman"/>
          <w:lang w:val="sq-AL"/>
        </w:rPr>
        <w:t>ë</w:t>
      </w:r>
      <w:r w:rsidR="0024373D">
        <w:rPr>
          <w:rFonts w:ascii="Cambria" w:hAnsi="Cambria" w:cs="Times New Roman"/>
          <w:lang w:val="sq-AL"/>
        </w:rPr>
        <w:t>n 2020-2022</w:t>
      </w:r>
      <w:r w:rsidR="004D63DB">
        <w:rPr>
          <w:rFonts w:ascii="Cambria" w:hAnsi="Cambria" w:cs="Times New Roman"/>
          <w:lang w:val="sq-AL"/>
        </w:rPr>
        <w:t>, financimet p</w:t>
      </w:r>
      <w:r w:rsidR="00836A0D">
        <w:rPr>
          <w:rFonts w:ascii="Cambria" w:hAnsi="Cambria" w:cs="Times New Roman"/>
          <w:lang w:val="sq-AL"/>
        </w:rPr>
        <w:t>ë</w:t>
      </w:r>
      <w:r w:rsidR="004D63DB">
        <w:rPr>
          <w:rFonts w:ascii="Cambria" w:hAnsi="Cambria" w:cs="Times New Roman"/>
          <w:lang w:val="sq-AL"/>
        </w:rPr>
        <w:t>r k</w:t>
      </w:r>
      <w:r w:rsidR="00836A0D">
        <w:rPr>
          <w:rFonts w:ascii="Cambria" w:hAnsi="Cambria" w:cs="Times New Roman"/>
          <w:lang w:val="sq-AL"/>
        </w:rPr>
        <w:t>ë</w:t>
      </w:r>
      <w:r w:rsidR="004D63DB">
        <w:rPr>
          <w:rFonts w:ascii="Cambria" w:hAnsi="Cambria" w:cs="Times New Roman"/>
          <w:lang w:val="sq-AL"/>
        </w:rPr>
        <w:t>t</w:t>
      </w:r>
      <w:r w:rsidR="00836A0D">
        <w:rPr>
          <w:rFonts w:ascii="Cambria" w:hAnsi="Cambria" w:cs="Times New Roman"/>
          <w:lang w:val="sq-AL"/>
        </w:rPr>
        <w:t>ë</w:t>
      </w:r>
      <w:r w:rsidR="004D63DB">
        <w:rPr>
          <w:rFonts w:ascii="Cambria" w:hAnsi="Cambria" w:cs="Times New Roman"/>
          <w:lang w:val="sq-AL"/>
        </w:rPr>
        <w:t xml:space="preserve"> prioritet do t</w:t>
      </w:r>
      <w:r w:rsidR="00836A0D">
        <w:rPr>
          <w:rFonts w:ascii="Cambria" w:hAnsi="Cambria" w:cs="Times New Roman"/>
          <w:lang w:val="sq-AL"/>
        </w:rPr>
        <w:t>ë</w:t>
      </w:r>
      <w:r w:rsidR="004D63DB">
        <w:rPr>
          <w:rFonts w:ascii="Cambria" w:hAnsi="Cambria" w:cs="Times New Roman"/>
          <w:lang w:val="sq-AL"/>
        </w:rPr>
        <w:t xml:space="preserve"> jen</w:t>
      </w:r>
      <w:r w:rsidR="00836A0D">
        <w:rPr>
          <w:rFonts w:ascii="Cambria" w:hAnsi="Cambria" w:cs="Times New Roman"/>
          <w:lang w:val="sq-AL"/>
        </w:rPr>
        <w:t>ë</w:t>
      </w:r>
      <w:r w:rsidR="004D63DB">
        <w:rPr>
          <w:rFonts w:ascii="Cambria" w:hAnsi="Cambria" w:cs="Times New Roman"/>
          <w:lang w:val="sq-AL"/>
        </w:rPr>
        <w:t xml:space="preserve"> n</w:t>
      </w:r>
      <w:r w:rsidR="00836A0D">
        <w:rPr>
          <w:rFonts w:ascii="Cambria" w:hAnsi="Cambria" w:cs="Times New Roman"/>
          <w:lang w:val="sq-AL"/>
        </w:rPr>
        <w:t>ë</w:t>
      </w:r>
      <w:r w:rsidR="004D63DB">
        <w:rPr>
          <w:rFonts w:ascii="Cambria" w:hAnsi="Cambria" w:cs="Times New Roman"/>
          <w:lang w:val="sq-AL"/>
        </w:rPr>
        <w:t xml:space="preserve"> rritje, </w:t>
      </w:r>
      <w:r w:rsidR="004D63DB" w:rsidRPr="00FC262D">
        <w:rPr>
          <w:rFonts w:ascii="Cambria" w:hAnsi="Cambria" w:cs="Times New Roman"/>
          <w:lang w:val="sq-AL"/>
        </w:rPr>
        <w:t>nga 15.</w:t>
      </w:r>
      <w:r w:rsidR="007A33AA">
        <w:rPr>
          <w:rFonts w:ascii="Cambria" w:hAnsi="Cambria" w:cs="Times New Roman"/>
          <w:lang w:val="sq-AL"/>
        </w:rPr>
        <w:t>4</w:t>
      </w:r>
      <w:r w:rsidR="004D63DB" w:rsidRPr="00FC262D">
        <w:rPr>
          <w:rFonts w:ascii="Cambria" w:hAnsi="Cambria" w:cs="Times New Roman"/>
          <w:lang w:val="sq-AL"/>
        </w:rPr>
        <w:t xml:space="preserve"> miliard</w:t>
      </w:r>
      <w:r w:rsidR="00836A0D" w:rsidRPr="00FC262D">
        <w:rPr>
          <w:rFonts w:ascii="Cambria" w:hAnsi="Cambria" w:cs="Times New Roman"/>
          <w:lang w:val="sq-AL"/>
        </w:rPr>
        <w:t>ë</w:t>
      </w:r>
      <w:r w:rsidR="004D63DB">
        <w:rPr>
          <w:rFonts w:ascii="Cambria" w:hAnsi="Cambria" w:cs="Times New Roman"/>
          <w:lang w:val="sq-AL"/>
        </w:rPr>
        <w:t xml:space="preserve"> lek</w:t>
      </w:r>
      <w:r w:rsidR="00836A0D">
        <w:rPr>
          <w:rFonts w:ascii="Cambria" w:hAnsi="Cambria" w:cs="Times New Roman"/>
          <w:lang w:val="sq-AL"/>
        </w:rPr>
        <w:t>ë</w:t>
      </w:r>
      <w:r w:rsidR="004D63DB">
        <w:rPr>
          <w:rFonts w:ascii="Cambria" w:hAnsi="Cambria" w:cs="Times New Roman"/>
          <w:lang w:val="sq-AL"/>
        </w:rPr>
        <w:t xml:space="preserve"> n</w:t>
      </w:r>
      <w:r w:rsidR="00836A0D">
        <w:rPr>
          <w:rFonts w:ascii="Cambria" w:hAnsi="Cambria" w:cs="Times New Roman"/>
          <w:lang w:val="sq-AL"/>
        </w:rPr>
        <w:t>ë</w:t>
      </w:r>
      <w:r w:rsidR="0024373D">
        <w:rPr>
          <w:rFonts w:ascii="Cambria" w:hAnsi="Cambria" w:cs="Times New Roman"/>
          <w:lang w:val="sq-AL"/>
        </w:rPr>
        <w:t xml:space="preserve"> 20</w:t>
      </w:r>
      <w:r w:rsidR="007A33AA">
        <w:rPr>
          <w:rFonts w:ascii="Cambria" w:hAnsi="Cambria" w:cs="Times New Roman"/>
          <w:lang w:val="sq-AL"/>
        </w:rPr>
        <w:t>20</w:t>
      </w:r>
      <w:r w:rsidR="004D63DB">
        <w:rPr>
          <w:rFonts w:ascii="Cambria" w:hAnsi="Cambria" w:cs="Times New Roman"/>
          <w:lang w:val="sq-AL"/>
        </w:rPr>
        <w:t xml:space="preserve">, </w:t>
      </w:r>
      <w:r w:rsidR="004D63DB" w:rsidRPr="00FC262D">
        <w:rPr>
          <w:rFonts w:ascii="Cambria" w:hAnsi="Cambria" w:cs="Times New Roman"/>
          <w:lang w:val="sq-AL"/>
        </w:rPr>
        <w:t>n</w:t>
      </w:r>
      <w:r w:rsidR="00836A0D" w:rsidRPr="00FC262D">
        <w:rPr>
          <w:rFonts w:ascii="Cambria" w:hAnsi="Cambria" w:cs="Times New Roman"/>
          <w:lang w:val="sq-AL"/>
        </w:rPr>
        <w:t>ë</w:t>
      </w:r>
      <w:r w:rsidR="004D63DB" w:rsidRPr="00FC262D">
        <w:rPr>
          <w:rFonts w:ascii="Cambria" w:hAnsi="Cambria" w:cs="Times New Roman"/>
          <w:lang w:val="sq-AL"/>
        </w:rPr>
        <w:t xml:space="preserve"> </w:t>
      </w:r>
      <w:r w:rsidR="004D63DB" w:rsidRPr="007A33AA">
        <w:rPr>
          <w:rFonts w:ascii="Cambria" w:hAnsi="Cambria" w:cs="Times New Roman"/>
          <w:b/>
          <w:lang w:val="sq-AL"/>
        </w:rPr>
        <w:t>17.</w:t>
      </w:r>
      <w:r w:rsidR="007A33AA" w:rsidRPr="007A33AA">
        <w:rPr>
          <w:rFonts w:ascii="Cambria" w:hAnsi="Cambria" w:cs="Times New Roman"/>
          <w:b/>
          <w:lang w:val="sq-AL"/>
        </w:rPr>
        <w:t>0</w:t>
      </w:r>
      <w:r w:rsidR="004D63DB" w:rsidRPr="007A33AA">
        <w:rPr>
          <w:rFonts w:ascii="Cambria" w:hAnsi="Cambria" w:cs="Times New Roman"/>
          <w:b/>
          <w:lang w:val="sq-AL"/>
        </w:rPr>
        <w:t xml:space="preserve"> miliard</w:t>
      </w:r>
      <w:r w:rsidR="00836A0D" w:rsidRPr="007A33AA">
        <w:rPr>
          <w:rFonts w:ascii="Cambria" w:hAnsi="Cambria" w:cs="Times New Roman"/>
          <w:b/>
          <w:lang w:val="sq-AL"/>
        </w:rPr>
        <w:t>ë</w:t>
      </w:r>
      <w:r w:rsidR="004D63DB" w:rsidRPr="007A33AA">
        <w:rPr>
          <w:rFonts w:ascii="Cambria" w:hAnsi="Cambria" w:cs="Times New Roman"/>
          <w:b/>
          <w:lang w:val="sq-AL"/>
        </w:rPr>
        <w:t xml:space="preserve"> lek</w:t>
      </w:r>
      <w:r w:rsidR="00836A0D" w:rsidRPr="007A33AA">
        <w:rPr>
          <w:rFonts w:ascii="Cambria" w:hAnsi="Cambria" w:cs="Times New Roman"/>
          <w:b/>
          <w:lang w:val="sq-AL"/>
        </w:rPr>
        <w:t>ë</w:t>
      </w:r>
      <w:r w:rsidR="004D63DB" w:rsidRPr="007A33AA">
        <w:rPr>
          <w:rFonts w:ascii="Cambria" w:hAnsi="Cambria" w:cs="Times New Roman"/>
          <w:lang w:val="sq-AL"/>
        </w:rPr>
        <w:t xml:space="preserve"> n</w:t>
      </w:r>
      <w:r w:rsidR="00836A0D" w:rsidRPr="007A33AA">
        <w:rPr>
          <w:rFonts w:ascii="Cambria" w:hAnsi="Cambria" w:cs="Times New Roman"/>
          <w:lang w:val="sq-AL"/>
        </w:rPr>
        <w:t>ë</w:t>
      </w:r>
      <w:r w:rsidR="0024373D" w:rsidRPr="007A33AA">
        <w:rPr>
          <w:rFonts w:ascii="Cambria" w:hAnsi="Cambria" w:cs="Times New Roman"/>
          <w:lang w:val="sq-AL"/>
        </w:rPr>
        <w:t xml:space="preserve"> vitin 2022</w:t>
      </w:r>
      <w:r w:rsidR="004D63DB" w:rsidRPr="007A33AA">
        <w:rPr>
          <w:rFonts w:ascii="Cambria" w:hAnsi="Cambria" w:cs="Times New Roman"/>
          <w:lang w:val="sq-AL"/>
        </w:rPr>
        <w:t>.</w:t>
      </w:r>
    </w:p>
    <w:p w:rsidR="004D63DB" w:rsidRDefault="00A42ADE" w:rsidP="00894DEB">
      <w:pPr>
        <w:jc w:val="both"/>
        <w:rPr>
          <w:rFonts w:ascii="Cambria" w:hAnsi="Cambria" w:cs="Times New Roman"/>
          <w:lang w:val="sq-AL"/>
        </w:rPr>
      </w:pPr>
      <w:r>
        <w:rPr>
          <w:rFonts w:ascii="Cambria" w:hAnsi="Cambria" w:cs="Times New Roman"/>
          <w:b/>
          <w:lang w:val="sq-AL"/>
        </w:rPr>
        <w:t>Modernizimi</w:t>
      </w:r>
      <w:r w:rsidR="004D63DB" w:rsidRPr="004D63DB">
        <w:rPr>
          <w:rFonts w:ascii="Cambria" w:hAnsi="Cambria" w:cs="Times New Roman"/>
          <w:b/>
          <w:lang w:val="sq-AL"/>
        </w:rPr>
        <w:t xml:space="preserve"> </w:t>
      </w:r>
      <w:r>
        <w:rPr>
          <w:rFonts w:ascii="Cambria" w:hAnsi="Cambria" w:cs="Times New Roman"/>
          <w:b/>
          <w:lang w:val="sq-AL"/>
        </w:rPr>
        <w:t>i</w:t>
      </w:r>
      <w:r w:rsidR="004D63DB" w:rsidRPr="004D63DB">
        <w:rPr>
          <w:rFonts w:ascii="Cambria" w:hAnsi="Cambria" w:cs="Times New Roman"/>
          <w:b/>
          <w:lang w:val="sq-AL"/>
        </w:rPr>
        <w:t xml:space="preserve"> sh</w:t>
      </w:r>
      <w:r w:rsidR="00836A0D">
        <w:rPr>
          <w:rFonts w:ascii="Cambria" w:hAnsi="Cambria" w:cs="Times New Roman"/>
          <w:b/>
          <w:lang w:val="sq-AL"/>
        </w:rPr>
        <w:t>ë</w:t>
      </w:r>
      <w:r w:rsidR="004D63DB" w:rsidRPr="004D63DB">
        <w:rPr>
          <w:rFonts w:ascii="Cambria" w:hAnsi="Cambria" w:cs="Times New Roman"/>
          <w:b/>
          <w:lang w:val="sq-AL"/>
        </w:rPr>
        <w:t>rbime</w:t>
      </w:r>
      <w:r>
        <w:rPr>
          <w:rFonts w:ascii="Cambria" w:hAnsi="Cambria" w:cs="Times New Roman"/>
          <w:b/>
          <w:lang w:val="sq-AL"/>
        </w:rPr>
        <w:t>ve</w:t>
      </w:r>
      <w:r w:rsidR="004D63DB" w:rsidRPr="004D63DB">
        <w:rPr>
          <w:rFonts w:ascii="Cambria" w:hAnsi="Cambria" w:cs="Times New Roman"/>
          <w:b/>
          <w:lang w:val="sq-AL"/>
        </w:rPr>
        <w:t xml:space="preserve"> publike</w:t>
      </w:r>
      <w:r w:rsidR="004D63DB">
        <w:rPr>
          <w:rFonts w:ascii="Cambria" w:hAnsi="Cambria" w:cs="Times New Roman"/>
          <w:lang w:val="sq-AL"/>
        </w:rPr>
        <w:t xml:space="preserve"> ku synohet reformimi i </w:t>
      </w:r>
      <w:r w:rsidR="004D63DB" w:rsidRPr="004D63DB">
        <w:rPr>
          <w:rFonts w:ascii="Cambria" w:hAnsi="Cambria" w:cs="Times New Roman"/>
          <w:lang w:val="sq-AL"/>
        </w:rPr>
        <w:t>mënyrë</w:t>
      </w:r>
      <w:r w:rsidR="004D63DB">
        <w:rPr>
          <w:rFonts w:ascii="Cambria" w:hAnsi="Cambria" w:cs="Times New Roman"/>
          <w:lang w:val="sq-AL"/>
        </w:rPr>
        <w:t>s</w:t>
      </w:r>
      <w:r w:rsidR="004D63DB" w:rsidRPr="004D63DB">
        <w:rPr>
          <w:rFonts w:ascii="Cambria" w:hAnsi="Cambria" w:cs="Times New Roman"/>
          <w:lang w:val="sq-AL"/>
        </w:rPr>
        <w:t xml:space="preserve"> </w:t>
      </w:r>
      <w:r w:rsidR="004D63DB">
        <w:rPr>
          <w:rFonts w:ascii="Cambria" w:hAnsi="Cambria" w:cs="Times New Roman"/>
          <w:lang w:val="sq-AL"/>
        </w:rPr>
        <w:t>s</w:t>
      </w:r>
      <w:r w:rsidR="00836A0D">
        <w:rPr>
          <w:rFonts w:ascii="Cambria" w:hAnsi="Cambria" w:cs="Times New Roman"/>
          <w:lang w:val="sq-AL"/>
        </w:rPr>
        <w:t>ë</w:t>
      </w:r>
      <w:r w:rsidR="004D63DB" w:rsidRPr="004D63DB">
        <w:rPr>
          <w:rFonts w:ascii="Cambria" w:hAnsi="Cambria" w:cs="Times New Roman"/>
          <w:lang w:val="sq-AL"/>
        </w:rPr>
        <w:t xml:space="preserve"> organizimit dhe strukturës të institucioneve përkatëse, futje</w:t>
      </w:r>
      <w:r w:rsidR="004D63DB">
        <w:rPr>
          <w:rFonts w:ascii="Cambria" w:hAnsi="Cambria" w:cs="Times New Roman"/>
          <w:lang w:val="sq-AL"/>
        </w:rPr>
        <w:t>s</w:t>
      </w:r>
      <w:r w:rsidR="004D63DB" w:rsidRPr="004D63DB">
        <w:rPr>
          <w:rFonts w:ascii="Cambria" w:hAnsi="Cambria" w:cs="Times New Roman"/>
          <w:lang w:val="sq-AL"/>
        </w:rPr>
        <w:t xml:space="preserve"> </w:t>
      </w:r>
      <w:r w:rsidR="004D63DB">
        <w:rPr>
          <w:rFonts w:ascii="Cambria" w:hAnsi="Cambria" w:cs="Times New Roman"/>
          <w:lang w:val="sq-AL"/>
        </w:rPr>
        <w:t>s</w:t>
      </w:r>
      <w:r w:rsidR="00836A0D">
        <w:rPr>
          <w:rFonts w:ascii="Cambria" w:hAnsi="Cambria" w:cs="Times New Roman"/>
          <w:lang w:val="sq-AL"/>
        </w:rPr>
        <w:t>ë</w:t>
      </w:r>
      <w:r w:rsidR="004D63DB" w:rsidRPr="004D63DB">
        <w:rPr>
          <w:rFonts w:ascii="Cambria" w:hAnsi="Cambria" w:cs="Times New Roman"/>
          <w:lang w:val="sq-AL"/>
        </w:rPr>
        <w:t xml:space="preserve"> teknologjisë dhe informatizimit të shërbimit, rekrutimit të stafit si dhe ofrimin e shërbimit ndaj qytetarit, për </w:t>
      </w:r>
      <w:r w:rsidR="004D63DB">
        <w:rPr>
          <w:rFonts w:ascii="Cambria" w:hAnsi="Cambria" w:cs="Times New Roman"/>
          <w:lang w:val="sq-AL"/>
        </w:rPr>
        <w:t>t</w:t>
      </w:r>
      <w:r w:rsidR="004D63DB" w:rsidRPr="004D63DB">
        <w:rPr>
          <w:rFonts w:ascii="Cambria" w:hAnsi="Cambria" w:cs="Times New Roman"/>
          <w:lang w:val="sq-AL"/>
        </w:rPr>
        <w:t>a bërë atë një shërbim cilësor, profesional dhe të shpejtë.</w:t>
      </w:r>
    </w:p>
    <w:p w:rsidR="00A42ADE" w:rsidRDefault="00A42ADE" w:rsidP="00894DEB">
      <w:pPr>
        <w:jc w:val="both"/>
        <w:rPr>
          <w:rFonts w:ascii="Cambria" w:hAnsi="Cambria" w:cs="Times New Roman"/>
          <w:lang w:val="sq-AL"/>
        </w:rPr>
      </w:pPr>
      <w:r>
        <w:rPr>
          <w:rFonts w:ascii="Cambria" w:hAnsi="Cambria" w:cs="Times New Roman"/>
          <w:lang w:val="sq-AL"/>
        </w:rPr>
        <w:t>P</w:t>
      </w:r>
      <w:r w:rsidR="00836A0D">
        <w:rPr>
          <w:rFonts w:ascii="Cambria" w:hAnsi="Cambria" w:cs="Times New Roman"/>
          <w:lang w:val="sq-AL"/>
        </w:rPr>
        <w:t>ë</w:t>
      </w:r>
      <w:r>
        <w:rPr>
          <w:rFonts w:ascii="Cambria" w:hAnsi="Cambria" w:cs="Times New Roman"/>
          <w:lang w:val="sq-AL"/>
        </w:rPr>
        <w:t>r periudh</w:t>
      </w:r>
      <w:r w:rsidR="00836A0D">
        <w:rPr>
          <w:rFonts w:ascii="Cambria" w:hAnsi="Cambria" w:cs="Times New Roman"/>
          <w:lang w:val="sq-AL"/>
        </w:rPr>
        <w:t>ë</w:t>
      </w:r>
      <w:r w:rsidR="0024373D">
        <w:rPr>
          <w:rFonts w:ascii="Cambria" w:hAnsi="Cambria" w:cs="Times New Roman"/>
          <w:lang w:val="sq-AL"/>
        </w:rPr>
        <w:t>n 2020-2022</w:t>
      </w:r>
      <w:r>
        <w:rPr>
          <w:rFonts w:ascii="Cambria" w:hAnsi="Cambria" w:cs="Times New Roman"/>
          <w:lang w:val="sq-AL"/>
        </w:rPr>
        <w:t>, financimet p</w:t>
      </w:r>
      <w:r w:rsidR="00836A0D">
        <w:rPr>
          <w:rFonts w:ascii="Cambria" w:hAnsi="Cambria" w:cs="Times New Roman"/>
          <w:lang w:val="sq-AL"/>
        </w:rPr>
        <w:t>ë</w:t>
      </w:r>
      <w:r>
        <w:rPr>
          <w:rFonts w:ascii="Cambria" w:hAnsi="Cambria" w:cs="Times New Roman"/>
          <w:lang w:val="sq-AL"/>
        </w:rPr>
        <w:t>r</w:t>
      </w:r>
      <w:r w:rsidR="00C12D9F">
        <w:rPr>
          <w:rFonts w:ascii="Cambria" w:hAnsi="Cambria" w:cs="Times New Roman"/>
          <w:lang w:val="sq-AL"/>
        </w:rPr>
        <w:t xml:space="preserve"> k</w:t>
      </w:r>
      <w:r w:rsidR="00836A0D">
        <w:rPr>
          <w:rFonts w:ascii="Cambria" w:hAnsi="Cambria" w:cs="Times New Roman"/>
          <w:lang w:val="sq-AL"/>
        </w:rPr>
        <w:t>ë</w:t>
      </w:r>
      <w:r w:rsidR="00C12D9F">
        <w:rPr>
          <w:rFonts w:ascii="Cambria" w:hAnsi="Cambria" w:cs="Times New Roman"/>
          <w:lang w:val="sq-AL"/>
        </w:rPr>
        <w:t>t</w:t>
      </w:r>
      <w:r w:rsidR="00836A0D">
        <w:rPr>
          <w:rFonts w:ascii="Cambria" w:hAnsi="Cambria" w:cs="Times New Roman"/>
          <w:lang w:val="sq-AL"/>
        </w:rPr>
        <w:t>ë</w:t>
      </w:r>
      <w:r w:rsidR="00C12D9F">
        <w:rPr>
          <w:rFonts w:ascii="Cambria" w:hAnsi="Cambria" w:cs="Times New Roman"/>
          <w:lang w:val="sq-AL"/>
        </w:rPr>
        <w:t xml:space="preserve"> prioritet parashikohen</w:t>
      </w:r>
      <w:r>
        <w:rPr>
          <w:rFonts w:ascii="Cambria" w:hAnsi="Cambria" w:cs="Times New Roman"/>
          <w:lang w:val="sq-AL"/>
        </w:rPr>
        <w:t xml:space="preserve"> mesatarisht </w:t>
      </w:r>
      <w:r w:rsidRPr="00763996">
        <w:rPr>
          <w:rFonts w:ascii="Cambria" w:hAnsi="Cambria" w:cs="Times New Roman"/>
          <w:lang w:val="sq-AL"/>
        </w:rPr>
        <w:t>me 1.</w:t>
      </w:r>
      <w:r w:rsidR="007A33AA">
        <w:rPr>
          <w:rFonts w:ascii="Cambria" w:hAnsi="Cambria" w:cs="Times New Roman"/>
          <w:lang w:val="sq-AL"/>
        </w:rPr>
        <w:t>7</w:t>
      </w:r>
      <w:r w:rsidRPr="00763996">
        <w:rPr>
          <w:rFonts w:ascii="Cambria" w:hAnsi="Cambria" w:cs="Times New Roman"/>
          <w:lang w:val="sq-AL"/>
        </w:rPr>
        <w:t xml:space="preserve"> miliard</w:t>
      </w:r>
      <w:r w:rsidR="00836A0D" w:rsidRPr="00763996">
        <w:rPr>
          <w:rFonts w:ascii="Cambria" w:hAnsi="Cambria" w:cs="Times New Roman"/>
          <w:lang w:val="sq-AL"/>
        </w:rPr>
        <w:t>ë</w:t>
      </w:r>
      <w:r>
        <w:rPr>
          <w:rFonts w:ascii="Cambria" w:hAnsi="Cambria" w:cs="Times New Roman"/>
          <w:lang w:val="sq-AL"/>
        </w:rPr>
        <w:t xml:space="preserve"> lek</w:t>
      </w:r>
      <w:r w:rsidR="00836A0D">
        <w:rPr>
          <w:rFonts w:ascii="Cambria" w:hAnsi="Cambria" w:cs="Times New Roman"/>
          <w:lang w:val="sq-AL"/>
        </w:rPr>
        <w:t>ë</w:t>
      </w:r>
      <w:r>
        <w:rPr>
          <w:rFonts w:ascii="Cambria" w:hAnsi="Cambria" w:cs="Times New Roman"/>
          <w:lang w:val="sq-AL"/>
        </w:rPr>
        <w:t>.</w:t>
      </w:r>
    </w:p>
    <w:p w:rsidR="00E1667B" w:rsidRDefault="00E1667B" w:rsidP="00894DEB">
      <w:pPr>
        <w:jc w:val="both"/>
        <w:rPr>
          <w:rFonts w:ascii="Cambria" w:hAnsi="Cambria" w:cs="Times New Roman"/>
          <w:lang w:val="sq-AL"/>
        </w:rPr>
      </w:pPr>
      <w:r w:rsidRPr="00C12D9F">
        <w:rPr>
          <w:rFonts w:ascii="Cambria" w:hAnsi="Cambria" w:cs="Times New Roman"/>
          <w:b/>
          <w:lang w:val="sq-AL"/>
        </w:rPr>
        <w:t>Menaxhimi i integruar i tok</w:t>
      </w:r>
      <w:r w:rsidR="00836A0D">
        <w:rPr>
          <w:rFonts w:ascii="Cambria" w:hAnsi="Cambria" w:cs="Times New Roman"/>
          <w:b/>
          <w:lang w:val="sq-AL"/>
        </w:rPr>
        <w:t>ë</w:t>
      </w:r>
      <w:r w:rsidRPr="00C12D9F">
        <w:rPr>
          <w:rFonts w:ascii="Cambria" w:hAnsi="Cambria" w:cs="Times New Roman"/>
          <w:b/>
          <w:lang w:val="sq-AL"/>
        </w:rPr>
        <w:t>s</w:t>
      </w:r>
      <w:r>
        <w:rPr>
          <w:rFonts w:ascii="Cambria" w:hAnsi="Cambria" w:cs="Times New Roman"/>
          <w:lang w:val="sq-AL"/>
        </w:rPr>
        <w:t xml:space="preserve"> ku synohet:</w:t>
      </w:r>
    </w:p>
    <w:p w:rsidR="00E1667B" w:rsidRDefault="00C12D9F" w:rsidP="007133FB">
      <w:pPr>
        <w:numPr>
          <w:ilvl w:val="0"/>
          <w:numId w:val="2"/>
        </w:numPr>
        <w:jc w:val="both"/>
        <w:rPr>
          <w:rFonts w:ascii="Cambria" w:hAnsi="Cambria" w:cs="Times New Roman"/>
          <w:lang w:val="sq-AL"/>
        </w:rPr>
      </w:pPr>
      <w:r>
        <w:rPr>
          <w:rFonts w:ascii="Cambria" w:hAnsi="Cambria" w:cs="Times New Roman"/>
          <w:lang w:val="sq-AL"/>
        </w:rPr>
        <w:t>Ofrimi i</w:t>
      </w:r>
      <w:r w:rsidR="00E1667B" w:rsidRPr="00E1667B">
        <w:rPr>
          <w:rFonts w:ascii="Cambria" w:hAnsi="Cambria" w:cs="Times New Roman"/>
          <w:lang w:val="sq-AL"/>
        </w:rPr>
        <w:t xml:space="preserve"> drejtësi</w:t>
      </w:r>
      <w:r>
        <w:rPr>
          <w:rFonts w:ascii="Cambria" w:hAnsi="Cambria" w:cs="Times New Roman"/>
          <w:lang w:val="sq-AL"/>
        </w:rPr>
        <w:t>s</w:t>
      </w:r>
      <w:r w:rsidR="00E1667B" w:rsidRPr="00E1667B">
        <w:rPr>
          <w:rFonts w:ascii="Cambria" w:hAnsi="Cambria" w:cs="Times New Roman"/>
          <w:lang w:val="sq-AL"/>
        </w:rPr>
        <w:t>ë për titujt e pronësisë duke përfshirë rregjistrimin e tyre dhe kthimin dhe kompensimin e pronave</w:t>
      </w:r>
      <w:r>
        <w:rPr>
          <w:rFonts w:ascii="Cambria" w:hAnsi="Cambria" w:cs="Times New Roman"/>
          <w:lang w:val="sq-AL"/>
        </w:rPr>
        <w:t>;</w:t>
      </w:r>
    </w:p>
    <w:p w:rsidR="00C12D9F" w:rsidRDefault="00C12D9F" w:rsidP="007133FB">
      <w:pPr>
        <w:numPr>
          <w:ilvl w:val="0"/>
          <w:numId w:val="2"/>
        </w:numPr>
        <w:jc w:val="both"/>
        <w:rPr>
          <w:rFonts w:ascii="Cambria" w:hAnsi="Cambria" w:cs="Times New Roman"/>
          <w:lang w:val="sq-AL"/>
        </w:rPr>
      </w:pPr>
      <w:r>
        <w:rPr>
          <w:rFonts w:ascii="Cambria" w:hAnsi="Cambria" w:cs="Times New Roman"/>
          <w:lang w:val="sq-AL"/>
        </w:rPr>
        <w:t>U</w:t>
      </w:r>
      <w:r w:rsidRPr="00E1667B">
        <w:rPr>
          <w:rFonts w:ascii="Cambria" w:hAnsi="Cambria" w:cs="Times New Roman"/>
          <w:lang w:val="sq-AL"/>
        </w:rPr>
        <w:t>nifikimi  i regjistrave të pronës në kadastrën multifunksionale transparente dhe digjitale, përfshirë gjithë hartografinë e pronës</w:t>
      </w:r>
      <w:r>
        <w:rPr>
          <w:rFonts w:ascii="Cambria" w:hAnsi="Cambria" w:cs="Times New Roman"/>
          <w:lang w:val="sq-AL"/>
        </w:rPr>
        <w:t>;</w:t>
      </w:r>
    </w:p>
    <w:p w:rsidR="00C12D9F" w:rsidRDefault="00C12D9F" w:rsidP="007133FB">
      <w:pPr>
        <w:numPr>
          <w:ilvl w:val="0"/>
          <w:numId w:val="2"/>
        </w:numPr>
        <w:jc w:val="both"/>
        <w:rPr>
          <w:rFonts w:ascii="Cambria" w:hAnsi="Cambria" w:cs="Times New Roman"/>
          <w:lang w:val="sq-AL"/>
        </w:rPr>
      </w:pPr>
      <w:r>
        <w:rPr>
          <w:rFonts w:ascii="Cambria" w:hAnsi="Cambria" w:cs="Times New Roman"/>
          <w:lang w:val="sq-AL"/>
        </w:rPr>
        <w:t>Pajisja e gjith</w:t>
      </w:r>
      <w:r w:rsidR="00836A0D">
        <w:rPr>
          <w:rFonts w:ascii="Cambria" w:hAnsi="Cambria" w:cs="Times New Roman"/>
          <w:lang w:val="sq-AL"/>
        </w:rPr>
        <w:t>ë</w:t>
      </w:r>
      <w:r>
        <w:rPr>
          <w:rFonts w:ascii="Cambria" w:hAnsi="Cambria" w:cs="Times New Roman"/>
          <w:lang w:val="sq-AL"/>
        </w:rPr>
        <w:t xml:space="preserve"> sip</w:t>
      </w:r>
      <w:r w:rsidR="00836A0D">
        <w:rPr>
          <w:rFonts w:ascii="Cambria" w:hAnsi="Cambria" w:cs="Times New Roman"/>
          <w:lang w:val="sq-AL"/>
        </w:rPr>
        <w:t>ë</w:t>
      </w:r>
      <w:r>
        <w:rPr>
          <w:rFonts w:ascii="Cambria" w:hAnsi="Cambria" w:cs="Times New Roman"/>
          <w:lang w:val="sq-AL"/>
        </w:rPr>
        <w:t>rfaqes s</w:t>
      </w:r>
      <w:r w:rsidR="00836A0D">
        <w:rPr>
          <w:rFonts w:ascii="Cambria" w:hAnsi="Cambria" w:cs="Times New Roman"/>
          <w:lang w:val="sq-AL"/>
        </w:rPr>
        <w:t>ë</w:t>
      </w:r>
      <w:r w:rsidR="00A42ADE" w:rsidRPr="00A42ADE">
        <w:rPr>
          <w:rFonts w:ascii="Cambria" w:hAnsi="Cambria" w:cs="Times New Roman"/>
          <w:lang w:val="sq-AL"/>
        </w:rPr>
        <w:t xml:space="preserve"> toka</w:t>
      </w:r>
      <w:r>
        <w:rPr>
          <w:rFonts w:ascii="Cambria" w:hAnsi="Cambria" w:cs="Times New Roman"/>
          <w:lang w:val="sq-AL"/>
        </w:rPr>
        <w:t>ve</w:t>
      </w:r>
      <w:r w:rsidR="00A42ADE" w:rsidRPr="00A42ADE">
        <w:rPr>
          <w:rFonts w:ascii="Cambria" w:hAnsi="Cambria" w:cs="Times New Roman"/>
          <w:lang w:val="sq-AL"/>
        </w:rPr>
        <w:t xml:space="preserve"> bujqësore me çertifikata pronësie; </w:t>
      </w:r>
    </w:p>
    <w:p w:rsidR="00C12D9F" w:rsidRDefault="00C12D9F" w:rsidP="007133FB">
      <w:pPr>
        <w:numPr>
          <w:ilvl w:val="0"/>
          <w:numId w:val="2"/>
        </w:numPr>
        <w:jc w:val="both"/>
        <w:rPr>
          <w:rFonts w:ascii="Cambria" w:hAnsi="Cambria" w:cs="Times New Roman"/>
          <w:lang w:val="sq-AL"/>
        </w:rPr>
      </w:pPr>
      <w:r>
        <w:rPr>
          <w:rFonts w:ascii="Cambria" w:hAnsi="Cambria" w:cs="Times New Roman"/>
          <w:lang w:val="sq-AL"/>
        </w:rPr>
        <w:t>P</w:t>
      </w:r>
      <w:r w:rsidR="00836A0D">
        <w:rPr>
          <w:rFonts w:ascii="Cambria" w:hAnsi="Cambria" w:cs="Times New Roman"/>
          <w:lang w:val="sq-AL"/>
        </w:rPr>
        <w:t>ë</w:t>
      </w:r>
      <w:r>
        <w:rPr>
          <w:rFonts w:ascii="Cambria" w:hAnsi="Cambria" w:cs="Times New Roman"/>
          <w:lang w:val="sq-AL"/>
        </w:rPr>
        <w:t>rmir</w:t>
      </w:r>
      <w:r w:rsidR="00836A0D">
        <w:rPr>
          <w:rFonts w:ascii="Cambria" w:hAnsi="Cambria" w:cs="Times New Roman"/>
          <w:lang w:val="sq-AL"/>
        </w:rPr>
        <w:t>ë</w:t>
      </w:r>
      <w:r>
        <w:rPr>
          <w:rFonts w:ascii="Cambria" w:hAnsi="Cambria" w:cs="Times New Roman"/>
          <w:lang w:val="sq-AL"/>
        </w:rPr>
        <w:t>simi i</w:t>
      </w:r>
      <w:r w:rsidR="00A42ADE" w:rsidRPr="00A42ADE">
        <w:rPr>
          <w:rFonts w:ascii="Cambria" w:hAnsi="Cambria" w:cs="Times New Roman"/>
          <w:lang w:val="sq-AL"/>
        </w:rPr>
        <w:t xml:space="preserve"> struktura</w:t>
      </w:r>
      <w:r>
        <w:rPr>
          <w:rFonts w:ascii="Cambria" w:hAnsi="Cambria" w:cs="Times New Roman"/>
          <w:lang w:val="sq-AL"/>
        </w:rPr>
        <w:t>ve</w:t>
      </w:r>
      <w:r w:rsidR="00A42ADE" w:rsidRPr="00A42ADE">
        <w:rPr>
          <w:rFonts w:ascii="Cambria" w:hAnsi="Cambria" w:cs="Times New Roman"/>
          <w:lang w:val="sq-AL"/>
        </w:rPr>
        <w:t xml:space="preserve"> bujqësore edhe nëpërmjet lehtësimit të problemit të tokave djerrë (8% e tokës bujqësore), duke zbatuar instrumente fiskale nxitëse. </w:t>
      </w:r>
    </w:p>
    <w:p w:rsidR="007A33AA" w:rsidRPr="007A33AA" w:rsidRDefault="007A33AA" w:rsidP="007A33AA">
      <w:pPr>
        <w:jc w:val="both"/>
        <w:rPr>
          <w:rFonts w:ascii="Cambria" w:hAnsi="Cambria" w:cs="Times New Roman"/>
          <w:lang w:val="sq-AL"/>
        </w:rPr>
      </w:pPr>
      <w:r>
        <w:rPr>
          <w:rFonts w:ascii="Cambria" w:hAnsi="Cambria" w:cs="Times New Roman"/>
          <w:lang w:val="sq-AL"/>
        </w:rPr>
        <w:t>N</w:t>
      </w:r>
      <w:r w:rsidR="007B0023">
        <w:rPr>
          <w:rFonts w:ascii="Cambria" w:hAnsi="Cambria" w:cs="Times New Roman"/>
          <w:lang w:val="sq-AL"/>
        </w:rPr>
        <w:t>ë</w:t>
      </w:r>
      <w:r w:rsidRPr="007A33AA">
        <w:rPr>
          <w:rFonts w:ascii="Cambria" w:hAnsi="Cambria" w:cs="Times New Roman"/>
          <w:lang w:val="sq-AL"/>
        </w:rPr>
        <w:t xml:space="preserve"> kuad</w:t>
      </w:r>
      <w:r w:rsidR="007B0023">
        <w:rPr>
          <w:rFonts w:ascii="Cambria" w:hAnsi="Cambria" w:cs="Times New Roman"/>
          <w:lang w:val="sq-AL"/>
        </w:rPr>
        <w:t>ë</w:t>
      </w:r>
      <w:r w:rsidRPr="007A33AA">
        <w:rPr>
          <w:rFonts w:ascii="Cambria" w:hAnsi="Cambria" w:cs="Times New Roman"/>
          <w:lang w:val="sq-AL"/>
        </w:rPr>
        <w:t>r t</w:t>
      </w:r>
      <w:r w:rsidR="007B0023">
        <w:rPr>
          <w:rFonts w:ascii="Cambria" w:hAnsi="Cambria" w:cs="Times New Roman"/>
          <w:lang w:val="sq-AL"/>
        </w:rPr>
        <w:t>ë</w:t>
      </w:r>
      <w:r w:rsidRPr="007A33AA">
        <w:rPr>
          <w:rFonts w:ascii="Cambria" w:hAnsi="Cambria" w:cs="Times New Roman"/>
          <w:lang w:val="sq-AL"/>
        </w:rPr>
        <w:t xml:space="preserve"> Reform</w:t>
      </w:r>
      <w:r w:rsidR="007B0023">
        <w:rPr>
          <w:rFonts w:ascii="Cambria" w:hAnsi="Cambria" w:cs="Times New Roman"/>
          <w:lang w:val="sq-AL"/>
        </w:rPr>
        <w:t>ë</w:t>
      </w:r>
      <w:r>
        <w:rPr>
          <w:rFonts w:ascii="Cambria" w:hAnsi="Cambria" w:cs="Times New Roman"/>
          <w:lang w:val="sq-AL"/>
        </w:rPr>
        <w:t>s</w:t>
      </w:r>
      <w:r w:rsidRPr="007A33AA">
        <w:rPr>
          <w:rFonts w:ascii="Cambria" w:hAnsi="Cambria" w:cs="Times New Roman"/>
          <w:lang w:val="sq-AL"/>
        </w:rPr>
        <w:t xml:space="preserve"> p</w:t>
      </w:r>
      <w:r w:rsidR="007B0023">
        <w:rPr>
          <w:rFonts w:ascii="Cambria" w:hAnsi="Cambria" w:cs="Times New Roman"/>
          <w:lang w:val="sq-AL"/>
        </w:rPr>
        <w:t>ë</w:t>
      </w:r>
      <w:r w:rsidRPr="007A33AA">
        <w:rPr>
          <w:rFonts w:ascii="Cambria" w:hAnsi="Cambria" w:cs="Times New Roman"/>
          <w:lang w:val="sq-AL"/>
        </w:rPr>
        <w:t>r Menaxhimin e Integruar t</w:t>
      </w:r>
      <w:r w:rsidR="007B0023">
        <w:rPr>
          <w:rFonts w:ascii="Cambria" w:hAnsi="Cambria" w:cs="Times New Roman"/>
          <w:lang w:val="sq-AL"/>
        </w:rPr>
        <w:t>ë</w:t>
      </w:r>
      <w:r w:rsidRPr="007A33AA">
        <w:rPr>
          <w:rFonts w:ascii="Cambria" w:hAnsi="Cambria" w:cs="Times New Roman"/>
          <w:lang w:val="sq-AL"/>
        </w:rPr>
        <w:t xml:space="preserve"> Tok</w:t>
      </w:r>
      <w:r w:rsidR="007B0023">
        <w:rPr>
          <w:rFonts w:ascii="Cambria" w:hAnsi="Cambria" w:cs="Times New Roman"/>
          <w:lang w:val="sq-AL"/>
        </w:rPr>
        <w:t>ë</w:t>
      </w:r>
      <w:r w:rsidRPr="007A33AA">
        <w:rPr>
          <w:rFonts w:ascii="Cambria" w:hAnsi="Cambria" w:cs="Times New Roman"/>
          <w:lang w:val="sq-AL"/>
        </w:rPr>
        <w:t xml:space="preserve">s, </w:t>
      </w:r>
      <w:r w:rsidR="007B0023">
        <w:rPr>
          <w:rFonts w:ascii="Cambria" w:hAnsi="Cambria" w:cs="Times New Roman"/>
          <w:lang w:val="sq-AL"/>
        </w:rPr>
        <w:t>ë</w:t>
      </w:r>
      <w:r>
        <w:rPr>
          <w:rFonts w:ascii="Cambria" w:hAnsi="Cambria" w:cs="Times New Roman"/>
          <w:lang w:val="sq-AL"/>
        </w:rPr>
        <w:t>sht</w:t>
      </w:r>
      <w:r w:rsidR="007B0023">
        <w:rPr>
          <w:rFonts w:ascii="Cambria" w:hAnsi="Cambria" w:cs="Times New Roman"/>
          <w:lang w:val="sq-AL"/>
        </w:rPr>
        <w:t>ë</w:t>
      </w:r>
      <w:r w:rsidRPr="007A33AA">
        <w:rPr>
          <w:rFonts w:ascii="Cambria" w:hAnsi="Cambria" w:cs="Times New Roman"/>
          <w:lang w:val="sq-AL"/>
        </w:rPr>
        <w:t xml:space="preserve"> </w:t>
      </w:r>
      <w:r>
        <w:rPr>
          <w:rFonts w:ascii="Cambria" w:hAnsi="Cambria" w:cs="Times New Roman"/>
          <w:lang w:val="sq-AL"/>
        </w:rPr>
        <w:t xml:space="preserve">ngritur </w:t>
      </w:r>
      <w:r w:rsidRPr="007A33AA">
        <w:rPr>
          <w:rFonts w:ascii="Cambria" w:hAnsi="Cambria" w:cs="Times New Roman"/>
          <w:lang w:val="sq-AL"/>
        </w:rPr>
        <w:t>A</w:t>
      </w:r>
      <w:r>
        <w:rPr>
          <w:rFonts w:ascii="Cambria" w:hAnsi="Cambria" w:cs="Times New Roman"/>
          <w:lang w:val="sq-AL"/>
        </w:rPr>
        <w:t>gjensia</w:t>
      </w:r>
      <w:r w:rsidRPr="007A33AA">
        <w:rPr>
          <w:rFonts w:ascii="Cambria" w:hAnsi="Cambria" w:cs="Times New Roman"/>
          <w:lang w:val="sq-AL"/>
        </w:rPr>
        <w:t xml:space="preserve"> Shtet</w:t>
      </w:r>
      <w:r w:rsidR="007B0023">
        <w:rPr>
          <w:rFonts w:ascii="Cambria" w:hAnsi="Cambria" w:cs="Times New Roman"/>
          <w:lang w:val="sq-AL"/>
        </w:rPr>
        <w:t>ë</w:t>
      </w:r>
      <w:r w:rsidRPr="007A33AA">
        <w:rPr>
          <w:rFonts w:ascii="Cambria" w:hAnsi="Cambria" w:cs="Times New Roman"/>
          <w:lang w:val="sq-AL"/>
        </w:rPr>
        <w:t xml:space="preserve">rore </w:t>
      </w:r>
      <w:r>
        <w:rPr>
          <w:rFonts w:ascii="Cambria" w:hAnsi="Cambria" w:cs="Times New Roman"/>
          <w:lang w:val="sq-AL"/>
        </w:rPr>
        <w:t>e</w:t>
      </w:r>
      <w:r w:rsidRPr="007A33AA">
        <w:rPr>
          <w:rFonts w:ascii="Cambria" w:hAnsi="Cambria" w:cs="Times New Roman"/>
          <w:lang w:val="sq-AL"/>
        </w:rPr>
        <w:t xml:space="preserve"> Kadastr</w:t>
      </w:r>
      <w:r w:rsidR="007B0023">
        <w:rPr>
          <w:rFonts w:ascii="Cambria" w:hAnsi="Cambria" w:cs="Times New Roman"/>
          <w:lang w:val="sq-AL"/>
        </w:rPr>
        <w:t>ë</w:t>
      </w:r>
      <w:r w:rsidRPr="007A33AA">
        <w:rPr>
          <w:rFonts w:ascii="Cambria" w:hAnsi="Cambria" w:cs="Times New Roman"/>
          <w:lang w:val="sq-AL"/>
        </w:rPr>
        <w:t xml:space="preserve">s, </w:t>
      </w:r>
      <w:r>
        <w:rPr>
          <w:rFonts w:ascii="Cambria" w:hAnsi="Cambria" w:cs="Times New Roman"/>
          <w:lang w:val="sq-AL"/>
        </w:rPr>
        <w:t>nga</w:t>
      </w:r>
      <w:r w:rsidRPr="007A33AA">
        <w:rPr>
          <w:rFonts w:ascii="Cambria" w:hAnsi="Cambria" w:cs="Times New Roman"/>
          <w:lang w:val="sq-AL"/>
        </w:rPr>
        <w:t xml:space="preserve"> shkrirja e</w:t>
      </w:r>
      <w:r>
        <w:rPr>
          <w:rFonts w:ascii="Cambria" w:hAnsi="Cambria" w:cs="Times New Roman"/>
          <w:lang w:val="sq-AL"/>
        </w:rPr>
        <w:t xml:space="preserve"> institucioneve: ZRPP, ALUIZNI dhe Agjensia e Invetarizimit dhe Transferimit t</w:t>
      </w:r>
      <w:r w:rsidR="007B0023">
        <w:rPr>
          <w:rFonts w:ascii="Cambria" w:hAnsi="Cambria" w:cs="Times New Roman"/>
          <w:lang w:val="sq-AL"/>
        </w:rPr>
        <w:t>ë</w:t>
      </w:r>
      <w:r>
        <w:rPr>
          <w:rFonts w:ascii="Cambria" w:hAnsi="Cambria" w:cs="Times New Roman"/>
          <w:lang w:val="sq-AL"/>
        </w:rPr>
        <w:t xml:space="preserve"> Pron</w:t>
      </w:r>
      <w:r w:rsidR="007B0023">
        <w:rPr>
          <w:rFonts w:ascii="Cambria" w:hAnsi="Cambria" w:cs="Times New Roman"/>
          <w:lang w:val="sq-AL"/>
        </w:rPr>
        <w:t>ë</w:t>
      </w:r>
      <w:r>
        <w:rPr>
          <w:rFonts w:ascii="Cambria" w:hAnsi="Cambria" w:cs="Times New Roman"/>
          <w:lang w:val="sq-AL"/>
        </w:rPr>
        <w:t>s Publike (AITPP)  p</w:t>
      </w:r>
      <w:r w:rsidR="007B0023">
        <w:rPr>
          <w:rFonts w:ascii="Cambria" w:hAnsi="Cambria" w:cs="Times New Roman"/>
          <w:lang w:val="sq-AL"/>
        </w:rPr>
        <w:t>ë</w:t>
      </w:r>
      <w:r>
        <w:rPr>
          <w:rFonts w:ascii="Cambria" w:hAnsi="Cambria" w:cs="Times New Roman"/>
          <w:lang w:val="sq-AL"/>
        </w:rPr>
        <w:t>r t</w:t>
      </w:r>
      <w:r w:rsidR="007B0023">
        <w:rPr>
          <w:rFonts w:ascii="Cambria" w:hAnsi="Cambria" w:cs="Times New Roman"/>
          <w:lang w:val="sq-AL"/>
        </w:rPr>
        <w:t>ë</w:t>
      </w:r>
      <w:r>
        <w:rPr>
          <w:rFonts w:ascii="Cambria" w:hAnsi="Cambria" w:cs="Times New Roman"/>
          <w:lang w:val="sq-AL"/>
        </w:rPr>
        <w:t xml:space="preserve"> p</w:t>
      </w:r>
      <w:r w:rsidR="007B0023">
        <w:rPr>
          <w:rFonts w:ascii="Cambria" w:hAnsi="Cambria" w:cs="Times New Roman"/>
          <w:lang w:val="sq-AL"/>
        </w:rPr>
        <w:t>ë</w:t>
      </w:r>
      <w:r>
        <w:rPr>
          <w:rFonts w:ascii="Cambria" w:hAnsi="Cambria" w:cs="Times New Roman"/>
          <w:lang w:val="sq-AL"/>
        </w:rPr>
        <w:t>rmbushur objektivat sipas 6 komponent</w:t>
      </w:r>
      <w:r w:rsidR="007B0023">
        <w:rPr>
          <w:rFonts w:ascii="Cambria" w:hAnsi="Cambria" w:cs="Times New Roman"/>
          <w:lang w:val="sq-AL"/>
        </w:rPr>
        <w:t>ë</w:t>
      </w:r>
      <w:r>
        <w:rPr>
          <w:rFonts w:ascii="Cambria" w:hAnsi="Cambria" w:cs="Times New Roman"/>
          <w:lang w:val="sq-AL"/>
        </w:rPr>
        <w:t>ve</w:t>
      </w:r>
      <w:r w:rsidRPr="007A33AA">
        <w:rPr>
          <w:rFonts w:ascii="Cambria" w:hAnsi="Cambria" w:cs="Times New Roman"/>
          <w:lang w:val="sq-AL"/>
        </w:rPr>
        <w:t xml:space="preserve"> si vijon:</w:t>
      </w:r>
    </w:p>
    <w:p w:rsidR="007A33AA" w:rsidRPr="007A33AA" w:rsidRDefault="007A33AA" w:rsidP="007A33AA">
      <w:pPr>
        <w:jc w:val="both"/>
        <w:rPr>
          <w:rFonts w:ascii="Cambria" w:hAnsi="Cambria" w:cs="Times New Roman"/>
          <w:lang w:val="sq-AL"/>
        </w:rPr>
      </w:pPr>
      <w:r w:rsidRPr="007A33AA">
        <w:rPr>
          <w:rFonts w:ascii="Cambria" w:hAnsi="Cambria" w:cs="Times New Roman"/>
          <w:lang w:val="sq-AL"/>
        </w:rPr>
        <w:t>• Kuadri Institucional / Rregullator / Strategjik</w:t>
      </w:r>
    </w:p>
    <w:p w:rsidR="007A33AA" w:rsidRPr="007A33AA" w:rsidRDefault="007A33AA" w:rsidP="007A33AA">
      <w:pPr>
        <w:jc w:val="both"/>
        <w:rPr>
          <w:rFonts w:ascii="Cambria" w:hAnsi="Cambria" w:cs="Times New Roman"/>
          <w:lang w:val="sq-AL"/>
        </w:rPr>
      </w:pPr>
      <w:r w:rsidRPr="007A33AA">
        <w:rPr>
          <w:rFonts w:ascii="Cambria" w:hAnsi="Cambria" w:cs="Times New Roman"/>
          <w:lang w:val="sq-AL"/>
        </w:rPr>
        <w:lastRenderedPageBreak/>
        <w:t>• Të dhënat hapësinore kombëtare dhe infrastruktura e TIK</w:t>
      </w:r>
    </w:p>
    <w:p w:rsidR="007A33AA" w:rsidRPr="007A33AA" w:rsidRDefault="007A33AA" w:rsidP="007A33AA">
      <w:pPr>
        <w:jc w:val="both"/>
        <w:rPr>
          <w:rFonts w:ascii="Cambria" w:hAnsi="Cambria" w:cs="Times New Roman"/>
          <w:lang w:val="sq-AL"/>
        </w:rPr>
      </w:pPr>
      <w:r w:rsidRPr="007A33AA">
        <w:rPr>
          <w:rFonts w:ascii="Cambria" w:hAnsi="Cambria" w:cs="Times New Roman"/>
          <w:lang w:val="sq-AL"/>
        </w:rPr>
        <w:t>• Tregu i Tokës</w:t>
      </w:r>
    </w:p>
    <w:p w:rsidR="007A33AA" w:rsidRPr="007A33AA" w:rsidRDefault="007A33AA" w:rsidP="007A33AA">
      <w:pPr>
        <w:jc w:val="both"/>
        <w:rPr>
          <w:rFonts w:ascii="Cambria" w:hAnsi="Cambria" w:cs="Times New Roman"/>
          <w:lang w:val="sq-AL"/>
        </w:rPr>
      </w:pPr>
      <w:r w:rsidRPr="007A33AA">
        <w:rPr>
          <w:rFonts w:ascii="Cambria" w:hAnsi="Cambria" w:cs="Times New Roman"/>
          <w:lang w:val="sq-AL"/>
        </w:rPr>
        <w:t>• Turizmi</w:t>
      </w:r>
    </w:p>
    <w:p w:rsidR="007A33AA" w:rsidRPr="007A33AA" w:rsidRDefault="007A33AA" w:rsidP="007A33AA">
      <w:pPr>
        <w:jc w:val="both"/>
        <w:rPr>
          <w:rFonts w:ascii="Cambria" w:hAnsi="Cambria" w:cs="Times New Roman"/>
          <w:lang w:val="sq-AL"/>
        </w:rPr>
      </w:pPr>
      <w:r w:rsidRPr="007A33AA">
        <w:rPr>
          <w:rFonts w:ascii="Cambria" w:hAnsi="Cambria" w:cs="Times New Roman"/>
          <w:lang w:val="sq-AL"/>
        </w:rPr>
        <w:t>• Menaxhimi i Tokës Shtetërore</w:t>
      </w:r>
    </w:p>
    <w:p w:rsidR="004D63DB" w:rsidRPr="00FB3DCA" w:rsidRDefault="008F1C4F" w:rsidP="00894DEB">
      <w:pPr>
        <w:jc w:val="both"/>
        <w:rPr>
          <w:rFonts w:ascii="Cambria" w:hAnsi="Cambria" w:cs="Times New Roman"/>
          <w:lang w:val="sq-AL"/>
        </w:rPr>
      </w:pPr>
      <w:r>
        <w:rPr>
          <w:rFonts w:ascii="Cambria" w:hAnsi="Cambria" w:cs="Times New Roman"/>
          <w:lang w:val="sq-AL"/>
        </w:rPr>
        <w:t>P</w:t>
      </w:r>
      <w:r w:rsidR="007B0023">
        <w:rPr>
          <w:rFonts w:ascii="Cambria" w:hAnsi="Cambria" w:cs="Times New Roman"/>
          <w:lang w:val="sq-AL"/>
        </w:rPr>
        <w:t>ë</w:t>
      </w:r>
      <w:r>
        <w:rPr>
          <w:rFonts w:ascii="Cambria" w:hAnsi="Cambria" w:cs="Times New Roman"/>
          <w:lang w:val="sq-AL"/>
        </w:rPr>
        <w:t>rmbushja e objektivave t</w:t>
      </w:r>
      <w:r w:rsidR="007B0023">
        <w:rPr>
          <w:rFonts w:ascii="Cambria" w:hAnsi="Cambria" w:cs="Times New Roman"/>
          <w:lang w:val="sq-AL"/>
        </w:rPr>
        <w:t>ë</w:t>
      </w:r>
      <w:r>
        <w:rPr>
          <w:rFonts w:ascii="Cambria" w:hAnsi="Cambria" w:cs="Times New Roman"/>
          <w:lang w:val="sq-AL"/>
        </w:rPr>
        <w:t xml:space="preserve"> k</w:t>
      </w:r>
      <w:r w:rsidR="007B0023">
        <w:rPr>
          <w:rFonts w:ascii="Cambria" w:hAnsi="Cambria" w:cs="Times New Roman"/>
          <w:lang w:val="sq-AL"/>
        </w:rPr>
        <w:t>ë</w:t>
      </w:r>
      <w:r>
        <w:rPr>
          <w:rFonts w:ascii="Cambria" w:hAnsi="Cambria" w:cs="Times New Roman"/>
          <w:lang w:val="sq-AL"/>
        </w:rPr>
        <w:t>saj reforme sipas 6 komponent</w:t>
      </w:r>
      <w:r w:rsidR="007B0023">
        <w:rPr>
          <w:rFonts w:ascii="Cambria" w:hAnsi="Cambria" w:cs="Times New Roman"/>
          <w:lang w:val="sq-AL"/>
        </w:rPr>
        <w:t>ë</w:t>
      </w:r>
      <w:r>
        <w:rPr>
          <w:rFonts w:ascii="Cambria" w:hAnsi="Cambria" w:cs="Times New Roman"/>
          <w:lang w:val="sq-AL"/>
        </w:rPr>
        <w:t>ve do t</w:t>
      </w:r>
      <w:r w:rsidR="007B0023">
        <w:rPr>
          <w:rFonts w:ascii="Cambria" w:hAnsi="Cambria" w:cs="Times New Roman"/>
          <w:lang w:val="sq-AL"/>
        </w:rPr>
        <w:t>ë</w:t>
      </w:r>
      <w:r>
        <w:rPr>
          <w:rFonts w:ascii="Cambria" w:hAnsi="Cambria" w:cs="Times New Roman"/>
          <w:lang w:val="sq-AL"/>
        </w:rPr>
        <w:t xml:space="preserve"> p</w:t>
      </w:r>
      <w:r w:rsidR="007B0023">
        <w:rPr>
          <w:rFonts w:ascii="Cambria" w:hAnsi="Cambria" w:cs="Times New Roman"/>
          <w:lang w:val="sq-AL"/>
        </w:rPr>
        <w:t>ë</w:t>
      </w:r>
      <w:r>
        <w:rPr>
          <w:rFonts w:ascii="Cambria" w:hAnsi="Cambria" w:cs="Times New Roman"/>
          <w:lang w:val="sq-AL"/>
        </w:rPr>
        <w:t>rfitoj</w:t>
      </w:r>
      <w:r w:rsidR="007B0023">
        <w:rPr>
          <w:rFonts w:ascii="Cambria" w:hAnsi="Cambria" w:cs="Times New Roman"/>
          <w:lang w:val="sq-AL"/>
        </w:rPr>
        <w:t>ë</w:t>
      </w:r>
      <w:r>
        <w:rPr>
          <w:rFonts w:ascii="Cambria" w:hAnsi="Cambria" w:cs="Times New Roman"/>
          <w:lang w:val="sq-AL"/>
        </w:rPr>
        <w:t xml:space="preserve"> nga mb</w:t>
      </w:r>
      <w:r w:rsidR="007B0023">
        <w:rPr>
          <w:rFonts w:ascii="Cambria" w:hAnsi="Cambria" w:cs="Times New Roman"/>
          <w:lang w:val="sq-AL"/>
        </w:rPr>
        <w:t>ë</w:t>
      </w:r>
      <w:r>
        <w:rPr>
          <w:rFonts w:ascii="Cambria" w:hAnsi="Cambria" w:cs="Times New Roman"/>
          <w:lang w:val="sq-AL"/>
        </w:rPr>
        <w:t>shtetja e partner</w:t>
      </w:r>
      <w:r w:rsidR="007B0023">
        <w:rPr>
          <w:rFonts w:ascii="Cambria" w:hAnsi="Cambria" w:cs="Times New Roman"/>
          <w:lang w:val="sq-AL"/>
        </w:rPr>
        <w:t>ë</w:t>
      </w:r>
      <w:r>
        <w:rPr>
          <w:rFonts w:ascii="Cambria" w:hAnsi="Cambria" w:cs="Times New Roman"/>
          <w:lang w:val="sq-AL"/>
        </w:rPr>
        <w:t>ve p</w:t>
      </w:r>
      <w:r w:rsidR="007B0023">
        <w:rPr>
          <w:rFonts w:ascii="Cambria" w:hAnsi="Cambria" w:cs="Times New Roman"/>
          <w:lang w:val="sq-AL"/>
        </w:rPr>
        <w:t>ë</w:t>
      </w:r>
      <w:r>
        <w:rPr>
          <w:rFonts w:ascii="Cambria" w:hAnsi="Cambria" w:cs="Times New Roman"/>
          <w:lang w:val="sq-AL"/>
        </w:rPr>
        <w:t>r zhvillim si dhe nga buxheti i shtetit i cili p</w:t>
      </w:r>
      <w:r w:rsidR="007B0023">
        <w:rPr>
          <w:rFonts w:ascii="Cambria" w:hAnsi="Cambria" w:cs="Times New Roman"/>
          <w:lang w:val="sq-AL"/>
        </w:rPr>
        <w:t>ë</w:t>
      </w:r>
      <w:r>
        <w:rPr>
          <w:rFonts w:ascii="Cambria" w:hAnsi="Cambria" w:cs="Times New Roman"/>
          <w:lang w:val="sq-AL"/>
        </w:rPr>
        <w:t>r periudh</w:t>
      </w:r>
      <w:r w:rsidR="007B0023">
        <w:rPr>
          <w:rFonts w:ascii="Cambria" w:hAnsi="Cambria" w:cs="Times New Roman"/>
          <w:lang w:val="sq-AL"/>
        </w:rPr>
        <w:t>ë</w:t>
      </w:r>
      <w:r>
        <w:rPr>
          <w:rFonts w:ascii="Cambria" w:hAnsi="Cambria" w:cs="Times New Roman"/>
          <w:lang w:val="sq-AL"/>
        </w:rPr>
        <w:t xml:space="preserve">n </w:t>
      </w:r>
      <w:r w:rsidR="0024373D">
        <w:rPr>
          <w:rFonts w:ascii="Cambria" w:hAnsi="Cambria" w:cs="Times New Roman"/>
          <w:lang w:val="sq-AL"/>
        </w:rPr>
        <w:t>2020-2022</w:t>
      </w:r>
      <w:r w:rsidR="00C12D9F">
        <w:rPr>
          <w:rFonts w:ascii="Cambria" w:hAnsi="Cambria" w:cs="Times New Roman"/>
          <w:lang w:val="sq-AL"/>
        </w:rPr>
        <w:t xml:space="preserve">, </w:t>
      </w:r>
      <w:r>
        <w:rPr>
          <w:rFonts w:ascii="Cambria" w:hAnsi="Cambria" w:cs="Times New Roman"/>
          <w:lang w:val="sq-AL"/>
        </w:rPr>
        <w:t>do t</w:t>
      </w:r>
      <w:r w:rsidR="007B0023">
        <w:rPr>
          <w:rFonts w:ascii="Cambria" w:hAnsi="Cambria" w:cs="Times New Roman"/>
          <w:lang w:val="sq-AL"/>
        </w:rPr>
        <w:t>ë</w:t>
      </w:r>
      <w:r>
        <w:rPr>
          <w:rFonts w:ascii="Cambria" w:hAnsi="Cambria" w:cs="Times New Roman"/>
          <w:lang w:val="sq-AL"/>
        </w:rPr>
        <w:t xml:space="preserve"> financoj</w:t>
      </w:r>
      <w:r w:rsidR="007B0023">
        <w:rPr>
          <w:rFonts w:ascii="Cambria" w:hAnsi="Cambria" w:cs="Times New Roman"/>
          <w:lang w:val="sq-AL"/>
        </w:rPr>
        <w:t>ë</w:t>
      </w:r>
      <w:r>
        <w:rPr>
          <w:rFonts w:ascii="Cambria" w:hAnsi="Cambria" w:cs="Times New Roman"/>
          <w:lang w:val="sq-AL"/>
        </w:rPr>
        <w:t xml:space="preserve"> </w:t>
      </w:r>
      <w:r w:rsidR="00C12D9F">
        <w:rPr>
          <w:rFonts w:ascii="Cambria" w:hAnsi="Cambria" w:cs="Times New Roman"/>
          <w:lang w:val="sq-AL"/>
        </w:rPr>
        <w:t>k</w:t>
      </w:r>
      <w:r w:rsidR="00836A0D">
        <w:rPr>
          <w:rFonts w:ascii="Cambria" w:hAnsi="Cambria" w:cs="Times New Roman"/>
          <w:lang w:val="sq-AL"/>
        </w:rPr>
        <w:t>ë</w:t>
      </w:r>
      <w:r w:rsidR="00C12D9F">
        <w:rPr>
          <w:rFonts w:ascii="Cambria" w:hAnsi="Cambria" w:cs="Times New Roman"/>
          <w:lang w:val="sq-AL"/>
        </w:rPr>
        <w:t>t</w:t>
      </w:r>
      <w:r w:rsidR="00836A0D">
        <w:rPr>
          <w:rFonts w:ascii="Cambria" w:hAnsi="Cambria" w:cs="Times New Roman"/>
          <w:lang w:val="sq-AL"/>
        </w:rPr>
        <w:t>ë</w:t>
      </w:r>
      <w:r w:rsidR="00C12D9F">
        <w:rPr>
          <w:rFonts w:ascii="Cambria" w:hAnsi="Cambria" w:cs="Times New Roman"/>
          <w:lang w:val="sq-AL"/>
        </w:rPr>
        <w:t xml:space="preserve"> prioritet </w:t>
      </w:r>
      <w:r>
        <w:rPr>
          <w:rFonts w:ascii="Cambria" w:hAnsi="Cambria" w:cs="Times New Roman"/>
          <w:lang w:val="sq-AL"/>
        </w:rPr>
        <w:t>me</w:t>
      </w:r>
      <w:r w:rsidR="00DD257F">
        <w:rPr>
          <w:rFonts w:ascii="Cambria" w:hAnsi="Cambria" w:cs="Times New Roman"/>
          <w:lang w:val="sq-AL"/>
        </w:rPr>
        <w:t xml:space="preserve"> mesatarisht </w:t>
      </w:r>
      <w:r>
        <w:rPr>
          <w:rFonts w:ascii="Cambria" w:hAnsi="Cambria" w:cs="Times New Roman"/>
          <w:lang w:val="sq-AL"/>
        </w:rPr>
        <w:t>5.5</w:t>
      </w:r>
      <w:r w:rsidR="00DD257F" w:rsidRPr="00763996">
        <w:rPr>
          <w:rFonts w:ascii="Cambria" w:hAnsi="Cambria" w:cs="Times New Roman"/>
          <w:lang w:val="sq-AL"/>
        </w:rPr>
        <w:t xml:space="preserve"> miliard</w:t>
      </w:r>
      <w:r w:rsidR="00836A0D" w:rsidRPr="00763996">
        <w:rPr>
          <w:rFonts w:ascii="Cambria" w:hAnsi="Cambria" w:cs="Times New Roman"/>
          <w:lang w:val="sq-AL"/>
        </w:rPr>
        <w:t>ë</w:t>
      </w:r>
      <w:r w:rsidR="00DD257F">
        <w:rPr>
          <w:rFonts w:ascii="Cambria" w:hAnsi="Cambria" w:cs="Times New Roman"/>
          <w:lang w:val="sq-AL"/>
        </w:rPr>
        <w:t xml:space="preserve"> lek</w:t>
      </w:r>
      <w:r w:rsidR="00836A0D">
        <w:rPr>
          <w:rFonts w:ascii="Cambria" w:hAnsi="Cambria" w:cs="Times New Roman"/>
          <w:lang w:val="sq-AL"/>
        </w:rPr>
        <w:t>ë</w:t>
      </w:r>
      <w:r w:rsidR="00DD257F">
        <w:rPr>
          <w:rFonts w:ascii="Cambria" w:hAnsi="Cambria" w:cs="Times New Roman"/>
          <w:lang w:val="sq-AL"/>
        </w:rPr>
        <w:t xml:space="preserve"> n</w:t>
      </w:r>
      <w:r w:rsidR="00836A0D">
        <w:rPr>
          <w:rFonts w:ascii="Cambria" w:hAnsi="Cambria" w:cs="Times New Roman"/>
          <w:lang w:val="sq-AL"/>
        </w:rPr>
        <w:t>ë</w:t>
      </w:r>
      <w:r w:rsidR="00DD257F">
        <w:rPr>
          <w:rFonts w:ascii="Cambria" w:hAnsi="Cambria" w:cs="Times New Roman"/>
          <w:lang w:val="sq-AL"/>
        </w:rPr>
        <w:t xml:space="preserve"> vit.</w:t>
      </w:r>
    </w:p>
    <w:p w:rsidR="00FB3DCA" w:rsidRDefault="00C12D9F" w:rsidP="00894DEB">
      <w:pPr>
        <w:jc w:val="both"/>
        <w:rPr>
          <w:rFonts w:ascii="Cambria" w:hAnsi="Cambria" w:cs="Times New Roman"/>
          <w:lang w:val="sq-AL"/>
        </w:rPr>
      </w:pPr>
      <w:r w:rsidRPr="00C12D9F">
        <w:rPr>
          <w:rFonts w:ascii="Cambria" w:hAnsi="Cambria" w:cs="Times New Roman"/>
          <w:b/>
          <w:lang w:val="sq-AL"/>
        </w:rPr>
        <w:t>Investimet Publike</w:t>
      </w:r>
      <w:r w:rsidR="00836A0D" w:rsidRPr="00836A0D">
        <w:rPr>
          <w:rFonts w:ascii="Cambria" w:hAnsi="Cambria" w:cs="Times New Roman"/>
          <w:lang w:val="sq-AL"/>
        </w:rPr>
        <w:t>,</w:t>
      </w:r>
      <w:r>
        <w:rPr>
          <w:rFonts w:ascii="Cambria" w:hAnsi="Cambria" w:cs="Times New Roman"/>
          <w:b/>
          <w:lang w:val="sq-AL"/>
        </w:rPr>
        <w:t xml:space="preserve"> </w:t>
      </w:r>
      <w:r w:rsidRPr="00C12D9F">
        <w:rPr>
          <w:rFonts w:ascii="Cambria" w:hAnsi="Cambria" w:cs="Times New Roman"/>
          <w:lang w:val="sq-AL"/>
        </w:rPr>
        <w:t xml:space="preserve">ku synohet </w:t>
      </w:r>
      <w:r w:rsidR="00DD257F">
        <w:rPr>
          <w:rFonts w:ascii="Cambria" w:hAnsi="Cambria" w:cs="Times New Roman"/>
          <w:lang w:val="sq-AL"/>
        </w:rPr>
        <w:t xml:space="preserve">ruajtja e raportit prej </w:t>
      </w:r>
      <w:r w:rsidR="00DD257F" w:rsidRPr="00836A0D">
        <w:rPr>
          <w:rFonts w:ascii="Cambria" w:hAnsi="Cambria" w:cs="Times New Roman"/>
          <w:b/>
          <w:lang w:val="sq-AL"/>
        </w:rPr>
        <w:t>5% ndaj PBB</w:t>
      </w:r>
      <w:r w:rsidR="00836A0D">
        <w:rPr>
          <w:rFonts w:ascii="Cambria" w:hAnsi="Cambria" w:cs="Times New Roman"/>
          <w:lang w:val="sq-AL"/>
        </w:rPr>
        <w:t>,</w:t>
      </w:r>
      <w:r w:rsidR="00DD257F">
        <w:rPr>
          <w:rFonts w:ascii="Cambria" w:hAnsi="Cambria" w:cs="Times New Roman"/>
          <w:lang w:val="sq-AL"/>
        </w:rPr>
        <w:t xml:space="preserve"> do t</w:t>
      </w:r>
      <w:r w:rsidR="00836A0D">
        <w:rPr>
          <w:rFonts w:ascii="Cambria" w:hAnsi="Cambria" w:cs="Times New Roman"/>
          <w:lang w:val="sq-AL"/>
        </w:rPr>
        <w:t>ë</w:t>
      </w:r>
      <w:r w:rsidR="00DD257F">
        <w:rPr>
          <w:rFonts w:ascii="Cambria" w:hAnsi="Cambria" w:cs="Times New Roman"/>
          <w:lang w:val="sq-AL"/>
        </w:rPr>
        <w:t xml:space="preserve"> kanalizohen n</w:t>
      </w:r>
      <w:r w:rsidR="00836A0D">
        <w:rPr>
          <w:rFonts w:ascii="Cambria" w:hAnsi="Cambria" w:cs="Times New Roman"/>
          <w:lang w:val="sq-AL"/>
        </w:rPr>
        <w:t>ë</w:t>
      </w:r>
      <w:r w:rsidR="00DD257F">
        <w:rPr>
          <w:rFonts w:ascii="Cambria" w:hAnsi="Cambria" w:cs="Times New Roman"/>
          <w:lang w:val="sq-AL"/>
        </w:rPr>
        <w:t xml:space="preserve"> sektor</w:t>
      </w:r>
      <w:r w:rsidR="00836A0D">
        <w:rPr>
          <w:rFonts w:ascii="Cambria" w:hAnsi="Cambria" w:cs="Times New Roman"/>
          <w:lang w:val="sq-AL"/>
        </w:rPr>
        <w:t>ët kyç p</w:t>
      </w:r>
      <w:r w:rsidR="00CF27FD">
        <w:rPr>
          <w:rFonts w:ascii="Cambria" w:hAnsi="Cambria" w:cs="Times New Roman"/>
          <w:lang w:val="sq-AL"/>
        </w:rPr>
        <w:t>ë</w:t>
      </w:r>
      <w:r w:rsidR="00836A0D">
        <w:rPr>
          <w:rFonts w:ascii="Cambria" w:hAnsi="Cambria" w:cs="Times New Roman"/>
          <w:lang w:val="sq-AL"/>
        </w:rPr>
        <w:t>r zhvillimin ekonomik dhe social si</w:t>
      </w:r>
      <w:r w:rsidR="00DD257F">
        <w:rPr>
          <w:rFonts w:ascii="Cambria" w:hAnsi="Cambria" w:cs="Times New Roman"/>
          <w:lang w:val="sq-AL"/>
        </w:rPr>
        <w:t>:</w:t>
      </w:r>
    </w:p>
    <w:p w:rsidR="00DD257F" w:rsidRDefault="00A42233" w:rsidP="007133FB">
      <w:pPr>
        <w:numPr>
          <w:ilvl w:val="0"/>
          <w:numId w:val="3"/>
        </w:numPr>
        <w:spacing w:after="120"/>
        <w:jc w:val="both"/>
        <w:rPr>
          <w:rFonts w:ascii="Cambria" w:hAnsi="Cambria" w:cs="Times New Roman"/>
          <w:lang w:val="sq-AL"/>
        </w:rPr>
      </w:pPr>
      <w:r>
        <w:rPr>
          <w:rFonts w:ascii="Cambria" w:hAnsi="Cambria" w:cs="Times New Roman"/>
          <w:lang w:val="sq-AL"/>
        </w:rPr>
        <w:t>Infrastruktur</w:t>
      </w:r>
      <w:r w:rsidR="00836A0D">
        <w:rPr>
          <w:rFonts w:ascii="Cambria" w:hAnsi="Cambria" w:cs="Times New Roman"/>
          <w:lang w:val="sq-AL"/>
        </w:rPr>
        <w:t>a</w:t>
      </w:r>
      <w:r>
        <w:rPr>
          <w:rFonts w:ascii="Cambria" w:hAnsi="Cambria" w:cs="Times New Roman"/>
          <w:lang w:val="sq-AL"/>
        </w:rPr>
        <w:t xml:space="preserve"> rrugore nacionale;</w:t>
      </w:r>
    </w:p>
    <w:p w:rsidR="00BC0573" w:rsidRDefault="00836A0D" w:rsidP="00BC0573">
      <w:pPr>
        <w:pStyle w:val="p1"/>
        <w:spacing w:after="120" w:line="280" w:lineRule="atLeast"/>
        <w:ind w:left="360"/>
        <w:jc w:val="both"/>
        <w:rPr>
          <w:rFonts w:cs="Times New Roman"/>
          <w:sz w:val="22"/>
          <w:szCs w:val="22"/>
        </w:rPr>
      </w:pPr>
      <w:r>
        <w:rPr>
          <w:rFonts w:cs="Times New Roman"/>
          <w:sz w:val="22"/>
          <w:szCs w:val="22"/>
        </w:rPr>
        <w:t>P</w:t>
      </w:r>
      <w:r w:rsidR="00CF27FD">
        <w:rPr>
          <w:rFonts w:cs="Times New Roman"/>
          <w:sz w:val="22"/>
          <w:szCs w:val="22"/>
        </w:rPr>
        <w:t>ë</w:t>
      </w:r>
      <w:r>
        <w:rPr>
          <w:rFonts w:cs="Times New Roman"/>
          <w:sz w:val="22"/>
          <w:szCs w:val="22"/>
        </w:rPr>
        <w:t>rq</w:t>
      </w:r>
      <w:r w:rsidR="00CF27FD">
        <w:rPr>
          <w:rFonts w:cs="Times New Roman"/>
          <w:sz w:val="22"/>
          <w:szCs w:val="22"/>
        </w:rPr>
        <w:t>ë</w:t>
      </w:r>
      <w:r>
        <w:rPr>
          <w:rFonts w:cs="Times New Roman"/>
          <w:sz w:val="22"/>
          <w:szCs w:val="22"/>
        </w:rPr>
        <w:t>ndrimi i financimeve buxhetore p</w:t>
      </w:r>
      <w:r w:rsidR="00CF27FD">
        <w:rPr>
          <w:rFonts w:cs="Times New Roman"/>
          <w:sz w:val="22"/>
          <w:szCs w:val="22"/>
        </w:rPr>
        <w:t>ë</w:t>
      </w:r>
      <w:r>
        <w:rPr>
          <w:rFonts w:cs="Times New Roman"/>
          <w:sz w:val="22"/>
          <w:szCs w:val="22"/>
        </w:rPr>
        <w:t>r kompletimin e a</w:t>
      </w:r>
      <w:r w:rsidR="00A42233" w:rsidRPr="00A42233">
        <w:rPr>
          <w:rFonts w:cs="Times New Roman"/>
          <w:sz w:val="22"/>
          <w:szCs w:val="22"/>
        </w:rPr>
        <w:t>kse</w:t>
      </w:r>
      <w:r>
        <w:rPr>
          <w:rFonts w:cs="Times New Roman"/>
          <w:sz w:val="22"/>
          <w:szCs w:val="22"/>
        </w:rPr>
        <w:t>ve</w:t>
      </w:r>
      <w:r w:rsidR="00A42233" w:rsidRPr="00A42233">
        <w:rPr>
          <w:rFonts w:cs="Times New Roman"/>
          <w:sz w:val="22"/>
          <w:szCs w:val="22"/>
        </w:rPr>
        <w:t xml:space="preserve"> </w:t>
      </w:r>
      <w:r>
        <w:rPr>
          <w:rFonts w:cs="Times New Roman"/>
          <w:sz w:val="22"/>
          <w:szCs w:val="22"/>
        </w:rPr>
        <w:t>t</w:t>
      </w:r>
      <w:r w:rsidR="00CF27FD">
        <w:rPr>
          <w:rFonts w:cs="Times New Roman"/>
          <w:sz w:val="22"/>
          <w:szCs w:val="22"/>
        </w:rPr>
        <w:t>ë</w:t>
      </w:r>
      <w:r>
        <w:rPr>
          <w:rFonts w:cs="Times New Roman"/>
          <w:sz w:val="22"/>
          <w:szCs w:val="22"/>
        </w:rPr>
        <w:t xml:space="preserve"> r</w:t>
      </w:r>
      <w:r w:rsidR="00CF27FD">
        <w:rPr>
          <w:rFonts w:cs="Times New Roman"/>
          <w:sz w:val="22"/>
          <w:szCs w:val="22"/>
        </w:rPr>
        <w:t>ë</w:t>
      </w:r>
      <w:r>
        <w:rPr>
          <w:rFonts w:cs="Times New Roman"/>
          <w:sz w:val="22"/>
          <w:szCs w:val="22"/>
        </w:rPr>
        <w:t>nd</w:t>
      </w:r>
      <w:r w:rsidR="00CF27FD">
        <w:rPr>
          <w:rFonts w:cs="Times New Roman"/>
          <w:sz w:val="22"/>
          <w:szCs w:val="22"/>
        </w:rPr>
        <w:t>ë</w:t>
      </w:r>
      <w:r>
        <w:rPr>
          <w:rFonts w:cs="Times New Roman"/>
          <w:sz w:val="22"/>
          <w:szCs w:val="22"/>
        </w:rPr>
        <w:t xml:space="preserve">sishme nacionale: </w:t>
      </w:r>
      <w:r w:rsidR="00A42233" w:rsidRPr="00A42233">
        <w:rPr>
          <w:rFonts w:cs="Times New Roman"/>
          <w:sz w:val="22"/>
          <w:szCs w:val="22"/>
        </w:rPr>
        <w:t xml:space="preserve">Thumanë – Vorë – Kashar, Kashar – Rrogozhinë, Milot – Balldren, Orikum – Dukat dhe Kardhiq – Delvinë; </w:t>
      </w:r>
      <w:r>
        <w:rPr>
          <w:rFonts w:cs="Times New Roman"/>
          <w:sz w:val="22"/>
          <w:szCs w:val="22"/>
        </w:rPr>
        <w:t>si dhe</w:t>
      </w:r>
      <w:r w:rsidRPr="00A42233">
        <w:rPr>
          <w:rFonts w:cs="Times New Roman"/>
          <w:sz w:val="22"/>
          <w:szCs w:val="22"/>
        </w:rPr>
        <w:t xml:space="preserve"> bypass-e</w:t>
      </w:r>
      <w:r>
        <w:rPr>
          <w:rFonts w:cs="Times New Roman"/>
          <w:sz w:val="22"/>
          <w:szCs w:val="22"/>
        </w:rPr>
        <w:t>t</w:t>
      </w:r>
      <w:r w:rsidRPr="00A42233">
        <w:rPr>
          <w:rFonts w:cs="Times New Roman"/>
          <w:sz w:val="22"/>
          <w:szCs w:val="22"/>
        </w:rPr>
        <w:t xml:space="preserve"> </w:t>
      </w:r>
      <w:r>
        <w:rPr>
          <w:rFonts w:cs="Times New Roman"/>
          <w:sz w:val="22"/>
          <w:szCs w:val="22"/>
        </w:rPr>
        <w:t>e</w:t>
      </w:r>
      <w:r w:rsidRPr="00A42233">
        <w:rPr>
          <w:rFonts w:cs="Times New Roman"/>
          <w:sz w:val="22"/>
          <w:szCs w:val="22"/>
        </w:rPr>
        <w:t xml:space="preserve"> Fierit</w:t>
      </w:r>
      <w:r>
        <w:rPr>
          <w:rFonts w:cs="Times New Roman"/>
          <w:sz w:val="22"/>
          <w:szCs w:val="22"/>
        </w:rPr>
        <w:t xml:space="preserve"> dhe</w:t>
      </w:r>
      <w:r w:rsidRPr="00A42233">
        <w:rPr>
          <w:rFonts w:cs="Times New Roman"/>
          <w:sz w:val="22"/>
          <w:szCs w:val="22"/>
        </w:rPr>
        <w:t xml:space="preserve"> Vlorës</w:t>
      </w:r>
      <w:r w:rsidR="00BC0573">
        <w:rPr>
          <w:rFonts w:cs="Times New Roman"/>
          <w:sz w:val="22"/>
          <w:szCs w:val="22"/>
        </w:rPr>
        <w:t>;</w:t>
      </w:r>
    </w:p>
    <w:p w:rsidR="00A42233" w:rsidRPr="00112463" w:rsidRDefault="00A42233" w:rsidP="00BC0573">
      <w:pPr>
        <w:numPr>
          <w:ilvl w:val="0"/>
          <w:numId w:val="3"/>
        </w:numPr>
        <w:spacing w:after="120"/>
        <w:jc w:val="both"/>
        <w:rPr>
          <w:rFonts w:ascii="Cambria" w:hAnsi="Cambria" w:cs="Times New Roman"/>
          <w:lang w:val="sq-AL"/>
        </w:rPr>
      </w:pPr>
      <w:r w:rsidRPr="00112463">
        <w:rPr>
          <w:rFonts w:ascii="Cambria" w:hAnsi="Cambria" w:cs="Times New Roman"/>
          <w:lang w:val="sq-AL"/>
        </w:rPr>
        <w:t>Uj</w:t>
      </w:r>
      <w:r w:rsidR="00836A0D" w:rsidRPr="00112463">
        <w:rPr>
          <w:rFonts w:ascii="Cambria" w:hAnsi="Cambria" w:cs="Times New Roman"/>
          <w:lang w:val="sq-AL"/>
        </w:rPr>
        <w:t>ë</w:t>
      </w:r>
      <w:r w:rsidRPr="00112463">
        <w:rPr>
          <w:rFonts w:ascii="Cambria" w:hAnsi="Cambria" w:cs="Times New Roman"/>
          <w:lang w:val="sq-AL"/>
        </w:rPr>
        <w:t>sjell</w:t>
      </w:r>
      <w:r w:rsidR="00836A0D" w:rsidRPr="00112463">
        <w:rPr>
          <w:rFonts w:ascii="Cambria" w:hAnsi="Cambria" w:cs="Times New Roman"/>
          <w:lang w:val="sq-AL"/>
        </w:rPr>
        <w:t>ës Kanalizime:</w:t>
      </w:r>
    </w:p>
    <w:p w:rsidR="00A42233" w:rsidRPr="00112463" w:rsidRDefault="00A42233" w:rsidP="00894DEB">
      <w:pPr>
        <w:ind w:left="360"/>
        <w:jc w:val="both"/>
        <w:rPr>
          <w:rFonts w:ascii="Cambria" w:hAnsi="Cambria" w:cs="Times New Roman"/>
          <w:lang w:val="sq-AL"/>
        </w:rPr>
      </w:pPr>
      <w:r w:rsidRPr="00112463">
        <w:rPr>
          <w:rFonts w:ascii="Cambria" w:hAnsi="Cambria" w:cs="Times New Roman"/>
          <w:lang w:val="sq-AL"/>
        </w:rPr>
        <w:t>Rritja e aksesit të popullsisë në shërbime cilësore furnizimi me ujë dhe kanalizime p</w:t>
      </w:r>
      <w:r w:rsidR="00836A0D" w:rsidRPr="00112463">
        <w:rPr>
          <w:rFonts w:ascii="Cambria" w:hAnsi="Cambria" w:cs="Times New Roman"/>
          <w:lang w:val="sq-AL"/>
        </w:rPr>
        <w:t>ë</w:t>
      </w:r>
      <w:r w:rsidRPr="00112463">
        <w:rPr>
          <w:rFonts w:ascii="Cambria" w:hAnsi="Cambria" w:cs="Times New Roman"/>
          <w:lang w:val="sq-AL"/>
        </w:rPr>
        <w:t xml:space="preserve">rmes financimit </w:t>
      </w:r>
      <w:r w:rsidR="000F34EC" w:rsidRPr="00112463">
        <w:rPr>
          <w:rFonts w:ascii="Cambria" w:hAnsi="Cambria" w:cs="Times New Roman"/>
          <w:lang w:val="sq-AL"/>
        </w:rPr>
        <w:t xml:space="preserve">të </w:t>
      </w:r>
      <w:r w:rsidRPr="00112463">
        <w:rPr>
          <w:rFonts w:ascii="Cambria" w:hAnsi="Cambria" w:cs="Times New Roman"/>
          <w:lang w:val="sq-AL"/>
        </w:rPr>
        <w:t>projekteve të Uj</w:t>
      </w:r>
      <w:r w:rsidR="00836A0D" w:rsidRPr="00112463">
        <w:rPr>
          <w:rFonts w:ascii="Cambria" w:hAnsi="Cambria" w:cs="Times New Roman"/>
          <w:lang w:val="sq-AL"/>
        </w:rPr>
        <w:t>ë</w:t>
      </w:r>
      <w:r w:rsidRPr="00112463">
        <w:rPr>
          <w:rFonts w:ascii="Cambria" w:hAnsi="Cambria" w:cs="Times New Roman"/>
          <w:lang w:val="sq-AL"/>
        </w:rPr>
        <w:t>sjell</w:t>
      </w:r>
      <w:r w:rsidR="00836A0D" w:rsidRPr="00112463">
        <w:rPr>
          <w:rFonts w:ascii="Cambria" w:hAnsi="Cambria" w:cs="Times New Roman"/>
          <w:lang w:val="sq-AL"/>
        </w:rPr>
        <w:t>ë</w:t>
      </w:r>
      <w:r w:rsidRPr="00112463">
        <w:rPr>
          <w:rFonts w:ascii="Cambria" w:hAnsi="Cambria" w:cs="Times New Roman"/>
          <w:lang w:val="sq-AL"/>
        </w:rPr>
        <w:t>s Kanalizimeve</w:t>
      </w:r>
      <w:r w:rsidR="0024373D" w:rsidRPr="00112463">
        <w:rPr>
          <w:rFonts w:ascii="Cambria" w:hAnsi="Cambria" w:cs="Times New Roman"/>
          <w:lang w:val="sq-AL"/>
        </w:rPr>
        <w:t xml:space="preserve"> për periudhën 2020 – 2022</w:t>
      </w:r>
      <w:r w:rsidRPr="00112463">
        <w:rPr>
          <w:rFonts w:ascii="Cambria" w:hAnsi="Cambria" w:cs="Times New Roman"/>
          <w:lang w:val="sq-AL"/>
        </w:rPr>
        <w:t>, me vlerën totale prej 3</w:t>
      </w:r>
      <w:r w:rsidR="00112463" w:rsidRPr="00112463">
        <w:rPr>
          <w:rFonts w:ascii="Cambria" w:hAnsi="Cambria" w:cs="Times New Roman"/>
          <w:lang w:val="sq-AL"/>
        </w:rPr>
        <w:t>3</w:t>
      </w:r>
      <w:r w:rsidRPr="00112463">
        <w:rPr>
          <w:rFonts w:ascii="Cambria" w:hAnsi="Cambria" w:cs="Times New Roman"/>
          <w:lang w:val="sq-AL"/>
        </w:rPr>
        <w:t xml:space="preserve"> miliardë lekë. Sektori i ujit, i mbështetur nga modeli i financimit i miratur në vitin </w:t>
      </w:r>
      <w:r w:rsidR="0024373D" w:rsidRPr="00112463">
        <w:rPr>
          <w:rFonts w:ascii="Cambria" w:hAnsi="Cambria" w:cs="Times New Roman"/>
          <w:lang w:val="sq-AL"/>
        </w:rPr>
        <w:t>2019</w:t>
      </w:r>
      <w:r w:rsidRPr="00112463">
        <w:rPr>
          <w:rFonts w:ascii="Cambria" w:hAnsi="Cambria" w:cs="Times New Roman"/>
          <w:lang w:val="sq-AL"/>
        </w:rPr>
        <w:t xml:space="preserve">, parashikon investime </w:t>
      </w:r>
      <w:r w:rsidR="00112463" w:rsidRPr="00112463">
        <w:rPr>
          <w:rFonts w:ascii="Cambria" w:hAnsi="Cambria" w:cs="Times New Roman"/>
          <w:lang w:val="sq-AL"/>
        </w:rPr>
        <w:t>me burime t</w:t>
      </w:r>
      <w:r w:rsidR="007B0023">
        <w:rPr>
          <w:rFonts w:ascii="Cambria" w:hAnsi="Cambria" w:cs="Times New Roman"/>
          <w:lang w:val="sq-AL"/>
        </w:rPr>
        <w:t>ë</w:t>
      </w:r>
      <w:r w:rsidR="00112463" w:rsidRPr="00112463">
        <w:rPr>
          <w:rFonts w:ascii="Cambria" w:hAnsi="Cambria" w:cs="Times New Roman"/>
          <w:lang w:val="sq-AL"/>
        </w:rPr>
        <w:t xml:space="preserve"> brendshme çdo vit </w:t>
      </w:r>
      <w:r w:rsidRPr="00112463">
        <w:rPr>
          <w:rFonts w:ascii="Cambria" w:hAnsi="Cambria" w:cs="Times New Roman"/>
          <w:lang w:val="sq-AL"/>
        </w:rPr>
        <w:t>mesatarisht 4,</w:t>
      </w:r>
      <w:r w:rsidR="00112463" w:rsidRPr="00112463">
        <w:rPr>
          <w:rFonts w:ascii="Cambria" w:hAnsi="Cambria" w:cs="Times New Roman"/>
          <w:lang w:val="sq-AL"/>
        </w:rPr>
        <w:t>4</w:t>
      </w:r>
      <w:r w:rsidRPr="00112463">
        <w:rPr>
          <w:rFonts w:ascii="Cambria" w:hAnsi="Cambria" w:cs="Times New Roman"/>
          <w:lang w:val="sq-AL"/>
        </w:rPr>
        <w:t xml:space="preserve"> miliardë lekë </w:t>
      </w:r>
      <w:r w:rsidR="0024373D" w:rsidRPr="00112463">
        <w:rPr>
          <w:rFonts w:ascii="Cambria" w:hAnsi="Cambria" w:cs="Times New Roman"/>
          <w:lang w:val="sq-AL"/>
        </w:rPr>
        <w:t>përgjatë 2020 – 2022</w:t>
      </w:r>
      <w:r w:rsidR="00112463" w:rsidRPr="00112463">
        <w:rPr>
          <w:rFonts w:ascii="Cambria" w:hAnsi="Cambria" w:cs="Times New Roman"/>
          <w:lang w:val="sq-AL"/>
        </w:rPr>
        <w:t xml:space="preserve"> si</w:t>
      </w:r>
      <w:r w:rsidRPr="00112463">
        <w:rPr>
          <w:rFonts w:ascii="Cambria" w:hAnsi="Cambria" w:cs="Times New Roman"/>
          <w:lang w:val="sq-AL"/>
        </w:rPr>
        <w:t xml:space="preserve"> dhe</w:t>
      </w:r>
      <w:r w:rsidR="00112463" w:rsidRPr="00112463">
        <w:rPr>
          <w:rFonts w:ascii="Cambria" w:hAnsi="Cambria" w:cs="Times New Roman"/>
          <w:lang w:val="sq-AL"/>
        </w:rPr>
        <w:t>,</w:t>
      </w:r>
      <w:r w:rsidRPr="00112463">
        <w:rPr>
          <w:rFonts w:ascii="Cambria" w:hAnsi="Cambria" w:cs="Times New Roman"/>
          <w:lang w:val="sq-AL"/>
        </w:rPr>
        <w:t xml:space="preserve"> parashikon edhe sistemin e granteve në bazë perfor</w:t>
      </w:r>
      <w:r w:rsidR="00112463" w:rsidRPr="00112463">
        <w:rPr>
          <w:rFonts w:ascii="Cambria" w:hAnsi="Cambria" w:cs="Times New Roman"/>
          <w:lang w:val="sq-AL"/>
        </w:rPr>
        <w:t>mancën për të rritur përgjegjsh</w:t>
      </w:r>
      <w:r w:rsidRPr="00112463">
        <w:rPr>
          <w:rFonts w:ascii="Cambria" w:hAnsi="Cambria" w:cs="Times New Roman"/>
          <w:lang w:val="sq-AL"/>
        </w:rPr>
        <w:t>m</w:t>
      </w:r>
      <w:r w:rsidR="007B0023">
        <w:rPr>
          <w:rFonts w:ascii="Cambria" w:hAnsi="Cambria" w:cs="Times New Roman"/>
          <w:lang w:val="sq-AL"/>
        </w:rPr>
        <w:t>ë</w:t>
      </w:r>
      <w:r w:rsidRPr="00112463">
        <w:rPr>
          <w:rFonts w:ascii="Cambria" w:hAnsi="Cambria" w:cs="Times New Roman"/>
          <w:lang w:val="sq-AL"/>
        </w:rPr>
        <w:t>rinë dhe mbulimin e kostove të ndërmarrjeve të ujit.</w:t>
      </w:r>
    </w:p>
    <w:p w:rsidR="00A42233" w:rsidRPr="00112463" w:rsidRDefault="00836A0D" w:rsidP="007133FB">
      <w:pPr>
        <w:numPr>
          <w:ilvl w:val="0"/>
          <w:numId w:val="3"/>
        </w:numPr>
        <w:jc w:val="both"/>
        <w:rPr>
          <w:rFonts w:ascii="Cambria" w:hAnsi="Cambria" w:cs="Times New Roman"/>
          <w:lang w:val="sq-AL"/>
        </w:rPr>
      </w:pPr>
      <w:r w:rsidRPr="00112463">
        <w:rPr>
          <w:rFonts w:ascii="Cambria" w:hAnsi="Cambria" w:cs="Times New Roman"/>
          <w:lang w:val="sq-AL"/>
        </w:rPr>
        <w:t>Arsim</w:t>
      </w:r>
      <w:r w:rsidR="009B68D1" w:rsidRPr="00112463">
        <w:rPr>
          <w:rFonts w:ascii="Cambria" w:hAnsi="Cambria" w:cs="Times New Roman"/>
          <w:lang w:val="sq-AL"/>
        </w:rPr>
        <w:t>i</w:t>
      </w:r>
      <w:r w:rsidRPr="00112463">
        <w:rPr>
          <w:rFonts w:ascii="Cambria" w:hAnsi="Cambria" w:cs="Times New Roman"/>
          <w:lang w:val="sq-AL"/>
        </w:rPr>
        <w:t>:</w:t>
      </w:r>
    </w:p>
    <w:p w:rsidR="009F4233" w:rsidRDefault="00F26EDD" w:rsidP="00894DEB">
      <w:pPr>
        <w:ind w:left="360"/>
        <w:jc w:val="both"/>
        <w:rPr>
          <w:rFonts w:ascii="Cambria" w:hAnsi="Cambria" w:cs="Times New Roman"/>
          <w:lang w:val="sq-AL"/>
        </w:rPr>
      </w:pPr>
      <w:r w:rsidRPr="00112463">
        <w:rPr>
          <w:rFonts w:ascii="Cambria" w:hAnsi="Cambria" w:cs="Times New Roman"/>
          <w:lang w:val="sq-AL"/>
        </w:rPr>
        <w:t>Në arsimin parauniversitar do të financojë me prioritet projekte për ndërtime të reja, rikonstruksion/rindërtimin apo shtesa në objektet aktuale për më shumë se 170 objekte arsimore të tjera ose rreth 1500-1700 klasa / laboratorë mësimore  nga të cilat do të përfitojnë 50,000- 55,000 nxënës dhe 3000-3500 mësues dhe edukatorë.</w:t>
      </w:r>
    </w:p>
    <w:p w:rsidR="00112463" w:rsidRDefault="00112463" w:rsidP="00894DEB">
      <w:pPr>
        <w:ind w:left="360"/>
        <w:jc w:val="both"/>
        <w:rPr>
          <w:rFonts w:ascii="Cambria" w:hAnsi="Cambria" w:cs="Times New Roman"/>
          <w:lang w:val="sq-AL"/>
        </w:rPr>
      </w:pPr>
      <w:r>
        <w:rPr>
          <w:rFonts w:ascii="Cambria" w:hAnsi="Cambria" w:cs="Times New Roman"/>
          <w:lang w:val="sq-AL"/>
        </w:rPr>
        <w:t>N</w:t>
      </w:r>
      <w:r w:rsidR="007B0023">
        <w:rPr>
          <w:rFonts w:ascii="Cambria" w:hAnsi="Cambria" w:cs="Times New Roman"/>
          <w:lang w:val="sq-AL"/>
        </w:rPr>
        <w:t>ë</w:t>
      </w:r>
      <w:r>
        <w:rPr>
          <w:rFonts w:ascii="Cambria" w:hAnsi="Cambria" w:cs="Times New Roman"/>
          <w:lang w:val="sq-AL"/>
        </w:rPr>
        <w:t xml:space="preserve"> arsimin e lart</w:t>
      </w:r>
      <w:r w:rsidR="007B0023">
        <w:rPr>
          <w:rFonts w:ascii="Cambria" w:hAnsi="Cambria" w:cs="Times New Roman"/>
          <w:lang w:val="sq-AL"/>
        </w:rPr>
        <w:t>ë</w:t>
      </w:r>
      <w:r>
        <w:rPr>
          <w:rFonts w:ascii="Cambria" w:hAnsi="Cambria" w:cs="Times New Roman"/>
          <w:lang w:val="sq-AL"/>
        </w:rPr>
        <w:t xml:space="preserve"> vijon mb</w:t>
      </w:r>
      <w:r w:rsidR="007B0023">
        <w:rPr>
          <w:rFonts w:ascii="Cambria" w:hAnsi="Cambria" w:cs="Times New Roman"/>
          <w:lang w:val="sq-AL"/>
        </w:rPr>
        <w:t>ë</w:t>
      </w:r>
      <w:r>
        <w:rPr>
          <w:rFonts w:ascii="Cambria" w:hAnsi="Cambria" w:cs="Times New Roman"/>
          <w:lang w:val="sq-AL"/>
        </w:rPr>
        <w:t>shtetja e modernizimit t</w:t>
      </w:r>
      <w:r w:rsidR="007B0023">
        <w:rPr>
          <w:rFonts w:ascii="Cambria" w:hAnsi="Cambria" w:cs="Times New Roman"/>
          <w:lang w:val="sq-AL"/>
        </w:rPr>
        <w:t>ë</w:t>
      </w:r>
      <w:r>
        <w:rPr>
          <w:rFonts w:ascii="Cambria" w:hAnsi="Cambria" w:cs="Times New Roman"/>
          <w:lang w:val="sq-AL"/>
        </w:rPr>
        <w:t xml:space="preserve"> infrastrukturave akomoduese t</w:t>
      </w:r>
      <w:r w:rsidR="007B0023">
        <w:rPr>
          <w:rFonts w:ascii="Cambria" w:hAnsi="Cambria" w:cs="Times New Roman"/>
          <w:lang w:val="sq-AL"/>
        </w:rPr>
        <w:t>ë</w:t>
      </w:r>
      <w:r>
        <w:rPr>
          <w:rFonts w:ascii="Cambria" w:hAnsi="Cambria" w:cs="Times New Roman"/>
          <w:lang w:val="sq-AL"/>
        </w:rPr>
        <w:t xml:space="preserve"> student</w:t>
      </w:r>
      <w:r w:rsidR="007B0023">
        <w:rPr>
          <w:rFonts w:ascii="Cambria" w:hAnsi="Cambria" w:cs="Times New Roman"/>
          <w:lang w:val="sq-AL"/>
        </w:rPr>
        <w:t>ë</w:t>
      </w:r>
      <w:r>
        <w:rPr>
          <w:rFonts w:ascii="Cambria" w:hAnsi="Cambria" w:cs="Times New Roman"/>
          <w:lang w:val="sq-AL"/>
        </w:rPr>
        <w:t>ve si dhe investimet n</w:t>
      </w:r>
      <w:r w:rsidR="007B0023">
        <w:rPr>
          <w:rFonts w:ascii="Cambria" w:hAnsi="Cambria" w:cs="Times New Roman"/>
          <w:lang w:val="sq-AL"/>
        </w:rPr>
        <w:t>ë</w:t>
      </w:r>
      <w:r>
        <w:rPr>
          <w:rFonts w:ascii="Cambria" w:hAnsi="Cambria" w:cs="Times New Roman"/>
          <w:lang w:val="sq-AL"/>
        </w:rPr>
        <w:t xml:space="preserve"> p</w:t>
      </w:r>
      <w:r w:rsidR="007B0023">
        <w:rPr>
          <w:rFonts w:ascii="Cambria" w:hAnsi="Cambria" w:cs="Times New Roman"/>
          <w:lang w:val="sq-AL"/>
        </w:rPr>
        <w:t>ë</w:t>
      </w:r>
      <w:r>
        <w:rPr>
          <w:rFonts w:ascii="Cambria" w:hAnsi="Cambria" w:cs="Times New Roman"/>
          <w:lang w:val="sq-AL"/>
        </w:rPr>
        <w:t>rmir</w:t>
      </w:r>
      <w:r w:rsidR="007B0023">
        <w:rPr>
          <w:rFonts w:ascii="Cambria" w:hAnsi="Cambria" w:cs="Times New Roman"/>
          <w:lang w:val="sq-AL"/>
        </w:rPr>
        <w:t>ë</w:t>
      </w:r>
      <w:r>
        <w:rPr>
          <w:rFonts w:ascii="Cambria" w:hAnsi="Cambria" w:cs="Times New Roman"/>
          <w:lang w:val="sq-AL"/>
        </w:rPr>
        <w:t>simin e cil</w:t>
      </w:r>
      <w:r w:rsidR="007B0023">
        <w:rPr>
          <w:rFonts w:ascii="Cambria" w:hAnsi="Cambria" w:cs="Times New Roman"/>
          <w:lang w:val="sq-AL"/>
        </w:rPr>
        <w:t>ë</w:t>
      </w:r>
      <w:r>
        <w:rPr>
          <w:rFonts w:ascii="Cambria" w:hAnsi="Cambria" w:cs="Times New Roman"/>
          <w:lang w:val="sq-AL"/>
        </w:rPr>
        <w:t>sis</w:t>
      </w:r>
      <w:r w:rsidR="007B0023">
        <w:rPr>
          <w:rFonts w:ascii="Cambria" w:hAnsi="Cambria" w:cs="Times New Roman"/>
          <w:lang w:val="sq-AL"/>
        </w:rPr>
        <w:t>ë</w:t>
      </w:r>
      <w:r>
        <w:rPr>
          <w:rFonts w:ascii="Cambria" w:hAnsi="Cambria" w:cs="Times New Roman"/>
          <w:lang w:val="sq-AL"/>
        </w:rPr>
        <w:t xml:space="preserve"> s</w:t>
      </w:r>
      <w:r w:rsidR="007B0023">
        <w:rPr>
          <w:rFonts w:ascii="Cambria" w:hAnsi="Cambria" w:cs="Times New Roman"/>
          <w:lang w:val="sq-AL"/>
        </w:rPr>
        <w:t>ë</w:t>
      </w:r>
      <w:r>
        <w:rPr>
          <w:rFonts w:ascii="Cambria" w:hAnsi="Cambria" w:cs="Times New Roman"/>
          <w:lang w:val="sq-AL"/>
        </w:rPr>
        <w:t xml:space="preserve"> procesit t</w:t>
      </w:r>
      <w:r w:rsidR="007B0023">
        <w:rPr>
          <w:rFonts w:ascii="Cambria" w:hAnsi="Cambria" w:cs="Times New Roman"/>
          <w:lang w:val="sq-AL"/>
        </w:rPr>
        <w:t>ë</w:t>
      </w:r>
      <w:r>
        <w:rPr>
          <w:rFonts w:ascii="Cambria" w:hAnsi="Cambria" w:cs="Times New Roman"/>
          <w:lang w:val="sq-AL"/>
        </w:rPr>
        <w:t xml:space="preserve"> m</w:t>
      </w:r>
      <w:r w:rsidR="007B0023">
        <w:rPr>
          <w:rFonts w:ascii="Cambria" w:hAnsi="Cambria" w:cs="Times New Roman"/>
          <w:lang w:val="sq-AL"/>
        </w:rPr>
        <w:t>ë</w:t>
      </w:r>
      <w:r>
        <w:rPr>
          <w:rFonts w:ascii="Cambria" w:hAnsi="Cambria" w:cs="Times New Roman"/>
          <w:lang w:val="sq-AL"/>
        </w:rPr>
        <w:t>simdh</w:t>
      </w:r>
      <w:r w:rsidR="007B0023">
        <w:rPr>
          <w:rFonts w:ascii="Cambria" w:hAnsi="Cambria" w:cs="Times New Roman"/>
          <w:lang w:val="sq-AL"/>
        </w:rPr>
        <w:t>ë</w:t>
      </w:r>
      <w:r>
        <w:rPr>
          <w:rFonts w:ascii="Cambria" w:hAnsi="Cambria" w:cs="Times New Roman"/>
          <w:lang w:val="sq-AL"/>
        </w:rPr>
        <w:t>nies.</w:t>
      </w:r>
    </w:p>
    <w:p w:rsidR="00A42233" w:rsidRDefault="00A42233" w:rsidP="007133FB">
      <w:pPr>
        <w:numPr>
          <w:ilvl w:val="0"/>
          <w:numId w:val="3"/>
        </w:numPr>
        <w:jc w:val="both"/>
        <w:rPr>
          <w:rFonts w:ascii="Cambria" w:hAnsi="Cambria" w:cs="Times New Roman"/>
          <w:lang w:val="sq-AL"/>
        </w:rPr>
      </w:pPr>
      <w:r>
        <w:rPr>
          <w:rFonts w:ascii="Cambria" w:hAnsi="Cambria" w:cs="Times New Roman"/>
          <w:lang w:val="sq-AL"/>
        </w:rPr>
        <w:t>Sh</w:t>
      </w:r>
      <w:r w:rsidR="00836A0D">
        <w:rPr>
          <w:rFonts w:ascii="Cambria" w:hAnsi="Cambria" w:cs="Times New Roman"/>
          <w:lang w:val="sq-AL"/>
        </w:rPr>
        <w:t>ë</w:t>
      </w:r>
      <w:r>
        <w:rPr>
          <w:rFonts w:ascii="Cambria" w:hAnsi="Cambria" w:cs="Times New Roman"/>
          <w:lang w:val="sq-AL"/>
        </w:rPr>
        <w:t>ndet</w:t>
      </w:r>
      <w:r w:rsidR="00836A0D">
        <w:rPr>
          <w:rFonts w:ascii="Cambria" w:hAnsi="Cambria" w:cs="Times New Roman"/>
          <w:lang w:val="sq-AL"/>
        </w:rPr>
        <w:t>ësi</w:t>
      </w:r>
      <w:r w:rsidR="009B68D1">
        <w:rPr>
          <w:rFonts w:ascii="Cambria" w:hAnsi="Cambria" w:cs="Times New Roman"/>
          <w:lang w:val="sq-AL"/>
        </w:rPr>
        <w:t>a</w:t>
      </w:r>
      <w:r w:rsidR="00836A0D">
        <w:rPr>
          <w:rFonts w:ascii="Cambria" w:hAnsi="Cambria" w:cs="Times New Roman"/>
          <w:lang w:val="sq-AL"/>
        </w:rPr>
        <w:t>:</w:t>
      </w:r>
    </w:p>
    <w:p w:rsidR="00CC0372" w:rsidRPr="00CC0372" w:rsidRDefault="00836A0D" w:rsidP="00CC0372">
      <w:pPr>
        <w:ind w:left="360"/>
        <w:jc w:val="both"/>
        <w:rPr>
          <w:rFonts w:ascii="Cambria" w:hAnsi="Cambria" w:cs="Times New Roman"/>
          <w:lang w:val="sq-AL"/>
        </w:rPr>
      </w:pPr>
      <w:r>
        <w:rPr>
          <w:rFonts w:ascii="Cambria" w:hAnsi="Cambria" w:cs="Times New Roman"/>
          <w:lang w:val="sq-AL"/>
        </w:rPr>
        <w:t>Synohet rikonstruktimi i plot</w:t>
      </w:r>
      <w:r w:rsidR="00CF27FD">
        <w:rPr>
          <w:rFonts w:ascii="Cambria" w:hAnsi="Cambria" w:cs="Times New Roman"/>
          <w:lang w:val="sq-AL"/>
        </w:rPr>
        <w:t>ë</w:t>
      </w:r>
      <w:r>
        <w:rPr>
          <w:rFonts w:ascii="Cambria" w:hAnsi="Cambria" w:cs="Times New Roman"/>
          <w:lang w:val="sq-AL"/>
        </w:rPr>
        <w:t xml:space="preserve"> i </w:t>
      </w:r>
      <w:r w:rsidR="009F4233" w:rsidRPr="009F4233">
        <w:rPr>
          <w:rFonts w:ascii="Cambria" w:hAnsi="Cambria" w:cs="Times New Roman"/>
          <w:lang w:val="sq-AL"/>
        </w:rPr>
        <w:t xml:space="preserve">200 </w:t>
      </w:r>
      <w:r>
        <w:rPr>
          <w:rFonts w:ascii="Cambria" w:hAnsi="Cambria" w:cs="Times New Roman"/>
          <w:lang w:val="sq-AL"/>
        </w:rPr>
        <w:t>q</w:t>
      </w:r>
      <w:r w:rsidR="009F4233" w:rsidRPr="009F4233">
        <w:rPr>
          <w:rFonts w:ascii="Cambria" w:hAnsi="Cambria" w:cs="Times New Roman"/>
          <w:lang w:val="sq-AL"/>
        </w:rPr>
        <w:t>endra</w:t>
      </w:r>
      <w:r>
        <w:rPr>
          <w:rFonts w:ascii="Cambria" w:hAnsi="Cambria" w:cs="Times New Roman"/>
          <w:lang w:val="sq-AL"/>
        </w:rPr>
        <w:t>ve</w:t>
      </w:r>
      <w:r w:rsidR="009F4233" w:rsidRPr="009F4233">
        <w:rPr>
          <w:rFonts w:ascii="Cambria" w:hAnsi="Cambria" w:cs="Times New Roman"/>
          <w:lang w:val="sq-AL"/>
        </w:rPr>
        <w:t xml:space="preserve"> shëndetësore (100 Qe</w:t>
      </w:r>
      <w:r w:rsidR="0024373D">
        <w:rPr>
          <w:rFonts w:ascii="Cambria" w:hAnsi="Cambria" w:cs="Times New Roman"/>
          <w:lang w:val="sq-AL"/>
        </w:rPr>
        <w:t>ndra çdo vit) për periudhën 2020-2022</w:t>
      </w:r>
      <w:r w:rsidR="009F4233" w:rsidRPr="009F4233">
        <w:rPr>
          <w:rFonts w:ascii="Cambria" w:hAnsi="Cambria" w:cs="Times New Roman"/>
          <w:lang w:val="sq-AL"/>
        </w:rPr>
        <w:t xml:space="preserve">, </w:t>
      </w:r>
      <w:r w:rsidR="00CC0372" w:rsidRPr="00CC0372">
        <w:rPr>
          <w:rFonts w:ascii="Cambria" w:hAnsi="Cambria" w:cs="Times New Roman"/>
          <w:lang w:val="sq-AL"/>
        </w:rPr>
        <w:t>280 milionë lekë në vit. Këto qendra do të mobilohen dhe pajisen me pajisje mjekësore.</w:t>
      </w:r>
    </w:p>
    <w:p w:rsidR="00CC0372" w:rsidRDefault="00CC0372" w:rsidP="00CC0372">
      <w:pPr>
        <w:ind w:left="360"/>
        <w:jc w:val="both"/>
        <w:rPr>
          <w:rFonts w:ascii="Cambria" w:eastAsia="Calibri" w:hAnsi="Cambria" w:cs="Times New Roman"/>
          <w:lang w:val="sq-AL"/>
        </w:rPr>
      </w:pPr>
      <w:r w:rsidRPr="00CB0B43">
        <w:rPr>
          <w:rFonts w:ascii="Cambria" w:eastAsia="Calibri" w:hAnsi="Cambria" w:cs="Times New Roman"/>
          <w:lang w:val="sq-AL"/>
        </w:rPr>
        <w:t>Do të vijojë rehabilitimii QSUT me mbështetjen e CEB me një vlerë të parashikuar për periudhën 2019-2022 prej 1.7 miliardë lekë.</w:t>
      </w:r>
    </w:p>
    <w:p w:rsidR="00CC0372" w:rsidRPr="00CB0B43" w:rsidRDefault="00CC0372" w:rsidP="00CC0372">
      <w:pPr>
        <w:spacing w:after="200" w:line="276" w:lineRule="auto"/>
        <w:ind w:left="360"/>
        <w:contextualSpacing/>
        <w:jc w:val="both"/>
        <w:rPr>
          <w:rFonts w:ascii="Cambria" w:eastAsia="Calibri" w:hAnsi="Cambria" w:cs="Times New Roman"/>
          <w:lang w:val="sq-AL"/>
        </w:rPr>
      </w:pPr>
    </w:p>
    <w:p w:rsidR="00A42233" w:rsidRDefault="00A42233" w:rsidP="007133FB">
      <w:pPr>
        <w:numPr>
          <w:ilvl w:val="0"/>
          <w:numId w:val="3"/>
        </w:numPr>
        <w:jc w:val="both"/>
        <w:rPr>
          <w:rFonts w:ascii="Cambria" w:hAnsi="Cambria" w:cs="Times New Roman"/>
          <w:lang w:val="sq-AL"/>
        </w:rPr>
      </w:pPr>
      <w:r>
        <w:rPr>
          <w:rFonts w:ascii="Cambria" w:hAnsi="Cambria" w:cs="Times New Roman"/>
          <w:lang w:val="sq-AL"/>
        </w:rPr>
        <w:t>Bujq</w:t>
      </w:r>
      <w:r w:rsidR="00836A0D">
        <w:rPr>
          <w:rFonts w:ascii="Cambria" w:hAnsi="Cambria" w:cs="Times New Roman"/>
          <w:lang w:val="sq-AL"/>
        </w:rPr>
        <w:t>ësi</w:t>
      </w:r>
      <w:r w:rsidR="009B68D1">
        <w:rPr>
          <w:rFonts w:ascii="Cambria" w:hAnsi="Cambria" w:cs="Times New Roman"/>
          <w:lang w:val="sq-AL"/>
        </w:rPr>
        <w:t>a</w:t>
      </w:r>
      <w:r w:rsidR="00836A0D">
        <w:rPr>
          <w:rFonts w:ascii="Cambria" w:hAnsi="Cambria" w:cs="Times New Roman"/>
          <w:lang w:val="sq-AL"/>
        </w:rPr>
        <w:t>:</w:t>
      </w:r>
    </w:p>
    <w:p w:rsidR="00A42233" w:rsidRPr="007B0023" w:rsidRDefault="00A375AC" w:rsidP="00894DEB">
      <w:pPr>
        <w:ind w:left="360"/>
        <w:jc w:val="both"/>
        <w:rPr>
          <w:rFonts w:ascii="Cambria" w:hAnsi="Cambria" w:cs="Times New Roman"/>
          <w:lang w:val="sq-AL"/>
        </w:rPr>
      </w:pPr>
      <w:r w:rsidRPr="007B0023">
        <w:rPr>
          <w:rFonts w:ascii="Cambria" w:hAnsi="Cambria" w:cs="Times New Roman"/>
          <w:lang w:val="sq-AL"/>
        </w:rPr>
        <w:t xml:space="preserve">Rritja e produktivitetit në fermat e mëdha do të vazhdojë të mbështetet me </w:t>
      </w:r>
      <w:r w:rsidR="007B0023" w:rsidRPr="007B0023">
        <w:rPr>
          <w:rFonts w:ascii="Cambria" w:hAnsi="Cambria" w:cs="Times New Roman"/>
          <w:lang w:val="sq-AL"/>
        </w:rPr>
        <w:t>9</w:t>
      </w:r>
      <w:r w:rsidRPr="007B0023">
        <w:rPr>
          <w:rFonts w:ascii="Cambria" w:hAnsi="Cambria" w:cs="Times New Roman"/>
          <w:lang w:val="sq-AL"/>
        </w:rPr>
        <w:t xml:space="preserve"> miliardë lekë të siguruara nga programi IPARD. Këto fonde do të përmirësojnë prodhimin, përpunimin dhe tregtimin e produkteve bujqësore për të rritur sasinë dhe sigurinë ushqimore të tyre. Do të </w:t>
      </w:r>
      <w:r w:rsidRPr="007B0023">
        <w:rPr>
          <w:rFonts w:ascii="Cambria" w:hAnsi="Cambria" w:cs="Times New Roman"/>
          <w:lang w:val="sq-AL"/>
        </w:rPr>
        <w:lastRenderedPageBreak/>
        <w:t xml:space="preserve">vazhdojmë investimet me </w:t>
      </w:r>
      <w:r w:rsidR="00836A0D" w:rsidRPr="007B0023">
        <w:rPr>
          <w:rFonts w:ascii="Cambria" w:hAnsi="Cambria" w:cs="Times New Roman"/>
          <w:lang w:val="sq-AL"/>
        </w:rPr>
        <w:t>synimin “ujë në çdo parcelë”</w:t>
      </w:r>
      <w:r w:rsidRPr="007B0023">
        <w:rPr>
          <w:rFonts w:ascii="Cambria" w:hAnsi="Cambria" w:cs="Times New Roman"/>
          <w:lang w:val="sq-AL"/>
        </w:rPr>
        <w:t xml:space="preserve"> si dhe përmirësimin e kullimit përmes thellimit të decentralizimit dhe rritjes së investimeve në sektor.</w:t>
      </w:r>
    </w:p>
    <w:p w:rsidR="00FB3DCA" w:rsidRPr="007B0023" w:rsidRDefault="009F4233" w:rsidP="007133FB">
      <w:pPr>
        <w:numPr>
          <w:ilvl w:val="0"/>
          <w:numId w:val="3"/>
        </w:numPr>
        <w:jc w:val="both"/>
        <w:rPr>
          <w:rFonts w:ascii="Cambria" w:hAnsi="Cambria" w:cs="Times New Roman"/>
          <w:lang w:val="sq-AL"/>
        </w:rPr>
      </w:pPr>
      <w:r w:rsidRPr="007B0023">
        <w:rPr>
          <w:rFonts w:ascii="Cambria" w:hAnsi="Cambria" w:cs="Times New Roman"/>
          <w:lang w:val="sq-AL"/>
        </w:rPr>
        <w:t>Infrastruktur</w:t>
      </w:r>
      <w:r w:rsidR="00836A0D" w:rsidRPr="007B0023">
        <w:rPr>
          <w:rFonts w:ascii="Cambria" w:hAnsi="Cambria" w:cs="Times New Roman"/>
          <w:lang w:val="sq-AL"/>
        </w:rPr>
        <w:t>a</w:t>
      </w:r>
      <w:r w:rsidRPr="007B0023">
        <w:rPr>
          <w:rFonts w:ascii="Cambria" w:hAnsi="Cambria" w:cs="Times New Roman"/>
          <w:lang w:val="sq-AL"/>
        </w:rPr>
        <w:t xml:space="preserve"> Rurale</w:t>
      </w:r>
      <w:r w:rsidR="00836A0D" w:rsidRPr="007B0023">
        <w:rPr>
          <w:rFonts w:ascii="Cambria" w:hAnsi="Cambria" w:cs="Times New Roman"/>
          <w:lang w:val="sq-AL"/>
        </w:rPr>
        <w:t>:</w:t>
      </w:r>
    </w:p>
    <w:p w:rsidR="00CF27FD" w:rsidRPr="007B0023" w:rsidRDefault="009F4233" w:rsidP="00894DEB">
      <w:pPr>
        <w:ind w:left="360"/>
        <w:jc w:val="both"/>
        <w:rPr>
          <w:rFonts w:ascii="Cambria" w:hAnsi="Cambria" w:cs="Times New Roman"/>
          <w:lang w:val="sq-AL"/>
        </w:rPr>
      </w:pPr>
      <w:r w:rsidRPr="007B0023">
        <w:rPr>
          <w:rFonts w:ascii="Cambria" w:hAnsi="Cambria" w:cs="Times New Roman"/>
          <w:lang w:val="sq-AL"/>
        </w:rPr>
        <w:t>“Rilindja rurale” do të jetë programi i integruar i zhvillimit të qendrave të banuara, zonave me interes turistik, apo i zonave rurale në të cilat do të synohet përmirësimi infrastrukturës, vlerësimi i traditave dhe trashëgimisë kulturore, rritja e nivelit të shërbimeve publike, përmirësimi estetik i qendrave të banuara që i jep mundësi zonave të caktuara rura</w:t>
      </w:r>
      <w:r w:rsidR="009B68D1" w:rsidRPr="007B0023">
        <w:rPr>
          <w:rFonts w:ascii="Cambria" w:hAnsi="Cambria" w:cs="Times New Roman"/>
          <w:lang w:val="sq-AL"/>
        </w:rPr>
        <w:t>le të kenë një trend pozitiv zh</w:t>
      </w:r>
      <w:r w:rsidRPr="007B0023">
        <w:rPr>
          <w:rFonts w:ascii="Cambria" w:hAnsi="Cambria" w:cs="Times New Roman"/>
          <w:lang w:val="sq-AL"/>
        </w:rPr>
        <w:t>villimi ekonomik, të diversifikuar dhe të qëndrueshëm, duke krijuar njëherazi edhe premisat për zhvillimin e turizmit dhe agroturizmit. P</w:t>
      </w:r>
      <w:r w:rsidR="00836A0D" w:rsidRPr="007B0023">
        <w:rPr>
          <w:rFonts w:ascii="Cambria" w:hAnsi="Cambria" w:cs="Times New Roman"/>
          <w:lang w:val="sq-AL"/>
        </w:rPr>
        <w:t>ë</w:t>
      </w:r>
      <w:r w:rsidRPr="007B0023">
        <w:rPr>
          <w:rFonts w:ascii="Cambria" w:hAnsi="Cambria" w:cs="Times New Roman"/>
          <w:lang w:val="sq-AL"/>
        </w:rPr>
        <w:t>r k</w:t>
      </w:r>
      <w:r w:rsidR="00836A0D" w:rsidRPr="007B0023">
        <w:rPr>
          <w:rFonts w:ascii="Cambria" w:hAnsi="Cambria" w:cs="Times New Roman"/>
          <w:lang w:val="sq-AL"/>
        </w:rPr>
        <w:t>ë</w:t>
      </w:r>
      <w:r w:rsidRPr="007B0023">
        <w:rPr>
          <w:rFonts w:ascii="Cambria" w:hAnsi="Cambria" w:cs="Times New Roman"/>
          <w:lang w:val="sq-AL"/>
        </w:rPr>
        <w:t>t</w:t>
      </w:r>
      <w:r w:rsidR="00836A0D" w:rsidRPr="007B0023">
        <w:rPr>
          <w:rFonts w:ascii="Cambria" w:hAnsi="Cambria" w:cs="Times New Roman"/>
          <w:lang w:val="sq-AL"/>
        </w:rPr>
        <w:t>ë</w:t>
      </w:r>
      <w:r w:rsidRPr="007B0023">
        <w:rPr>
          <w:rFonts w:ascii="Cambria" w:hAnsi="Cambria" w:cs="Times New Roman"/>
          <w:lang w:val="sq-AL"/>
        </w:rPr>
        <w:t xml:space="preserve"> q</w:t>
      </w:r>
      <w:r w:rsidR="00836A0D" w:rsidRPr="007B0023">
        <w:rPr>
          <w:rFonts w:ascii="Cambria" w:hAnsi="Cambria" w:cs="Times New Roman"/>
          <w:lang w:val="sq-AL"/>
        </w:rPr>
        <w:t>ë</w:t>
      </w:r>
      <w:r w:rsidRPr="007B0023">
        <w:rPr>
          <w:rFonts w:ascii="Cambria" w:hAnsi="Cambria" w:cs="Times New Roman"/>
          <w:lang w:val="sq-AL"/>
        </w:rPr>
        <w:t>llim do t</w:t>
      </w:r>
      <w:r w:rsidR="00836A0D" w:rsidRPr="007B0023">
        <w:rPr>
          <w:rFonts w:ascii="Cambria" w:hAnsi="Cambria" w:cs="Times New Roman"/>
          <w:lang w:val="sq-AL"/>
        </w:rPr>
        <w:t>ë</w:t>
      </w:r>
      <w:r w:rsidRPr="007B0023">
        <w:rPr>
          <w:rFonts w:ascii="Cambria" w:hAnsi="Cambria" w:cs="Times New Roman"/>
          <w:lang w:val="sq-AL"/>
        </w:rPr>
        <w:t xml:space="preserve"> investohen p</w:t>
      </w:r>
      <w:r w:rsidR="00836A0D" w:rsidRPr="007B0023">
        <w:rPr>
          <w:rFonts w:ascii="Cambria" w:hAnsi="Cambria" w:cs="Times New Roman"/>
          <w:lang w:val="sq-AL"/>
        </w:rPr>
        <w:t>ë</w:t>
      </w:r>
      <w:r w:rsidRPr="007B0023">
        <w:rPr>
          <w:rFonts w:ascii="Cambria" w:hAnsi="Cambria" w:cs="Times New Roman"/>
          <w:lang w:val="sq-AL"/>
        </w:rPr>
        <w:t>rmes Fondit Shqiptar t</w:t>
      </w:r>
      <w:r w:rsidR="00836A0D" w:rsidRPr="007B0023">
        <w:rPr>
          <w:rFonts w:ascii="Cambria" w:hAnsi="Cambria" w:cs="Times New Roman"/>
          <w:lang w:val="sq-AL"/>
        </w:rPr>
        <w:t>ë</w:t>
      </w:r>
      <w:r w:rsidRPr="007B0023">
        <w:rPr>
          <w:rFonts w:ascii="Cambria" w:hAnsi="Cambria" w:cs="Times New Roman"/>
          <w:lang w:val="sq-AL"/>
        </w:rPr>
        <w:t xml:space="preserve"> Zhvillimit, n</w:t>
      </w:r>
      <w:r w:rsidR="00836A0D" w:rsidRPr="007B0023">
        <w:rPr>
          <w:rFonts w:ascii="Cambria" w:hAnsi="Cambria" w:cs="Times New Roman"/>
          <w:lang w:val="sq-AL"/>
        </w:rPr>
        <w:t>ë</w:t>
      </w:r>
      <w:r w:rsidR="007B0023" w:rsidRPr="007B0023">
        <w:rPr>
          <w:rFonts w:ascii="Cambria" w:hAnsi="Cambria" w:cs="Times New Roman"/>
          <w:lang w:val="sq-AL"/>
        </w:rPr>
        <w:t xml:space="preserve"> programin “100 Fshatrat”</w:t>
      </w:r>
      <w:r w:rsidRPr="007B0023">
        <w:rPr>
          <w:rFonts w:ascii="Cambria" w:hAnsi="Cambria" w:cs="Times New Roman"/>
          <w:lang w:val="sq-AL"/>
        </w:rPr>
        <w:t xml:space="preserve"> p</w:t>
      </w:r>
      <w:r w:rsidR="00836A0D" w:rsidRPr="007B0023">
        <w:rPr>
          <w:rFonts w:ascii="Cambria" w:hAnsi="Cambria" w:cs="Times New Roman"/>
          <w:lang w:val="sq-AL"/>
        </w:rPr>
        <w:t>ë</w:t>
      </w:r>
      <w:r w:rsidRPr="007B0023">
        <w:rPr>
          <w:rFonts w:ascii="Cambria" w:hAnsi="Cambria" w:cs="Times New Roman"/>
          <w:lang w:val="sq-AL"/>
        </w:rPr>
        <w:t>r periudh</w:t>
      </w:r>
      <w:r w:rsidR="00836A0D" w:rsidRPr="007B0023">
        <w:rPr>
          <w:rFonts w:ascii="Cambria" w:hAnsi="Cambria" w:cs="Times New Roman"/>
          <w:lang w:val="sq-AL"/>
        </w:rPr>
        <w:t>ë</w:t>
      </w:r>
      <w:r w:rsidR="0024373D" w:rsidRPr="007B0023">
        <w:rPr>
          <w:rFonts w:ascii="Cambria" w:hAnsi="Cambria" w:cs="Times New Roman"/>
          <w:lang w:val="sq-AL"/>
        </w:rPr>
        <w:t>n 2020-2022</w:t>
      </w:r>
      <w:r w:rsidRPr="007B0023">
        <w:rPr>
          <w:rFonts w:ascii="Cambria" w:hAnsi="Cambria" w:cs="Times New Roman"/>
          <w:lang w:val="sq-AL"/>
        </w:rPr>
        <w:t xml:space="preserve"> rreth </w:t>
      </w:r>
      <w:r w:rsidR="007B0023" w:rsidRPr="007B0023">
        <w:rPr>
          <w:rFonts w:ascii="Cambria" w:hAnsi="Cambria" w:cs="Times New Roman"/>
          <w:lang w:val="sq-AL"/>
        </w:rPr>
        <w:t>3</w:t>
      </w:r>
      <w:r w:rsidRPr="007B0023">
        <w:rPr>
          <w:rFonts w:ascii="Cambria" w:hAnsi="Cambria" w:cs="Times New Roman"/>
          <w:lang w:val="sq-AL"/>
        </w:rPr>
        <w:t xml:space="preserve"> miliard</w:t>
      </w:r>
      <w:r w:rsidR="00836A0D" w:rsidRPr="007B0023">
        <w:rPr>
          <w:rFonts w:ascii="Cambria" w:hAnsi="Cambria" w:cs="Times New Roman"/>
          <w:lang w:val="sq-AL"/>
        </w:rPr>
        <w:t>ë</w:t>
      </w:r>
      <w:r w:rsidRPr="007B0023">
        <w:rPr>
          <w:rFonts w:ascii="Cambria" w:hAnsi="Cambria" w:cs="Times New Roman"/>
          <w:lang w:val="sq-AL"/>
        </w:rPr>
        <w:t xml:space="preserve"> lek</w:t>
      </w:r>
      <w:r w:rsidR="00836A0D" w:rsidRPr="007B0023">
        <w:rPr>
          <w:rFonts w:ascii="Cambria" w:hAnsi="Cambria" w:cs="Times New Roman"/>
          <w:lang w:val="sq-AL"/>
        </w:rPr>
        <w:t>ë</w:t>
      </w:r>
      <w:r w:rsidRPr="007B0023">
        <w:rPr>
          <w:rFonts w:ascii="Cambria" w:hAnsi="Cambria" w:cs="Times New Roman"/>
          <w:lang w:val="sq-AL"/>
        </w:rPr>
        <w:t>.</w:t>
      </w:r>
      <w:r w:rsidR="00836A0D" w:rsidRPr="007B0023">
        <w:rPr>
          <w:rFonts w:ascii="Cambria" w:hAnsi="Cambria" w:cs="Times New Roman"/>
          <w:lang w:val="sq-AL"/>
        </w:rPr>
        <w:t xml:space="preserve"> </w:t>
      </w:r>
    </w:p>
    <w:p w:rsidR="006F2263" w:rsidRPr="00A72BF9" w:rsidRDefault="00CF27FD" w:rsidP="00A72BF9">
      <w:pPr>
        <w:ind w:left="360"/>
        <w:jc w:val="both"/>
        <w:rPr>
          <w:rFonts w:ascii="Cambria" w:hAnsi="Cambria" w:cs="Times New Roman"/>
          <w:lang w:val="sq-AL"/>
        </w:rPr>
      </w:pPr>
      <w:r w:rsidRPr="007B0023">
        <w:rPr>
          <w:rFonts w:ascii="Cambria" w:hAnsi="Cambria" w:cs="Times New Roman"/>
          <w:lang w:val="sq-AL"/>
        </w:rPr>
        <w:t xml:space="preserve">Në këtë kuadër programi 100 Fshatrat do </w:t>
      </w:r>
      <w:r w:rsidR="005B55EE" w:rsidRPr="007B0023">
        <w:rPr>
          <w:rFonts w:ascii="Cambria" w:hAnsi="Cambria" w:cs="Times New Roman"/>
          <w:lang w:val="sq-AL"/>
        </w:rPr>
        <w:t>t</w:t>
      </w:r>
      <w:r w:rsidRPr="007B0023">
        <w:rPr>
          <w:rFonts w:ascii="Cambria" w:hAnsi="Cambria" w:cs="Times New Roman"/>
          <w:lang w:val="sq-AL"/>
        </w:rPr>
        <w:t>ë</w:t>
      </w:r>
      <w:r w:rsidR="005B55EE" w:rsidRPr="007B0023">
        <w:rPr>
          <w:rFonts w:ascii="Cambria" w:hAnsi="Cambria" w:cs="Times New Roman"/>
          <w:lang w:val="sq-AL"/>
        </w:rPr>
        <w:t xml:space="preserve"> synoj të koordinojë ndërhyrjet zhvillimore në hapësirën rurale të 100 fshatrave, sipas qasjes ndërsektoriale dhe me shumë aktorë, si fokusim i qendërzuar i investimeve publike, atyre të donatorëve dhe i investimeve private, në hapësirën e 100 fshatrave, me potenciale të larta zhvillimi ekonomiko-sociale, të agroturizmit e turizmit rural, natyrës dhe mjedisit, si dhe të trashëgimisë kulturore.</w:t>
      </w:r>
      <w:r w:rsidRPr="00CF27FD">
        <w:rPr>
          <w:rFonts w:ascii="Cambria" w:hAnsi="Cambria" w:cs="Times New Roman"/>
          <w:lang w:val="sq-AL"/>
        </w:rPr>
        <w:t xml:space="preserve"> </w:t>
      </w:r>
    </w:p>
    <w:p w:rsidR="0012634D" w:rsidRDefault="0012634D" w:rsidP="00894DEB">
      <w:pPr>
        <w:pStyle w:val="Default"/>
        <w:spacing w:line="276" w:lineRule="auto"/>
        <w:jc w:val="both"/>
        <w:rPr>
          <w:rFonts w:ascii="Cambria" w:eastAsia="Times New Roman" w:hAnsi="Cambria" w:cs="Arial"/>
          <w:b/>
          <w:bCs/>
          <w:iCs/>
          <w:noProof/>
          <w:color w:val="auto"/>
          <w:sz w:val="28"/>
          <w:szCs w:val="28"/>
          <w:lang w:val="en" w:eastAsia="sq-AL"/>
        </w:rPr>
      </w:pPr>
    </w:p>
    <w:p w:rsidR="0012634D" w:rsidRDefault="0012634D" w:rsidP="00894DEB">
      <w:pPr>
        <w:pStyle w:val="Default"/>
        <w:spacing w:line="276" w:lineRule="auto"/>
        <w:jc w:val="both"/>
        <w:rPr>
          <w:rFonts w:ascii="Cambria" w:eastAsia="Times New Roman" w:hAnsi="Cambria" w:cs="Arial"/>
          <w:b/>
          <w:bCs/>
          <w:iCs/>
          <w:noProof/>
          <w:color w:val="auto"/>
          <w:sz w:val="28"/>
          <w:szCs w:val="28"/>
          <w:lang w:val="en" w:eastAsia="sq-AL"/>
        </w:rPr>
      </w:pPr>
    </w:p>
    <w:p w:rsidR="0012634D" w:rsidRDefault="0012634D" w:rsidP="00894DEB">
      <w:pPr>
        <w:pStyle w:val="Default"/>
        <w:spacing w:line="276" w:lineRule="auto"/>
        <w:jc w:val="both"/>
        <w:rPr>
          <w:rFonts w:ascii="Cambria" w:eastAsia="Times New Roman" w:hAnsi="Cambria" w:cs="Arial"/>
          <w:b/>
          <w:bCs/>
          <w:iCs/>
          <w:noProof/>
          <w:color w:val="auto"/>
          <w:sz w:val="28"/>
          <w:szCs w:val="28"/>
          <w:lang w:val="en" w:eastAsia="sq-AL"/>
        </w:rPr>
      </w:pPr>
    </w:p>
    <w:p w:rsidR="0012634D" w:rsidRDefault="0012634D" w:rsidP="00894DEB">
      <w:pPr>
        <w:pStyle w:val="Default"/>
        <w:spacing w:line="276" w:lineRule="auto"/>
        <w:jc w:val="both"/>
        <w:rPr>
          <w:rFonts w:ascii="Cambria" w:eastAsia="Times New Roman" w:hAnsi="Cambria" w:cs="Arial"/>
          <w:b/>
          <w:bCs/>
          <w:iCs/>
          <w:noProof/>
          <w:color w:val="auto"/>
          <w:sz w:val="28"/>
          <w:szCs w:val="28"/>
          <w:lang w:val="en" w:eastAsia="sq-AL"/>
        </w:rPr>
      </w:pPr>
    </w:p>
    <w:p w:rsidR="0012634D" w:rsidRDefault="0012634D" w:rsidP="00894DEB">
      <w:pPr>
        <w:pStyle w:val="Default"/>
        <w:spacing w:line="276" w:lineRule="auto"/>
        <w:jc w:val="both"/>
        <w:rPr>
          <w:rFonts w:ascii="Cambria" w:eastAsia="Times New Roman" w:hAnsi="Cambria" w:cs="Arial"/>
          <w:b/>
          <w:bCs/>
          <w:iCs/>
          <w:noProof/>
          <w:color w:val="auto"/>
          <w:sz w:val="28"/>
          <w:szCs w:val="28"/>
          <w:lang w:val="en" w:eastAsia="sq-AL"/>
        </w:rPr>
      </w:pPr>
    </w:p>
    <w:p w:rsidR="0012634D" w:rsidRDefault="0012634D"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3B7710" w:rsidRDefault="003B7710" w:rsidP="00894DEB">
      <w:pPr>
        <w:pStyle w:val="Default"/>
        <w:spacing w:line="276" w:lineRule="auto"/>
        <w:jc w:val="both"/>
        <w:rPr>
          <w:rFonts w:ascii="Cambria" w:hAnsi="Cambria" w:cs="Times New Roman"/>
          <w:color w:val="auto"/>
          <w:sz w:val="22"/>
          <w:szCs w:val="22"/>
          <w:lang w:val="en"/>
        </w:rPr>
      </w:pPr>
    </w:p>
    <w:p w:rsidR="00656466" w:rsidRPr="00405A65" w:rsidRDefault="00EA54EE" w:rsidP="00EA54EE">
      <w:pPr>
        <w:pStyle w:val="Heading1"/>
        <w:rPr>
          <w:rFonts w:ascii="Cambria" w:hAnsi="Cambria"/>
          <w:b/>
          <w:color w:val="auto"/>
          <w:sz w:val="36"/>
          <w:lang w:val="en"/>
        </w:rPr>
      </w:pPr>
      <w:bookmarkStart w:id="4" w:name="_Toc13653973"/>
      <w:r w:rsidRPr="00405A65">
        <w:rPr>
          <w:rFonts w:ascii="Cambria" w:hAnsi="Cambria"/>
          <w:b/>
          <w:color w:val="auto"/>
          <w:sz w:val="36"/>
          <w:lang w:val="en"/>
        </w:rPr>
        <w:lastRenderedPageBreak/>
        <w:t>K</w:t>
      </w:r>
      <w:r w:rsidR="00D9146A">
        <w:rPr>
          <w:rFonts w:ascii="Cambria" w:hAnsi="Cambria"/>
          <w:b/>
          <w:color w:val="auto"/>
          <w:sz w:val="36"/>
          <w:lang w:val="en"/>
        </w:rPr>
        <w:t>UADRI MAKROEKONOMIK DHE FISKAL</w:t>
      </w:r>
      <w:r w:rsidR="00405A65">
        <w:rPr>
          <w:rFonts w:ascii="Cambria" w:hAnsi="Cambria"/>
          <w:b/>
          <w:color w:val="auto"/>
          <w:sz w:val="36"/>
          <w:lang w:val="en"/>
        </w:rPr>
        <w:t xml:space="preserve"> 2020</w:t>
      </w:r>
      <w:r w:rsidRPr="00405A65">
        <w:rPr>
          <w:rFonts w:ascii="Cambria" w:hAnsi="Cambria"/>
          <w:b/>
          <w:color w:val="auto"/>
          <w:sz w:val="36"/>
          <w:lang w:val="en"/>
        </w:rPr>
        <w:t>-202</w:t>
      </w:r>
      <w:r w:rsidR="00405A65">
        <w:rPr>
          <w:rFonts w:ascii="Cambria" w:hAnsi="Cambria"/>
          <w:b/>
          <w:color w:val="auto"/>
          <w:sz w:val="36"/>
          <w:lang w:val="en"/>
        </w:rPr>
        <w:t>2</w:t>
      </w:r>
      <w:bookmarkEnd w:id="4"/>
    </w:p>
    <w:p w:rsidR="005119BD" w:rsidRPr="005119BD" w:rsidRDefault="005119BD" w:rsidP="005119BD">
      <w:pPr>
        <w:spacing w:before="120" w:after="120" w:line="242" w:lineRule="auto"/>
        <w:ind w:firstLine="432"/>
        <w:jc w:val="both"/>
        <w:rPr>
          <w:rFonts w:ascii="Cambria" w:eastAsia="Calibri" w:hAnsi="Cambria" w:cs="Calibri"/>
          <w:lang w:val="sq-AL"/>
        </w:rPr>
      </w:pPr>
      <w:r w:rsidRPr="005119BD">
        <w:rPr>
          <w:rFonts w:ascii="Cambria" w:eastAsia="Calibri" w:hAnsi="Cambria" w:cs="Calibri"/>
          <w:lang w:val="sq-AL"/>
        </w:rPr>
        <w:t>Kuadri Makroekonomik e Fiskal (KMF) fillestar për periudhën 2020-2022</w:t>
      </w:r>
      <w:r w:rsidRPr="005119BD">
        <w:rPr>
          <w:rFonts w:ascii="Cambria" w:eastAsia="Calibri" w:hAnsi="Cambria" w:cs="Calibri"/>
          <w:vertAlign w:val="superscript"/>
          <w:lang w:val="sq-AL"/>
        </w:rPr>
        <w:footnoteReference w:id="1"/>
      </w:r>
      <w:r w:rsidRPr="005119BD">
        <w:rPr>
          <w:rFonts w:ascii="Cambria" w:eastAsia="Calibri" w:hAnsi="Cambria" w:cs="Calibri"/>
          <w:lang w:val="sq-AL"/>
        </w:rPr>
        <w:t xml:space="preserve"> është pjesë e Sistemit të Planifikimit të Integruar dhe përgatitet nga Ministria e Financave. KMF ka për qëllim përcaktimin e përparësive strategjike të Qeverisë. Ai projekton pritshmërinë makroekonomike në horizontin kohor afatmesëm, si dhe parashikon nivelin e zërave të agreguar të të ardhurave dhe shpenzimeve të buxhetit të shtetit. Ai përcakton synimet dhe objektivat e qeverisë në lidhje me treguesit kryesor të politikës fiskale si: balancën e përgjithshme fiskale (deficitin), huamarrjen, borxhin publik, balancën fiskale primare e atë korrente. KMF shërben si pikënisje për përcaktimin e tavaneve për të</w:t>
      </w:r>
      <w:r w:rsidRPr="005119BD" w:rsidDel="00571E3A">
        <w:rPr>
          <w:rFonts w:ascii="Cambria" w:eastAsia="Calibri" w:hAnsi="Cambria" w:cs="Calibri"/>
          <w:lang w:val="sq-AL"/>
        </w:rPr>
        <w:t xml:space="preserve"> filluar pro</w:t>
      </w:r>
      <w:r w:rsidRPr="005119BD">
        <w:rPr>
          <w:rFonts w:ascii="Cambria" w:eastAsia="Calibri" w:hAnsi="Cambria" w:cs="Calibri"/>
          <w:lang w:val="sq-AL"/>
        </w:rPr>
        <w:t>c</w:t>
      </w:r>
      <w:r w:rsidRPr="005119BD" w:rsidDel="00571E3A">
        <w:rPr>
          <w:rFonts w:ascii="Cambria" w:eastAsia="Calibri" w:hAnsi="Cambria" w:cs="Calibri"/>
          <w:lang w:val="sq-AL"/>
        </w:rPr>
        <w:t xml:space="preserve">esin e </w:t>
      </w:r>
      <w:r w:rsidRPr="005119BD">
        <w:rPr>
          <w:rFonts w:ascii="Cambria" w:eastAsia="Calibri" w:hAnsi="Cambria" w:cs="Calibri"/>
          <w:lang w:val="sq-AL"/>
        </w:rPr>
        <w:t xml:space="preserve">përgatitjes sëProgramit Buxhetor Afatmesëm (PBA) 2020-2022 në nivel ministrie. </w:t>
      </w:r>
    </w:p>
    <w:p w:rsidR="005119BD" w:rsidRPr="005119BD" w:rsidRDefault="005119BD" w:rsidP="005119BD">
      <w:pPr>
        <w:spacing w:before="120" w:after="120" w:line="242" w:lineRule="auto"/>
        <w:jc w:val="both"/>
        <w:rPr>
          <w:rFonts w:ascii="Cambria" w:eastAsia="Calibri" w:hAnsi="Cambria" w:cs="Calibri"/>
          <w:lang w:val="sq-AL"/>
        </w:rPr>
      </w:pPr>
      <w:r w:rsidRPr="005119BD" w:rsidDel="00571E3A">
        <w:rPr>
          <w:rFonts w:ascii="Cambria" w:eastAsia="Calibri" w:hAnsi="Cambria" w:cs="Calibri"/>
          <w:lang w:val="sq-AL"/>
        </w:rPr>
        <w:t>K</w:t>
      </w:r>
      <w:r w:rsidRPr="005119BD">
        <w:rPr>
          <w:rFonts w:ascii="Cambria" w:eastAsia="Calibri" w:hAnsi="Cambria" w:cs="Calibri"/>
          <w:lang w:val="sq-AL"/>
        </w:rPr>
        <w:t>MF</w:t>
      </w:r>
      <w:r w:rsidRPr="005119BD" w:rsidDel="00571E3A">
        <w:rPr>
          <w:rFonts w:ascii="Cambria" w:eastAsia="Calibri" w:hAnsi="Cambria" w:cs="Calibri"/>
          <w:lang w:val="sq-AL"/>
        </w:rPr>
        <w:t xml:space="preserve"> fillestar miratohet nga </w:t>
      </w:r>
      <w:r w:rsidRPr="005119BD">
        <w:rPr>
          <w:rFonts w:ascii="Cambria" w:eastAsia="Calibri" w:hAnsi="Cambria" w:cs="Calibri"/>
          <w:lang w:val="sq-AL"/>
        </w:rPr>
        <w:t>Këshilli i Ministrave në muajin janar (ose shkurt) të</w:t>
      </w:r>
      <w:r w:rsidR="00CC67FD">
        <w:rPr>
          <w:rFonts w:ascii="Cambria" w:eastAsia="Calibri" w:hAnsi="Cambria" w:cs="Calibri"/>
          <w:lang w:val="sq-AL"/>
        </w:rPr>
        <w:t xml:space="preserve"> </w:t>
      </w:r>
      <w:r w:rsidRPr="005119BD">
        <w:rPr>
          <w:rFonts w:ascii="Cambria" w:eastAsia="Calibri" w:hAnsi="Cambria" w:cs="Calibri"/>
          <w:lang w:val="sq-AL"/>
        </w:rPr>
        <w:t>ç</w:t>
      </w:r>
      <w:r w:rsidRPr="005119BD" w:rsidDel="00571E3A">
        <w:rPr>
          <w:rFonts w:ascii="Cambria" w:eastAsia="Calibri" w:hAnsi="Cambria" w:cs="Calibri"/>
          <w:lang w:val="sq-AL"/>
        </w:rPr>
        <w:t>do viti</w:t>
      </w:r>
      <w:r w:rsidRPr="005119BD">
        <w:rPr>
          <w:rFonts w:ascii="Cambria" w:eastAsia="Calibri" w:hAnsi="Cambria" w:cs="Calibri"/>
          <w:lang w:val="sq-AL"/>
        </w:rPr>
        <w:t xml:space="preserve">, dhe është subjekt rishikimi dhe përditësimi, nëse ka ndryshime substanciale, në dy momente kyç gjatë vitit: </w:t>
      </w:r>
      <w:r w:rsidRPr="005119BD">
        <w:rPr>
          <w:rFonts w:ascii="Cambria" w:eastAsia="Calibri" w:hAnsi="Cambria" w:cs="Calibri"/>
          <w:i/>
          <w:lang w:val="sq-AL"/>
        </w:rPr>
        <w:t>(i)</w:t>
      </w:r>
      <w:r w:rsidRPr="005119BD">
        <w:rPr>
          <w:rFonts w:ascii="Cambria" w:eastAsia="Calibri" w:hAnsi="Cambria" w:cs="Calibri"/>
          <w:lang w:val="sq-AL"/>
        </w:rPr>
        <w:t xml:space="preserve"> në muajin qershor, përpara finalizimit të PBA-së dhe të tavaneve të PBA-së për shpenzimet, si dhe </w:t>
      </w:r>
      <w:r w:rsidRPr="005119BD">
        <w:rPr>
          <w:rFonts w:ascii="Cambria" w:eastAsia="Calibri" w:hAnsi="Cambria" w:cs="Calibri"/>
          <w:i/>
          <w:lang w:val="sq-AL"/>
        </w:rPr>
        <w:t>(ii)</w:t>
      </w:r>
      <w:r w:rsidRPr="005119BD">
        <w:rPr>
          <w:rFonts w:ascii="Cambria" w:eastAsia="Calibri" w:hAnsi="Cambria" w:cs="Calibri"/>
          <w:lang w:val="sq-AL"/>
        </w:rPr>
        <w:t xml:space="preserve"> në muajin tetor, përpara dërgimit në Parlament të projekt-buxhetit të shtetit. </w:t>
      </w:r>
    </w:p>
    <w:p w:rsidR="005119BD" w:rsidRPr="005119BD" w:rsidRDefault="005119BD" w:rsidP="005119BD">
      <w:pPr>
        <w:spacing w:before="120" w:after="120" w:line="242" w:lineRule="auto"/>
        <w:jc w:val="both"/>
        <w:rPr>
          <w:rFonts w:ascii="Cambria" w:eastAsia="Calibri" w:hAnsi="Cambria" w:cs="Calibri"/>
          <w:lang w:val="sq-AL"/>
        </w:rPr>
      </w:pPr>
      <w:r w:rsidRPr="005119BD">
        <w:rPr>
          <w:rFonts w:ascii="Cambria" w:eastAsia="Calibri" w:hAnsi="Cambria" w:cs="Calibri"/>
          <w:lang w:val="sq-AL"/>
        </w:rPr>
        <w:t xml:space="preserve">KMF përbëhet nga dy komponentë kryesore: </w:t>
      </w:r>
      <w:r w:rsidRPr="005119BD">
        <w:rPr>
          <w:rFonts w:ascii="Cambria" w:eastAsia="Calibri" w:hAnsi="Cambria" w:cs="Calibri"/>
          <w:i/>
          <w:lang w:val="sq-AL"/>
        </w:rPr>
        <w:t>(i)</w:t>
      </w:r>
      <w:r w:rsidRPr="005119BD">
        <w:rPr>
          <w:rFonts w:ascii="Cambria" w:eastAsia="Calibri" w:hAnsi="Cambria" w:cs="Calibri"/>
          <w:lang w:val="sq-AL"/>
        </w:rPr>
        <w:t xml:space="preserve"> parashikimet për treguesit kryesorë makroekonomik, të cilët paraqesin pritshmërinë ekonomike për vitin aktual dhe tre vitet e ardhshme dhe </w:t>
      </w:r>
      <w:r w:rsidRPr="005119BD">
        <w:rPr>
          <w:rFonts w:ascii="Cambria" w:eastAsia="Calibri" w:hAnsi="Cambria" w:cs="Calibri"/>
          <w:i/>
          <w:lang w:val="sq-AL"/>
        </w:rPr>
        <w:t>(ii)</w:t>
      </w:r>
      <w:r w:rsidRPr="005119BD">
        <w:rPr>
          <w:rFonts w:ascii="Cambria" w:eastAsia="Calibri" w:hAnsi="Cambria" w:cs="Calibri"/>
          <w:lang w:val="sq-AL"/>
        </w:rPr>
        <w:t xml:space="preserve"> parashikimet dhe objektivat për treguesit fiskal sipas buxhetit të konsoliduar, të cilët paraqesin burimet e pritshme në dispozicion të qeverisë për vitet 2020-2022 dhe shpërndarjen e tyre për këtë periudhe. </w:t>
      </w:r>
    </w:p>
    <w:p w:rsidR="005119BD" w:rsidRPr="005119BD" w:rsidRDefault="005119BD" w:rsidP="005119BD">
      <w:pPr>
        <w:autoSpaceDE w:val="0"/>
        <w:autoSpaceDN w:val="0"/>
        <w:adjustRightInd w:val="0"/>
        <w:rPr>
          <w:rFonts w:ascii="Cambria" w:eastAsia="Calibri" w:hAnsi="Cambria" w:cs="Calibri"/>
          <w:b/>
          <w:bCs/>
          <w:color w:val="244061"/>
          <w:lang w:val="sq-AL"/>
        </w:rPr>
      </w:pPr>
    </w:p>
    <w:p w:rsidR="005119BD" w:rsidRPr="00405A65" w:rsidRDefault="005119BD" w:rsidP="00570F53">
      <w:pPr>
        <w:keepNext/>
        <w:numPr>
          <w:ilvl w:val="1"/>
          <w:numId w:val="27"/>
        </w:numPr>
        <w:spacing w:before="240" w:after="60" w:line="240" w:lineRule="auto"/>
        <w:outlineLvl w:val="1"/>
        <w:rPr>
          <w:rFonts w:ascii="Cambria" w:eastAsia="Calibri" w:hAnsi="Cambria" w:cs="Calibri"/>
          <w:bCs/>
          <w:i/>
          <w:color w:val="244061"/>
          <w:lang w:val="sq-AL"/>
        </w:rPr>
      </w:pPr>
      <w:bookmarkStart w:id="5" w:name="_Toc13653974"/>
      <w:r w:rsidRPr="00405A65">
        <w:rPr>
          <w:rFonts w:ascii="Cambria" w:eastAsia="Calibri" w:hAnsi="Cambria" w:cs="Arial"/>
          <w:bCs/>
          <w:iCs/>
          <w:noProof/>
          <w:sz w:val="24"/>
          <w:szCs w:val="28"/>
          <w:lang w:val="sq-AL" w:eastAsia="sq-AL"/>
        </w:rPr>
        <w:t>Zhvillimet Makroekonomike</w:t>
      </w:r>
      <w:bookmarkEnd w:id="5"/>
    </w:p>
    <w:p w:rsidR="005119BD" w:rsidRPr="005119BD" w:rsidRDefault="005119BD" w:rsidP="005119BD">
      <w:pPr>
        <w:autoSpaceDE w:val="0"/>
        <w:autoSpaceDN w:val="0"/>
        <w:adjustRightInd w:val="0"/>
        <w:spacing w:before="120" w:after="120"/>
        <w:rPr>
          <w:rFonts w:ascii="Cambria" w:eastAsia="Calibri" w:hAnsi="Cambria" w:cs="Calibri"/>
          <w:b/>
          <w:bCs/>
          <w:i/>
          <w:color w:val="244061"/>
          <w:lang w:val="sq-AL"/>
        </w:rPr>
      </w:pPr>
      <w:r w:rsidRPr="005119BD">
        <w:rPr>
          <w:rFonts w:ascii="Cambria" w:eastAsia="Calibri" w:hAnsi="Cambria" w:cs="Calibri"/>
          <w:b/>
          <w:bCs/>
          <w:i/>
          <w:color w:val="244061"/>
          <w:lang w:val="sq-AL"/>
        </w:rPr>
        <w:t xml:space="preserve">Zhvillimet në ekonomitë e huaja </w:t>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t>Vlerësimet e fundit të bëra nga Eurostat për tremujorin e parё të vitit 2019</w:t>
      </w:r>
      <w:r w:rsidRPr="005119BD">
        <w:rPr>
          <w:rFonts w:ascii="Cambria" w:eastAsia="Calibri" w:hAnsi="Cambria" w:cs="Calibri"/>
          <w:vertAlign w:val="superscript"/>
          <w:lang w:val="sq-AL"/>
        </w:rPr>
        <w:footnoteReference w:id="2"/>
      </w:r>
      <w:r w:rsidRPr="005119BD">
        <w:rPr>
          <w:rFonts w:ascii="Cambria" w:eastAsia="Calibri" w:hAnsi="Cambria" w:cs="Calibri"/>
          <w:lang w:val="sq-AL"/>
        </w:rPr>
        <w:t xml:space="preserve"> tregojnë se ekonomitë e Eurozonës kanё shёnuar rritje prej 0.4%, ndёrsa ekonomitё e vendeve tё BE kanë shënuar një rritje pozitive prej 0.5% përgjatë këtij tremujori, krahasuar me tremujorin mëparshёm. Krahasuar më të njëjtin tremujor të një viti më parë, Prodhimi i Brëndshëm Bruto nё tremujorin e parё 2019 u rrit nё 1.2% për vendet e Eurozonës dhe 1.5% për vendet e BE.</w:t>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t xml:space="preserve">Rritja ekonomike pёr tremujorin e parё 2019 krahasuar me njё vit mё parё, u përshpejtua në të gjitha shtetet e Eurozonёs me pёrjashtim tё Italisё (-0.1%), ndёrsa rritja mё e ndjeshme ishte nё Hungari (5.2%), Rumani (5.1%) dhe Poloni (4.7%). </w:t>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t>Partnerёt kryesorё tregtar pёr ekonominё shqiptare si Greqia dhe Italia shënuan rritje nё PBB nё nivelin prej 1.3% dhe -0.1% përkatësisht në tremujorin e parё 2019.</w:t>
      </w:r>
    </w:p>
    <w:p w:rsidR="005119BD" w:rsidRPr="005119BD" w:rsidRDefault="005119BD" w:rsidP="005119BD">
      <w:pPr>
        <w:autoSpaceDE w:val="0"/>
        <w:autoSpaceDN w:val="0"/>
        <w:adjustRightInd w:val="0"/>
        <w:spacing w:before="120" w:after="120"/>
        <w:jc w:val="both"/>
        <w:rPr>
          <w:rFonts w:ascii="Cambria" w:eastAsia="Calibri" w:hAnsi="Cambria" w:cs="Calibri"/>
          <w:lang w:val="sq-AL"/>
        </w:rPr>
      </w:pPr>
      <w:r w:rsidRPr="005119BD">
        <w:rPr>
          <w:rFonts w:ascii="Cambria" w:eastAsia="Calibri" w:hAnsi="Cambria" w:cs="Calibri"/>
          <w:lang w:val="sq-AL"/>
        </w:rPr>
        <w:t xml:space="preserve">Aktiviteti ekonomik në Shqipëri është drejtpërsëdrejti i ndikuar nga ecuria ekonomike në mjedisin ndërkombëtar, veçanërisht në partnerët e saj tregtarë si: Italia dhe Greqia, kryesisht nëpërmjet eksporteve drejt tyre, remitancave, si dhe Investimeve të Huaja Direkte (IHD-të). Si pasojë e krizës globale, normat e rritjes u ulën ndjeshëm edhe në Shqipëri. Rritja reale në vitin 2009, u përgjysmua nga trendi i saj historik, por megjithatë, ndryshe nga pjesa mё e madhe e vendeve të tjera, rritja në Shqipëri vijoi të ishte pozitive, si rezultat i ekspozimit të kufizuar financiar në tregjet ndërkombëtare si dhe të një politike fiskale ekspansioniste adekuate të iniciuar para krizës. Aktiviteti ekonomik në vend u ndikua nga pasojat negative të krizës në Eurozonë, veçanërisht në vendet fqinje si: Italia dhe Greqia. Eksportet, remitancat dhe në një farë mase investimet e huaja </w:t>
      </w:r>
      <w:r w:rsidRPr="005119BD">
        <w:rPr>
          <w:rFonts w:ascii="Cambria" w:eastAsia="Calibri" w:hAnsi="Cambria" w:cs="Calibri"/>
          <w:lang w:val="sq-AL"/>
        </w:rPr>
        <w:lastRenderedPageBreak/>
        <w:t xml:space="preserve">direkte (IHD-të) ranë, duke u kthyer në kanalet kryesore të transmetimit të goditjeve të jashtme në ekonomi. Rritja ekonomike regjistroi normën e saj më të ulët prej 1.1% në vitin 2013. </w:t>
      </w:r>
    </w:p>
    <w:p w:rsidR="005119BD" w:rsidRPr="005119BD" w:rsidRDefault="005119BD" w:rsidP="005119BD">
      <w:pPr>
        <w:autoSpaceDE w:val="0"/>
        <w:autoSpaceDN w:val="0"/>
        <w:adjustRightInd w:val="0"/>
        <w:spacing w:before="120" w:after="120"/>
        <w:jc w:val="both"/>
        <w:rPr>
          <w:rFonts w:ascii="Cambria" w:eastAsia="Calibri" w:hAnsi="Cambria" w:cs="Calibri"/>
          <w:lang w:val="sq-AL"/>
        </w:rPr>
      </w:pPr>
      <w:r w:rsidRPr="005119BD">
        <w:rPr>
          <w:rFonts w:ascii="Cambria" w:eastAsia="Calibri" w:hAnsi="Cambria" w:cs="Calibri"/>
          <w:lang w:val="sq-AL"/>
        </w:rPr>
        <w:t>Në sajë të një rikuperimi të kërkesës së brëndshme në reflektim të përmirësimit të besimit të agjentëve ekonomik, si dhe e mbështetur nga politika të shëndosha fiskale dhe reforma strukturore, ekonomia nё Shqipёri rimori një impuls pozitiv. Rritja ekonomike  u përshpejtua gradualisht duke arritur deri në rreth 4.1% në vitin 2018, e gjeneruar kryesisht nga rritja e konsumit dhe investimeve private. Rritja ekonomike e vendit tonё ka arritur njё nivel mbi mesataren e rritjes ekonomike tё vendeve tё Bashkimit Europian dhe vendet e Eurozonёs pёr vitin 2018.</w:t>
      </w:r>
    </w:p>
    <w:p w:rsidR="005119BD" w:rsidRPr="005119BD" w:rsidRDefault="005119BD" w:rsidP="005119BD">
      <w:pPr>
        <w:autoSpaceDE w:val="0"/>
        <w:autoSpaceDN w:val="0"/>
        <w:adjustRightInd w:val="0"/>
        <w:spacing w:before="120" w:after="120"/>
        <w:jc w:val="both"/>
        <w:rPr>
          <w:rFonts w:ascii="Cambria" w:eastAsia="Calibri" w:hAnsi="Cambria" w:cs="Calibri"/>
          <w:lang w:val="sq-AL"/>
        </w:rPr>
      </w:pPr>
      <w:r w:rsidRPr="005119BD">
        <w:rPr>
          <w:rFonts w:ascii="Cambria" w:eastAsia="Calibri" w:hAnsi="Cambria" w:cs="Calibri"/>
          <w:lang w:val="sq-AL"/>
        </w:rPr>
        <w:t xml:space="preserve">Sipas vlerësimit të Ministrisë së Financave dhe Ekonomisё të pasqyruara në Kuadrin Makroekonomik dhe Fiskal 2020 – 2022, rritja ekonomike për vitin 2019 parashikohet të performojё me ritme pozitive, nё nivelin 4.3%. Ndërsa periudhёn afatmesme 2020-2022 parashikohet një rritje mesatare prej rreth 4.5%. </w:t>
      </w:r>
    </w:p>
    <w:p w:rsidR="005119BD" w:rsidRPr="005119BD" w:rsidRDefault="005119BD" w:rsidP="005119BD">
      <w:pPr>
        <w:spacing w:before="120" w:after="120" w:line="242" w:lineRule="auto"/>
        <w:jc w:val="both"/>
        <w:rPr>
          <w:rFonts w:ascii="Cambria" w:eastAsia="Calibri" w:hAnsi="Cambria" w:cs="Calibri"/>
          <w:lang w:val="sq-AL"/>
        </w:rPr>
      </w:pPr>
      <w:r w:rsidRPr="005119BD">
        <w:rPr>
          <w:rFonts w:ascii="Cambria" w:eastAsia="Calibri" w:hAnsi="Cambria" w:cs="Calibri"/>
          <w:lang w:val="sq-AL"/>
        </w:rPr>
        <w:t xml:space="preserve">Inflacioni në Eurozonë shënoi nivelin 1.7% (në terma vjetore) përgjatë muajit prill 2019, duke shёnuar rritje muaji i mёparshёm dhe nga mesatarja e inflacionit pёr katёrmujorin e parё 2019 qё shёnoi nivelin 1.5%. Nё prill 2019, kontributin mё tё lartё nё inflacionin e Eurozonёs e pati </w:t>
      </w:r>
      <w:r w:rsidRPr="005119BD">
        <w:rPr>
          <w:rFonts w:ascii="Cambria" w:eastAsia="Calibri" w:hAnsi="Cambria" w:cs="Calibri"/>
          <w:i/>
          <w:lang w:val="sq-AL"/>
        </w:rPr>
        <w:t>Energjia</w:t>
      </w:r>
      <w:r w:rsidRPr="005119BD">
        <w:rPr>
          <w:rFonts w:ascii="Cambria" w:eastAsia="Calibri" w:hAnsi="Cambria" w:cs="Calibri"/>
          <w:lang w:val="sq-AL"/>
        </w:rPr>
        <w:t xml:space="preserve"> me rritje prej (+5.3%), e ndjekur nga Shёrbimet (+1.9%). </w:t>
      </w:r>
    </w:p>
    <w:p w:rsidR="005119BD" w:rsidRPr="005119BD" w:rsidRDefault="005119BD" w:rsidP="005119BD">
      <w:pPr>
        <w:spacing w:before="120" w:after="120" w:line="242" w:lineRule="auto"/>
        <w:jc w:val="both"/>
        <w:rPr>
          <w:rFonts w:ascii="Cambria" w:eastAsia="Calibri" w:hAnsi="Cambria" w:cs="Calibri"/>
          <w:lang w:val="sq-AL"/>
        </w:rPr>
      </w:pPr>
    </w:p>
    <w:p w:rsidR="005119BD" w:rsidRPr="005119BD" w:rsidRDefault="005119BD" w:rsidP="00570F53">
      <w:pPr>
        <w:numPr>
          <w:ilvl w:val="0"/>
          <w:numId w:val="28"/>
        </w:numPr>
        <w:autoSpaceDE w:val="0"/>
        <w:autoSpaceDN w:val="0"/>
        <w:adjustRightInd w:val="0"/>
        <w:spacing w:before="120" w:after="120" w:line="240" w:lineRule="auto"/>
        <w:jc w:val="both"/>
        <w:rPr>
          <w:rFonts w:ascii="Cambria" w:eastAsia="Calibri" w:hAnsi="Cambria" w:cs="Calibri"/>
          <w:b/>
          <w:bCs/>
          <w:i/>
          <w:color w:val="244061"/>
          <w:lang w:val="sq-AL"/>
        </w:rPr>
      </w:pPr>
      <w:r w:rsidRPr="005119BD">
        <w:rPr>
          <w:rFonts w:ascii="Cambria" w:eastAsia="Calibri" w:hAnsi="Cambria" w:cs="Calibri"/>
          <w:b/>
          <w:bCs/>
          <w:i/>
          <w:color w:val="244061"/>
          <w:lang w:val="sq-AL"/>
        </w:rPr>
        <w:t xml:space="preserve">Zhvillimet në Shqipëri </w:t>
      </w:r>
    </w:p>
    <w:p w:rsidR="005119BD" w:rsidRPr="005119BD" w:rsidRDefault="005119BD" w:rsidP="005119BD">
      <w:pPr>
        <w:autoSpaceDE w:val="0"/>
        <w:autoSpaceDN w:val="0"/>
        <w:adjustRightInd w:val="0"/>
        <w:spacing w:before="120" w:after="120"/>
        <w:jc w:val="both"/>
        <w:rPr>
          <w:rFonts w:ascii="Cambria" w:eastAsia="Calibri" w:hAnsi="Cambria" w:cs="Calibri"/>
          <w:bCs/>
          <w:color w:val="244061"/>
          <w:lang w:val="sq-AL"/>
        </w:rPr>
      </w:pPr>
      <w:r w:rsidRPr="005119BD">
        <w:rPr>
          <w:rFonts w:ascii="Cambria" w:eastAsia="Calibri" w:hAnsi="Cambria" w:cs="Calibri"/>
          <w:bCs/>
          <w:color w:val="244061"/>
          <w:lang w:val="sq-AL"/>
        </w:rPr>
        <w:t xml:space="preserve">Sektori real </w:t>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t xml:space="preserve">Viti 2018 tregoi ritme pozitive dhe përshpejtuese të rritjes ekonomike. Rritja vjetore e PBB-së arriti në 4.1% në vitin 2018, nga 3.8% që ishte një vit më parë (rritja më e lartë vjetore që nga viti 2008). PBB-ja reale u rrit me 3.1% në tremujorin e katërt të vitit 2018 krahasuar me 4.7% në tremujorin e tretë.  Ndërsa për tremujorin e dytë të vitit 2018, kundrejt tremujorit të njëjtë të vitit 2018, ekonomia shënoi një rritje prej 4.2%. Nga informacionet e deritanishme sinjalizohet se rritja reale për këtë vit do të jetë në linjë me parashikimet fillestare dhe do të qëndrojë mbi rritjen e saj potenciale prej 3%. </w:t>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t>Grafiku i mëposhtëm pasqyron ecurinë ekonomike në vend që nga viti 2011 deri në vitin 2018 (sipas vlerësimeve më të fundit nga INSTAT).</w:t>
      </w:r>
      <w:r w:rsidRPr="005119BD">
        <w:rPr>
          <w:rStyle w:val="FootnoteReference"/>
          <w:rFonts w:ascii="Cambria" w:eastAsia="Calibri" w:hAnsi="Cambria" w:cs="Calibri"/>
          <w:lang w:val="sq-AL"/>
        </w:rPr>
        <w:footnoteReference w:id="3"/>
      </w:r>
    </w:p>
    <w:p w:rsidR="005119BD" w:rsidRPr="005119BD" w:rsidRDefault="005119BD" w:rsidP="005119BD">
      <w:pPr>
        <w:spacing w:before="120" w:after="120"/>
        <w:jc w:val="center"/>
        <w:rPr>
          <w:rFonts w:ascii="Cambria" w:eastAsia="Calibri" w:hAnsi="Cambria" w:cs="Calibri"/>
        </w:rPr>
      </w:pPr>
      <w:r w:rsidRPr="005119BD">
        <w:rPr>
          <w:noProof/>
          <w:lang w:val="en-GB" w:eastAsia="en-GB"/>
        </w:rPr>
        <w:drawing>
          <wp:inline distT="0" distB="0" distL="0" distR="0" wp14:anchorId="650851FF" wp14:editId="0B3E84AC">
            <wp:extent cx="4476750" cy="2105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4440" cy="2108641"/>
                    </a:xfrm>
                    <a:prstGeom prst="rect">
                      <a:avLst/>
                    </a:prstGeom>
                    <a:noFill/>
                    <a:ln>
                      <a:noFill/>
                    </a:ln>
                  </pic:spPr>
                </pic:pic>
              </a:graphicData>
            </a:graphic>
          </wp:inline>
        </w:drawing>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lastRenderedPageBreak/>
        <w:t xml:space="preserve">Nga optika e ofertës, kontributin kryesor përgjatë vitit 2018 e dhanë degët: </w:t>
      </w:r>
      <w:r w:rsidRPr="005119BD">
        <w:rPr>
          <w:rFonts w:ascii="Cambria" w:eastAsia="Calibri" w:hAnsi="Cambria" w:cs="Calibri"/>
          <w:iCs/>
          <w:lang w:val="sq-AL"/>
        </w:rPr>
        <w:t xml:space="preserve">Industria </w:t>
      </w:r>
      <w:r w:rsidRPr="005119BD">
        <w:rPr>
          <w:rFonts w:ascii="Cambria" w:eastAsia="Calibri" w:hAnsi="Cambria" w:cs="Calibri"/>
          <w:lang w:val="sq-AL"/>
        </w:rPr>
        <w:t xml:space="preserve">me +1.64 pikё pёrqindje dhe me rritje 13.6%; </w:t>
      </w:r>
      <w:r w:rsidRPr="005119BD">
        <w:rPr>
          <w:rFonts w:ascii="Cambria" w:eastAsia="Calibri" w:hAnsi="Cambria" w:cs="Calibri"/>
          <w:iCs/>
          <w:lang w:val="sq-AL"/>
        </w:rPr>
        <w:t xml:space="preserve">Tregtia me shumicë dhe pakicë etj. kontriboi </w:t>
      </w:r>
      <w:r w:rsidRPr="005119BD">
        <w:rPr>
          <w:rFonts w:ascii="Cambria" w:eastAsia="Calibri" w:hAnsi="Cambria" w:cs="Calibri"/>
          <w:lang w:val="sq-AL"/>
        </w:rPr>
        <w:t xml:space="preserve">me +0.82 pikë përqindje dhe rritje 5.28%; </w:t>
      </w:r>
      <w:r w:rsidRPr="005119BD">
        <w:rPr>
          <w:rFonts w:ascii="Cambria" w:eastAsia="Calibri" w:hAnsi="Cambria" w:cs="Calibri"/>
          <w:iCs/>
          <w:lang w:val="sq-AL"/>
        </w:rPr>
        <w:t>Aktivitete shkencore, profesionale dhe teknike</w:t>
      </w:r>
      <w:r w:rsidRPr="005119BD">
        <w:rPr>
          <w:rFonts w:ascii="Cambria" w:eastAsia="Calibri" w:hAnsi="Cambria" w:cs="Calibri"/>
          <w:lang w:val="sq-AL"/>
        </w:rPr>
        <w:t xml:space="preserve"> +0.46 pikë përqindje dhe rritje 7.83%; si dhe Bujqësia, pyjet dhe peshkimi dhe </w:t>
      </w:r>
      <w:r w:rsidRPr="005119BD">
        <w:rPr>
          <w:rFonts w:ascii="Cambria" w:eastAsia="Calibri" w:hAnsi="Cambria" w:cs="Calibri"/>
          <w:iCs/>
          <w:lang w:val="sq-AL"/>
        </w:rPr>
        <w:t xml:space="preserve">Ndërtimi, secila </w:t>
      </w:r>
      <w:r w:rsidRPr="005119BD">
        <w:rPr>
          <w:rFonts w:ascii="Cambria" w:eastAsia="Calibri" w:hAnsi="Cambria" w:cs="Calibri"/>
          <w:lang w:val="sq-AL"/>
        </w:rPr>
        <w:t>me +0.26 pikë përqindje dhe me rritje respektivisht 1.42% dhe 2.71% . Ndërkohë, rritje dhe kontribut negativ për vitin 2018 kishin degët Informacioni dhe komunikimi si dhe Arte, argëtim dhe çlodhje, etj.</w:t>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t xml:space="preserve">Tabela më poshtë paraqet rritjen dhe kontributin sipas sektorëve të prodhimit në rritjen ekonomike </w:t>
      </w:r>
      <w:r w:rsidRPr="005119BD">
        <w:rPr>
          <w:rFonts w:ascii="Cambria" w:eastAsia="Calibri" w:hAnsi="Cambria" w:cs="Times New Roman"/>
          <w:lang w:val="da-DK"/>
        </w:rPr>
        <w:t xml:space="preserve">në tremujorin e katërt të vitit 2018 krahasuar me po të njëjtin tremujor të një viti më parë (T4-2017), si dhe rritja reale dhe kontributi krahasuar vjetor (2018) krahasuar me vitin e mëparshëm (2017).  </w:t>
      </w:r>
      <w:r w:rsidRPr="005119BD">
        <w:rPr>
          <w:noProof/>
          <w:lang w:val="en-GB" w:eastAsia="en-GB"/>
        </w:rPr>
        <w:drawing>
          <wp:inline distT="0" distB="0" distL="0" distR="0" wp14:anchorId="78747693" wp14:editId="26F5D92B">
            <wp:extent cx="5942330" cy="17526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2330" cy="1752600"/>
                    </a:xfrm>
                    <a:prstGeom prst="rect">
                      <a:avLst/>
                    </a:prstGeom>
                    <a:noFill/>
                    <a:ln>
                      <a:noFill/>
                    </a:ln>
                  </pic:spPr>
                </pic:pic>
              </a:graphicData>
            </a:graphic>
          </wp:inline>
        </w:drawing>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t>Nga optika e kërkesës, rritja përgjatë vitit 2018 është gjeneruar kryesisht nga kërkesa e brendshme. Në vitin 2018 konsumi final regjistroi një rritje reale prej 2.43% duke vijuar të njëjtin trend të vitit 2017 me një rrite reale mesatare prej 2.77%. Gjithashtu edhe investimet kanë vijuar të regjistrojnë ritme relativisht të larta, të vëna re që prej tremujorit të tretë të vitit 2015, ndonëse në gjysmën e parë të 2017, këto ritme të rritjes u ngadalësuan disi, përgjithësisht pёr rrjedhojë tё uljes së investimeve në industrinë nxjerrëse e lidhur kjo me konjukturat e çmimeve të karburanteve. Investimet përgjatë vitit 2018 u rritën me 2.77% në terma real nga një rritje prej 7.74% të regjistruar në vitin 2017 në tërësi. Ndërkohë, kërkesa e huaj u rrit në terma real me 5.65% gjatë vitit 2018.</w:t>
      </w:r>
    </w:p>
    <w:p w:rsidR="005119BD" w:rsidRPr="005119BD" w:rsidRDefault="005119BD" w:rsidP="005119BD">
      <w:pPr>
        <w:spacing w:before="120" w:after="120"/>
        <w:jc w:val="both"/>
        <w:rPr>
          <w:rFonts w:ascii="Cambria" w:eastAsia="Calibri" w:hAnsi="Cambria" w:cs="Times New Roman"/>
          <w:lang w:val="da-DK"/>
        </w:rPr>
      </w:pPr>
      <w:r w:rsidRPr="005119BD">
        <w:rPr>
          <w:rFonts w:ascii="Cambria" w:eastAsia="Calibri" w:hAnsi="Cambria" w:cs="Calibri"/>
          <w:lang w:val="sq-AL"/>
        </w:rPr>
        <w:t xml:space="preserve">Tabela më poshtë paraqet rritjen e çdo komponenti të kërkesës agregate, si dhe kontributin e sejcilit prej tyre </w:t>
      </w:r>
      <w:r w:rsidRPr="005119BD">
        <w:rPr>
          <w:rFonts w:ascii="Cambria" w:eastAsia="Calibri" w:hAnsi="Cambria" w:cs="Times New Roman"/>
          <w:lang w:val="da-DK"/>
        </w:rPr>
        <w:t xml:space="preserve">për tremujorin e katërt të vitit 2018 krahasuar me po të njëjtin tremujor të një viti më parë (T4-2017), si dhe rritja reale dhe kontributi vjetor (2018) krahasuar me vitin e mëparshëm (2017).  </w:t>
      </w:r>
    </w:p>
    <w:p w:rsidR="005119BD" w:rsidRPr="005119BD" w:rsidRDefault="005119BD" w:rsidP="005119BD">
      <w:pPr>
        <w:spacing w:before="120" w:after="120"/>
        <w:jc w:val="both"/>
        <w:rPr>
          <w:rFonts w:ascii="Cambria" w:eastAsia="Calibri" w:hAnsi="Cambria" w:cs="Calibri"/>
          <w:lang w:val="sq-AL"/>
        </w:rPr>
      </w:pPr>
      <w:r w:rsidRPr="005119BD">
        <w:rPr>
          <w:noProof/>
          <w:lang w:val="en-GB" w:eastAsia="en-GB"/>
        </w:rPr>
        <w:drawing>
          <wp:inline distT="0" distB="0" distL="0" distR="0" wp14:anchorId="40991286" wp14:editId="4B687898">
            <wp:extent cx="5941695" cy="1685925"/>
            <wp:effectExtent l="0" t="0" r="190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908" cy="1686553"/>
                    </a:xfrm>
                    <a:prstGeom prst="rect">
                      <a:avLst/>
                    </a:prstGeom>
                    <a:noFill/>
                    <a:ln>
                      <a:noFill/>
                    </a:ln>
                  </pic:spPr>
                </pic:pic>
              </a:graphicData>
            </a:graphic>
          </wp:inline>
        </w:drawing>
      </w:r>
    </w:p>
    <w:p w:rsidR="005119BD" w:rsidRPr="005119BD" w:rsidRDefault="005119BD" w:rsidP="005119BD">
      <w:pPr>
        <w:autoSpaceDE w:val="0"/>
        <w:autoSpaceDN w:val="0"/>
        <w:adjustRightInd w:val="0"/>
        <w:spacing w:line="276" w:lineRule="auto"/>
        <w:contextualSpacing/>
        <w:jc w:val="both"/>
        <w:rPr>
          <w:rFonts w:ascii="Cambria" w:eastAsia="Calibri" w:hAnsi="Cambria" w:cs="Calibri"/>
          <w:lang w:val="sq-AL"/>
        </w:rPr>
      </w:pPr>
    </w:p>
    <w:p w:rsidR="005119BD" w:rsidRPr="005119BD" w:rsidRDefault="005119BD" w:rsidP="005119BD">
      <w:pPr>
        <w:autoSpaceDE w:val="0"/>
        <w:autoSpaceDN w:val="0"/>
        <w:adjustRightInd w:val="0"/>
        <w:spacing w:line="276" w:lineRule="auto"/>
        <w:contextualSpacing/>
        <w:jc w:val="both"/>
        <w:rPr>
          <w:rFonts w:ascii="Cambria" w:eastAsia="Calibri" w:hAnsi="Cambria" w:cs="Calibri"/>
          <w:lang w:val="sq-AL"/>
        </w:rPr>
      </w:pPr>
      <w:r w:rsidRPr="005119BD">
        <w:rPr>
          <w:rFonts w:ascii="Cambria" w:eastAsia="Calibri" w:hAnsi="Cambria" w:cs="Calibri"/>
          <w:lang w:val="sq-AL"/>
        </w:rPr>
        <w:lastRenderedPageBreak/>
        <w:t xml:space="preserve">Të dhënat e papunësisë sipas Anketës Tremujore të Forcave të Punës (LFS) tregojnë një rritje të punësimit dhe rënie të normës së papunësisë, si gjatë vitit 2018, ashtu edhe gjatë tremujorit të parë të vitit 2019. </w:t>
      </w:r>
    </w:p>
    <w:p w:rsidR="005119BD" w:rsidRPr="005119BD" w:rsidRDefault="005119BD" w:rsidP="005119BD">
      <w:pPr>
        <w:autoSpaceDE w:val="0"/>
        <w:autoSpaceDN w:val="0"/>
        <w:adjustRightInd w:val="0"/>
        <w:spacing w:line="276" w:lineRule="auto"/>
        <w:contextualSpacing/>
        <w:jc w:val="both"/>
        <w:rPr>
          <w:rFonts w:ascii="Cambria" w:eastAsia="Calibri" w:hAnsi="Cambria" w:cs="Calibri"/>
          <w:lang w:val="sq-AL"/>
        </w:rPr>
      </w:pPr>
    </w:p>
    <w:p w:rsidR="005119BD" w:rsidRPr="005119BD" w:rsidRDefault="005119BD" w:rsidP="005119BD">
      <w:pPr>
        <w:autoSpaceDE w:val="0"/>
        <w:autoSpaceDN w:val="0"/>
        <w:adjustRightInd w:val="0"/>
        <w:spacing w:line="276" w:lineRule="auto"/>
        <w:contextualSpacing/>
        <w:jc w:val="both"/>
        <w:rPr>
          <w:rFonts w:ascii="Cambria" w:eastAsia="Calibri" w:hAnsi="Cambria" w:cs="Calibri"/>
          <w:lang w:val="sq-AL"/>
        </w:rPr>
      </w:pPr>
      <w:r w:rsidRPr="005119BD">
        <w:rPr>
          <w:rFonts w:ascii="Cambria" w:eastAsia="Calibri" w:hAnsi="Cambria" w:cs="Calibri"/>
          <w:lang w:val="sq-AL"/>
        </w:rPr>
        <w:t>Nё fund tё vitit 2018, shkalla e papunësisë ra në 12.3%  pёr popullsinё 15 vjeç e lart, dhe tani është më e ulëta që nga tremujori i parë i vitit 2012. Ritmi vjetor i rritjes së punësimit për popullsinë 15-64 vjeç ishte 1.4% ose me rreth 16 mijë të punësuar më shumë. Forca e punës u rrit me 0.3% në terma vjetorë dhe shkalla e pjesëmarrjes së fuqisë punëtore vazhdoi të rritet, duke arritur në 68.7% krahasuar me 67.4%  që ishte në në fund të vitit 2017. Nё fund të vitit 2018 numri i tё punёsuarve nё Shqipёri ishte 1,184,413 persona.</w:t>
      </w:r>
    </w:p>
    <w:p w:rsidR="005119BD" w:rsidRPr="005119BD" w:rsidRDefault="005119BD" w:rsidP="005119BD">
      <w:pPr>
        <w:spacing w:before="120" w:after="120"/>
        <w:jc w:val="both"/>
        <w:rPr>
          <w:rFonts w:ascii="Cambria" w:eastAsia="Calibri" w:hAnsi="Cambria" w:cs="Calibri"/>
          <w:lang w:val="sq-AL"/>
        </w:rPr>
      </w:pP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t>Ndërkohë, të dhënat më të fundit për tremujorin e parë të vitit 2019 tregojnë se norma zyrtare e papunësisë</w:t>
      </w:r>
      <w:r w:rsidRPr="005119BD">
        <w:rPr>
          <w:rFonts w:ascii="Cambria" w:eastAsia="Calibri" w:hAnsi="Cambria" w:cs="Calibri"/>
          <w:vertAlign w:val="superscript"/>
          <w:lang w:val="sq-AL"/>
        </w:rPr>
        <w:footnoteReference w:id="4"/>
      </w:r>
      <w:r w:rsidRPr="005119BD">
        <w:rPr>
          <w:rFonts w:ascii="Cambria" w:eastAsia="Calibri" w:hAnsi="Cambria" w:cs="Calibri"/>
          <w:lang w:val="sq-AL"/>
        </w:rPr>
        <w:t xml:space="preserve"> për grupmoshat 15-64 vjeç është 12.6%, kundrejt 13.0% që ishte për të njëjtin tremujor të një viti më parë. Edhe për grup-moshën e punës 15 vjeç e lart, shkalla e papunësisë zyrtare në tremujorin e parë të 2019 shënoi vlerën prej 12.1%. Numri i personave të papunë në moshë pune (15-64 vjeç) në tremujorin e parë të vitit 2019 ishte 170.590 persona. </w:t>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t>Në tremujorin e parë të vitit 2019 numri të punësuarve në moshë pune (15-64 vjeç) ishte 1,185,865 persona. Krahasuar me të njëjtin tremujor të një viti më parë (T1-2018), numri i personave të punësuar, u rrit me 17,865 persona ose 1.5%.</w:t>
      </w:r>
    </w:p>
    <w:p w:rsidR="005119BD" w:rsidRPr="005119BD" w:rsidRDefault="005119BD" w:rsidP="005119BD">
      <w:pPr>
        <w:spacing w:before="120" w:after="120"/>
        <w:jc w:val="both"/>
        <w:rPr>
          <w:rFonts w:ascii="Cambria" w:eastAsia="Calibri" w:hAnsi="Cambria" w:cs="Calibri"/>
        </w:rPr>
      </w:pPr>
      <w:r w:rsidRPr="005119BD">
        <w:rPr>
          <w:rFonts w:ascii="Cambria" w:eastAsia="Calibri" w:hAnsi="Cambria" w:cs="Calibri"/>
          <w:noProof/>
          <w:lang w:val="en-GB" w:eastAsia="en-GB"/>
        </w:rPr>
        <w:drawing>
          <wp:inline distT="0" distB="0" distL="0" distR="0" wp14:anchorId="01E737DD" wp14:editId="1E56C831">
            <wp:extent cx="5942675" cy="3143250"/>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90" cy="3144104"/>
                    </a:xfrm>
                    <a:prstGeom prst="rect">
                      <a:avLst/>
                    </a:prstGeom>
                    <a:noFill/>
                    <a:ln>
                      <a:noFill/>
                    </a:ln>
                  </pic:spPr>
                </pic:pic>
              </a:graphicData>
            </a:graphic>
          </wp:inline>
        </w:drawing>
      </w:r>
    </w:p>
    <w:p w:rsidR="005119BD" w:rsidRPr="005119BD" w:rsidRDefault="005119BD" w:rsidP="005119BD">
      <w:pPr>
        <w:spacing w:before="120" w:after="120"/>
        <w:jc w:val="both"/>
        <w:rPr>
          <w:rFonts w:ascii="Cambria" w:eastAsia="Calibri" w:hAnsi="Cambria" w:cs="Calibri"/>
        </w:rPr>
      </w:pPr>
    </w:p>
    <w:p w:rsidR="005119BD" w:rsidRPr="005119BD" w:rsidRDefault="005119BD" w:rsidP="005119BD">
      <w:pPr>
        <w:spacing w:before="120" w:after="120"/>
        <w:jc w:val="both"/>
        <w:rPr>
          <w:rFonts w:ascii="Cambria" w:eastAsia="Calibri" w:hAnsi="Cambria" w:cs="Calibri"/>
        </w:rPr>
      </w:pPr>
    </w:p>
    <w:p w:rsidR="005119BD" w:rsidRPr="005119BD" w:rsidRDefault="005119BD" w:rsidP="005119BD">
      <w:pPr>
        <w:spacing w:before="120" w:after="120"/>
        <w:jc w:val="both"/>
        <w:rPr>
          <w:rFonts w:ascii="Cambria" w:eastAsia="Calibri" w:hAnsi="Cambria" w:cs="Calibri"/>
        </w:rPr>
      </w:pPr>
    </w:p>
    <w:p w:rsidR="005119BD" w:rsidRPr="005119BD" w:rsidRDefault="005119BD" w:rsidP="005119BD">
      <w:pPr>
        <w:spacing w:before="120" w:after="120"/>
        <w:jc w:val="both"/>
        <w:rPr>
          <w:rFonts w:ascii="Cambria" w:eastAsia="Calibri" w:hAnsi="Cambria" w:cs="Calibri"/>
        </w:rPr>
      </w:pPr>
    </w:p>
    <w:p w:rsidR="005119BD" w:rsidRPr="005119BD" w:rsidRDefault="005119BD" w:rsidP="005119BD">
      <w:pPr>
        <w:spacing w:before="120" w:after="120" w:line="276" w:lineRule="auto"/>
        <w:jc w:val="both"/>
        <w:rPr>
          <w:rFonts w:cstheme="minorHAnsi"/>
          <w:b/>
          <w:noProof/>
          <w:lang w:val="sq-AL"/>
        </w:rPr>
      </w:pPr>
      <w:r w:rsidRPr="005119BD">
        <w:rPr>
          <w:rFonts w:cstheme="minorHAnsi"/>
          <w:b/>
          <w:noProof/>
          <w:lang w:val="sq-AL"/>
        </w:rPr>
        <w:lastRenderedPageBreak/>
        <w:t>Sektori monetar</w:t>
      </w:r>
    </w:p>
    <w:p w:rsidR="005119BD" w:rsidRPr="005119BD" w:rsidRDefault="005119BD" w:rsidP="005119BD">
      <w:pPr>
        <w:spacing w:before="120" w:after="120" w:line="276" w:lineRule="auto"/>
        <w:jc w:val="both"/>
        <w:rPr>
          <w:rFonts w:cstheme="minorHAnsi"/>
          <w:noProof/>
          <w:lang w:val="sq-AL"/>
        </w:rPr>
      </w:pPr>
      <w:r w:rsidRPr="005119BD">
        <w:rPr>
          <w:rFonts w:cstheme="minorHAnsi"/>
          <w:lang w:val="da-DK"/>
        </w:rPr>
        <w:t>Në muajin maj 2019 ndryshimi vjetor i indeksit të çmimeve të konsumit ishte +</w:t>
      </w:r>
      <w:r w:rsidRPr="005119BD">
        <w:rPr>
          <w:rFonts w:cstheme="minorHAnsi"/>
          <w:b/>
          <w:lang w:val="da-DK"/>
        </w:rPr>
        <w:t>1.5%.</w:t>
      </w:r>
      <w:r w:rsidRPr="005119BD">
        <w:rPr>
          <w:rFonts w:cstheme="minorHAnsi"/>
          <w:lang w:val="da-DK"/>
        </w:rPr>
        <w:t xml:space="preserve">Ndërsa një vit më parë ndryshimi vjetor i indeksit të </w:t>
      </w:r>
      <w:r w:rsidRPr="005119BD">
        <w:rPr>
          <w:rFonts w:cstheme="minorHAnsi"/>
          <w:bCs/>
          <w:lang w:val="da-DK"/>
        </w:rPr>
        <w:t xml:space="preserve">çmimeve të konsumit </w:t>
      </w:r>
      <w:r w:rsidRPr="005119BD">
        <w:rPr>
          <w:rFonts w:cstheme="minorHAnsi"/>
          <w:lang w:val="da-DK"/>
        </w:rPr>
        <w:t xml:space="preserve">ishte </w:t>
      </w:r>
      <w:r w:rsidRPr="005119BD">
        <w:rPr>
          <w:rFonts w:cstheme="minorHAnsi"/>
          <w:b/>
          <w:lang w:val="da-DK"/>
        </w:rPr>
        <w:t>+2.1%.</w:t>
      </w:r>
      <w:r w:rsidRPr="005119BD">
        <w:rPr>
          <w:rFonts w:cstheme="minorHAnsi"/>
          <w:lang w:val="da-DK"/>
        </w:rPr>
        <w:t>Inflacioni mesatar pёr periudhёn janar – maj 2019 ёshtё +1.5%.</w:t>
      </w:r>
      <w:r w:rsidRPr="005119BD">
        <w:rPr>
          <w:rFonts w:cstheme="minorHAnsi"/>
          <w:noProof/>
          <w:lang w:val="sq-AL"/>
        </w:rPr>
        <w:t xml:space="preserve">Nё grafikun më poshtë paraqitet ecuria e çmimeve për tre vitet e fundit: </w:t>
      </w:r>
    </w:p>
    <w:p w:rsidR="005119BD" w:rsidRPr="005119BD" w:rsidRDefault="005119BD" w:rsidP="005119BD">
      <w:pPr>
        <w:pStyle w:val="Caption"/>
        <w:keepNext/>
        <w:spacing w:after="0"/>
        <w:jc w:val="both"/>
        <w:rPr>
          <w:rFonts w:cstheme="minorHAnsi"/>
          <w:b w:val="0"/>
          <w:bCs w:val="0"/>
          <w:i/>
          <w:color w:val="auto"/>
          <w:sz w:val="24"/>
          <w:szCs w:val="24"/>
          <w:lang w:val="sq-AL"/>
        </w:rPr>
      </w:pPr>
      <w:bookmarkStart w:id="6" w:name="_Toc517643304"/>
      <w:r w:rsidRPr="005119BD">
        <w:rPr>
          <w:rFonts w:cstheme="minorHAnsi"/>
          <w:b w:val="0"/>
          <w:bCs w:val="0"/>
          <w:i/>
          <w:color w:val="auto"/>
          <w:sz w:val="24"/>
          <w:szCs w:val="24"/>
          <w:lang w:val="sq-AL"/>
        </w:rPr>
        <w:t xml:space="preserve">Grafiku </w:t>
      </w:r>
      <w:r w:rsidRPr="005119BD">
        <w:rPr>
          <w:rFonts w:cstheme="minorHAnsi"/>
        </w:rPr>
        <w:fldChar w:fldCharType="begin"/>
      </w:r>
      <w:r w:rsidRPr="005119BD">
        <w:rPr>
          <w:rFonts w:cstheme="minorHAnsi"/>
          <w:b w:val="0"/>
          <w:bCs w:val="0"/>
          <w:i/>
          <w:color w:val="auto"/>
          <w:sz w:val="24"/>
          <w:szCs w:val="24"/>
          <w:lang w:val="sq-AL"/>
        </w:rPr>
        <w:instrText xml:space="preserve"> SEQ Grafiku \* ARABIC </w:instrText>
      </w:r>
      <w:r w:rsidRPr="005119BD">
        <w:rPr>
          <w:rFonts w:cstheme="minorHAnsi"/>
        </w:rPr>
        <w:fldChar w:fldCharType="separate"/>
      </w:r>
      <w:r w:rsidRPr="005119BD">
        <w:rPr>
          <w:rFonts w:cstheme="minorHAnsi"/>
          <w:b w:val="0"/>
          <w:bCs w:val="0"/>
          <w:i/>
          <w:noProof/>
          <w:color w:val="auto"/>
          <w:sz w:val="24"/>
          <w:szCs w:val="24"/>
          <w:lang w:val="sq-AL"/>
        </w:rPr>
        <w:t>36</w:t>
      </w:r>
      <w:r w:rsidRPr="005119BD">
        <w:rPr>
          <w:rFonts w:cstheme="minorHAnsi"/>
        </w:rPr>
        <w:fldChar w:fldCharType="end"/>
      </w:r>
      <w:r w:rsidRPr="005119BD">
        <w:rPr>
          <w:rFonts w:cstheme="minorHAnsi"/>
          <w:b w:val="0"/>
          <w:bCs w:val="0"/>
          <w:i/>
          <w:color w:val="auto"/>
          <w:sz w:val="24"/>
          <w:szCs w:val="24"/>
          <w:lang w:val="sq-AL"/>
        </w:rPr>
        <w:t>: Ndryshimi vjetor i Inflacionit 2016-2019, në përqindje</w:t>
      </w:r>
      <w:bookmarkEnd w:id="6"/>
    </w:p>
    <w:p w:rsidR="005119BD" w:rsidRPr="005119BD" w:rsidRDefault="005119BD" w:rsidP="005119BD">
      <w:pPr>
        <w:spacing w:before="120" w:after="120" w:line="276" w:lineRule="auto"/>
        <w:jc w:val="center"/>
        <w:rPr>
          <w:rFonts w:cstheme="minorHAnsi"/>
          <w:noProof/>
          <w:lang w:val="sq-AL"/>
        </w:rPr>
      </w:pPr>
      <w:r w:rsidRPr="005119BD">
        <w:rPr>
          <w:rFonts w:cstheme="minorHAnsi"/>
          <w:noProof/>
          <w:lang w:val="en-GB" w:eastAsia="en-GB"/>
        </w:rPr>
        <w:drawing>
          <wp:inline distT="0" distB="0" distL="0" distR="0" wp14:anchorId="024ACE68" wp14:editId="0ADD24A8">
            <wp:extent cx="5324475" cy="2645280"/>
            <wp:effectExtent l="0" t="0" r="0" b="3175"/>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1573" cy="2653775"/>
                    </a:xfrm>
                    <a:prstGeom prst="rect">
                      <a:avLst/>
                    </a:prstGeom>
                    <a:noFill/>
                    <a:ln>
                      <a:noFill/>
                    </a:ln>
                  </pic:spPr>
                </pic:pic>
              </a:graphicData>
            </a:graphic>
          </wp:inline>
        </w:drawing>
      </w:r>
    </w:p>
    <w:p w:rsidR="005119BD" w:rsidRPr="005119BD" w:rsidRDefault="005119BD" w:rsidP="005119BD">
      <w:pPr>
        <w:spacing w:before="240" w:line="276" w:lineRule="auto"/>
        <w:jc w:val="both"/>
        <w:rPr>
          <w:rFonts w:cstheme="minorHAnsi"/>
          <w:noProof/>
          <w:lang w:val="sq-AL"/>
        </w:rPr>
      </w:pPr>
      <w:r w:rsidRPr="005119BD">
        <w:rPr>
          <w:rFonts w:cstheme="minorHAnsi"/>
          <w:noProof/>
          <w:lang w:val="sq-AL"/>
        </w:rPr>
        <w:t>Pёrgjatё kёsaj periudhe, nga tërësia e mallrave dhe shërbimeve që përbëjnë shportën e konsumit, kontributin mё tё lartё nё inflacionin e pёrgjithshёm e ka pasur zёri i ushqimeve dhe pijeve jo alkolike. Në tabelën e mëposhtme mund të vihen re kontributet dhe rritjet respektive në çmime për çdo grup mallrash pёr muajin maj 2019.</w:t>
      </w:r>
    </w:p>
    <w:p w:rsidR="005119BD" w:rsidRPr="005119BD" w:rsidRDefault="005119BD" w:rsidP="005119BD">
      <w:pPr>
        <w:pStyle w:val="Caption"/>
        <w:keepNext/>
        <w:spacing w:before="240" w:after="0"/>
        <w:jc w:val="both"/>
        <w:rPr>
          <w:rFonts w:cstheme="minorHAnsi"/>
          <w:b w:val="0"/>
          <w:bCs w:val="0"/>
          <w:i/>
          <w:color w:val="auto"/>
          <w:sz w:val="24"/>
          <w:szCs w:val="24"/>
          <w:lang w:val="sq-AL"/>
        </w:rPr>
      </w:pPr>
      <w:bookmarkStart w:id="7" w:name="_Toc517955883"/>
      <w:r w:rsidRPr="005119BD">
        <w:rPr>
          <w:rFonts w:cstheme="minorHAnsi"/>
          <w:b w:val="0"/>
          <w:bCs w:val="0"/>
          <w:i/>
          <w:color w:val="auto"/>
          <w:sz w:val="24"/>
          <w:szCs w:val="24"/>
          <w:lang w:val="sq-AL"/>
        </w:rPr>
        <w:t xml:space="preserve">Tabela </w:t>
      </w:r>
      <w:r w:rsidRPr="005119BD">
        <w:rPr>
          <w:rFonts w:cstheme="minorHAnsi"/>
        </w:rPr>
        <w:fldChar w:fldCharType="begin"/>
      </w:r>
      <w:r w:rsidRPr="005119BD">
        <w:rPr>
          <w:rFonts w:cstheme="minorHAnsi"/>
          <w:b w:val="0"/>
          <w:bCs w:val="0"/>
          <w:i/>
          <w:color w:val="auto"/>
          <w:sz w:val="24"/>
          <w:szCs w:val="24"/>
          <w:lang w:val="sq-AL"/>
        </w:rPr>
        <w:instrText xml:space="preserve"> SEQ Tabela \* ARABIC </w:instrText>
      </w:r>
      <w:r w:rsidRPr="005119BD">
        <w:rPr>
          <w:rFonts w:cstheme="minorHAnsi"/>
        </w:rPr>
        <w:fldChar w:fldCharType="separate"/>
      </w:r>
      <w:r w:rsidRPr="005119BD">
        <w:rPr>
          <w:rFonts w:cstheme="minorHAnsi"/>
          <w:b w:val="0"/>
          <w:bCs w:val="0"/>
          <w:i/>
          <w:noProof/>
          <w:color w:val="auto"/>
          <w:sz w:val="24"/>
          <w:szCs w:val="24"/>
          <w:lang w:val="sq-AL"/>
        </w:rPr>
        <w:t>18</w:t>
      </w:r>
      <w:r w:rsidRPr="005119BD">
        <w:rPr>
          <w:rFonts w:cstheme="minorHAnsi"/>
        </w:rPr>
        <w:fldChar w:fldCharType="end"/>
      </w:r>
      <w:r w:rsidRPr="005119BD">
        <w:rPr>
          <w:rFonts w:cstheme="minorHAnsi"/>
          <w:b w:val="0"/>
          <w:bCs w:val="0"/>
          <w:i/>
          <w:color w:val="auto"/>
          <w:sz w:val="24"/>
          <w:szCs w:val="24"/>
          <w:lang w:val="sq-AL"/>
        </w:rPr>
        <w:t>: Rritja vjetore e çmimeve, në përqindje</w:t>
      </w:r>
      <w:bookmarkEnd w:id="7"/>
    </w:p>
    <w:p w:rsidR="005119BD" w:rsidRPr="005119BD" w:rsidRDefault="005119BD" w:rsidP="005119BD">
      <w:pPr>
        <w:spacing w:before="120" w:after="120" w:line="276" w:lineRule="auto"/>
        <w:jc w:val="center"/>
        <w:rPr>
          <w:rFonts w:cstheme="minorHAnsi"/>
          <w:noProof/>
          <w:lang w:val="sq-AL"/>
        </w:rPr>
      </w:pPr>
      <w:r w:rsidRPr="005119BD">
        <w:rPr>
          <w:rFonts w:cstheme="minorHAnsi"/>
          <w:noProof/>
          <w:lang w:val="en-GB" w:eastAsia="en-GB"/>
        </w:rPr>
        <w:drawing>
          <wp:inline distT="0" distB="0" distL="0" distR="0" wp14:anchorId="60D3EF56" wp14:editId="3D91B0D1">
            <wp:extent cx="5248275" cy="2546448"/>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1362" cy="2562502"/>
                    </a:xfrm>
                    <a:prstGeom prst="rect">
                      <a:avLst/>
                    </a:prstGeom>
                    <a:noFill/>
                    <a:ln>
                      <a:noFill/>
                    </a:ln>
                  </pic:spPr>
                </pic:pic>
              </a:graphicData>
            </a:graphic>
          </wp:inline>
        </w:drawing>
      </w:r>
    </w:p>
    <w:p w:rsidR="005119BD" w:rsidRPr="005119BD" w:rsidRDefault="005119BD" w:rsidP="005119BD">
      <w:pPr>
        <w:spacing w:before="240" w:line="276" w:lineRule="auto"/>
        <w:jc w:val="both"/>
        <w:rPr>
          <w:rFonts w:cstheme="minorHAnsi"/>
          <w:noProof/>
          <w:lang w:val="sq-AL"/>
        </w:rPr>
      </w:pPr>
      <w:r w:rsidRPr="005119BD">
        <w:rPr>
          <w:rFonts w:cstheme="minorHAnsi"/>
          <w:noProof/>
          <w:lang w:val="sq-AL"/>
        </w:rPr>
        <w:t xml:space="preserve">Rezultatet e Vrojtimit të Aktivitetit Kreditues për tremujorin e parë të vitit 2019 tregojnë se standardet e kredisë janë shtrënguar si për bizneset ashtu edhe për individët. Sipas madhësisë së biznesit vihet re se </w:t>
      </w:r>
      <w:r w:rsidRPr="005119BD">
        <w:rPr>
          <w:rFonts w:cstheme="minorHAnsi"/>
          <w:noProof/>
          <w:lang w:val="sq-AL"/>
        </w:rPr>
        <w:lastRenderedPageBreak/>
        <w:t xml:space="preserve">shtrëngimi i standardeve të kreditimit ka qenë i dukshëm në segmentin e ndërmarrjeve të mëdha, ndërkohë që për ndërmarrjet e vogla dhe të mesme standardet janë raportuar të lehtësuara. Për individët standardet e kredisë janë raportuar të shtrënguara, si në segmentin e kredisë për blerje banese, ashtu edhe për kredinë konsumatore. Bankat raportuan për një shtrëngim të standardeve për kredinë dhënë bizneseve gjatë tremujorit të parë të 2019 në nivelin (3.1%), krahasuar me 0% në tremujorin e katërt të vitit 2018. Ndërkohë, bankat raportuan për një shtrëngim të standardeve për kredinë drejt individëve gjatë tremujorit të parë të vitit 2019 në nivelin (3.5%), krahasuar me një lehtësim në nivelin 15.9% të shënuar në tremujorin e katërt të vitit 2018. Kërkesa për kredi e bizneseve në tremujorin e parë të vitit 2019 është raportuar më e ulët si në segmentin e ndërmarrjeve të vogla dhe të mesme, ashtu edhe për ndërmarrjet e mëdha. Gjithashtu, edhe kërkesa e individëve për kredi ka rezultuar në rënie në të dyja segmentet, si për kredinë konsumatore, ashtu edhe për kredinë hipotekore. Për bizneset, bankat raportuan se përgjatë tremujorit të parë të vitit 2019 kërkesa për kredi e SME-ve dhe korporatave u zvogëlua përkatësisht me -11.9% dhe me -0.3%. Për individët, bankat raportuan se përgjatë tremujorit të parë kërkesa për kredi për shtëpi shënoi një rënie prej -2.2%, nga një rënie prej -9.5% të shënuar në tremujorin e katërt të vitit 2018. Ndërkohë, për kredinë e individëve për konsum u raportua një rënie prej -9.9%, nga niveli prej +6.3% që u shënua në tremujorin e mëparshëm. </w:t>
      </w:r>
    </w:p>
    <w:p w:rsidR="005119BD" w:rsidRPr="005119BD" w:rsidRDefault="005119BD" w:rsidP="005119BD">
      <w:pPr>
        <w:spacing w:before="240" w:line="276" w:lineRule="auto"/>
        <w:jc w:val="both"/>
        <w:rPr>
          <w:rFonts w:cstheme="minorHAnsi"/>
          <w:noProof/>
          <w:lang w:val="sq-AL"/>
        </w:rPr>
      </w:pPr>
      <w:r w:rsidRPr="005119BD">
        <w:rPr>
          <w:rFonts w:cstheme="minorHAnsi"/>
          <w:noProof/>
          <w:lang w:val="sq-AL"/>
        </w:rPr>
        <w:t>Referuar tё dhёnave tё deritanishme, gjatë muajit prill të vitit 2019 stoku total i depozitave bankare ka shënuar rritje me 2.1% krahasuar me prillin e vitit 2018. Stoku total i depozitave në Lekë pësoi rënie me 0.7%, ndërsa ai në valutë është rritur me 4.5% krahasuar me të njëjtin muaj të vitit 2018. Në Prill 2019 rezulton se rreth 45.9% e totalit të stokut të depozitave përbëhet nga depozitat në Lekë, ndërsa pjesa tjetër prej 54.1% përbëhet nga depozitat në valutë të huaj.</w:t>
      </w:r>
      <w:bookmarkStart w:id="8" w:name="_Toc517643305"/>
      <w:r w:rsidRPr="005119BD">
        <w:rPr>
          <w:rFonts w:cstheme="minorHAnsi"/>
          <w:noProof/>
          <w:lang w:val="sq-AL"/>
        </w:rPr>
        <w:t>Stoku total i depozitave vetëm për muajin Prill 2019 shënoi rënie me 4.6 miliardë Lekë kundrejt muajit paraardhës (Mars 2019). Stoku total i depozitave të bizneseve në muajin Prill të vitit 2019 shënoi rritje prej 5.0% krahasuar me Prillin e vitit 2018, ndërsa stoku total i depozitave të individëve ka shënuar rritje prej 1.1% krahasuar me të njëjtin muaj të një viti më parë.</w:t>
      </w:r>
    </w:p>
    <w:p w:rsidR="005119BD" w:rsidRPr="005119BD" w:rsidRDefault="005119BD" w:rsidP="005119BD">
      <w:pPr>
        <w:spacing w:before="240" w:line="276" w:lineRule="auto"/>
        <w:jc w:val="both"/>
        <w:rPr>
          <w:rFonts w:cstheme="minorHAnsi"/>
          <w:noProof/>
          <w:lang w:val="sq-AL"/>
        </w:rPr>
      </w:pPr>
      <w:r w:rsidRPr="005119BD">
        <w:rPr>
          <w:rFonts w:cstheme="minorHAnsi"/>
          <w:bCs/>
          <w:i/>
          <w:lang w:val="sq-AL"/>
        </w:rPr>
        <w:t xml:space="preserve">Grafiku </w:t>
      </w:r>
      <w:r w:rsidRPr="005119BD">
        <w:rPr>
          <w:rFonts w:cstheme="minorHAnsi"/>
        </w:rPr>
        <w:fldChar w:fldCharType="begin"/>
      </w:r>
      <w:r w:rsidRPr="005119BD">
        <w:rPr>
          <w:rFonts w:cstheme="minorHAnsi"/>
          <w:bCs/>
          <w:i/>
          <w:lang w:val="sq-AL"/>
        </w:rPr>
        <w:instrText xml:space="preserve"> SEQ Grafiku \* ARABIC </w:instrText>
      </w:r>
      <w:r w:rsidRPr="005119BD">
        <w:rPr>
          <w:rFonts w:cstheme="minorHAnsi"/>
        </w:rPr>
        <w:fldChar w:fldCharType="separate"/>
      </w:r>
      <w:r w:rsidRPr="005119BD">
        <w:rPr>
          <w:rFonts w:cstheme="minorHAnsi"/>
          <w:bCs/>
          <w:i/>
          <w:noProof/>
          <w:lang w:val="sq-AL"/>
        </w:rPr>
        <w:t>37</w:t>
      </w:r>
      <w:r w:rsidRPr="005119BD">
        <w:rPr>
          <w:rFonts w:cstheme="minorHAnsi"/>
        </w:rPr>
        <w:fldChar w:fldCharType="end"/>
      </w:r>
      <w:r w:rsidRPr="005119BD">
        <w:rPr>
          <w:rFonts w:cstheme="minorHAnsi"/>
          <w:bCs/>
          <w:i/>
          <w:lang w:val="sq-AL"/>
        </w:rPr>
        <w:t>: Ecuria e stokut të depozitave 2018-2019, në përqindje</w:t>
      </w:r>
      <w:bookmarkEnd w:id="8"/>
    </w:p>
    <w:p w:rsidR="005119BD" w:rsidRPr="005119BD" w:rsidRDefault="005119BD" w:rsidP="005119BD">
      <w:pPr>
        <w:spacing w:line="276" w:lineRule="auto"/>
        <w:jc w:val="center"/>
        <w:rPr>
          <w:rFonts w:cstheme="minorHAnsi"/>
          <w:noProof/>
          <w:lang w:val="sq-AL"/>
        </w:rPr>
      </w:pPr>
      <w:r w:rsidRPr="005119BD">
        <w:rPr>
          <w:rFonts w:cstheme="minorHAnsi"/>
          <w:noProof/>
          <w:lang w:val="en-GB" w:eastAsia="en-GB"/>
        </w:rPr>
        <w:drawing>
          <wp:inline distT="0" distB="0" distL="0" distR="0" wp14:anchorId="193912C7" wp14:editId="3D920F65">
            <wp:extent cx="4124325" cy="2343150"/>
            <wp:effectExtent l="19050" t="0" r="9525" b="0"/>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24325" cy="2343150"/>
                    </a:xfrm>
                    <a:prstGeom prst="rect">
                      <a:avLst/>
                    </a:prstGeom>
                    <a:noFill/>
                    <a:ln>
                      <a:noFill/>
                    </a:ln>
                  </pic:spPr>
                </pic:pic>
              </a:graphicData>
            </a:graphic>
          </wp:inline>
        </w:drawing>
      </w:r>
    </w:p>
    <w:p w:rsidR="005119BD" w:rsidRPr="005119BD" w:rsidRDefault="005119BD" w:rsidP="005119BD">
      <w:pPr>
        <w:spacing w:before="240" w:line="276" w:lineRule="auto"/>
        <w:jc w:val="both"/>
        <w:rPr>
          <w:rFonts w:cstheme="minorHAnsi"/>
          <w:noProof/>
          <w:lang w:val="sq-AL"/>
        </w:rPr>
      </w:pPr>
      <w:r w:rsidRPr="005119BD">
        <w:rPr>
          <w:rFonts w:cstheme="minorHAnsi"/>
          <w:noProof/>
          <w:lang w:val="sq-AL"/>
        </w:rPr>
        <w:lastRenderedPageBreak/>
        <w:t xml:space="preserve">Referuar të dhënave të deritanishme, gjatë muajit prill të vitit 2019, stoku total i kredive bankare pati një rënie me 0.1%, krahasuar me muajin prill të vitit 2018. Stoku i kredive në lekë shënoi një rënie prej 1%, ndërsa ai në valutë rritje prej 0.9%, krahasuar me muajin prill të vitit të kaluar. </w:t>
      </w:r>
    </w:p>
    <w:p w:rsidR="005119BD" w:rsidRPr="005119BD" w:rsidRDefault="005119BD" w:rsidP="005119BD">
      <w:pPr>
        <w:spacing w:before="240" w:line="276" w:lineRule="auto"/>
        <w:jc w:val="both"/>
        <w:rPr>
          <w:rFonts w:cstheme="minorHAnsi"/>
          <w:noProof/>
          <w:lang w:val="sq-AL"/>
        </w:rPr>
      </w:pPr>
      <w:r w:rsidRPr="005119BD">
        <w:rPr>
          <w:rFonts w:cstheme="minorHAnsi"/>
          <w:i/>
          <w:noProof/>
          <w:u w:val="single"/>
        </w:rPr>
        <w:t>Shënim:</w:t>
      </w:r>
      <w:r w:rsidRPr="005119BD">
        <w:rPr>
          <w:rFonts w:cstheme="minorHAnsi"/>
          <w:noProof/>
        </w:rPr>
        <w:t xml:space="preserve"> Sipas vlerësimeve të BSH (në raportin e fundit të politikës monetare) rezulton se për tremujorin e parë të 2019, e rregulluar për kursin e këmbimit dhe kreditë e nxjerra nga bilanci, portofoli i kredisë për sektorin privat (biznese dhe konsumatorë) shënoi një rritje vjetore prej 6% në tremujorin e parë të vitit.</w:t>
      </w:r>
    </w:p>
    <w:p w:rsidR="005119BD" w:rsidRPr="005119BD" w:rsidRDefault="005119BD" w:rsidP="005119BD">
      <w:pPr>
        <w:pStyle w:val="Caption"/>
        <w:keepNext/>
        <w:spacing w:before="240" w:after="0"/>
        <w:jc w:val="both"/>
        <w:rPr>
          <w:rFonts w:cstheme="minorHAnsi"/>
          <w:b w:val="0"/>
          <w:bCs w:val="0"/>
          <w:i/>
          <w:color w:val="auto"/>
          <w:sz w:val="24"/>
          <w:szCs w:val="24"/>
          <w:lang w:val="sq-AL"/>
        </w:rPr>
      </w:pPr>
      <w:bookmarkStart w:id="9" w:name="_Toc517955884"/>
      <w:r w:rsidRPr="005119BD">
        <w:rPr>
          <w:rFonts w:cstheme="minorHAnsi"/>
          <w:b w:val="0"/>
          <w:bCs w:val="0"/>
          <w:i/>
          <w:color w:val="auto"/>
          <w:sz w:val="24"/>
          <w:szCs w:val="24"/>
          <w:lang w:val="sq-AL"/>
        </w:rPr>
        <w:t xml:space="preserve">Tabela </w:t>
      </w:r>
      <w:r w:rsidRPr="005119BD">
        <w:rPr>
          <w:rFonts w:cstheme="minorHAnsi"/>
        </w:rPr>
        <w:fldChar w:fldCharType="begin"/>
      </w:r>
      <w:r w:rsidRPr="005119BD">
        <w:rPr>
          <w:rFonts w:cstheme="minorHAnsi"/>
          <w:b w:val="0"/>
          <w:bCs w:val="0"/>
          <w:i/>
          <w:color w:val="auto"/>
          <w:sz w:val="24"/>
          <w:szCs w:val="24"/>
          <w:lang w:val="sq-AL"/>
        </w:rPr>
        <w:instrText xml:space="preserve"> SEQ Tabela \* ARABIC </w:instrText>
      </w:r>
      <w:r w:rsidRPr="005119BD">
        <w:rPr>
          <w:rFonts w:cstheme="minorHAnsi"/>
        </w:rPr>
        <w:fldChar w:fldCharType="separate"/>
      </w:r>
      <w:r w:rsidRPr="005119BD">
        <w:rPr>
          <w:rFonts w:cstheme="minorHAnsi"/>
          <w:b w:val="0"/>
          <w:bCs w:val="0"/>
          <w:i/>
          <w:noProof/>
          <w:color w:val="auto"/>
          <w:sz w:val="24"/>
          <w:szCs w:val="24"/>
          <w:lang w:val="sq-AL"/>
        </w:rPr>
        <w:t>19</w:t>
      </w:r>
      <w:r w:rsidRPr="005119BD">
        <w:rPr>
          <w:rFonts w:cstheme="minorHAnsi"/>
        </w:rPr>
        <w:fldChar w:fldCharType="end"/>
      </w:r>
      <w:r w:rsidRPr="005119BD">
        <w:rPr>
          <w:rFonts w:cstheme="minorHAnsi"/>
          <w:b w:val="0"/>
          <w:bCs w:val="0"/>
          <w:i/>
          <w:color w:val="auto"/>
          <w:sz w:val="24"/>
          <w:szCs w:val="24"/>
          <w:lang w:val="sq-AL"/>
        </w:rPr>
        <w:t>: Ecuria e kredisë për bizneset dhe individët, në përqindje</w:t>
      </w:r>
      <w:bookmarkEnd w:id="9"/>
    </w:p>
    <w:p w:rsidR="005119BD" w:rsidRPr="005119BD" w:rsidRDefault="005119BD" w:rsidP="005119BD">
      <w:pPr>
        <w:spacing w:before="120" w:after="120" w:line="276" w:lineRule="auto"/>
        <w:jc w:val="center"/>
        <w:rPr>
          <w:rFonts w:cstheme="minorHAnsi"/>
          <w:noProof/>
          <w:lang w:val="sq-AL"/>
        </w:rPr>
      </w:pPr>
      <w:r w:rsidRPr="005119BD">
        <w:rPr>
          <w:rFonts w:cstheme="minorHAnsi"/>
          <w:noProof/>
          <w:lang w:val="en-GB" w:eastAsia="en-GB"/>
        </w:rPr>
        <w:drawing>
          <wp:inline distT="0" distB="0" distL="0" distR="0" wp14:anchorId="27656AE3" wp14:editId="78C24E18">
            <wp:extent cx="5943600" cy="72938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29387"/>
                    </a:xfrm>
                    <a:prstGeom prst="rect">
                      <a:avLst/>
                    </a:prstGeom>
                    <a:noFill/>
                    <a:ln>
                      <a:noFill/>
                    </a:ln>
                  </pic:spPr>
                </pic:pic>
              </a:graphicData>
            </a:graphic>
          </wp:inline>
        </w:drawing>
      </w:r>
    </w:p>
    <w:p w:rsidR="005119BD" w:rsidRPr="005119BD" w:rsidRDefault="005119BD" w:rsidP="005119BD">
      <w:pPr>
        <w:spacing w:before="240" w:line="276" w:lineRule="auto"/>
        <w:jc w:val="both"/>
        <w:rPr>
          <w:rFonts w:cstheme="minorHAnsi"/>
          <w:i/>
          <w:noProof/>
          <w:u w:val="single"/>
        </w:rPr>
      </w:pPr>
      <w:r w:rsidRPr="005119BD">
        <w:rPr>
          <w:rFonts w:cstheme="minorHAnsi"/>
          <w:noProof/>
          <w:lang w:val="sq-AL"/>
        </w:rPr>
        <w:t xml:space="preserve">Stoku i kredive akorduar individëve deri në muajin prill të vitit 2019 shënoi rritje prej 4.5% krahasuar me prillin e vitit 2018, duke kontribuar pozitivisht me 1.5 pikë përqindje në ndryshimin e stokut total të kredisë. </w:t>
      </w:r>
      <w:r w:rsidRPr="005119BD">
        <w:rPr>
          <w:rFonts w:cstheme="minorHAnsi"/>
          <w:noProof/>
        </w:rPr>
        <w:t xml:space="preserve">Stoku i kredive akorduar bizneseve jo-financiare (private dhe publike) për muajin prill 2019 shënoi një rënie me 3.2%. Kredia vetëm për bizneset </w:t>
      </w:r>
      <w:r w:rsidRPr="005119BD">
        <w:rPr>
          <w:rFonts w:cstheme="minorHAnsi"/>
          <w:i/>
          <w:noProof/>
        </w:rPr>
        <w:t>private</w:t>
      </w:r>
      <w:r w:rsidRPr="005119BD">
        <w:rPr>
          <w:rFonts w:cstheme="minorHAnsi"/>
          <w:noProof/>
        </w:rPr>
        <w:t xml:space="preserve"> jo-financiare u rrit me 0.4%, duke kontribuar pozitivisht me 0.3 pikë përqindje në ndryshimin e stokut total të kredisë. Ndërsa, stoku i kredive akorduar bizneseve </w:t>
      </w:r>
      <w:r w:rsidRPr="005119BD">
        <w:rPr>
          <w:rFonts w:cstheme="minorHAnsi"/>
          <w:i/>
          <w:noProof/>
        </w:rPr>
        <w:t>publike</w:t>
      </w:r>
      <w:r w:rsidRPr="005119BD">
        <w:rPr>
          <w:rFonts w:cstheme="minorHAnsi"/>
          <w:noProof/>
        </w:rPr>
        <w:t xml:space="preserve"> jo-financiare për muajin prill të vitit 2019 ka shënuar rënie me 37.7%, krahasuar me prillin e vitit 2018, me kontribut negativ prej 2.3 pikë përqindje. </w:t>
      </w:r>
    </w:p>
    <w:p w:rsidR="005119BD" w:rsidRPr="005119BD" w:rsidRDefault="005119BD" w:rsidP="005119BD">
      <w:pPr>
        <w:spacing w:line="276" w:lineRule="auto"/>
        <w:jc w:val="both"/>
        <w:rPr>
          <w:rFonts w:cstheme="minorHAnsi"/>
          <w:noProof/>
          <w:lang w:val="sq-AL"/>
        </w:rPr>
      </w:pPr>
      <w:r w:rsidRPr="005119BD">
        <w:rPr>
          <w:rFonts w:cstheme="minorHAnsi"/>
          <w:noProof/>
          <w:lang w:val="sq-AL"/>
        </w:rPr>
        <w:t>Në prill 2019 rezulton se rreth 50.2% e totalit të stokut të kredive përbëhet nga kreditë në Lekë, ndërsa pjesa tjetër prej 49.8% përbëhet nga kreditë në valutë.</w:t>
      </w:r>
    </w:p>
    <w:p w:rsidR="005119BD" w:rsidRPr="005119BD" w:rsidRDefault="005119BD" w:rsidP="005119BD">
      <w:pPr>
        <w:pStyle w:val="Caption"/>
        <w:keepNext/>
        <w:spacing w:before="240" w:after="0"/>
        <w:jc w:val="both"/>
        <w:rPr>
          <w:rFonts w:cstheme="minorHAnsi"/>
          <w:b w:val="0"/>
          <w:bCs w:val="0"/>
          <w:i/>
          <w:color w:val="auto"/>
          <w:sz w:val="24"/>
          <w:szCs w:val="24"/>
          <w:lang w:val="sq-AL"/>
        </w:rPr>
      </w:pPr>
      <w:bookmarkStart w:id="10" w:name="_Toc517955885"/>
      <w:r w:rsidRPr="005119BD">
        <w:rPr>
          <w:rFonts w:cstheme="minorHAnsi"/>
          <w:b w:val="0"/>
          <w:bCs w:val="0"/>
          <w:i/>
          <w:color w:val="auto"/>
          <w:sz w:val="24"/>
          <w:szCs w:val="24"/>
          <w:lang w:val="sq-AL"/>
        </w:rPr>
        <w:t xml:space="preserve">Tabela </w:t>
      </w:r>
      <w:r w:rsidRPr="005119BD">
        <w:rPr>
          <w:rFonts w:cstheme="minorHAnsi"/>
        </w:rPr>
        <w:fldChar w:fldCharType="begin"/>
      </w:r>
      <w:r w:rsidRPr="005119BD">
        <w:rPr>
          <w:rFonts w:cstheme="minorHAnsi"/>
          <w:b w:val="0"/>
          <w:bCs w:val="0"/>
          <w:i/>
          <w:color w:val="auto"/>
          <w:sz w:val="24"/>
          <w:szCs w:val="24"/>
          <w:lang w:val="sq-AL"/>
        </w:rPr>
        <w:instrText xml:space="preserve"> SEQ Tabela \* ARABIC </w:instrText>
      </w:r>
      <w:r w:rsidRPr="005119BD">
        <w:rPr>
          <w:rFonts w:cstheme="minorHAnsi"/>
        </w:rPr>
        <w:fldChar w:fldCharType="separate"/>
      </w:r>
      <w:r w:rsidRPr="005119BD">
        <w:rPr>
          <w:rFonts w:cstheme="minorHAnsi"/>
          <w:b w:val="0"/>
          <w:bCs w:val="0"/>
          <w:i/>
          <w:noProof/>
          <w:color w:val="auto"/>
          <w:sz w:val="24"/>
          <w:szCs w:val="24"/>
          <w:lang w:val="sq-AL"/>
        </w:rPr>
        <w:t>20</w:t>
      </w:r>
      <w:r w:rsidRPr="005119BD">
        <w:rPr>
          <w:rFonts w:cstheme="minorHAnsi"/>
        </w:rPr>
        <w:fldChar w:fldCharType="end"/>
      </w:r>
      <w:r w:rsidRPr="005119BD">
        <w:rPr>
          <w:rFonts w:cstheme="minorHAnsi"/>
          <w:b w:val="0"/>
          <w:bCs w:val="0"/>
          <w:i/>
          <w:color w:val="auto"/>
          <w:sz w:val="24"/>
          <w:szCs w:val="24"/>
          <w:lang w:val="sq-AL"/>
        </w:rPr>
        <w:t>: Ecuria e kredive të këqija, në përqindje</w:t>
      </w:r>
      <w:bookmarkEnd w:id="10"/>
    </w:p>
    <w:p w:rsidR="005119BD" w:rsidRPr="005119BD" w:rsidRDefault="005119BD" w:rsidP="005119BD">
      <w:pPr>
        <w:spacing w:before="120" w:after="120" w:line="276" w:lineRule="auto"/>
        <w:jc w:val="center"/>
        <w:rPr>
          <w:rFonts w:cstheme="minorHAnsi"/>
          <w:noProof/>
          <w:lang w:val="sq-AL"/>
        </w:rPr>
      </w:pPr>
      <w:r w:rsidRPr="005119BD">
        <w:rPr>
          <w:rFonts w:cstheme="minorHAnsi"/>
          <w:noProof/>
          <w:lang w:val="en-GB" w:eastAsia="en-GB"/>
        </w:rPr>
        <w:drawing>
          <wp:inline distT="0" distB="0" distL="0" distR="0" wp14:anchorId="513AE16F" wp14:editId="5AE73CC2">
            <wp:extent cx="5943600" cy="40730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07303"/>
                    </a:xfrm>
                    <a:prstGeom prst="rect">
                      <a:avLst/>
                    </a:prstGeom>
                    <a:noFill/>
                    <a:ln>
                      <a:noFill/>
                    </a:ln>
                  </pic:spPr>
                </pic:pic>
              </a:graphicData>
            </a:graphic>
          </wp:inline>
        </w:drawing>
      </w:r>
    </w:p>
    <w:p w:rsidR="005119BD" w:rsidRPr="005119BD" w:rsidRDefault="005119BD" w:rsidP="005119BD">
      <w:pPr>
        <w:spacing w:before="120" w:after="120" w:line="276" w:lineRule="auto"/>
        <w:jc w:val="both"/>
        <w:rPr>
          <w:rFonts w:cstheme="minorHAnsi"/>
          <w:noProof/>
          <w:sz w:val="16"/>
          <w:szCs w:val="16"/>
          <w:lang w:val="sq-AL"/>
        </w:rPr>
      </w:pPr>
    </w:p>
    <w:p w:rsidR="005119BD" w:rsidRPr="005119BD" w:rsidRDefault="005119BD" w:rsidP="005119BD">
      <w:pPr>
        <w:spacing w:before="120" w:after="120" w:line="276" w:lineRule="auto"/>
        <w:jc w:val="both"/>
        <w:rPr>
          <w:rFonts w:cstheme="minorHAnsi"/>
          <w:noProof/>
          <w:lang w:val="sq-AL"/>
        </w:rPr>
      </w:pPr>
      <w:r w:rsidRPr="005119BD">
        <w:rPr>
          <w:rFonts w:cstheme="minorHAnsi"/>
          <w:noProof/>
          <w:lang w:val="sq-AL"/>
        </w:rPr>
        <w:t xml:space="preserve">Sa i takon ecurisë së normave të interesit vihet re: </w:t>
      </w:r>
    </w:p>
    <w:p w:rsidR="005119BD" w:rsidRPr="005119BD" w:rsidRDefault="005119BD" w:rsidP="00570F53">
      <w:pPr>
        <w:pStyle w:val="ListParagraph"/>
        <w:numPr>
          <w:ilvl w:val="0"/>
          <w:numId w:val="34"/>
        </w:numPr>
        <w:tabs>
          <w:tab w:val="clear" w:pos="1440"/>
        </w:tabs>
        <w:spacing w:before="120" w:after="120" w:line="276" w:lineRule="auto"/>
        <w:ind w:left="360"/>
        <w:jc w:val="both"/>
        <w:rPr>
          <w:rFonts w:cstheme="minorHAnsi"/>
          <w:b/>
          <w:i/>
          <w:noProof/>
          <w:lang w:val="sq-AL"/>
        </w:rPr>
      </w:pPr>
      <w:r w:rsidRPr="005119BD">
        <w:rPr>
          <w:rFonts w:cstheme="minorHAnsi"/>
          <w:b/>
          <w:i/>
          <w:noProof/>
          <w:lang w:val="sq-AL"/>
        </w:rPr>
        <w:t>Për depozitat në Lekë</w:t>
      </w:r>
      <w:r w:rsidRPr="005119BD">
        <w:rPr>
          <w:rFonts w:cstheme="minorHAnsi"/>
          <w:noProof/>
          <w:lang w:val="sq-AL"/>
        </w:rPr>
        <w:t xml:space="preserve"> - Norma mesatare e interesit për totalin e depozitave (duke përfshirë të gjitha maturimet) për prillin 2019 shënoi vlerën 0.8%, duke rënë me 0.17 p.p krahasuar me të njëjtën periudhë të vitit të kaluar dhe me 0.02 p.p krahasuar me muajin paraardhës. </w:t>
      </w:r>
      <w:r w:rsidRPr="005119BD">
        <w:rPr>
          <w:rFonts w:cstheme="minorHAnsi"/>
          <w:i/>
          <w:noProof/>
          <w:lang w:val="sq-AL"/>
        </w:rPr>
        <w:t>Ndërkohë, norma e interesit për depozitën 12 mujore u zvogëlua me 0.29 p.p. krahasuar me një vit më parë dhe me 0.1 p.p në  krahasim me një muaj më parë.</w:t>
      </w:r>
    </w:p>
    <w:p w:rsidR="005119BD" w:rsidRPr="005119BD" w:rsidRDefault="005119BD" w:rsidP="00570F53">
      <w:pPr>
        <w:pStyle w:val="ListParagraph"/>
        <w:numPr>
          <w:ilvl w:val="0"/>
          <w:numId w:val="34"/>
        </w:numPr>
        <w:tabs>
          <w:tab w:val="clear" w:pos="1440"/>
        </w:tabs>
        <w:spacing w:before="120" w:after="120" w:line="276" w:lineRule="auto"/>
        <w:ind w:left="360"/>
        <w:jc w:val="both"/>
        <w:rPr>
          <w:rFonts w:cstheme="minorHAnsi"/>
          <w:b/>
          <w:i/>
          <w:noProof/>
          <w:lang w:val="sq-AL"/>
        </w:rPr>
      </w:pPr>
      <w:r w:rsidRPr="005119BD">
        <w:rPr>
          <w:rFonts w:cstheme="minorHAnsi"/>
          <w:b/>
          <w:i/>
          <w:noProof/>
          <w:lang w:val="sq-AL"/>
        </w:rPr>
        <w:t xml:space="preserve">Për depozitat në US ($) – </w:t>
      </w:r>
      <w:r w:rsidRPr="005119BD">
        <w:rPr>
          <w:rFonts w:cstheme="minorHAnsi"/>
          <w:noProof/>
          <w:lang w:val="sq-AL"/>
        </w:rPr>
        <w:t xml:space="preserve">Norma mesatare e interesit për totalin e depozitave shënoi vlerën 0.41%, ose 0.04 p.p. më shumë krahasuar me një vit më parë dhe 0.37 p.p. më pak, krahasuar me një muaj më parë. </w:t>
      </w:r>
      <w:r w:rsidRPr="005119BD">
        <w:rPr>
          <w:rFonts w:cstheme="minorHAnsi"/>
          <w:i/>
          <w:noProof/>
          <w:lang w:val="sq-AL"/>
        </w:rPr>
        <w:t>Ndërkohë, norma e interesit për depozitën 12 mujore ka shënuar rritje prej 0.10 p.p. krahasuar me një vit më parë dhe rënie me 0.5 p.p në  krahasim me një muaj më parë.</w:t>
      </w:r>
    </w:p>
    <w:p w:rsidR="005119BD" w:rsidRPr="005119BD" w:rsidRDefault="005119BD" w:rsidP="00570F53">
      <w:pPr>
        <w:pStyle w:val="ListParagraph"/>
        <w:numPr>
          <w:ilvl w:val="0"/>
          <w:numId w:val="34"/>
        </w:numPr>
        <w:tabs>
          <w:tab w:val="clear" w:pos="1440"/>
        </w:tabs>
        <w:spacing w:before="120" w:after="120" w:line="240" w:lineRule="auto"/>
        <w:ind w:left="387"/>
        <w:jc w:val="both"/>
        <w:rPr>
          <w:rFonts w:cstheme="minorHAnsi"/>
          <w:noProof/>
          <w:lang w:val="sq-AL"/>
        </w:rPr>
      </w:pPr>
      <w:r w:rsidRPr="005119BD">
        <w:rPr>
          <w:rFonts w:cstheme="minorHAnsi"/>
          <w:b/>
          <w:i/>
          <w:noProof/>
          <w:lang w:val="sq-AL"/>
        </w:rPr>
        <w:t xml:space="preserve">Për depozitat në EUR (€) - </w:t>
      </w:r>
      <w:r w:rsidRPr="005119BD">
        <w:rPr>
          <w:rFonts w:cstheme="minorHAnsi"/>
          <w:noProof/>
          <w:lang w:val="sq-AL"/>
        </w:rPr>
        <w:t xml:space="preserve">Norma mesatare e interesit për totalin e depozitave shënoi vlerën 0.12%, duke rënë me 0.02 p.p krahasuar me një vit më parë dhe duke mos patur ndryshim krahasuar me </w:t>
      </w:r>
      <w:r w:rsidRPr="005119BD">
        <w:rPr>
          <w:rFonts w:cstheme="minorHAnsi"/>
          <w:noProof/>
          <w:lang w:val="sq-AL"/>
        </w:rPr>
        <w:lastRenderedPageBreak/>
        <w:t xml:space="preserve">një muaj më parë. </w:t>
      </w:r>
      <w:r w:rsidRPr="005119BD">
        <w:rPr>
          <w:rFonts w:cstheme="minorHAnsi"/>
          <w:i/>
          <w:noProof/>
          <w:lang w:val="sq-AL"/>
        </w:rPr>
        <w:t>Ndërkohë, norma e interesit për depozitën 12 mujore u zvogëlua me 0.05 p.p krahasuar me një vit më parë dhe pati rënie me 0.05 në krahasim me muajin paraardhës.</w:t>
      </w:r>
    </w:p>
    <w:p w:rsidR="005119BD" w:rsidRPr="005119BD" w:rsidRDefault="005119BD" w:rsidP="00570F53">
      <w:pPr>
        <w:pStyle w:val="ListParagraph"/>
        <w:numPr>
          <w:ilvl w:val="0"/>
          <w:numId w:val="34"/>
        </w:numPr>
        <w:tabs>
          <w:tab w:val="clear" w:pos="1440"/>
        </w:tabs>
        <w:spacing w:before="120" w:after="120" w:line="276" w:lineRule="auto"/>
        <w:ind w:left="387" w:hanging="425"/>
        <w:jc w:val="both"/>
        <w:rPr>
          <w:rFonts w:cstheme="minorHAnsi"/>
          <w:noProof/>
          <w:lang w:val="sq-AL"/>
        </w:rPr>
      </w:pPr>
      <w:r w:rsidRPr="005119BD">
        <w:rPr>
          <w:rFonts w:cstheme="minorHAnsi"/>
          <w:b/>
          <w:i/>
          <w:noProof/>
          <w:lang w:val="sq-AL"/>
        </w:rPr>
        <w:t>Për kreditë në Lekë</w:t>
      </w:r>
      <w:r w:rsidRPr="005119BD">
        <w:rPr>
          <w:rFonts w:cstheme="minorHAnsi"/>
          <w:noProof/>
          <w:lang w:val="sq-AL"/>
        </w:rPr>
        <w:t xml:space="preserve"> - Norma mesatare e interesit për totalin e kredive (duke përfshirë të gjitha maturimet) për prillin 2019 shënoi vlerën 6.37%, ose 0.85 p.p. më shumë se e njëjta periudhë e vitit të kaluar dhe 0.1 p.p. më pak se muaji paraardhës.</w:t>
      </w:r>
      <w:r w:rsidRPr="005119BD">
        <w:rPr>
          <w:rFonts w:cstheme="minorHAnsi"/>
          <w:i/>
          <w:noProof/>
          <w:lang w:val="sq-AL"/>
        </w:rPr>
        <w:t xml:space="preserve"> Ndërkohë, norma e interesit për kreditimin mbi 5 vjeçarë ka shënuar rënie prej 0.2 p.p. krahasuar me një vit më parë dhe një rënie  prej 0.42 p.p. krahasuar me muajin mars 2019. </w:t>
      </w:r>
    </w:p>
    <w:p w:rsidR="005119BD" w:rsidRPr="005119BD" w:rsidRDefault="005119BD" w:rsidP="00570F53">
      <w:pPr>
        <w:pStyle w:val="ListParagraph"/>
        <w:numPr>
          <w:ilvl w:val="0"/>
          <w:numId w:val="34"/>
        </w:numPr>
        <w:tabs>
          <w:tab w:val="clear" w:pos="1440"/>
        </w:tabs>
        <w:spacing w:before="120" w:after="120" w:line="276" w:lineRule="auto"/>
        <w:ind w:left="387" w:hanging="425"/>
        <w:jc w:val="both"/>
        <w:rPr>
          <w:rFonts w:cstheme="minorHAnsi"/>
          <w:noProof/>
          <w:lang w:val="sq-AL"/>
        </w:rPr>
      </w:pPr>
      <w:r w:rsidRPr="005119BD">
        <w:rPr>
          <w:rFonts w:cstheme="minorHAnsi"/>
          <w:b/>
          <w:i/>
          <w:noProof/>
          <w:lang w:val="sq-AL"/>
        </w:rPr>
        <w:t xml:space="preserve">Për kreditë në US($) </w:t>
      </w:r>
      <w:r w:rsidRPr="005119BD">
        <w:rPr>
          <w:rFonts w:cstheme="minorHAnsi"/>
          <w:noProof/>
          <w:lang w:val="sq-AL"/>
        </w:rPr>
        <w:t xml:space="preserve">- Norma mesatare e interesit për totalin e kredive shënoi vlerën 4.12%, duke shënuar rënie me 1.96 p.p. krahasuar me një vit më parë dhe një rënie me 0.31 p.p krahasuar me muajin paraardhës. </w:t>
      </w:r>
    </w:p>
    <w:p w:rsidR="005119BD" w:rsidRPr="005119BD" w:rsidRDefault="005119BD" w:rsidP="00570F53">
      <w:pPr>
        <w:pStyle w:val="ListParagraph"/>
        <w:numPr>
          <w:ilvl w:val="0"/>
          <w:numId w:val="34"/>
        </w:numPr>
        <w:tabs>
          <w:tab w:val="clear" w:pos="1440"/>
        </w:tabs>
        <w:spacing w:before="120" w:after="120" w:line="276" w:lineRule="auto"/>
        <w:ind w:left="387" w:hanging="425"/>
        <w:jc w:val="both"/>
        <w:rPr>
          <w:rFonts w:cstheme="minorHAnsi"/>
          <w:noProof/>
          <w:lang w:val="sq-AL"/>
        </w:rPr>
      </w:pPr>
      <w:r w:rsidRPr="005119BD">
        <w:rPr>
          <w:rFonts w:cstheme="minorHAnsi"/>
          <w:b/>
          <w:i/>
          <w:noProof/>
          <w:lang w:val="sq-AL"/>
        </w:rPr>
        <w:t xml:space="preserve">Për kreditë në EUR (€) </w:t>
      </w:r>
      <w:r w:rsidRPr="005119BD">
        <w:rPr>
          <w:rFonts w:cstheme="minorHAnsi"/>
          <w:noProof/>
          <w:lang w:val="sq-AL"/>
        </w:rPr>
        <w:t xml:space="preserve">- Norma mesatare e interesit për totalin e kredive për prillin 2019 shënoi vlerën 4.38%, ose 0.29 p.p. më shumë se e njëjta periudhë e vitit të kaluar dhe u zvogëlua me 0.21 p.p. krahasuar me një muaj më parë. </w:t>
      </w:r>
      <w:r w:rsidRPr="005119BD">
        <w:rPr>
          <w:rFonts w:cstheme="minorHAnsi"/>
          <w:i/>
          <w:noProof/>
          <w:lang w:val="sq-AL"/>
        </w:rPr>
        <w:t>Ndërkohë, norma e interesit për kreditimin mbi 5 vjeçar ka shënuar rritje prej 0.72 p.p. krahasuar me një vit më parë dhe një rritje me 0.23 p.p. krahasuar me muajin mars 2019.</w:t>
      </w:r>
    </w:p>
    <w:p w:rsidR="005119BD" w:rsidRPr="005119BD" w:rsidRDefault="005119BD" w:rsidP="005119BD">
      <w:pPr>
        <w:spacing w:before="240" w:line="276" w:lineRule="auto"/>
        <w:jc w:val="both"/>
        <w:rPr>
          <w:rFonts w:cstheme="minorHAnsi"/>
          <w:noProof/>
          <w:lang w:val="sq-AL"/>
        </w:rPr>
      </w:pPr>
      <w:r w:rsidRPr="005119BD">
        <w:rPr>
          <w:rFonts w:cstheme="minorHAnsi"/>
          <w:noProof/>
          <w:lang w:val="sq-AL"/>
        </w:rPr>
        <w:t>Ndërkohë, kursi i këmbimit të Lek-ut ndaj Dollarit Amerikan dhe Euros, në muajin maj 2019 arriti respektivisht nivelin 109.96 dhe 122.99 në vlerë mesatare mujore, ku monedha Lek është forcuar kundrejt monedhësEUR, krahasuar me mesataren e kursit për vitin 2018.</w:t>
      </w:r>
    </w:p>
    <w:p w:rsidR="005119BD" w:rsidRPr="005119BD" w:rsidRDefault="005119BD" w:rsidP="005119BD">
      <w:pPr>
        <w:pStyle w:val="Caption"/>
        <w:keepNext/>
        <w:spacing w:before="240" w:after="0"/>
        <w:jc w:val="both"/>
        <w:rPr>
          <w:rFonts w:cstheme="minorHAnsi"/>
          <w:b w:val="0"/>
          <w:bCs w:val="0"/>
          <w:i/>
          <w:color w:val="auto"/>
          <w:sz w:val="24"/>
          <w:szCs w:val="24"/>
          <w:lang w:val="sq-AL"/>
        </w:rPr>
      </w:pPr>
      <w:bookmarkStart w:id="11" w:name="_Toc517955886"/>
      <w:r w:rsidRPr="005119BD">
        <w:rPr>
          <w:rFonts w:cstheme="minorHAnsi"/>
          <w:b w:val="0"/>
          <w:bCs w:val="0"/>
          <w:i/>
          <w:color w:val="auto"/>
          <w:sz w:val="24"/>
          <w:szCs w:val="24"/>
          <w:lang w:val="sq-AL"/>
        </w:rPr>
        <w:t xml:space="preserve">Tabela </w:t>
      </w:r>
      <w:r w:rsidRPr="005119BD">
        <w:rPr>
          <w:rFonts w:cstheme="minorHAnsi"/>
        </w:rPr>
        <w:fldChar w:fldCharType="begin"/>
      </w:r>
      <w:r w:rsidRPr="005119BD">
        <w:rPr>
          <w:rFonts w:cstheme="minorHAnsi"/>
          <w:b w:val="0"/>
          <w:bCs w:val="0"/>
          <w:i/>
          <w:color w:val="auto"/>
          <w:sz w:val="24"/>
          <w:szCs w:val="24"/>
          <w:lang w:val="sq-AL"/>
        </w:rPr>
        <w:instrText xml:space="preserve"> SEQ Tabela \* ARABIC </w:instrText>
      </w:r>
      <w:r w:rsidRPr="005119BD">
        <w:rPr>
          <w:rFonts w:cstheme="minorHAnsi"/>
        </w:rPr>
        <w:fldChar w:fldCharType="separate"/>
      </w:r>
      <w:r w:rsidRPr="005119BD">
        <w:rPr>
          <w:rFonts w:cstheme="minorHAnsi"/>
          <w:b w:val="0"/>
          <w:bCs w:val="0"/>
          <w:i/>
          <w:noProof/>
          <w:color w:val="auto"/>
          <w:sz w:val="24"/>
          <w:szCs w:val="24"/>
          <w:lang w:val="sq-AL"/>
        </w:rPr>
        <w:t>21</w:t>
      </w:r>
      <w:r w:rsidRPr="005119BD">
        <w:rPr>
          <w:rFonts w:cstheme="minorHAnsi"/>
        </w:rPr>
        <w:fldChar w:fldCharType="end"/>
      </w:r>
      <w:r w:rsidRPr="005119BD">
        <w:rPr>
          <w:rFonts w:cstheme="minorHAnsi"/>
          <w:b w:val="0"/>
          <w:bCs w:val="0"/>
          <w:i/>
          <w:color w:val="auto"/>
          <w:sz w:val="24"/>
          <w:szCs w:val="24"/>
          <w:lang w:val="sq-AL"/>
        </w:rPr>
        <w:t>: Ecuria e kursit të këmbimit 2015-201</w:t>
      </w:r>
      <w:bookmarkEnd w:id="11"/>
      <w:r w:rsidRPr="005119BD">
        <w:rPr>
          <w:rFonts w:cstheme="minorHAnsi"/>
          <w:b w:val="0"/>
          <w:bCs w:val="0"/>
          <w:i/>
          <w:color w:val="auto"/>
          <w:sz w:val="24"/>
          <w:szCs w:val="24"/>
          <w:lang w:val="sq-AL"/>
        </w:rPr>
        <w:t>9</w:t>
      </w:r>
    </w:p>
    <w:p w:rsidR="005119BD" w:rsidRPr="005119BD" w:rsidRDefault="005119BD" w:rsidP="005119BD">
      <w:pPr>
        <w:spacing w:before="120" w:after="120" w:line="276" w:lineRule="auto"/>
        <w:jc w:val="center"/>
        <w:rPr>
          <w:rFonts w:cstheme="minorHAnsi"/>
          <w:noProof/>
          <w:lang w:val="sq-AL"/>
        </w:rPr>
      </w:pPr>
      <w:r w:rsidRPr="005119BD">
        <w:rPr>
          <w:rFonts w:cstheme="minorHAnsi"/>
          <w:noProof/>
          <w:lang w:val="en-GB" w:eastAsia="en-GB"/>
        </w:rPr>
        <w:drawing>
          <wp:inline distT="0" distB="0" distL="0" distR="0" wp14:anchorId="7412CBB8" wp14:editId="101E4B9B">
            <wp:extent cx="5943600" cy="942563"/>
            <wp:effectExtent l="0" t="0" r="0"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942563"/>
                    </a:xfrm>
                    <a:prstGeom prst="rect">
                      <a:avLst/>
                    </a:prstGeom>
                    <a:noFill/>
                    <a:ln>
                      <a:noFill/>
                    </a:ln>
                  </pic:spPr>
                </pic:pic>
              </a:graphicData>
            </a:graphic>
          </wp:inline>
        </w:drawing>
      </w:r>
    </w:p>
    <w:p w:rsidR="005119BD" w:rsidRPr="005119BD" w:rsidRDefault="005119BD" w:rsidP="005119BD">
      <w:pPr>
        <w:autoSpaceDE w:val="0"/>
        <w:autoSpaceDN w:val="0"/>
        <w:adjustRightInd w:val="0"/>
        <w:spacing w:before="120" w:after="120"/>
        <w:jc w:val="both"/>
        <w:rPr>
          <w:rFonts w:ascii="Cambria" w:eastAsia="Calibri" w:hAnsi="Cambria" w:cs="Times New Roman"/>
          <w:szCs w:val="24"/>
          <w:lang w:val="sq-AL"/>
        </w:rPr>
      </w:pPr>
    </w:p>
    <w:p w:rsidR="005119BD" w:rsidRPr="005119BD" w:rsidRDefault="005119BD" w:rsidP="005119BD">
      <w:pPr>
        <w:autoSpaceDE w:val="0"/>
        <w:autoSpaceDN w:val="0"/>
        <w:adjustRightInd w:val="0"/>
        <w:spacing w:before="120" w:after="120"/>
        <w:jc w:val="both"/>
        <w:rPr>
          <w:rFonts w:ascii="Cambria" w:eastAsia="Calibri" w:hAnsi="Cambria" w:cs="Calibri"/>
          <w:bCs/>
          <w:color w:val="244061"/>
          <w:lang w:val="sq-AL"/>
        </w:rPr>
      </w:pPr>
    </w:p>
    <w:p w:rsidR="005119BD" w:rsidRPr="005119BD" w:rsidRDefault="005119BD" w:rsidP="005119BD">
      <w:pPr>
        <w:autoSpaceDE w:val="0"/>
        <w:autoSpaceDN w:val="0"/>
        <w:adjustRightInd w:val="0"/>
        <w:spacing w:before="120" w:after="120"/>
        <w:jc w:val="both"/>
        <w:rPr>
          <w:rFonts w:ascii="Cambria" w:eastAsia="Calibri" w:hAnsi="Cambria" w:cs="Calibri"/>
          <w:bCs/>
          <w:color w:val="1F4E79" w:themeColor="accent1" w:themeShade="80"/>
          <w:lang w:val="sq-AL"/>
        </w:rPr>
      </w:pPr>
      <w:r w:rsidRPr="005119BD">
        <w:rPr>
          <w:rFonts w:ascii="Cambria" w:eastAsia="Calibri" w:hAnsi="Cambria" w:cs="Calibri"/>
          <w:bCs/>
          <w:color w:val="1F4E79" w:themeColor="accent1" w:themeShade="80"/>
          <w:lang w:val="sq-AL"/>
        </w:rPr>
        <w:t xml:space="preserve">Sektori i jashtëm </w:t>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t>Për vitin 2018, eksportet e mallrave shënuan një rritje pozitive prej 13.7% krahasuar me të njëjtën periudhë të një viti më parë dhe kontributin kryesor pozitiv e dha grupi “Minerale, lëndë djegëse, energji elektrike” me 4.9 pikë përqindje. Ndërsa, importet e mallrave për vitin 2018 u rritën me 2.4% në terma vjetorë, grupi që ndikoi më shumë në rritjen e importeve totale ishte “Makineri, pajisje dhe pjesë këmbimi” me 1.3 pikë përqindje. Rrjedhimisht, gjatë periudhës janar-dhjetor 2018, defiçiti i bilancit tregtar u përmirësua me 6.3% krahasuar me vitin 2017</w:t>
      </w:r>
      <w:r w:rsidRPr="005119BD">
        <w:t>. S</w:t>
      </w:r>
      <w:r w:rsidRPr="005119BD">
        <w:rPr>
          <w:rFonts w:ascii="Cambria" w:eastAsia="Calibri" w:hAnsi="Cambria" w:cs="Calibri"/>
          <w:lang w:val="sq-AL"/>
        </w:rPr>
        <w:t>hkёmbimet tregtare për vitin 2018 me vendet e BE zunё 65.9% tё gjithё tregtisё.</w:t>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t xml:space="preserve">Në katërmujorin e parë të vitit 2019 eksportet, më specifikisht eksportet e mallrave, referuar statistikave të tregtisë së jashtme (INSTAT), shënuan një rënie të lehtë prej -2.3% në terma vjetorë. Gjithashtu është e rëndësishme të evidentohet se që prej muajit parardhës rënia e eksporteve totale të mallrave ka filluar të zbutet, duke ju afruar gjithnjë e më shumë vlerave pozitive. Kjo ulje vjetore e eksporteve për periudhën janar-prill 2019 është ndikuar kryesisht nga grupi “Minerale, lёndё djegёse, energji elektrike” me -4.9 pikë përqindje. </w:t>
      </w:r>
    </w:p>
    <w:p w:rsidR="005119BD" w:rsidRPr="005119BD" w:rsidRDefault="005119BD" w:rsidP="005119BD">
      <w:pPr>
        <w:spacing w:before="120" w:after="120"/>
        <w:jc w:val="both"/>
        <w:rPr>
          <w:rFonts w:ascii="Cambria" w:eastAsia="Calibri" w:hAnsi="Cambria" w:cs="Calibri"/>
          <w:lang w:val="sq-AL"/>
        </w:rPr>
      </w:pPr>
      <w:r w:rsidRPr="005119BD">
        <w:rPr>
          <w:rFonts w:ascii="Cambria" w:eastAsia="Calibri" w:hAnsi="Cambria" w:cs="Calibri"/>
          <w:lang w:val="sq-AL"/>
        </w:rPr>
        <w:lastRenderedPageBreak/>
        <w:t xml:space="preserve">Në grafikun e mëposhtëm paraqitet rritja mujore e totalit të eksporteve në përqindje, kundrejt të njëjtit muaj të një viti më parë, për tre vitet e fundit. </w:t>
      </w:r>
    </w:p>
    <w:p w:rsidR="005119BD" w:rsidRPr="005119BD" w:rsidRDefault="005119BD" w:rsidP="005119BD">
      <w:pPr>
        <w:spacing w:before="120" w:after="120"/>
        <w:rPr>
          <w:rFonts w:ascii="Cambria" w:eastAsia="Calibri" w:hAnsi="Cambria" w:cs="Calibri"/>
          <w:lang w:val="sq-AL"/>
        </w:rPr>
      </w:pPr>
      <w:r w:rsidRPr="005119BD">
        <w:rPr>
          <w:noProof/>
          <w:lang w:val="en-GB" w:eastAsia="en-GB"/>
        </w:rPr>
        <w:drawing>
          <wp:inline distT="0" distB="0" distL="0" distR="0" wp14:anchorId="7547333A" wp14:editId="47852192">
            <wp:extent cx="5874487" cy="24765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94684" cy="2485014"/>
                    </a:xfrm>
                    <a:prstGeom prst="rect">
                      <a:avLst/>
                    </a:prstGeom>
                    <a:noFill/>
                    <a:ln>
                      <a:noFill/>
                    </a:ln>
                  </pic:spPr>
                </pic:pic>
              </a:graphicData>
            </a:graphic>
          </wp:inline>
        </w:drawing>
      </w:r>
    </w:p>
    <w:p w:rsidR="005119BD" w:rsidRPr="005119BD" w:rsidRDefault="005119BD" w:rsidP="005119BD">
      <w:pPr>
        <w:autoSpaceDE w:val="0"/>
        <w:autoSpaceDN w:val="0"/>
        <w:adjustRightInd w:val="0"/>
        <w:spacing w:before="120" w:after="120"/>
        <w:jc w:val="both"/>
        <w:rPr>
          <w:rFonts w:ascii="Cambria" w:eastAsia="Calibri" w:hAnsi="Cambria" w:cs="Calibri"/>
          <w:lang w:val="sq-AL"/>
        </w:rPr>
      </w:pPr>
      <w:r w:rsidRPr="005119BD">
        <w:rPr>
          <w:rFonts w:ascii="Cambria" w:eastAsia="Calibri" w:hAnsi="Cambria" w:cs="Calibri"/>
          <w:lang w:val="sq-AL"/>
        </w:rPr>
        <w:t>Importet e mallrave për periudhën janar-prill 2019 shënuan rritje prej 3.2% krahasuar me të njëjtën periudhë të një viti më parë. Në rritjen vjetore të importeve ka ndikuar më tepër grupi “Minerale, lёndё djegёse, energji elektrike” me +2.8 pikë përqindje.</w:t>
      </w:r>
    </w:p>
    <w:p w:rsidR="005119BD" w:rsidRPr="005119BD" w:rsidRDefault="005119BD" w:rsidP="005119BD">
      <w:pPr>
        <w:autoSpaceDE w:val="0"/>
        <w:autoSpaceDN w:val="0"/>
        <w:adjustRightInd w:val="0"/>
        <w:spacing w:before="120" w:after="120"/>
        <w:jc w:val="both"/>
        <w:rPr>
          <w:rFonts w:ascii="Cambria" w:eastAsia="Calibri" w:hAnsi="Cambria" w:cs="Calibri"/>
          <w:lang w:val="sq-AL"/>
        </w:rPr>
      </w:pPr>
      <w:r w:rsidRPr="005119BD">
        <w:rPr>
          <w:rFonts w:ascii="Cambria" w:eastAsia="Calibri" w:hAnsi="Cambria" w:cs="Calibri"/>
          <w:lang w:val="sq-AL"/>
        </w:rPr>
        <w:t xml:space="preserve">Në grafikun e mëposhtëm paraqitet rritja mujore e totalit të importeve në përqindje, kundrejt të njëjtit muaj të një viti më parë, për tre vitet e fundit. </w:t>
      </w:r>
    </w:p>
    <w:p w:rsidR="005119BD" w:rsidRPr="005119BD" w:rsidRDefault="005119BD" w:rsidP="005119BD">
      <w:pPr>
        <w:autoSpaceDE w:val="0"/>
        <w:autoSpaceDN w:val="0"/>
        <w:adjustRightInd w:val="0"/>
        <w:spacing w:before="120" w:after="120"/>
        <w:jc w:val="center"/>
        <w:rPr>
          <w:rFonts w:ascii="Cambria" w:eastAsia="Calibri" w:hAnsi="Cambria" w:cs="Calibri"/>
          <w:lang w:val="sq-AL"/>
        </w:rPr>
      </w:pPr>
      <w:r w:rsidRPr="005119BD">
        <w:rPr>
          <w:noProof/>
          <w:lang w:val="en-GB" w:eastAsia="en-GB"/>
        </w:rPr>
        <w:drawing>
          <wp:inline distT="0" distB="0" distL="0" distR="0" wp14:anchorId="5965AE49" wp14:editId="2CDC14F7">
            <wp:extent cx="5837272" cy="2457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38099" cy="2457798"/>
                    </a:xfrm>
                    <a:prstGeom prst="rect">
                      <a:avLst/>
                    </a:prstGeom>
                    <a:noFill/>
                    <a:ln>
                      <a:noFill/>
                    </a:ln>
                  </pic:spPr>
                </pic:pic>
              </a:graphicData>
            </a:graphic>
          </wp:inline>
        </w:drawing>
      </w:r>
    </w:p>
    <w:p w:rsidR="005119BD" w:rsidRPr="00770BE8" w:rsidRDefault="005119BD" w:rsidP="005119BD">
      <w:pPr>
        <w:autoSpaceDE w:val="0"/>
        <w:autoSpaceDN w:val="0"/>
        <w:adjustRightInd w:val="0"/>
        <w:spacing w:before="120" w:after="120"/>
        <w:jc w:val="both"/>
        <w:rPr>
          <w:rFonts w:ascii="Cambria" w:eastAsia="Calibri" w:hAnsi="Cambria" w:cs="Calibri"/>
          <w:lang w:val="sq-AL"/>
        </w:rPr>
      </w:pPr>
      <w:r w:rsidRPr="005119BD">
        <w:rPr>
          <w:rFonts w:ascii="Cambria" w:eastAsia="Calibri" w:hAnsi="Cambria" w:cs="Calibri"/>
          <w:lang w:val="sq-AL"/>
        </w:rPr>
        <w:t>Deficiti tregtar për periudhën janar-prill 2019 është pёrkeqësuar me 8.9%, krahasuar me të njëjtën periudhë të një viti më parë. Norma e mbulimit të eksporteve ndaj importeve për këtë periudhë është 48.3%, ndërkohë që shkëmbimet tregtare me vendet e BE zënë 65.6% të gjithë tregtisë. Në periudhën janar-prill 2019, eksportet drejt vendeve të BE-së zënë 77.3% të eksporteve gjithsej dhe importet nga vendet e BE-së zënë 60.0% të importeve gjithsej. Partnerët kryesorë tregtarë janë: Italia (33.7%), Greqia (7.2%), Kina  (6.8%) dhe Gjermania (6.1%).</w:t>
      </w:r>
    </w:p>
    <w:p w:rsidR="00AD5414" w:rsidRDefault="00AD5414" w:rsidP="00AD5414">
      <w:pPr>
        <w:rPr>
          <w:lang w:val="en"/>
        </w:rPr>
      </w:pPr>
    </w:p>
    <w:p w:rsidR="00AD5414" w:rsidRPr="00AD5414" w:rsidRDefault="00AD5414" w:rsidP="00AD5414">
      <w:pPr>
        <w:rPr>
          <w:lang w:val="en"/>
        </w:rPr>
      </w:pPr>
    </w:p>
    <w:p w:rsidR="00F7609B" w:rsidRPr="00AD5414" w:rsidRDefault="00405A65" w:rsidP="00F7609B">
      <w:pPr>
        <w:pStyle w:val="Heading1"/>
        <w:rPr>
          <w:rFonts w:ascii="Cambria" w:hAnsi="Cambria" w:cs="Times New Roman"/>
          <w:b/>
          <w:color w:val="000000" w:themeColor="text1"/>
          <w:lang w:val="en"/>
        </w:rPr>
      </w:pPr>
      <w:bookmarkStart w:id="12" w:name="_Toc13653975"/>
      <w:r>
        <w:rPr>
          <w:rFonts w:ascii="Cambria" w:hAnsi="Cambria" w:cs="Times New Roman"/>
          <w:b/>
          <w:color w:val="000000" w:themeColor="text1"/>
          <w:lang w:val="en"/>
        </w:rPr>
        <w:lastRenderedPageBreak/>
        <w:t>PROGRAMI BUXHETOR AFATMESËM 2020</w:t>
      </w:r>
      <w:r w:rsidR="00F7609B" w:rsidRPr="00F7609B">
        <w:rPr>
          <w:rFonts w:ascii="Cambria" w:hAnsi="Cambria" w:cs="Times New Roman"/>
          <w:b/>
          <w:color w:val="000000" w:themeColor="text1"/>
          <w:lang w:val="en"/>
        </w:rPr>
        <w:t>-202</w:t>
      </w:r>
      <w:r>
        <w:rPr>
          <w:rFonts w:ascii="Cambria" w:hAnsi="Cambria" w:cs="Times New Roman"/>
          <w:b/>
          <w:color w:val="000000" w:themeColor="text1"/>
          <w:lang w:val="en"/>
        </w:rPr>
        <w:t>2</w:t>
      </w:r>
      <w:bookmarkEnd w:id="12"/>
    </w:p>
    <w:p w:rsidR="003658A5" w:rsidRPr="00405A65" w:rsidRDefault="003658A5" w:rsidP="00EA54EE">
      <w:pPr>
        <w:pStyle w:val="Heading2"/>
        <w:rPr>
          <w:rFonts w:ascii="Cambria" w:eastAsia="Calibri" w:hAnsi="Cambria"/>
          <w:i w:val="0"/>
          <w:sz w:val="24"/>
        </w:rPr>
      </w:pPr>
      <w:bookmarkStart w:id="13" w:name="_Toc13653976"/>
      <w:r w:rsidRPr="00405A65">
        <w:rPr>
          <w:rFonts w:ascii="Cambria" w:eastAsia="Calibri" w:hAnsi="Cambria"/>
          <w:i w:val="0"/>
          <w:sz w:val="24"/>
        </w:rPr>
        <w:t>MINISTRIA E SHËNDETËSISË DHE MBROJTJES SOCIALE</w:t>
      </w:r>
      <w:bookmarkEnd w:id="13"/>
    </w:p>
    <w:p w:rsidR="00CB0B43" w:rsidRPr="00CB0B43" w:rsidRDefault="00CB0B43" w:rsidP="00CB0B43">
      <w:pPr>
        <w:spacing w:after="200" w:line="276" w:lineRule="auto"/>
        <w:jc w:val="both"/>
        <w:rPr>
          <w:rFonts w:ascii="Cambria" w:eastAsia="Calibri" w:hAnsi="Cambria" w:cs="Times New Roman"/>
          <w:lang w:val="sq-AL"/>
        </w:rPr>
      </w:pPr>
      <w:r w:rsidRPr="00CB0B43">
        <w:rPr>
          <w:rFonts w:ascii="Cambria" w:eastAsia="Calibri" w:hAnsi="Cambria" w:cs="Times New Roman"/>
          <w:lang w:val="sq-AL"/>
        </w:rPr>
        <w:t>Ministria e Shëndetësisë dhe Mbrojtjes Sociale ka për mision hartimin dhe zbatimin e politikave për sigurimin e një kujdesi shëndetësor dhe mbrojtjes sociale sipas standarteve të akteve ligjore dhe nënligjore të miratuara në Republikën e Shqipërisë.</w:t>
      </w:r>
    </w:p>
    <w:p w:rsidR="00CB0B43" w:rsidRPr="00CB0B43" w:rsidRDefault="00CB0B43" w:rsidP="00CB0B43">
      <w:pPr>
        <w:spacing w:after="200" w:line="276" w:lineRule="auto"/>
        <w:jc w:val="both"/>
        <w:rPr>
          <w:rFonts w:ascii="Cambria" w:eastAsia="Calibri" w:hAnsi="Cambria" w:cs="Times New Roman"/>
          <w:lang w:val="sq-AL"/>
        </w:rPr>
      </w:pPr>
      <w:r w:rsidRPr="00CB0B43">
        <w:rPr>
          <w:rFonts w:ascii="Cambria" w:eastAsia="Calibri" w:hAnsi="Cambria" w:cs="Times New Roman"/>
          <w:lang w:val="sq-AL"/>
        </w:rPr>
        <w:t xml:space="preserve">Për periudhën 2020-2022, sektori i shëndetësisë do të përmbushë objektivat e synuar përmes fondeve buxhetore të alokuara sipas tabelës së mëposhtme. </w:t>
      </w:r>
    </w:p>
    <w:p w:rsidR="00CB0B43" w:rsidRPr="00CB0B43" w:rsidRDefault="00CB0B43" w:rsidP="00CB0B43">
      <w:pPr>
        <w:contextualSpacing/>
        <w:rPr>
          <w:rFonts w:ascii="Cambria" w:eastAsia="Times New Roman" w:hAnsi="Cambria" w:cs="Times New Roman"/>
          <w:sz w:val="20"/>
          <w:lang w:val="sq-AL"/>
        </w:rPr>
      </w:pPr>
      <w:r w:rsidRPr="00CB0B43">
        <w:rPr>
          <w:rFonts w:ascii="Cambria" w:eastAsia="Times New Roman" w:hAnsi="Cambria" w:cs="Times New Roman"/>
          <w:b/>
          <w:sz w:val="20"/>
          <w:lang w:val="sq-AL"/>
        </w:rPr>
        <w:t xml:space="preserve">Tabela 3: </w:t>
      </w:r>
      <w:r w:rsidRPr="00CB0B43">
        <w:rPr>
          <w:rFonts w:ascii="Cambria" w:eastAsia="Times New Roman" w:hAnsi="Cambria" w:cs="Times New Roman"/>
          <w:sz w:val="20"/>
          <w:lang w:val="sq-AL"/>
        </w:rPr>
        <w:t>Shpenzimet për Ministrinë e Shëndetësisë dhe Mbrojtjes Sociale në vitet 2019-2022</w:t>
      </w:r>
    </w:p>
    <w:p w:rsidR="00CB0B43" w:rsidRPr="00CB0B43" w:rsidRDefault="00CB0B43" w:rsidP="00CB0B43">
      <w:pPr>
        <w:contextualSpacing/>
        <w:rPr>
          <w:rFonts w:ascii="Cambria" w:eastAsia="Times New Roman" w:hAnsi="Cambria" w:cs="Times New Roman"/>
          <w:sz w:val="20"/>
          <w:lang w:val="sq-AL"/>
        </w:rPr>
      </w:pPr>
    </w:p>
    <w:p w:rsidR="00CB0B43" w:rsidRPr="00CB0B43" w:rsidRDefault="00CB0B43" w:rsidP="00CB0B43">
      <w:pPr>
        <w:spacing w:after="0" w:line="264" w:lineRule="auto"/>
        <w:ind w:left="-284"/>
        <w:rPr>
          <w:rFonts w:ascii="Garamond" w:eastAsia="Times New Roman" w:hAnsi="Garamond" w:cs="Times New Roman"/>
          <w:color w:val="0070C0"/>
          <w:sz w:val="36"/>
          <w:szCs w:val="36"/>
          <w:u w:val="single"/>
          <w:lang w:eastAsia="sr-Latn-CS"/>
        </w:rPr>
      </w:pPr>
      <w:r w:rsidRPr="00CB0B43">
        <w:rPr>
          <w:noProof/>
          <w:lang w:val="en-GB" w:eastAsia="en-GB"/>
        </w:rPr>
        <w:drawing>
          <wp:inline distT="0" distB="0" distL="0" distR="0" wp14:anchorId="121D1788" wp14:editId="011C810B">
            <wp:extent cx="6210300" cy="16420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2006" cy="1660986"/>
                    </a:xfrm>
                    <a:prstGeom prst="rect">
                      <a:avLst/>
                    </a:prstGeom>
                    <a:noFill/>
                    <a:ln>
                      <a:noFill/>
                    </a:ln>
                  </pic:spPr>
                </pic:pic>
              </a:graphicData>
            </a:graphic>
          </wp:inline>
        </w:drawing>
      </w:r>
    </w:p>
    <w:p w:rsidR="00CB0B43" w:rsidRPr="00CB0B43" w:rsidRDefault="00CB0B43" w:rsidP="00CB0B43">
      <w:pPr>
        <w:spacing w:after="0" w:line="264" w:lineRule="auto"/>
        <w:rPr>
          <w:rFonts w:ascii="Garamond" w:eastAsia="Times New Roman" w:hAnsi="Garamond" w:cs="Times New Roman"/>
          <w:color w:val="0070C0"/>
          <w:sz w:val="36"/>
          <w:szCs w:val="36"/>
          <w:u w:val="single"/>
          <w:lang w:eastAsia="sr-Latn-CS"/>
        </w:rPr>
      </w:pPr>
    </w:p>
    <w:p w:rsidR="00CB0B43" w:rsidRPr="00000EA1" w:rsidRDefault="00CB0B43" w:rsidP="00CB0B43">
      <w:pPr>
        <w:pStyle w:val="Heading3"/>
        <w:rPr>
          <w:rFonts w:ascii="Times New Roman" w:hAnsi="Times New Roman" w:cs="Times New Roman"/>
          <w:b/>
          <w:color w:val="auto"/>
          <w:lang w:val="sq-AL"/>
        </w:rPr>
      </w:pPr>
      <w:r w:rsidRPr="00000EA1">
        <w:rPr>
          <w:rFonts w:ascii="Times New Roman" w:hAnsi="Times New Roman" w:cs="Times New Roman"/>
          <w:b/>
          <w:color w:val="auto"/>
          <w:lang w:val="sq-AL"/>
        </w:rPr>
        <w:t>Priorite</w:t>
      </w:r>
      <w:r>
        <w:rPr>
          <w:rFonts w:ascii="Times New Roman" w:hAnsi="Times New Roman" w:cs="Times New Roman"/>
          <w:b/>
          <w:color w:val="auto"/>
          <w:lang w:val="sq-AL"/>
        </w:rPr>
        <w:t>tet e sektorit për periudhën 2020-2022</w:t>
      </w:r>
    </w:p>
    <w:p w:rsidR="00CB0B43" w:rsidRPr="00CB0B43" w:rsidRDefault="00CB0B43" w:rsidP="00CB0B43">
      <w:pPr>
        <w:spacing w:after="200" w:line="276" w:lineRule="auto"/>
        <w:ind w:left="720"/>
        <w:contextualSpacing/>
        <w:jc w:val="both"/>
        <w:rPr>
          <w:rFonts w:ascii="Cambria" w:eastAsia="Calibri" w:hAnsi="Cambria" w:cs="Times New Roman"/>
          <w:lang w:val="sq-AL"/>
        </w:rPr>
      </w:pPr>
    </w:p>
    <w:p w:rsidR="00CB0B43" w:rsidRPr="00CB0B43" w:rsidRDefault="00CB0B43" w:rsidP="00CB0B43">
      <w:pPr>
        <w:numPr>
          <w:ilvl w:val="0"/>
          <w:numId w:val="11"/>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 xml:space="preserve">Në fushën e kujdesit parësor dhe dytësor synohet mbulimi universal i popullsisë me shërbim cilësor, diagnostikimi dhe parandalimi i sëmundjeve si dhe shtimi i gamës së medikamenteve që trajtohen me recetë rimbursimi, reflektuar kjo në rritjen e jetëgjatësisë mesatare të grave dhe burrave në Republikën e Shqipërisë, mbi nivelet aktuale prej respektivisht 80 dhe 77 vjeç. </w:t>
      </w:r>
    </w:p>
    <w:p w:rsidR="00CB0B43" w:rsidRPr="00CB0B43" w:rsidRDefault="00CB0B43" w:rsidP="00CB0B43">
      <w:pPr>
        <w:numPr>
          <w:ilvl w:val="0"/>
          <w:numId w:val="11"/>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300 Qendra shëndetësore të ri-konstruktuara (100 Qendra çdo vit) për periudhën 2019-2022, me një vlerë të përllogaritur mesatarisht 280 milionë lekë në vit. Këto qendra do të mobilohen dhe pajisen me pajisje mjekësore.</w:t>
      </w:r>
    </w:p>
    <w:p w:rsidR="00CB0B43" w:rsidRPr="00CB0B43" w:rsidRDefault="00CB0B43" w:rsidP="00CB0B43">
      <w:pPr>
        <w:numPr>
          <w:ilvl w:val="0"/>
          <w:numId w:val="11"/>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Përfundon në vitin 2020, rikonstruksioni i Pediatrisë Durrës, me një vlerë totale prej 262 milionë lekë si dhe do të mundësohet financimi prej 60 milion lekë për pajisje mjekësore dhe hotelerie.</w:t>
      </w:r>
    </w:p>
    <w:p w:rsidR="00CB0B43" w:rsidRPr="00CB0B43" w:rsidRDefault="00CB0B43" w:rsidP="00CB0B43">
      <w:pPr>
        <w:numPr>
          <w:ilvl w:val="0"/>
          <w:numId w:val="11"/>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Do të vijojë rehabilitimi i QSUT me mbështetjen e CEB me një vlerë të parashikuar për periudhën 2019-2022 prej 1.7 miliardë lekë.</w:t>
      </w:r>
    </w:p>
    <w:p w:rsidR="00CB0B43" w:rsidRPr="00CB0B43" w:rsidRDefault="00CB0B43" w:rsidP="00CB0B43">
      <w:pPr>
        <w:numPr>
          <w:ilvl w:val="0"/>
          <w:numId w:val="11"/>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Modernizimi i Asistencës Sociale, projekt i financuar nga Banka Botërore me një vlerë të parashikuar për periudhën 2019-2022 prej 400 milionë lekësh.</w:t>
      </w:r>
    </w:p>
    <w:p w:rsidR="00CB0B43" w:rsidRPr="00CB0B43" w:rsidRDefault="00CB0B43" w:rsidP="00CB0B43">
      <w:pPr>
        <w:spacing w:after="200" w:line="276" w:lineRule="auto"/>
        <w:jc w:val="both"/>
        <w:rPr>
          <w:rFonts w:ascii="Cambria" w:eastAsia="Calibri" w:hAnsi="Cambria" w:cs="Times New Roman"/>
          <w:b/>
          <w:lang w:val="sq-AL"/>
        </w:rPr>
      </w:pPr>
    </w:p>
    <w:p w:rsidR="00CB0B43" w:rsidRPr="00CB0B43" w:rsidRDefault="00CB0B43" w:rsidP="00CB0B43">
      <w:pPr>
        <w:spacing w:after="200" w:line="276" w:lineRule="auto"/>
        <w:contextualSpacing/>
        <w:jc w:val="both"/>
        <w:rPr>
          <w:rFonts w:ascii="Cambria" w:eastAsia="Calibri" w:hAnsi="Cambria" w:cs="Times New Roman"/>
          <w:highlight w:val="yellow"/>
          <w:lang w:val="sq-AL"/>
        </w:rPr>
      </w:pPr>
    </w:p>
    <w:p w:rsidR="00CB0B43" w:rsidRPr="00CB0B43" w:rsidRDefault="00CB0B43" w:rsidP="00CB0B43">
      <w:pPr>
        <w:spacing w:after="200" w:line="276" w:lineRule="auto"/>
        <w:jc w:val="both"/>
        <w:rPr>
          <w:rFonts w:ascii="Cambria" w:eastAsia="Calibri" w:hAnsi="Cambria" w:cs="Times New Roman"/>
          <w:b/>
          <w:lang w:val="sq-AL"/>
        </w:rPr>
      </w:pPr>
    </w:p>
    <w:p w:rsidR="00CB0B43" w:rsidRPr="00CB0B43" w:rsidRDefault="00CB0B43" w:rsidP="00CB0B43">
      <w:pPr>
        <w:keepNext/>
        <w:spacing w:after="200" w:line="240" w:lineRule="auto"/>
        <w:rPr>
          <w:b/>
          <w:bCs/>
          <w:sz w:val="18"/>
          <w:szCs w:val="18"/>
        </w:rPr>
      </w:pPr>
      <w:r w:rsidRPr="00CB0B43">
        <w:rPr>
          <w:rFonts w:ascii="Cambria" w:eastAsia="Times New Roman" w:hAnsi="Cambria" w:cs="Times New Roman"/>
          <w:b/>
          <w:bCs/>
          <w:noProof/>
          <w:sz w:val="20"/>
          <w:szCs w:val="18"/>
          <w:lang w:val="sq-AL"/>
        </w:rPr>
        <w:lastRenderedPageBreak/>
        <w:t xml:space="preserve">Tabela 4: </w:t>
      </w:r>
      <w:r w:rsidRPr="00CB0B43">
        <w:rPr>
          <w:rFonts w:ascii="Cambria" w:eastAsia="Times New Roman" w:hAnsi="Cambria" w:cs="Times New Roman"/>
          <w:bCs/>
          <w:noProof/>
          <w:sz w:val="20"/>
          <w:szCs w:val="18"/>
          <w:lang w:val="sq-AL"/>
        </w:rPr>
        <w:t>Shpenzimet e Ministrisë së Shëndetësisë dhe Mbrojtjes Sociale sipas programeve buxhetore dhe sipas artikujve ekonomikë</w:t>
      </w:r>
    </w:p>
    <w:tbl>
      <w:tblPr>
        <w:tblW w:w="8260" w:type="dxa"/>
        <w:tblInd w:w="118" w:type="dxa"/>
        <w:tblLook w:val="04A0" w:firstRow="1" w:lastRow="0" w:firstColumn="1" w:lastColumn="0" w:noHBand="0" w:noVBand="1"/>
      </w:tblPr>
      <w:tblGrid>
        <w:gridCol w:w="3396"/>
        <w:gridCol w:w="1660"/>
        <w:gridCol w:w="1400"/>
        <w:gridCol w:w="1240"/>
        <w:gridCol w:w="1180"/>
      </w:tblGrid>
      <w:tr w:rsidR="00CB0B43" w:rsidRPr="00CB0B43" w:rsidTr="003B7710">
        <w:trPr>
          <w:trHeight w:val="525"/>
        </w:trPr>
        <w:tc>
          <w:tcPr>
            <w:tcW w:w="2780" w:type="dxa"/>
            <w:tcBorders>
              <w:top w:val="single" w:sz="8" w:space="0" w:color="0066CC"/>
              <w:left w:val="single" w:sz="8" w:space="0" w:color="0066CC"/>
              <w:bottom w:val="nil"/>
              <w:right w:val="single" w:sz="8" w:space="0" w:color="0066CC"/>
            </w:tcBorders>
            <w:shd w:val="clear" w:color="000000" w:fill="5B9BD5"/>
            <w:vAlign w:val="center"/>
            <w:hideMark/>
          </w:tcPr>
          <w:p w:rsidR="00CB0B43" w:rsidRPr="00CB0B43" w:rsidRDefault="00CB0B43" w:rsidP="00CB0B43">
            <w:pPr>
              <w:spacing w:after="0" w:line="240" w:lineRule="auto"/>
              <w:rPr>
                <w:rFonts w:ascii="Calibri" w:eastAsia="Times New Roman" w:hAnsi="Calibri" w:cs="Calibri"/>
                <w:color w:val="FFFFFF"/>
                <w:sz w:val="20"/>
                <w:szCs w:val="20"/>
                <w:lang w:val="en-GB" w:eastAsia="en-GB"/>
              </w:rPr>
            </w:pPr>
            <w:r w:rsidRPr="00CB0B43">
              <w:rPr>
                <w:rFonts w:ascii="Calibri" w:eastAsia="Times New Roman" w:hAnsi="Calibri" w:cs="Calibri"/>
                <w:color w:val="FFFFFF"/>
                <w:sz w:val="20"/>
                <w:szCs w:val="20"/>
                <w:lang w:val="en-GB" w:eastAsia="en-GB"/>
              </w:rPr>
              <w:t>EmërtimiiNjësisësëQeverisjesQendrore</w:t>
            </w:r>
          </w:p>
        </w:tc>
        <w:tc>
          <w:tcPr>
            <w:tcW w:w="5480" w:type="dxa"/>
            <w:gridSpan w:val="4"/>
            <w:tcBorders>
              <w:top w:val="single" w:sz="8" w:space="0" w:color="0066CC"/>
              <w:left w:val="nil"/>
              <w:bottom w:val="single" w:sz="8" w:space="0" w:color="003366"/>
              <w:right w:val="single" w:sz="8" w:space="0" w:color="0066CC"/>
            </w:tcBorders>
            <w:shd w:val="clear" w:color="000000" w:fill="5B9BD5"/>
            <w:vAlign w:val="center"/>
            <w:hideMark/>
          </w:tcPr>
          <w:p w:rsidR="00CB0B43" w:rsidRPr="00CB0B43" w:rsidRDefault="00CB0B43" w:rsidP="00CB0B43">
            <w:pPr>
              <w:spacing w:after="0" w:line="240" w:lineRule="auto"/>
              <w:jc w:val="center"/>
              <w:rPr>
                <w:rFonts w:ascii="Calibri" w:eastAsia="Times New Roman" w:hAnsi="Calibri" w:cs="Calibri"/>
                <w:b/>
                <w:bCs/>
                <w:color w:val="FFFFFF"/>
                <w:sz w:val="20"/>
                <w:szCs w:val="20"/>
                <w:lang w:val="en-GB" w:eastAsia="en-GB"/>
              </w:rPr>
            </w:pPr>
            <w:r w:rsidRPr="00CB0B43">
              <w:rPr>
                <w:rFonts w:ascii="Calibri" w:eastAsia="Times New Roman" w:hAnsi="Calibri" w:cs="Calibri"/>
                <w:b/>
                <w:bCs/>
                <w:color w:val="FFFFFF"/>
                <w:sz w:val="20"/>
                <w:szCs w:val="20"/>
                <w:lang w:val="en-GB" w:eastAsia="en-GB"/>
              </w:rPr>
              <w:t>MINISTRIA E SHENDETESISE DHE E MBROJTJES SOCIALE</w:t>
            </w:r>
          </w:p>
        </w:tc>
      </w:tr>
      <w:tr w:rsidR="00CB0B43" w:rsidRPr="00CB0B43" w:rsidTr="003B7710">
        <w:trPr>
          <w:trHeight w:val="315"/>
        </w:trPr>
        <w:tc>
          <w:tcPr>
            <w:tcW w:w="8260" w:type="dxa"/>
            <w:gridSpan w:val="5"/>
            <w:tcBorders>
              <w:top w:val="nil"/>
              <w:left w:val="single" w:sz="8" w:space="0" w:color="0066CC"/>
              <w:bottom w:val="single" w:sz="8" w:space="0" w:color="0066CC"/>
              <w:right w:val="nil"/>
            </w:tcBorders>
            <w:shd w:val="clear" w:color="000000" w:fill="BDD6EE"/>
            <w:vAlign w:val="center"/>
            <w:hideMark/>
          </w:tcPr>
          <w:p w:rsidR="00CB0B43" w:rsidRPr="00CB0B43" w:rsidRDefault="00CB0B43" w:rsidP="00CB0B43">
            <w:pPr>
              <w:spacing w:after="0" w:line="240" w:lineRule="auto"/>
              <w:jc w:val="both"/>
              <w:rPr>
                <w:rFonts w:ascii="Calibri" w:eastAsia="Times New Roman" w:hAnsi="Calibri" w:cs="Calibri"/>
                <w:b/>
                <w:bCs/>
                <w:color w:val="1F4E79"/>
                <w:sz w:val="20"/>
                <w:szCs w:val="20"/>
                <w:lang w:val="en-GB" w:eastAsia="en-GB"/>
              </w:rPr>
            </w:pPr>
            <w:r w:rsidRPr="00CB0B43">
              <w:rPr>
                <w:rFonts w:ascii="Calibri" w:eastAsia="Times New Roman" w:hAnsi="Calibri" w:cs="Calibri"/>
                <w:b/>
                <w:bCs/>
                <w:color w:val="1F4E79"/>
                <w:sz w:val="20"/>
                <w:szCs w:val="20"/>
                <w:lang w:val="en-GB" w:eastAsia="en-GB"/>
              </w:rPr>
              <w:t>Përmbledhje e vlerësimevetrevjeçare</w:t>
            </w:r>
          </w:p>
        </w:tc>
      </w:tr>
      <w:tr w:rsidR="00CB0B43" w:rsidRPr="00CB0B43" w:rsidTr="003B7710">
        <w:trPr>
          <w:trHeight w:val="315"/>
        </w:trPr>
        <w:tc>
          <w:tcPr>
            <w:tcW w:w="2780" w:type="dxa"/>
            <w:vMerge w:val="restart"/>
            <w:tcBorders>
              <w:top w:val="nil"/>
              <w:left w:val="single" w:sz="8" w:space="0" w:color="0066CC"/>
              <w:bottom w:val="single" w:sz="8" w:space="0" w:color="0066CC"/>
              <w:right w:val="single" w:sz="8" w:space="0" w:color="0066CC"/>
            </w:tcBorders>
            <w:shd w:val="clear" w:color="000000" w:fill="5B9BD5"/>
            <w:vAlign w:val="center"/>
            <w:hideMark/>
          </w:tcPr>
          <w:p w:rsidR="00CB0B43" w:rsidRPr="00CB0B43" w:rsidRDefault="00CB0B43" w:rsidP="00CB0B43">
            <w:pPr>
              <w:spacing w:after="0" w:line="240" w:lineRule="auto"/>
              <w:rPr>
                <w:rFonts w:ascii="Calibri" w:eastAsia="Times New Roman" w:hAnsi="Calibri" w:cs="Calibri"/>
                <w:b/>
                <w:bCs/>
                <w:color w:val="1F497D"/>
                <w:sz w:val="20"/>
                <w:szCs w:val="20"/>
                <w:lang w:val="en-GB" w:eastAsia="en-GB"/>
              </w:rPr>
            </w:pPr>
            <w:r w:rsidRPr="00CB0B43">
              <w:rPr>
                <w:rFonts w:ascii="Calibri" w:eastAsia="Times New Roman" w:hAnsi="Calibri" w:cs="Calibri"/>
                <w:b/>
                <w:bCs/>
                <w:color w:val="1F497D"/>
                <w:sz w:val="20"/>
                <w:szCs w:val="20"/>
                <w:lang w:val="en-GB" w:eastAsia="en-GB"/>
              </w:rPr>
              <w:t xml:space="preserve"> (in 000' LEK)</w:t>
            </w:r>
          </w:p>
        </w:tc>
        <w:tc>
          <w:tcPr>
            <w:tcW w:w="1660" w:type="dxa"/>
            <w:vMerge w:val="restart"/>
            <w:tcBorders>
              <w:top w:val="nil"/>
              <w:left w:val="single" w:sz="8" w:space="0" w:color="0066CC"/>
              <w:bottom w:val="single" w:sz="8" w:space="0" w:color="0066CC"/>
              <w:right w:val="single" w:sz="8" w:space="0" w:color="0066CC"/>
            </w:tcBorders>
            <w:shd w:val="clear" w:color="000000" w:fill="5B9BD5"/>
            <w:vAlign w:val="center"/>
            <w:hideMark/>
          </w:tcPr>
          <w:p w:rsidR="00CB0B43" w:rsidRPr="00CB0B43" w:rsidRDefault="00CB0B43" w:rsidP="00CB0B43">
            <w:pPr>
              <w:spacing w:after="0" w:line="240" w:lineRule="auto"/>
              <w:jc w:val="center"/>
              <w:rPr>
                <w:rFonts w:ascii="Calibri" w:eastAsia="Times New Roman" w:hAnsi="Calibri" w:cs="Calibri"/>
                <w:b/>
                <w:bCs/>
                <w:color w:val="FFFFFF"/>
                <w:sz w:val="20"/>
                <w:szCs w:val="20"/>
                <w:lang w:val="en-GB" w:eastAsia="en-GB"/>
              </w:rPr>
            </w:pPr>
            <w:r w:rsidRPr="00CB0B43">
              <w:rPr>
                <w:rFonts w:ascii="Calibri" w:eastAsia="Times New Roman" w:hAnsi="Calibri" w:cs="Calibri"/>
                <w:b/>
                <w:bCs/>
                <w:color w:val="FFFFFF"/>
                <w:sz w:val="20"/>
                <w:szCs w:val="20"/>
                <w:lang w:val="en-GB" w:eastAsia="en-GB"/>
              </w:rPr>
              <w:t>2019 Buxheti</w:t>
            </w:r>
          </w:p>
        </w:tc>
        <w:tc>
          <w:tcPr>
            <w:tcW w:w="1400" w:type="dxa"/>
            <w:tcBorders>
              <w:top w:val="nil"/>
              <w:left w:val="nil"/>
              <w:bottom w:val="single" w:sz="8" w:space="0" w:color="0066CC"/>
              <w:right w:val="single" w:sz="8" w:space="0" w:color="0066CC"/>
            </w:tcBorders>
            <w:shd w:val="clear" w:color="000000" w:fill="5B9BD5"/>
            <w:vAlign w:val="center"/>
            <w:hideMark/>
          </w:tcPr>
          <w:p w:rsidR="00CB0B43" w:rsidRPr="00CB0B43" w:rsidRDefault="00CB0B43" w:rsidP="00CB0B43">
            <w:pPr>
              <w:spacing w:after="0" w:line="240" w:lineRule="auto"/>
              <w:jc w:val="center"/>
              <w:rPr>
                <w:rFonts w:ascii="Calibri" w:eastAsia="Times New Roman" w:hAnsi="Calibri" w:cs="Calibri"/>
                <w:b/>
                <w:bCs/>
                <w:color w:val="FFFFFF"/>
                <w:sz w:val="20"/>
                <w:szCs w:val="20"/>
                <w:lang w:val="en-GB" w:eastAsia="en-GB"/>
              </w:rPr>
            </w:pPr>
            <w:r w:rsidRPr="00CB0B43">
              <w:rPr>
                <w:rFonts w:ascii="Calibri" w:eastAsia="Times New Roman" w:hAnsi="Calibri" w:cs="Calibri"/>
                <w:b/>
                <w:bCs/>
                <w:color w:val="FFFFFF"/>
                <w:sz w:val="20"/>
                <w:szCs w:val="20"/>
                <w:lang w:val="en-GB" w:eastAsia="en-GB"/>
              </w:rPr>
              <w:t>2020</w:t>
            </w:r>
          </w:p>
        </w:tc>
        <w:tc>
          <w:tcPr>
            <w:tcW w:w="1240" w:type="dxa"/>
            <w:tcBorders>
              <w:top w:val="nil"/>
              <w:left w:val="nil"/>
              <w:bottom w:val="single" w:sz="8" w:space="0" w:color="0066CC"/>
              <w:right w:val="single" w:sz="8" w:space="0" w:color="0066CC"/>
            </w:tcBorders>
            <w:shd w:val="clear" w:color="000000" w:fill="5B9BD5"/>
            <w:vAlign w:val="center"/>
            <w:hideMark/>
          </w:tcPr>
          <w:p w:rsidR="00CB0B43" w:rsidRPr="00CB0B43" w:rsidRDefault="00CB0B43" w:rsidP="00CB0B43">
            <w:pPr>
              <w:spacing w:after="0" w:line="240" w:lineRule="auto"/>
              <w:jc w:val="center"/>
              <w:rPr>
                <w:rFonts w:ascii="Calibri" w:eastAsia="Times New Roman" w:hAnsi="Calibri" w:cs="Calibri"/>
                <w:b/>
                <w:bCs/>
                <w:color w:val="FFFFFF"/>
                <w:sz w:val="20"/>
                <w:szCs w:val="20"/>
                <w:lang w:val="en-GB" w:eastAsia="en-GB"/>
              </w:rPr>
            </w:pPr>
            <w:r w:rsidRPr="00CB0B43">
              <w:rPr>
                <w:rFonts w:ascii="Calibri" w:eastAsia="Times New Roman" w:hAnsi="Calibri" w:cs="Calibri"/>
                <w:b/>
                <w:bCs/>
                <w:color w:val="FFFFFF"/>
                <w:sz w:val="20"/>
                <w:szCs w:val="20"/>
                <w:lang w:val="en-GB" w:eastAsia="en-GB"/>
              </w:rPr>
              <w:t>2021</w:t>
            </w:r>
          </w:p>
        </w:tc>
        <w:tc>
          <w:tcPr>
            <w:tcW w:w="1180" w:type="dxa"/>
            <w:tcBorders>
              <w:top w:val="nil"/>
              <w:left w:val="nil"/>
              <w:bottom w:val="single" w:sz="8" w:space="0" w:color="0066CC"/>
              <w:right w:val="single" w:sz="8" w:space="0" w:color="0066CC"/>
            </w:tcBorders>
            <w:shd w:val="clear" w:color="000000" w:fill="5B9BD5"/>
            <w:vAlign w:val="center"/>
            <w:hideMark/>
          </w:tcPr>
          <w:p w:rsidR="00CB0B43" w:rsidRPr="00CB0B43" w:rsidRDefault="00CB0B43" w:rsidP="00CB0B43">
            <w:pPr>
              <w:spacing w:after="0" w:line="240" w:lineRule="auto"/>
              <w:jc w:val="center"/>
              <w:rPr>
                <w:rFonts w:ascii="Calibri" w:eastAsia="Times New Roman" w:hAnsi="Calibri" w:cs="Calibri"/>
                <w:b/>
                <w:bCs/>
                <w:color w:val="FFFFFF"/>
                <w:sz w:val="20"/>
                <w:szCs w:val="20"/>
                <w:lang w:val="en-GB" w:eastAsia="en-GB"/>
              </w:rPr>
            </w:pPr>
            <w:r w:rsidRPr="00CB0B43">
              <w:rPr>
                <w:rFonts w:ascii="Calibri" w:eastAsia="Times New Roman" w:hAnsi="Calibri" w:cs="Calibri"/>
                <w:b/>
                <w:bCs/>
                <w:color w:val="FFFFFF"/>
                <w:sz w:val="20"/>
                <w:szCs w:val="20"/>
                <w:lang w:val="en-GB" w:eastAsia="en-GB"/>
              </w:rPr>
              <w:t>2022</w:t>
            </w:r>
          </w:p>
        </w:tc>
      </w:tr>
      <w:tr w:rsidR="00CB0B43" w:rsidRPr="00CB0B43" w:rsidTr="003B7710">
        <w:trPr>
          <w:trHeight w:val="315"/>
        </w:trPr>
        <w:tc>
          <w:tcPr>
            <w:tcW w:w="2780" w:type="dxa"/>
            <w:vMerge/>
            <w:tcBorders>
              <w:top w:val="nil"/>
              <w:left w:val="single" w:sz="8" w:space="0" w:color="0066CC"/>
              <w:bottom w:val="single" w:sz="8" w:space="0" w:color="0066CC"/>
              <w:right w:val="single" w:sz="8" w:space="0" w:color="0066CC"/>
            </w:tcBorders>
            <w:vAlign w:val="center"/>
            <w:hideMark/>
          </w:tcPr>
          <w:p w:rsidR="00CB0B43" w:rsidRPr="00CB0B43" w:rsidRDefault="00CB0B43" w:rsidP="00CB0B43">
            <w:pPr>
              <w:spacing w:after="0" w:line="240" w:lineRule="auto"/>
              <w:rPr>
                <w:rFonts w:ascii="Calibri" w:eastAsia="Times New Roman" w:hAnsi="Calibri" w:cs="Calibri"/>
                <w:b/>
                <w:bCs/>
                <w:color w:val="1F497D"/>
                <w:sz w:val="20"/>
                <w:szCs w:val="20"/>
                <w:lang w:val="en-GB" w:eastAsia="en-GB"/>
              </w:rPr>
            </w:pPr>
          </w:p>
        </w:tc>
        <w:tc>
          <w:tcPr>
            <w:tcW w:w="1660" w:type="dxa"/>
            <w:vMerge/>
            <w:tcBorders>
              <w:top w:val="nil"/>
              <w:left w:val="single" w:sz="8" w:space="0" w:color="0066CC"/>
              <w:bottom w:val="single" w:sz="8" w:space="0" w:color="0066CC"/>
              <w:right w:val="single" w:sz="8" w:space="0" w:color="0066CC"/>
            </w:tcBorders>
            <w:vAlign w:val="center"/>
            <w:hideMark/>
          </w:tcPr>
          <w:p w:rsidR="00CB0B43" w:rsidRPr="00CB0B43" w:rsidRDefault="00CB0B43" w:rsidP="00CB0B43">
            <w:pPr>
              <w:spacing w:after="0" w:line="240" w:lineRule="auto"/>
              <w:rPr>
                <w:rFonts w:ascii="Calibri" w:eastAsia="Times New Roman" w:hAnsi="Calibri" w:cs="Calibri"/>
                <w:b/>
                <w:bCs/>
                <w:color w:val="FFFFFF"/>
                <w:sz w:val="20"/>
                <w:szCs w:val="20"/>
                <w:lang w:val="en-GB" w:eastAsia="en-GB"/>
              </w:rPr>
            </w:pPr>
          </w:p>
        </w:tc>
        <w:tc>
          <w:tcPr>
            <w:tcW w:w="1400" w:type="dxa"/>
            <w:tcBorders>
              <w:top w:val="nil"/>
              <w:left w:val="nil"/>
              <w:bottom w:val="single" w:sz="8" w:space="0" w:color="0066CC"/>
              <w:right w:val="single" w:sz="8" w:space="0" w:color="0066CC"/>
            </w:tcBorders>
            <w:shd w:val="clear" w:color="000000" w:fill="5B9BD5"/>
            <w:vAlign w:val="center"/>
            <w:hideMark/>
          </w:tcPr>
          <w:p w:rsidR="00CB0B43" w:rsidRPr="00CB0B43" w:rsidRDefault="00CB0B43" w:rsidP="00CB0B43">
            <w:pPr>
              <w:spacing w:after="0" w:line="240" w:lineRule="auto"/>
              <w:jc w:val="center"/>
              <w:rPr>
                <w:rFonts w:ascii="Calibri" w:eastAsia="Times New Roman" w:hAnsi="Calibri" w:cs="Calibri"/>
                <w:b/>
                <w:bCs/>
                <w:color w:val="FFFFFF"/>
                <w:sz w:val="20"/>
                <w:szCs w:val="20"/>
                <w:lang w:val="en-GB" w:eastAsia="en-GB"/>
              </w:rPr>
            </w:pPr>
            <w:r w:rsidRPr="00CB0B43">
              <w:rPr>
                <w:rFonts w:ascii="Calibri" w:eastAsia="Times New Roman" w:hAnsi="Calibri" w:cs="Calibri"/>
                <w:b/>
                <w:bCs/>
                <w:color w:val="FFFFFF"/>
                <w:sz w:val="20"/>
                <w:szCs w:val="20"/>
                <w:lang w:val="en-GB" w:eastAsia="en-GB"/>
              </w:rPr>
              <w:t>PBA</w:t>
            </w:r>
          </w:p>
        </w:tc>
        <w:tc>
          <w:tcPr>
            <w:tcW w:w="1240" w:type="dxa"/>
            <w:tcBorders>
              <w:top w:val="nil"/>
              <w:left w:val="nil"/>
              <w:bottom w:val="single" w:sz="8" w:space="0" w:color="0066CC"/>
              <w:right w:val="single" w:sz="8" w:space="0" w:color="0066CC"/>
            </w:tcBorders>
            <w:shd w:val="clear" w:color="000000" w:fill="5B9BD5"/>
            <w:vAlign w:val="center"/>
            <w:hideMark/>
          </w:tcPr>
          <w:p w:rsidR="00CB0B43" w:rsidRPr="00CB0B43" w:rsidRDefault="00CB0B43" w:rsidP="00CB0B43">
            <w:pPr>
              <w:spacing w:after="0" w:line="240" w:lineRule="auto"/>
              <w:jc w:val="center"/>
              <w:rPr>
                <w:rFonts w:ascii="Calibri" w:eastAsia="Times New Roman" w:hAnsi="Calibri" w:cs="Calibri"/>
                <w:b/>
                <w:bCs/>
                <w:color w:val="FFFFFF"/>
                <w:sz w:val="20"/>
                <w:szCs w:val="20"/>
                <w:lang w:val="en-GB" w:eastAsia="en-GB"/>
              </w:rPr>
            </w:pPr>
            <w:r w:rsidRPr="00CB0B43">
              <w:rPr>
                <w:rFonts w:ascii="Calibri" w:eastAsia="Times New Roman" w:hAnsi="Calibri" w:cs="Calibri"/>
                <w:b/>
                <w:bCs/>
                <w:color w:val="FFFFFF"/>
                <w:sz w:val="20"/>
                <w:szCs w:val="20"/>
                <w:lang w:val="en-GB" w:eastAsia="en-GB"/>
              </w:rPr>
              <w:t>PBA</w:t>
            </w:r>
          </w:p>
        </w:tc>
        <w:tc>
          <w:tcPr>
            <w:tcW w:w="1180" w:type="dxa"/>
            <w:tcBorders>
              <w:top w:val="nil"/>
              <w:left w:val="nil"/>
              <w:bottom w:val="single" w:sz="8" w:space="0" w:color="0066CC"/>
              <w:right w:val="single" w:sz="8" w:space="0" w:color="0066CC"/>
            </w:tcBorders>
            <w:shd w:val="clear" w:color="000000" w:fill="5B9BD5"/>
            <w:vAlign w:val="center"/>
            <w:hideMark/>
          </w:tcPr>
          <w:p w:rsidR="00CB0B43" w:rsidRPr="00CB0B43" w:rsidRDefault="00CB0B43" w:rsidP="00CB0B43">
            <w:pPr>
              <w:spacing w:after="0" w:line="240" w:lineRule="auto"/>
              <w:jc w:val="center"/>
              <w:rPr>
                <w:rFonts w:ascii="Calibri" w:eastAsia="Times New Roman" w:hAnsi="Calibri" w:cs="Calibri"/>
                <w:b/>
                <w:bCs/>
                <w:color w:val="FFFFFF"/>
                <w:sz w:val="20"/>
                <w:szCs w:val="20"/>
                <w:lang w:val="en-GB" w:eastAsia="en-GB"/>
              </w:rPr>
            </w:pPr>
            <w:r w:rsidRPr="00CB0B43">
              <w:rPr>
                <w:rFonts w:ascii="Calibri" w:eastAsia="Times New Roman" w:hAnsi="Calibri" w:cs="Calibri"/>
                <w:b/>
                <w:bCs/>
                <w:color w:val="FFFFFF"/>
                <w:sz w:val="20"/>
                <w:szCs w:val="20"/>
                <w:lang w:val="en-GB" w:eastAsia="en-GB"/>
              </w:rPr>
              <w:t>PBA</w:t>
            </w:r>
          </w:p>
        </w:tc>
      </w:tr>
      <w:tr w:rsidR="00CB0B43" w:rsidRPr="00CB0B43" w:rsidTr="003B7710">
        <w:trPr>
          <w:trHeight w:val="315"/>
        </w:trPr>
        <w:tc>
          <w:tcPr>
            <w:tcW w:w="8260" w:type="dxa"/>
            <w:gridSpan w:val="5"/>
            <w:tcBorders>
              <w:top w:val="single" w:sz="8" w:space="0" w:color="0066CC"/>
              <w:left w:val="single" w:sz="8" w:space="0" w:color="0066CC"/>
              <w:bottom w:val="single" w:sz="8" w:space="0" w:color="0066CC"/>
              <w:right w:val="single" w:sz="8" w:space="0" w:color="0066CC"/>
            </w:tcBorders>
            <w:shd w:val="clear" w:color="000000" w:fill="BDD6EE"/>
            <w:vAlign w:val="center"/>
            <w:hideMark/>
          </w:tcPr>
          <w:p w:rsidR="00CB0B43" w:rsidRPr="00CB0B43" w:rsidRDefault="00CB0B43" w:rsidP="00CB0B43">
            <w:pPr>
              <w:spacing w:after="0" w:line="240" w:lineRule="auto"/>
              <w:jc w:val="both"/>
              <w:rPr>
                <w:rFonts w:ascii="Calibri" w:eastAsia="Times New Roman" w:hAnsi="Calibri" w:cs="Calibri"/>
                <w:b/>
                <w:bCs/>
                <w:color w:val="1F4E79"/>
                <w:sz w:val="20"/>
                <w:szCs w:val="20"/>
                <w:lang w:val="en-GB" w:eastAsia="en-GB"/>
              </w:rPr>
            </w:pPr>
            <w:r w:rsidRPr="00CB0B43">
              <w:rPr>
                <w:rFonts w:ascii="Calibri" w:eastAsia="Times New Roman" w:hAnsi="Calibri" w:cs="Calibri"/>
                <w:b/>
                <w:bCs/>
                <w:color w:val="1F4E79"/>
                <w:sz w:val="20"/>
                <w:szCs w:val="20"/>
                <w:lang w:val="en-GB" w:eastAsia="en-GB"/>
              </w:rPr>
              <w:t>Klasifikimifunksional I shpenzimeve</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b/>
                <w:bCs/>
                <w:color w:val="000000"/>
                <w:sz w:val="20"/>
                <w:szCs w:val="20"/>
                <w:lang w:val="en-GB" w:eastAsia="en-GB"/>
              </w:rPr>
            </w:pPr>
            <w:r w:rsidRPr="00CB0B43">
              <w:rPr>
                <w:rFonts w:ascii="Calibri" w:eastAsia="Times New Roman" w:hAnsi="Calibri" w:cs="Calibri"/>
                <w:b/>
                <w:bCs/>
                <w:color w:val="000000"/>
                <w:sz w:val="20"/>
                <w:szCs w:val="20"/>
                <w:lang w:val="en-GB" w:eastAsia="en-GB"/>
              </w:rPr>
              <w:t xml:space="preserve">Total  </w:t>
            </w:r>
          </w:p>
        </w:tc>
        <w:tc>
          <w:tcPr>
            <w:tcW w:w="166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b/>
                <w:bCs/>
                <w:color w:val="000000"/>
                <w:sz w:val="20"/>
                <w:szCs w:val="20"/>
                <w:lang w:val="en-GB" w:eastAsia="en-GB"/>
              </w:rPr>
            </w:pPr>
            <w:r w:rsidRPr="00CB0B43">
              <w:rPr>
                <w:rFonts w:ascii="Calibri" w:eastAsia="Times New Roman" w:hAnsi="Calibri" w:cs="Calibri"/>
                <w:b/>
                <w:bCs/>
                <w:color w:val="000000"/>
                <w:sz w:val="20"/>
                <w:szCs w:val="20"/>
                <w:lang w:val="en-GB" w:eastAsia="en-GB"/>
              </w:rPr>
              <w:t>60,900,377</w:t>
            </w:r>
          </w:p>
        </w:tc>
        <w:tc>
          <w:tcPr>
            <w:tcW w:w="140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b/>
                <w:bCs/>
                <w:color w:val="000000"/>
                <w:sz w:val="20"/>
                <w:szCs w:val="20"/>
                <w:lang w:val="en-GB" w:eastAsia="en-GB"/>
              </w:rPr>
            </w:pPr>
            <w:r w:rsidRPr="00CB0B43">
              <w:rPr>
                <w:rFonts w:ascii="Calibri" w:eastAsia="Times New Roman" w:hAnsi="Calibri" w:cs="Calibri"/>
                <w:b/>
                <w:bCs/>
                <w:color w:val="000000"/>
                <w:sz w:val="20"/>
                <w:szCs w:val="20"/>
                <w:lang w:val="en-GB" w:eastAsia="en-GB"/>
              </w:rPr>
              <w:t>63,578,680</w:t>
            </w:r>
          </w:p>
        </w:tc>
        <w:tc>
          <w:tcPr>
            <w:tcW w:w="124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b/>
                <w:bCs/>
                <w:color w:val="000000"/>
                <w:sz w:val="20"/>
                <w:szCs w:val="20"/>
                <w:lang w:val="en-GB" w:eastAsia="en-GB"/>
              </w:rPr>
            </w:pPr>
            <w:r w:rsidRPr="00CB0B43">
              <w:rPr>
                <w:rFonts w:ascii="Calibri" w:eastAsia="Times New Roman" w:hAnsi="Calibri" w:cs="Calibri"/>
                <w:b/>
                <w:bCs/>
                <w:color w:val="000000"/>
                <w:sz w:val="20"/>
                <w:szCs w:val="20"/>
                <w:lang w:val="en-GB" w:eastAsia="en-GB"/>
              </w:rPr>
              <w:t>65,414,404</w:t>
            </w:r>
          </w:p>
        </w:tc>
        <w:tc>
          <w:tcPr>
            <w:tcW w:w="118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b/>
                <w:bCs/>
                <w:color w:val="000000"/>
                <w:sz w:val="20"/>
                <w:szCs w:val="20"/>
                <w:lang w:val="en-GB" w:eastAsia="en-GB"/>
              </w:rPr>
            </w:pPr>
            <w:r w:rsidRPr="00CB0B43">
              <w:rPr>
                <w:rFonts w:ascii="Calibri" w:eastAsia="Times New Roman" w:hAnsi="Calibri" w:cs="Calibri"/>
                <w:b/>
                <w:bCs/>
                <w:color w:val="000000"/>
                <w:sz w:val="20"/>
                <w:szCs w:val="20"/>
                <w:lang w:val="en-GB" w:eastAsia="en-GB"/>
              </w:rPr>
              <w:t>69,099,404</w:t>
            </w:r>
          </w:p>
        </w:tc>
      </w:tr>
      <w:tr w:rsidR="00CB0B43" w:rsidRPr="00CB0B43" w:rsidTr="003B7710">
        <w:trPr>
          <w:trHeight w:val="52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Planifikimi, MenaxhimidheAdministrimi</w:t>
            </w:r>
          </w:p>
        </w:tc>
        <w:tc>
          <w:tcPr>
            <w:tcW w:w="166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408,282</w:t>
            </w:r>
          </w:p>
        </w:tc>
        <w:tc>
          <w:tcPr>
            <w:tcW w:w="140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483,940</w:t>
            </w:r>
          </w:p>
        </w:tc>
        <w:tc>
          <w:tcPr>
            <w:tcW w:w="124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488,000</w:t>
            </w:r>
          </w:p>
        </w:tc>
        <w:tc>
          <w:tcPr>
            <w:tcW w:w="118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488,000</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Sherbimet e KujdesitParesor</w:t>
            </w:r>
          </w:p>
        </w:tc>
        <w:tc>
          <w:tcPr>
            <w:tcW w:w="166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8,222,433</w:t>
            </w:r>
          </w:p>
        </w:tc>
        <w:tc>
          <w:tcPr>
            <w:tcW w:w="140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9,613,320</w:t>
            </w:r>
          </w:p>
        </w:tc>
        <w:tc>
          <w:tcPr>
            <w:tcW w:w="124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9,117,300</w:t>
            </w:r>
          </w:p>
        </w:tc>
        <w:tc>
          <w:tcPr>
            <w:tcW w:w="118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9,408,300</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Sherbimet e KujdesitDytesor</w:t>
            </w:r>
          </w:p>
        </w:tc>
        <w:tc>
          <w:tcPr>
            <w:tcW w:w="166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24,355,738</w:t>
            </w:r>
          </w:p>
        </w:tc>
        <w:tc>
          <w:tcPr>
            <w:tcW w:w="140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24,506,401</w:t>
            </w:r>
          </w:p>
        </w:tc>
        <w:tc>
          <w:tcPr>
            <w:tcW w:w="124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25,819,996</w:t>
            </w:r>
          </w:p>
        </w:tc>
        <w:tc>
          <w:tcPr>
            <w:tcW w:w="118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27,819,996</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Sherbimet e ShendetitPublik</w:t>
            </w:r>
          </w:p>
        </w:tc>
        <w:tc>
          <w:tcPr>
            <w:tcW w:w="166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2,999,412</w:t>
            </w:r>
          </w:p>
        </w:tc>
        <w:tc>
          <w:tcPr>
            <w:tcW w:w="140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3,250,019</w:t>
            </w:r>
          </w:p>
        </w:tc>
        <w:tc>
          <w:tcPr>
            <w:tcW w:w="124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3,278,108</w:t>
            </w:r>
          </w:p>
        </w:tc>
        <w:tc>
          <w:tcPr>
            <w:tcW w:w="118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3,278,108</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SherbimiKombetariUrgjences</w:t>
            </w:r>
          </w:p>
        </w:tc>
        <w:tc>
          <w:tcPr>
            <w:tcW w:w="166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380,098</w:t>
            </w:r>
          </w:p>
        </w:tc>
        <w:tc>
          <w:tcPr>
            <w:tcW w:w="140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575,000</w:t>
            </w:r>
          </w:p>
        </w:tc>
        <w:tc>
          <w:tcPr>
            <w:tcW w:w="124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675,000</w:t>
            </w:r>
          </w:p>
        </w:tc>
        <w:tc>
          <w:tcPr>
            <w:tcW w:w="118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675,000</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Perkujdesi Social</w:t>
            </w:r>
          </w:p>
        </w:tc>
        <w:tc>
          <w:tcPr>
            <w:tcW w:w="166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23,487,114</w:t>
            </w:r>
          </w:p>
        </w:tc>
        <w:tc>
          <w:tcPr>
            <w:tcW w:w="140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24,100,000</w:t>
            </w:r>
          </w:p>
        </w:tc>
        <w:tc>
          <w:tcPr>
            <w:tcW w:w="124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24,986,000</w:t>
            </w:r>
          </w:p>
        </w:tc>
        <w:tc>
          <w:tcPr>
            <w:tcW w:w="118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26,380,000</w:t>
            </w:r>
          </w:p>
        </w:tc>
      </w:tr>
      <w:tr w:rsidR="00CB0B43" w:rsidRPr="00CB0B43" w:rsidTr="003B7710">
        <w:trPr>
          <w:trHeight w:val="52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RehabilitimiitePerndjekurvePolitik</w:t>
            </w:r>
          </w:p>
        </w:tc>
        <w:tc>
          <w:tcPr>
            <w:tcW w:w="166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1,047,300</w:t>
            </w:r>
          </w:p>
        </w:tc>
        <w:tc>
          <w:tcPr>
            <w:tcW w:w="140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1,050,000</w:t>
            </w:r>
          </w:p>
        </w:tc>
        <w:tc>
          <w:tcPr>
            <w:tcW w:w="124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1,050,000</w:t>
            </w:r>
          </w:p>
        </w:tc>
        <w:tc>
          <w:tcPr>
            <w:tcW w:w="1180" w:type="dxa"/>
            <w:tcBorders>
              <w:top w:val="nil"/>
              <w:left w:val="nil"/>
              <w:bottom w:val="single" w:sz="8" w:space="0" w:color="0066CC"/>
              <w:right w:val="single" w:sz="8" w:space="0" w:color="0066CC"/>
            </w:tcBorders>
            <w:shd w:val="clear" w:color="auto" w:fill="auto"/>
            <w:noWrap/>
            <w:vAlign w:val="center"/>
            <w:hideMark/>
          </w:tcPr>
          <w:p w:rsidR="00CB0B43" w:rsidRPr="00CB0B43" w:rsidRDefault="00CB0B43" w:rsidP="00CB0B43">
            <w:pPr>
              <w:spacing w:after="0" w:line="240" w:lineRule="auto"/>
              <w:jc w:val="center"/>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1,050,000</w:t>
            </w:r>
          </w:p>
        </w:tc>
      </w:tr>
      <w:tr w:rsidR="00CB0B43" w:rsidRPr="00CB0B43" w:rsidTr="003B7710">
        <w:trPr>
          <w:trHeight w:val="315"/>
        </w:trPr>
        <w:tc>
          <w:tcPr>
            <w:tcW w:w="8260" w:type="dxa"/>
            <w:gridSpan w:val="5"/>
            <w:tcBorders>
              <w:top w:val="single" w:sz="8" w:space="0" w:color="0066CC"/>
              <w:left w:val="single" w:sz="8" w:space="0" w:color="0066CC"/>
              <w:bottom w:val="single" w:sz="8" w:space="0" w:color="0066CC"/>
              <w:right w:val="single" w:sz="8" w:space="0" w:color="0066CC"/>
            </w:tcBorders>
            <w:shd w:val="clear" w:color="000000" w:fill="BDD6EE"/>
            <w:vAlign w:val="center"/>
            <w:hideMark/>
          </w:tcPr>
          <w:p w:rsidR="00CB0B43" w:rsidRPr="00CB0B43" w:rsidRDefault="00CB0B43" w:rsidP="00CB0B43">
            <w:pPr>
              <w:spacing w:after="0" w:line="240" w:lineRule="auto"/>
              <w:rPr>
                <w:rFonts w:ascii="Calibri" w:eastAsia="Times New Roman" w:hAnsi="Calibri" w:cs="Calibri"/>
                <w:b/>
                <w:bCs/>
                <w:color w:val="1F4E79"/>
                <w:sz w:val="20"/>
                <w:szCs w:val="20"/>
                <w:lang w:val="en-GB" w:eastAsia="en-GB"/>
              </w:rPr>
            </w:pPr>
            <w:r w:rsidRPr="00CB0B43">
              <w:rPr>
                <w:rFonts w:ascii="Calibri" w:eastAsia="Times New Roman" w:hAnsi="Calibri" w:cs="Calibri"/>
                <w:b/>
                <w:bCs/>
                <w:color w:val="1F4E79"/>
                <w:sz w:val="20"/>
                <w:szCs w:val="20"/>
                <w:lang w:val="en-GB" w:eastAsia="en-GB"/>
              </w:rPr>
              <w:t>Klasifikimiekonomik I shpenzimeve</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b/>
                <w:bCs/>
                <w:color w:val="000000"/>
                <w:sz w:val="20"/>
                <w:szCs w:val="20"/>
                <w:lang w:val="en-GB" w:eastAsia="en-GB"/>
              </w:rPr>
            </w:pPr>
            <w:r w:rsidRPr="00CB0B43">
              <w:rPr>
                <w:rFonts w:ascii="Calibri" w:eastAsia="Times New Roman" w:hAnsi="Calibri" w:cs="Calibri"/>
                <w:b/>
                <w:bCs/>
                <w:color w:val="000000"/>
                <w:sz w:val="20"/>
                <w:szCs w:val="20"/>
                <w:lang w:val="en-GB" w:eastAsia="en-GB"/>
              </w:rPr>
              <w:t xml:space="preserve">Total  </w:t>
            </w:r>
          </w:p>
        </w:tc>
        <w:tc>
          <w:tcPr>
            <w:tcW w:w="166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center"/>
              <w:rPr>
                <w:rFonts w:ascii="Calibri" w:eastAsia="Times New Roman" w:hAnsi="Calibri" w:cs="Calibri"/>
                <w:b/>
                <w:bCs/>
                <w:color w:val="000000"/>
                <w:sz w:val="20"/>
                <w:szCs w:val="20"/>
                <w:lang w:val="en-GB" w:eastAsia="en-GB"/>
              </w:rPr>
            </w:pPr>
            <w:r w:rsidRPr="00CB0B43">
              <w:rPr>
                <w:rFonts w:ascii="Calibri" w:eastAsia="Times New Roman" w:hAnsi="Calibri" w:cs="Calibri"/>
                <w:b/>
                <w:bCs/>
                <w:color w:val="000000"/>
                <w:sz w:val="20"/>
                <w:szCs w:val="20"/>
                <w:lang w:val="en-GB" w:eastAsia="en-GB"/>
              </w:rPr>
              <w:t>60,900,377</w:t>
            </w:r>
          </w:p>
        </w:tc>
        <w:tc>
          <w:tcPr>
            <w:tcW w:w="140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center"/>
              <w:rPr>
                <w:rFonts w:ascii="Calibri" w:eastAsia="Times New Roman" w:hAnsi="Calibri" w:cs="Calibri"/>
                <w:b/>
                <w:bCs/>
                <w:color w:val="000000"/>
                <w:sz w:val="20"/>
                <w:szCs w:val="20"/>
                <w:lang w:val="en-GB" w:eastAsia="en-GB"/>
              </w:rPr>
            </w:pPr>
            <w:r w:rsidRPr="00CB0B43">
              <w:rPr>
                <w:rFonts w:ascii="Calibri" w:eastAsia="Times New Roman" w:hAnsi="Calibri" w:cs="Calibri"/>
                <w:b/>
                <w:bCs/>
                <w:color w:val="000000"/>
                <w:sz w:val="20"/>
                <w:szCs w:val="20"/>
                <w:lang w:val="en-GB" w:eastAsia="en-GB"/>
              </w:rPr>
              <w:t>63,578,680</w:t>
            </w:r>
          </w:p>
        </w:tc>
        <w:tc>
          <w:tcPr>
            <w:tcW w:w="124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center"/>
              <w:rPr>
                <w:rFonts w:ascii="Calibri" w:eastAsia="Times New Roman" w:hAnsi="Calibri" w:cs="Calibri"/>
                <w:b/>
                <w:bCs/>
                <w:color w:val="000000"/>
                <w:sz w:val="20"/>
                <w:szCs w:val="20"/>
                <w:lang w:val="en-GB" w:eastAsia="en-GB"/>
              </w:rPr>
            </w:pPr>
            <w:r w:rsidRPr="00CB0B43">
              <w:rPr>
                <w:rFonts w:ascii="Calibri" w:eastAsia="Times New Roman" w:hAnsi="Calibri" w:cs="Calibri"/>
                <w:b/>
                <w:bCs/>
                <w:color w:val="000000"/>
                <w:sz w:val="20"/>
                <w:szCs w:val="20"/>
                <w:lang w:val="en-GB" w:eastAsia="en-GB"/>
              </w:rPr>
              <w:t>65,414,404</w:t>
            </w:r>
          </w:p>
        </w:tc>
        <w:tc>
          <w:tcPr>
            <w:tcW w:w="118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center"/>
              <w:rPr>
                <w:rFonts w:ascii="Calibri" w:eastAsia="Times New Roman" w:hAnsi="Calibri" w:cs="Calibri"/>
                <w:b/>
                <w:bCs/>
                <w:color w:val="000000"/>
                <w:sz w:val="20"/>
                <w:szCs w:val="20"/>
                <w:lang w:val="en-GB" w:eastAsia="en-GB"/>
              </w:rPr>
            </w:pPr>
            <w:r w:rsidRPr="00CB0B43">
              <w:rPr>
                <w:rFonts w:ascii="Calibri" w:eastAsia="Times New Roman" w:hAnsi="Calibri" w:cs="Calibri"/>
                <w:b/>
                <w:bCs/>
                <w:color w:val="000000"/>
                <w:sz w:val="20"/>
                <w:szCs w:val="20"/>
                <w:lang w:val="en-GB" w:eastAsia="en-GB"/>
              </w:rPr>
              <w:t>69,099,404</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600. Pagat</w:t>
            </w:r>
          </w:p>
        </w:tc>
        <w:tc>
          <w:tcPr>
            <w:tcW w:w="166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3,171,360</w:t>
            </w:r>
          </w:p>
        </w:tc>
        <w:tc>
          <w:tcPr>
            <w:tcW w:w="140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3,171,360</w:t>
            </w:r>
          </w:p>
        </w:tc>
        <w:tc>
          <w:tcPr>
            <w:tcW w:w="124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3,171,360</w:t>
            </w:r>
          </w:p>
        </w:tc>
        <w:tc>
          <w:tcPr>
            <w:tcW w:w="118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3,171,360</w:t>
            </w:r>
          </w:p>
        </w:tc>
      </w:tr>
      <w:tr w:rsidR="00CB0B43" w:rsidRPr="00CB0B43" w:rsidTr="003B7710">
        <w:trPr>
          <w:trHeight w:val="52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601. SigurimetShoqëroredheShëndetësore</w:t>
            </w:r>
          </w:p>
        </w:tc>
        <w:tc>
          <w:tcPr>
            <w:tcW w:w="166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515,250</w:t>
            </w:r>
          </w:p>
        </w:tc>
        <w:tc>
          <w:tcPr>
            <w:tcW w:w="140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515,250</w:t>
            </w:r>
          </w:p>
        </w:tc>
        <w:tc>
          <w:tcPr>
            <w:tcW w:w="124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515,250</w:t>
            </w:r>
          </w:p>
        </w:tc>
        <w:tc>
          <w:tcPr>
            <w:tcW w:w="118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515,250</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602. Mallrat dheshërbimet</w:t>
            </w:r>
          </w:p>
        </w:tc>
        <w:tc>
          <w:tcPr>
            <w:tcW w:w="166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3,231,861</w:t>
            </w:r>
          </w:p>
        </w:tc>
        <w:tc>
          <w:tcPr>
            <w:tcW w:w="140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2,265,069</w:t>
            </w:r>
          </w:p>
        </w:tc>
        <w:tc>
          <w:tcPr>
            <w:tcW w:w="124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2,711,204</w:t>
            </w:r>
          </w:p>
        </w:tc>
        <w:tc>
          <w:tcPr>
            <w:tcW w:w="118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2,796,484</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603. Subvencionet</w:t>
            </w:r>
          </w:p>
        </w:tc>
        <w:tc>
          <w:tcPr>
            <w:tcW w:w="166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0</w:t>
            </w:r>
          </w:p>
        </w:tc>
        <w:tc>
          <w:tcPr>
            <w:tcW w:w="140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0</w:t>
            </w:r>
          </w:p>
        </w:tc>
        <w:tc>
          <w:tcPr>
            <w:tcW w:w="124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0</w:t>
            </w:r>
          </w:p>
        </w:tc>
        <w:tc>
          <w:tcPr>
            <w:tcW w:w="118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0</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604. Transfertatëbrendshme</w:t>
            </w:r>
          </w:p>
        </w:tc>
        <w:tc>
          <w:tcPr>
            <w:tcW w:w="166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28,170,212</w:t>
            </w:r>
          </w:p>
        </w:tc>
        <w:tc>
          <w:tcPr>
            <w:tcW w:w="140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29,758,000</w:t>
            </w:r>
          </w:p>
        </w:tc>
        <w:tc>
          <w:tcPr>
            <w:tcW w:w="124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30,637,000</w:t>
            </w:r>
          </w:p>
        </w:tc>
        <w:tc>
          <w:tcPr>
            <w:tcW w:w="118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32,710,000</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605. Transfertatëjashtme</w:t>
            </w:r>
          </w:p>
        </w:tc>
        <w:tc>
          <w:tcPr>
            <w:tcW w:w="166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513,800</w:t>
            </w:r>
          </w:p>
        </w:tc>
        <w:tc>
          <w:tcPr>
            <w:tcW w:w="140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514,200</w:t>
            </w:r>
          </w:p>
        </w:tc>
        <w:tc>
          <w:tcPr>
            <w:tcW w:w="124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514,500</w:t>
            </w:r>
          </w:p>
        </w:tc>
        <w:tc>
          <w:tcPr>
            <w:tcW w:w="118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514,500</w:t>
            </w:r>
          </w:p>
        </w:tc>
      </w:tr>
      <w:tr w:rsidR="00CB0B43" w:rsidRPr="00CB0B43" w:rsidTr="003B7710">
        <w:trPr>
          <w:trHeight w:val="525"/>
        </w:trPr>
        <w:tc>
          <w:tcPr>
            <w:tcW w:w="2780" w:type="dxa"/>
            <w:tcBorders>
              <w:top w:val="nil"/>
              <w:left w:val="single" w:sz="8" w:space="0" w:color="0066CC"/>
              <w:bottom w:val="single" w:sz="8" w:space="0" w:color="0066CC"/>
              <w:right w:val="single" w:sz="8" w:space="0" w:color="0066CC"/>
            </w:tcBorders>
            <w:shd w:val="clear" w:color="auto" w:fill="auto"/>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606. Transfertapërfamiljetdheindividët</w:t>
            </w:r>
          </w:p>
        </w:tc>
        <w:tc>
          <w:tcPr>
            <w:tcW w:w="166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23,503,070 </w:t>
            </w:r>
          </w:p>
        </w:tc>
        <w:tc>
          <w:tcPr>
            <w:tcW w:w="140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23,991,210 </w:t>
            </w:r>
          </w:p>
        </w:tc>
        <w:tc>
          <w:tcPr>
            <w:tcW w:w="124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24,639,710 </w:t>
            </w:r>
          </w:p>
        </w:tc>
        <w:tc>
          <w:tcPr>
            <w:tcW w:w="118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26,153,070 </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000000" w:fill="FFFFFF"/>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230. Aktivet e patrupëzuara</w:t>
            </w:r>
          </w:p>
        </w:tc>
        <w:tc>
          <w:tcPr>
            <w:tcW w:w="166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30,252 </w:t>
            </w:r>
          </w:p>
        </w:tc>
        <w:tc>
          <w:tcPr>
            <w:tcW w:w="140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164,591 </w:t>
            </w:r>
          </w:p>
        </w:tc>
        <w:tc>
          <w:tcPr>
            <w:tcW w:w="124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13,680 </w:t>
            </w:r>
          </w:p>
        </w:tc>
        <w:tc>
          <w:tcPr>
            <w:tcW w:w="118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27,040 </w:t>
            </w:r>
          </w:p>
        </w:tc>
      </w:tr>
      <w:tr w:rsidR="00CB0B43" w:rsidRPr="00CB0B43" w:rsidTr="003B7710">
        <w:trPr>
          <w:trHeight w:val="315"/>
        </w:trPr>
        <w:tc>
          <w:tcPr>
            <w:tcW w:w="2780" w:type="dxa"/>
            <w:tcBorders>
              <w:top w:val="nil"/>
              <w:left w:val="single" w:sz="8" w:space="0" w:color="0066CC"/>
              <w:bottom w:val="single" w:sz="8" w:space="0" w:color="0066CC"/>
              <w:right w:val="single" w:sz="8" w:space="0" w:color="0066CC"/>
            </w:tcBorders>
            <w:shd w:val="clear" w:color="000000" w:fill="FFFFFF"/>
            <w:vAlign w:val="center"/>
            <w:hideMark/>
          </w:tcPr>
          <w:p w:rsidR="00CB0B43" w:rsidRPr="00CB0B43" w:rsidRDefault="00CB0B43" w:rsidP="00CB0B43">
            <w:pPr>
              <w:spacing w:after="0" w:line="240" w:lineRule="auto"/>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231. Aktivet e trupëzuara</w:t>
            </w:r>
          </w:p>
        </w:tc>
        <w:tc>
          <w:tcPr>
            <w:tcW w:w="166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1,764,572 </w:t>
            </w:r>
          </w:p>
        </w:tc>
        <w:tc>
          <w:tcPr>
            <w:tcW w:w="140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3,199,000 </w:t>
            </w:r>
          </w:p>
        </w:tc>
        <w:tc>
          <w:tcPr>
            <w:tcW w:w="124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3,211,700 </w:t>
            </w:r>
          </w:p>
        </w:tc>
        <w:tc>
          <w:tcPr>
            <w:tcW w:w="1180" w:type="dxa"/>
            <w:tcBorders>
              <w:top w:val="nil"/>
              <w:left w:val="nil"/>
              <w:bottom w:val="single" w:sz="8" w:space="0" w:color="0066CC"/>
              <w:right w:val="single" w:sz="8" w:space="0" w:color="0066CC"/>
            </w:tcBorders>
            <w:shd w:val="clear" w:color="000000" w:fill="FFFFFF"/>
            <w:noWrap/>
            <w:vAlign w:val="center"/>
            <w:hideMark/>
          </w:tcPr>
          <w:p w:rsidR="00CB0B43" w:rsidRPr="00CB0B43" w:rsidRDefault="00CB0B43" w:rsidP="00CB0B43">
            <w:pPr>
              <w:spacing w:after="0" w:line="240" w:lineRule="auto"/>
              <w:jc w:val="right"/>
              <w:rPr>
                <w:rFonts w:ascii="Calibri" w:eastAsia="Times New Roman" w:hAnsi="Calibri" w:cs="Calibri"/>
                <w:color w:val="000000"/>
                <w:sz w:val="20"/>
                <w:szCs w:val="20"/>
                <w:lang w:val="en-GB" w:eastAsia="en-GB"/>
              </w:rPr>
            </w:pPr>
            <w:r w:rsidRPr="00CB0B43">
              <w:rPr>
                <w:rFonts w:ascii="Calibri" w:eastAsia="Times New Roman" w:hAnsi="Calibri" w:cs="Calibri"/>
                <w:color w:val="000000"/>
                <w:sz w:val="20"/>
                <w:szCs w:val="20"/>
                <w:lang w:val="en-GB" w:eastAsia="en-GB"/>
              </w:rPr>
              <w:t xml:space="preserve">     3,211,700 </w:t>
            </w:r>
          </w:p>
        </w:tc>
      </w:tr>
    </w:tbl>
    <w:p w:rsidR="00CB0B43" w:rsidRPr="00CB0B43" w:rsidRDefault="00CB0B43" w:rsidP="00CB0B43">
      <w:pPr>
        <w:spacing w:after="200" w:line="264" w:lineRule="auto"/>
        <w:rPr>
          <w:rFonts w:ascii="Garamond" w:eastAsia="MS Gothic" w:hAnsi="Garamond" w:cs="Times New Roman"/>
          <w:b/>
          <w:bCs/>
          <w:color w:val="0070C0"/>
          <w:lang w:val="en-GB"/>
        </w:rPr>
      </w:pPr>
    </w:p>
    <w:p w:rsidR="00CB0B43" w:rsidRPr="00000EA1" w:rsidRDefault="00CB0B43" w:rsidP="00CB0B43">
      <w:pPr>
        <w:pStyle w:val="Heading3"/>
        <w:rPr>
          <w:rFonts w:ascii="Times New Roman" w:hAnsi="Times New Roman" w:cs="Times New Roman"/>
          <w:b/>
          <w:color w:val="auto"/>
          <w:lang w:val="sq-AL"/>
        </w:rPr>
      </w:pPr>
      <w:r w:rsidRPr="00000EA1">
        <w:rPr>
          <w:rFonts w:ascii="Times New Roman" w:hAnsi="Times New Roman" w:cs="Times New Roman"/>
          <w:b/>
          <w:color w:val="auto"/>
          <w:lang w:val="sq-AL"/>
        </w:rPr>
        <w:t>Përmbledhje e Treguesve Kyç të Performancës</w:t>
      </w:r>
    </w:p>
    <w:p w:rsidR="00CB0B43" w:rsidRPr="00CB0B43" w:rsidRDefault="00CB0B43" w:rsidP="00CB0B43">
      <w:pPr>
        <w:spacing w:after="200" w:line="276" w:lineRule="auto"/>
        <w:jc w:val="both"/>
        <w:rPr>
          <w:rFonts w:ascii="Cambria" w:eastAsia="Calibri" w:hAnsi="Cambria" w:cs="Times New Roman"/>
          <w:b/>
          <w:lang w:val="sq-AL"/>
        </w:rPr>
      </w:pPr>
    </w:p>
    <w:p w:rsidR="00CB0B43" w:rsidRPr="00CB0B43" w:rsidRDefault="00CB0B43" w:rsidP="00CB0B43">
      <w:pPr>
        <w:spacing w:after="200" w:line="276" w:lineRule="auto"/>
        <w:jc w:val="both"/>
        <w:rPr>
          <w:rFonts w:ascii="Cambria" w:eastAsia="Calibri" w:hAnsi="Cambria" w:cs="Times New Roman"/>
          <w:b/>
          <w:lang w:val="sq-AL"/>
        </w:rPr>
      </w:pPr>
      <w:r w:rsidRPr="00CB0B43">
        <w:rPr>
          <w:rFonts w:ascii="Cambria" w:eastAsia="Calibri" w:hAnsi="Cambria" w:cs="Times New Roman"/>
          <w:b/>
          <w:lang w:val="sq-AL"/>
        </w:rPr>
        <w:t xml:space="preserve">Programi “Shërbime të Kujdesit Shëndetësor Parësor” </w:t>
      </w:r>
    </w:p>
    <w:p w:rsidR="00CB0B43" w:rsidRPr="00CB0B43" w:rsidRDefault="00CC67FD" w:rsidP="00CB0B43">
      <w:pPr>
        <w:numPr>
          <w:ilvl w:val="0"/>
          <w:numId w:val="7"/>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Mb</w:t>
      </w:r>
      <w:r w:rsidR="00FA0246">
        <w:rPr>
          <w:rFonts w:ascii="Cambria" w:eastAsia="Calibri" w:hAnsi="Cambria" w:cs="Times New Roman"/>
          <w:lang w:val="sq-AL"/>
        </w:rPr>
        <w:t>ë</w:t>
      </w:r>
      <w:r>
        <w:rPr>
          <w:rFonts w:ascii="Cambria" w:eastAsia="Calibri" w:hAnsi="Cambria" w:cs="Times New Roman"/>
          <w:lang w:val="sq-AL"/>
        </w:rPr>
        <w:t>shtetja e pacient</w:t>
      </w:r>
      <w:r w:rsidR="00FA0246">
        <w:rPr>
          <w:rFonts w:ascii="Cambria" w:eastAsia="Calibri" w:hAnsi="Cambria" w:cs="Times New Roman"/>
          <w:lang w:val="sq-AL"/>
        </w:rPr>
        <w:t>ë</w:t>
      </w:r>
      <w:r>
        <w:rPr>
          <w:rFonts w:ascii="Cambria" w:eastAsia="Calibri" w:hAnsi="Cambria" w:cs="Times New Roman"/>
          <w:lang w:val="sq-AL"/>
        </w:rPr>
        <w:t>ve n</w:t>
      </w:r>
      <w:r w:rsidR="00FA0246">
        <w:rPr>
          <w:rFonts w:ascii="Cambria" w:eastAsia="Calibri" w:hAnsi="Cambria" w:cs="Times New Roman"/>
          <w:lang w:val="sq-AL"/>
        </w:rPr>
        <w:t>ë</w:t>
      </w:r>
      <w:r>
        <w:rPr>
          <w:rFonts w:ascii="Cambria" w:eastAsia="Calibri" w:hAnsi="Cambria" w:cs="Times New Roman"/>
          <w:lang w:val="sq-AL"/>
        </w:rPr>
        <w:t xml:space="preserve"> kujdesin par</w:t>
      </w:r>
      <w:r w:rsidR="00FA0246">
        <w:rPr>
          <w:rFonts w:ascii="Cambria" w:eastAsia="Calibri" w:hAnsi="Cambria" w:cs="Times New Roman"/>
          <w:lang w:val="sq-AL"/>
        </w:rPr>
        <w:t>ë</w:t>
      </w:r>
      <w:r>
        <w:rPr>
          <w:rFonts w:ascii="Cambria" w:eastAsia="Calibri" w:hAnsi="Cambria" w:cs="Times New Roman"/>
          <w:lang w:val="sq-AL"/>
        </w:rPr>
        <w:t>sor duke mbajtur trend konstant t</w:t>
      </w:r>
      <w:r w:rsidR="00FA0246">
        <w:rPr>
          <w:rFonts w:ascii="Cambria" w:eastAsia="Calibri" w:hAnsi="Cambria" w:cs="Times New Roman"/>
          <w:lang w:val="sq-AL"/>
        </w:rPr>
        <w:t>ë</w:t>
      </w:r>
      <w:r w:rsidR="00CB0B43" w:rsidRPr="00CB0B43">
        <w:rPr>
          <w:rFonts w:ascii="Cambria" w:eastAsia="Calibri" w:hAnsi="Cambria" w:cs="Times New Roman"/>
          <w:lang w:val="sq-AL"/>
        </w:rPr>
        <w:t xml:space="preserve"> numrit të vizitave në 6.4 milionë </w:t>
      </w:r>
      <w:r>
        <w:rPr>
          <w:rFonts w:ascii="Cambria" w:eastAsia="Calibri" w:hAnsi="Cambria" w:cs="Times New Roman"/>
          <w:lang w:val="sq-AL"/>
        </w:rPr>
        <w:t>p</w:t>
      </w:r>
      <w:r w:rsidR="00FA0246">
        <w:rPr>
          <w:rFonts w:ascii="Cambria" w:eastAsia="Calibri" w:hAnsi="Cambria" w:cs="Times New Roman"/>
          <w:lang w:val="sq-AL"/>
        </w:rPr>
        <w:t>ë</w:t>
      </w:r>
      <w:r>
        <w:rPr>
          <w:rFonts w:ascii="Cambria" w:eastAsia="Calibri" w:hAnsi="Cambria" w:cs="Times New Roman"/>
          <w:lang w:val="sq-AL"/>
        </w:rPr>
        <w:t>rgjat</w:t>
      </w:r>
      <w:r w:rsidR="00FA0246">
        <w:rPr>
          <w:rFonts w:ascii="Cambria" w:eastAsia="Calibri" w:hAnsi="Cambria" w:cs="Times New Roman"/>
          <w:lang w:val="sq-AL"/>
        </w:rPr>
        <w:t>ë</w:t>
      </w:r>
      <w:r>
        <w:rPr>
          <w:rFonts w:ascii="Cambria" w:eastAsia="Calibri" w:hAnsi="Cambria" w:cs="Times New Roman"/>
          <w:lang w:val="sq-AL"/>
        </w:rPr>
        <w:t xml:space="preserve"> viteve 2020-</w:t>
      </w:r>
      <w:r w:rsidR="00CB0B43" w:rsidRPr="00CB0B43">
        <w:rPr>
          <w:rFonts w:ascii="Cambria" w:eastAsia="Calibri" w:hAnsi="Cambria" w:cs="Times New Roman"/>
          <w:lang w:val="sq-AL"/>
        </w:rPr>
        <w:t xml:space="preserve">2022; </w:t>
      </w:r>
    </w:p>
    <w:p w:rsidR="00CB0B43" w:rsidRPr="00CB0B43" w:rsidRDefault="00CB0B43" w:rsidP="00CB0B43">
      <w:pPr>
        <w:numPr>
          <w:ilvl w:val="0"/>
          <w:numId w:val="7"/>
        </w:numPr>
        <w:spacing w:after="0" w:line="240" w:lineRule="auto"/>
        <w:contextualSpacing/>
        <w:jc w:val="both"/>
        <w:rPr>
          <w:rFonts w:ascii="Cambria" w:eastAsia="Calibri" w:hAnsi="Cambria" w:cs="Times New Roman"/>
          <w:lang w:val="sq-AL"/>
        </w:rPr>
      </w:pPr>
      <w:r w:rsidRPr="00CB0B43">
        <w:rPr>
          <w:rFonts w:ascii="Cambria" w:eastAsia="Calibri" w:hAnsi="Cambria" w:cs="Times New Roman"/>
          <w:lang w:val="sq-AL"/>
        </w:rPr>
        <w:t xml:space="preserve">Ofrimi i shërbimit të kontrollit bazë (check-up) për mesatarisht 475 mijë pacientë në vit; </w:t>
      </w:r>
    </w:p>
    <w:p w:rsidR="00CB0B43" w:rsidRPr="00CB0B43" w:rsidRDefault="00CB0B43" w:rsidP="00CB0B43">
      <w:pPr>
        <w:numPr>
          <w:ilvl w:val="0"/>
          <w:numId w:val="7"/>
        </w:numPr>
        <w:spacing w:after="0" w:line="240" w:lineRule="auto"/>
        <w:contextualSpacing/>
        <w:jc w:val="both"/>
        <w:rPr>
          <w:rFonts w:ascii="Cambria" w:eastAsia="Calibri" w:hAnsi="Cambria" w:cs="Times New Roman"/>
          <w:lang w:val="sq-AL"/>
        </w:rPr>
      </w:pPr>
      <w:r w:rsidRPr="00CB0B43">
        <w:rPr>
          <w:rFonts w:ascii="Cambria" w:eastAsia="Calibri" w:hAnsi="Cambria" w:cs="Times New Roman"/>
          <w:lang w:val="sq-AL"/>
        </w:rPr>
        <w:t>Trajtimi me recetë rimbursimi një numër më i lartë pacientësh nga 475 mijë pacientë aktualisht (2019) në 478 mijë pacientë në vitin 2022.</w:t>
      </w:r>
    </w:p>
    <w:p w:rsidR="00CB0B43" w:rsidRPr="00CB0B43" w:rsidRDefault="00CB0B43" w:rsidP="00CB0B43">
      <w:pPr>
        <w:spacing w:after="0" w:line="240" w:lineRule="auto"/>
        <w:ind w:left="774"/>
        <w:contextualSpacing/>
        <w:jc w:val="both"/>
        <w:rPr>
          <w:rFonts w:ascii="Cambria" w:eastAsia="Calibri" w:hAnsi="Cambria" w:cs="Times New Roman"/>
          <w:lang w:val="sq-AL"/>
        </w:rPr>
      </w:pPr>
    </w:p>
    <w:p w:rsidR="00CB0B43" w:rsidRPr="00CB0B43" w:rsidRDefault="00CB0B43" w:rsidP="00CB0B43">
      <w:pPr>
        <w:spacing w:after="200" w:line="276" w:lineRule="auto"/>
        <w:jc w:val="both"/>
        <w:rPr>
          <w:rFonts w:ascii="Cambria" w:eastAsia="Calibri" w:hAnsi="Cambria" w:cs="Times New Roman"/>
          <w:b/>
          <w:lang w:val="sq-AL"/>
        </w:rPr>
      </w:pPr>
      <w:r w:rsidRPr="00CB0B43">
        <w:rPr>
          <w:rFonts w:ascii="Cambria" w:eastAsia="Calibri" w:hAnsi="Cambria" w:cs="Times New Roman"/>
          <w:b/>
          <w:lang w:val="sq-AL"/>
        </w:rPr>
        <w:t>Programi “Shërbime të Kujdesit Shëndetësor Dytësor”</w:t>
      </w:r>
    </w:p>
    <w:p w:rsidR="00CB0B43" w:rsidRPr="00CB0B43" w:rsidRDefault="00CB0B43" w:rsidP="00CB0B43">
      <w:pPr>
        <w:numPr>
          <w:ilvl w:val="0"/>
          <w:numId w:val="8"/>
        </w:numPr>
        <w:spacing w:after="0" w:line="240" w:lineRule="auto"/>
        <w:contextualSpacing/>
        <w:jc w:val="both"/>
        <w:rPr>
          <w:rFonts w:ascii="Cambria" w:eastAsia="Calibri" w:hAnsi="Cambria" w:cs="Times New Roman"/>
          <w:lang w:val="sq-AL"/>
        </w:rPr>
      </w:pPr>
      <w:r w:rsidRPr="00CB0B43">
        <w:rPr>
          <w:rFonts w:ascii="Cambria" w:eastAsia="Calibri" w:hAnsi="Cambria" w:cs="Times New Roman"/>
          <w:lang w:val="sq-AL"/>
        </w:rPr>
        <w:t>Rritja e numrit të pacientëve të trajtuar nga 290 mijë pacientë në vitin 2019 në 330 mijë pacientë në vitin 2022;</w:t>
      </w:r>
    </w:p>
    <w:p w:rsidR="00CB0B43" w:rsidRPr="00CB0B43" w:rsidRDefault="00CB0B43" w:rsidP="00CB0B43">
      <w:pPr>
        <w:numPr>
          <w:ilvl w:val="0"/>
          <w:numId w:val="8"/>
        </w:numPr>
        <w:spacing w:after="0" w:line="240" w:lineRule="auto"/>
        <w:contextualSpacing/>
        <w:jc w:val="both"/>
        <w:rPr>
          <w:rFonts w:ascii="Cambria" w:eastAsia="Calibri" w:hAnsi="Cambria" w:cs="Times New Roman"/>
          <w:lang w:val="sq-AL"/>
        </w:rPr>
      </w:pPr>
      <w:r w:rsidRPr="00CB0B43">
        <w:rPr>
          <w:rFonts w:ascii="Cambria" w:eastAsia="Calibri" w:hAnsi="Cambria" w:cs="Times New Roman"/>
          <w:lang w:val="sq-AL"/>
        </w:rPr>
        <w:t>Rritja e numrit të pacientëve që përfitojnë nga paketat e kardiokirurgjisë dhe kardiologjisë (200 pacientë më shumë çdo vit, për periudhën 2020-2022);</w:t>
      </w:r>
    </w:p>
    <w:p w:rsidR="00CB0B43" w:rsidRPr="00CB0B43" w:rsidRDefault="00CB0B43" w:rsidP="00CB0B43">
      <w:pPr>
        <w:numPr>
          <w:ilvl w:val="0"/>
          <w:numId w:val="8"/>
        </w:numPr>
        <w:spacing w:after="0" w:line="240" w:lineRule="auto"/>
        <w:contextualSpacing/>
        <w:jc w:val="both"/>
        <w:rPr>
          <w:rFonts w:ascii="Cambria" w:eastAsia="Calibri" w:hAnsi="Cambria" w:cs="Times New Roman"/>
          <w:lang w:val="sq-AL"/>
        </w:rPr>
      </w:pPr>
      <w:r w:rsidRPr="00CB0B43">
        <w:rPr>
          <w:rFonts w:ascii="Cambria" w:eastAsia="Calibri" w:hAnsi="Cambria" w:cs="Times New Roman"/>
          <w:lang w:val="sq-AL"/>
        </w:rPr>
        <w:t>Rritje e ndjeshme e numrit seancave për pacientët që përfitojnë nga trajtimi me dializë nga 170 mijë seanca në vitin 2019, në 234 mijë në vitin 2022; ( 1 pacientë kryen mesatarisht 13 seanca në muaj).</w:t>
      </w:r>
    </w:p>
    <w:p w:rsidR="00CB0B43" w:rsidRPr="00CB0B43" w:rsidRDefault="00CB0B43" w:rsidP="00CB0B43">
      <w:pPr>
        <w:numPr>
          <w:ilvl w:val="0"/>
          <w:numId w:val="5"/>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Ulja e nivelit aktual prej 15% të pacientëve të rishtruar për të njëjtën diagnozë brenda 72 orësh, nëpërmjet urgjencës;</w:t>
      </w:r>
    </w:p>
    <w:p w:rsidR="00CB0B43" w:rsidRPr="00CB0B43" w:rsidRDefault="00CB0B43" w:rsidP="00CB0B43">
      <w:pPr>
        <w:numPr>
          <w:ilvl w:val="0"/>
          <w:numId w:val="5"/>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Reduktimit të kohës aktuale prej 45 ditësh të pritjes për ekzaminime të rëndësishme (rezonancë magnetike, skaner etj.);</w:t>
      </w:r>
    </w:p>
    <w:p w:rsidR="00CB0B43" w:rsidRPr="00CB0B43" w:rsidRDefault="00CB0B43" w:rsidP="00CB0B43">
      <w:pPr>
        <w:numPr>
          <w:ilvl w:val="0"/>
          <w:numId w:val="5"/>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Uljes nën 5.3 për 1000 lindje të gjalla të indeksit aktual të vdekshmërisë foshnjore;</w:t>
      </w:r>
    </w:p>
    <w:p w:rsidR="00CB0B43" w:rsidRPr="00CB0B43" w:rsidRDefault="00CB0B43" w:rsidP="00CB0B43">
      <w:pPr>
        <w:numPr>
          <w:ilvl w:val="0"/>
          <w:numId w:val="5"/>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Përmirësimi i mëtejshëm i koefiçientit të shfrytëzimit të shtretërve më shumë se 49% që rezulton në vitin 2019.</w:t>
      </w:r>
    </w:p>
    <w:p w:rsidR="00CB0B43" w:rsidRPr="00CB0B43" w:rsidRDefault="00CB0B43" w:rsidP="00CB0B43">
      <w:pPr>
        <w:numPr>
          <w:ilvl w:val="0"/>
          <w:numId w:val="5"/>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Rritjes me më shumë se 40% të nivelit të numrit të pacientëve të vizituar për herë të parë brenda vitit nga personeli shëndetësor;</w:t>
      </w:r>
    </w:p>
    <w:p w:rsidR="00CB0B43" w:rsidRPr="00CB0B43" w:rsidRDefault="00CB0B43" w:rsidP="00CB0B43">
      <w:pPr>
        <w:numPr>
          <w:ilvl w:val="0"/>
          <w:numId w:val="5"/>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Rritjes me më shumë se 45% të numrit të grave mbi 35 vjeç të depistuara për kancer gjiri.</w:t>
      </w:r>
    </w:p>
    <w:p w:rsidR="00CB0B43" w:rsidRPr="00CB0B43" w:rsidRDefault="00CB0B43" w:rsidP="00CB0B43">
      <w:pPr>
        <w:spacing w:after="200" w:line="276" w:lineRule="auto"/>
        <w:contextualSpacing/>
        <w:jc w:val="both"/>
        <w:rPr>
          <w:rFonts w:ascii="Cambria" w:eastAsia="Calibri" w:hAnsi="Cambria" w:cs="Times New Roman"/>
          <w:lang w:val="sq-AL"/>
        </w:rPr>
      </w:pPr>
    </w:p>
    <w:p w:rsidR="00CB0B43" w:rsidRPr="00CB0B43" w:rsidRDefault="00CB0B43" w:rsidP="00CB0B43">
      <w:p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Në fushën e mbrojtjes sociale, Ministria e Shëndetësisë dhe Mbrojtjes Sociale synon zbatimin me sukses të reformës së programit të përkujdesit social në tre shtyllat kryesore të tij: Ndihma Ekonomike, Paftësia e Kufizuar dhe Shërbimet Sociale. Më konkretisht synohet:</w:t>
      </w:r>
    </w:p>
    <w:p w:rsidR="00CB0B43" w:rsidRPr="00CB0B43" w:rsidRDefault="00CB0B43" w:rsidP="00CB0B43">
      <w:pPr>
        <w:numPr>
          <w:ilvl w:val="0"/>
          <w:numId w:val="9"/>
        </w:numPr>
        <w:spacing w:after="0" w:line="240" w:lineRule="auto"/>
        <w:contextualSpacing/>
        <w:jc w:val="both"/>
        <w:rPr>
          <w:rFonts w:ascii="Cambria" w:eastAsia="Calibri" w:hAnsi="Cambria" w:cs="Times New Roman"/>
          <w:lang w:val="sq-AL"/>
        </w:rPr>
      </w:pPr>
      <w:r w:rsidRPr="00CB0B43">
        <w:rPr>
          <w:rFonts w:ascii="Cambria" w:eastAsia="Calibri" w:hAnsi="Cambria" w:cs="Times New Roman"/>
          <w:lang w:val="sq-AL"/>
        </w:rPr>
        <w:t xml:space="preserve">Zbatimi i skemës së re të vlerësimit dhe programeve të ri-integrimit social do të sjellë reduktimin e numrit të familjeve dhe individëve në nevojë që përfitojnë nga skema e ndihmës ekonomike nga 66.5 mijë familje aktualisht në 65 mijë familje në vitin 2022. </w:t>
      </w:r>
    </w:p>
    <w:p w:rsidR="00CB0B43" w:rsidRPr="00CB0B43" w:rsidRDefault="00CB0B43" w:rsidP="00CB0B43">
      <w:pPr>
        <w:numPr>
          <w:ilvl w:val="0"/>
          <w:numId w:val="9"/>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Numri i përfituesve nga PAK dhe kujdestarëve të tyre do të financohet nga 163 mijë në 171 mijë në vitin 2022.</w:t>
      </w:r>
    </w:p>
    <w:p w:rsidR="00CB0B43" w:rsidRPr="00CB0B43" w:rsidRDefault="00CB0B43" w:rsidP="00CB0B43">
      <w:pPr>
        <w:spacing w:after="200" w:line="276" w:lineRule="auto"/>
        <w:ind w:left="720"/>
        <w:contextualSpacing/>
        <w:jc w:val="both"/>
        <w:rPr>
          <w:rFonts w:ascii="Cambria" w:eastAsia="Calibri" w:hAnsi="Cambria" w:cs="Times New Roman"/>
          <w:lang w:val="sq-AL"/>
        </w:rPr>
      </w:pPr>
    </w:p>
    <w:p w:rsidR="00CB0B43" w:rsidRPr="00CB0B43" w:rsidRDefault="00CB0B43" w:rsidP="00CB0B43">
      <w:p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Risi në këtë fushë është mbështetja e personave nga grupet e pafavorizuara përmes punësimit në ndërmarrjet sociale. Synohet që në periudhën 2019-2021, nëpërmjet këtij mekanizmi, të punësohen rreth 600 persona të trajtuar më parë me Ndihmë Ekonomike (NE) dhe pagesë të Aftësisë së Kufizuar.  Gjithashtu, krijimi i fondit social synon mbështetjen e njësive të vetqeverisjes vendore për ofrimin e shërbimeve sociale territoriale për grupet në nevojë dhe mbështetjen e familjeve të NE me paketa sociale shëndetësore. Implementimi i reformës do të sjellë:</w:t>
      </w:r>
    </w:p>
    <w:p w:rsidR="00CB0B43" w:rsidRPr="00CB0B43" w:rsidRDefault="00CB0B43" w:rsidP="00CB0B43">
      <w:pPr>
        <w:numPr>
          <w:ilvl w:val="0"/>
          <w:numId w:val="6"/>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Rritjen mbi 80% të numrit të përfituesve të varfër që marrin NE mbi totalin e aplikuesve.</w:t>
      </w:r>
    </w:p>
    <w:p w:rsidR="00CB0B43" w:rsidRPr="00CB0B43" w:rsidRDefault="00CB0B43" w:rsidP="00CB0B43">
      <w:pPr>
        <w:numPr>
          <w:ilvl w:val="0"/>
          <w:numId w:val="6"/>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Rritjen me 57% të numrit të personave me aftësi të kufizuar që janë komisjonuar përmes sistemit te menaxhimit të informacionit;</w:t>
      </w:r>
    </w:p>
    <w:p w:rsidR="00CB0B43" w:rsidRPr="00CB0B43" w:rsidRDefault="00CB0B43" w:rsidP="00CB0B43">
      <w:pPr>
        <w:numPr>
          <w:ilvl w:val="0"/>
          <w:numId w:val="6"/>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Rritjen me 12% të numrit të përfituese të grave kryefamiljare që marrin Ndihmë Ekonomike mbi totalin e aplikuesve gra kryefamiljare;</w:t>
      </w:r>
    </w:p>
    <w:p w:rsidR="00CB0B43" w:rsidRPr="00CB0B43" w:rsidRDefault="00CB0B43" w:rsidP="00CB0B43">
      <w:pPr>
        <w:numPr>
          <w:ilvl w:val="0"/>
          <w:numId w:val="6"/>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Rritja me më shumë se 66 e numrit të grave dhe vajzave në nevojë të riintegruara pas trajtimit në institucionet e përkujdesit social.</w:t>
      </w:r>
    </w:p>
    <w:p w:rsidR="00CB0B43" w:rsidRPr="00CB0B43" w:rsidRDefault="00CB0B43" w:rsidP="00CB0B43">
      <w:pPr>
        <w:spacing w:after="200" w:line="276" w:lineRule="auto"/>
        <w:ind w:left="720"/>
        <w:contextualSpacing/>
        <w:jc w:val="both"/>
        <w:rPr>
          <w:rFonts w:ascii="Cambria" w:eastAsia="Calibri" w:hAnsi="Cambria" w:cs="Times New Roman"/>
          <w:lang w:val="sq-AL"/>
        </w:rPr>
      </w:pPr>
    </w:p>
    <w:p w:rsidR="00CB0B43" w:rsidRPr="00CB0B43" w:rsidRDefault="00CB0B43" w:rsidP="00CB0B43">
      <w:p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Investimet Publike në sektorin e shëndetësisë dhe mbrojtjes sociale për vitet 2020-2022:</w:t>
      </w:r>
    </w:p>
    <w:p w:rsidR="00CB0B43" w:rsidRPr="00CB0B43" w:rsidRDefault="00CB0B43" w:rsidP="00CB0B43">
      <w:pPr>
        <w:numPr>
          <w:ilvl w:val="0"/>
          <w:numId w:val="10"/>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lastRenderedPageBreak/>
        <w:t>300 Qendra shëndetësore të ri-konstruktuara (100 Qendra çdo vit) për periudhën 2019-2022, me një vlerë të përllogaritur mesatarisht 280 milionë lekë në vit. Këto qendra do të mobilohen dhe pajisen me pajisje mjekësore me nje vlere vjetore prej 45 milion leke</w:t>
      </w:r>
    </w:p>
    <w:p w:rsidR="00CB0B43" w:rsidRPr="00CB0B43" w:rsidRDefault="00CB0B43" w:rsidP="00CB0B43">
      <w:pPr>
        <w:numPr>
          <w:ilvl w:val="0"/>
          <w:numId w:val="10"/>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Përfundon në vitin 2020, rikonstruksioni i Pediatrisë Durrës, me një vlerë totale prej 262 milionë lekë si dhe do të mundësohet financimi prej 60 milion lekë për pajisje mjekësore dhe hotelerie.</w:t>
      </w:r>
    </w:p>
    <w:p w:rsidR="00CB0B43" w:rsidRPr="00CB0B43" w:rsidRDefault="00CB0B43" w:rsidP="00CB0B43">
      <w:pPr>
        <w:numPr>
          <w:ilvl w:val="0"/>
          <w:numId w:val="10"/>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Do të vijojë rehabilitimii QSUT me mbështetjen e CEB me një vlerë të parashikuar për periudhën 2019-2022 prej 1.7 miliardë lekë.</w:t>
      </w:r>
    </w:p>
    <w:p w:rsidR="00CB0B43" w:rsidRPr="00CB0B43" w:rsidRDefault="00CB0B43" w:rsidP="00CB0B43">
      <w:pPr>
        <w:numPr>
          <w:ilvl w:val="0"/>
          <w:numId w:val="10"/>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Rikonstruksion i pediatrise në QSUT, kredi e Bankës Botërore me një vlerë totale prej 8 milion euro. Parashikohet të përfundojë në vitin 2021.</w:t>
      </w:r>
    </w:p>
    <w:p w:rsidR="00CB0B43" w:rsidRPr="00CB0B43" w:rsidRDefault="00CB0B43" w:rsidP="00CB0B43">
      <w:pPr>
        <w:numPr>
          <w:ilvl w:val="0"/>
          <w:numId w:val="10"/>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Rikonstruksione të godinave spitalore me një vlerë 2.1 miliardë lekë për periudhën 2019-2021. Në këtë projekt përfshihen: materniteti Berat, materniteti Lezhë, spitali rajonal Kukës, spitali psikiatrik Tiranë dhe Elbasan, Spitali Vlorë, Berat, Lezhë, Pogradec, Mat, Gjirokastër,</w:t>
      </w:r>
    </w:p>
    <w:p w:rsidR="00CB0B43" w:rsidRPr="00CB0B43" w:rsidRDefault="00CB0B43" w:rsidP="00CB0B43">
      <w:pPr>
        <w:numPr>
          <w:ilvl w:val="0"/>
          <w:numId w:val="10"/>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Shërbimi Kombëtar i Urgjencës do të vijojë blerjen e autoambulancave për vitet 2021-2022, në total 64 autoambulance me një vlerë prej 450 milionë lekë.</w:t>
      </w:r>
    </w:p>
    <w:p w:rsidR="00CB0B43" w:rsidRPr="00CB0B43" w:rsidRDefault="00CB0B43" w:rsidP="00CB0B43">
      <w:pPr>
        <w:numPr>
          <w:ilvl w:val="0"/>
          <w:numId w:val="10"/>
        </w:numPr>
        <w:spacing w:after="200" w:line="276" w:lineRule="auto"/>
        <w:contextualSpacing/>
        <w:jc w:val="both"/>
        <w:rPr>
          <w:rFonts w:ascii="Cambria" w:eastAsia="Calibri" w:hAnsi="Cambria" w:cs="Times New Roman"/>
          <w:lang w:val="sq-AL"/>
        </w:rPr>
      </w:pPr>
      <w:r w:rsidRPr="00CB0B43">
        <w:rPr>
          <w:rFonts w:ascii="Cambria" w:eastAsia="Calibri" w:hAnsi="Cambria" w:cs="Times New Roman"/>
          <w:lang w:val="sq-AL"/>
        </w:rPr>
        <w:t xml:space="preserve">Financimi shtesë i projektit SAMP mbështet vazhdimësinë e reformave të ndërmarra për NE dhe PAK. </w:t>
      </w:r>
    </w:p>
    <w:p w:rsidR="001C0E26" w:rsidRPr="001C0E26" w:rsidRDefault="001C0E26" w:rsidP="001C0E26">
      <w:pPr>
        <w:spacing w:after="200" w:line="276" w:lineRule="auto"/>
        <w:jc w:val="both"/>
        <w:rPr>
          <w:rFonts w:ascii="Cambria" w:eastAsia="Calibri" w:hAnsi="Cambria" w:cs="Times New Roman"/>
          <w:b/>
          <w:lang w:val="sq-AL"/>
        </w:rPr>
      </w:pPr>
    </w:p>
    <w:p w:rsidR="003658A5" w:rsidRPr="00405A65" w:rsidRDefault="001128BB" w:rsidP="00982EED">
      <w:pPr>
        <w:pStyle w:val="Heading2"/>
        <w:rPr>
          <w:rFonts w:ascii="Cambria" w:eastAsia="Calibri" w:hAnsi="Cambria"/>
          <w:i w:val="0"/>
          <w:sz w:val="24"/>
        </w:rPr>
      </w:pPr>
      <w:bookmarkStart w:id="14" w:name="_Toc13653977"/>
      <w:r w:rsidRPr="00405A65">
        <w:rPr>
          <w:rFonts w:ascii="Cambria" w:eastAsia="Calibri" w:hAnsi="Cambria"/>
          <w:i w:val="0"/>
          <w:sz w:val="24"/>
        </w:rPr>
        <w:t>MINISTRIA</w:t>
      </w:r>
      <w:r w:rsidR="003658A5" w:rsidRPr="00405A65">
        <w:rPr>
          <w:rFonts w:ascii="Cambria" w:eastAsia="Calibri" w:hAnsi="Cambria"/>
          <w:i w:val="0"/>
          <w:sz w:val="24"/>
        </w:rPr>
        <w:t xml:space="preserve"> E ARSIMIT, </w:t>
      </w:r>
      <w:r w:rsidR="00D54F24" w:rsidRPr="00405A65">
        <w:rPr>
          <w:rFonts w:ascii="Cambria" w:eastAsia="Calibri" w:hAnsi="Cambria"/>
          <w:i w:val="0"/>
          <w:sz w:val="24"/>
        </w:rPr>
        <w:t>SPORTIT DHE RINISË</w:t>
      </w:r>
      <w:bookmarkEnd w:id="14"/>
    </w:p>
    <w:p w:rsidR="00D54F24" w:rsidRPr="00D54F24" w:rsidRDefault="00D54F24" w:rsidP="00D54F24">
      <w:pPr>
        <w:spacing w:after="0" w:line="240" w:lineRule="auto"/>
        <w:jc w:val="both"/>
        <w:rPr>
          <w:rFonts w:ascii="Cambria" w:eastAsia="Times New Roman" w:hAnsi="Cambria" w:cs="Times New Roman"/>
          <w:lang w:val="sq-AL" w:eastAsia="sq-AL"/>
        </w:rPr>
      </w:pPr>
      <w:r w:rsidRPr="00D54F24">
        <w:rPr>
          <w:rFonts w:ascii="Cambria" w:eastAsia="Times New Roman" w:hAnsi="Cambria" w:cs="Times New Roman"/>
          <w:lang w:val="sq-AL" w:eastAsia="sq-AL"/>
        </w:rPr>
        <w:t>Misioni i Ministrisë së Arsimit, Sportit dhe Rinisë është krijimi i një sistemi arsimor që ka në qendër nxënësit me nevojat dhe interesat e tyre,  duke u mundësuar arsimim bazë për të gjithë dhe barazi të shanseve për arsimim me qëllim ndërtimin dhe zhvillimin e njohurive, shkathtësive, qëndrimeve dhe vlerave që kërkon shoqëria;  ridimensionimi i edukimit fizik dhe sportiv si pjesë përbërëse e programit të edukimit të nxënësve dhe studentëve në institucionet arsimore; Përmirësimi i cilësisë së jetës së të rinjve, përmes  rritjes së pjesëmarrjes së tyre në aktivitete rinore, në punësim, në informim, në edukim dhe në vendimarrje.</w:t>
      </w:r>
    </w:p>
    <w:p w:rsidR="00D54F24" w:rsidRPr="00D54F24" w:rsidRDefault="00D54F24" w:rsidP="00D54F24">
      <w:pPr>
        <w:spacing w:after="0" w:line="240" w:lineRule="auto"/>
        <w:jc w:val="both"/>
        <w:rPr>
          <w:rFonts w:ascii="Cambria" w:eastAsia="Times New Roman" w:hAnsi="Cambria" w:cs="Times New Roman"/>
          <w:lang w:val="sq-AL" w:eastAsia="sq-AL"/>
        </w:rPr>
      </w:pPr>
    </w:p>
    <w:p w:rsidR="00D54F24" w:rsidRPr="00D54F24" w:rsidRDefault="00D54F24" w:rsidP="00D54F24">
      <w:pPr>
        <w:keepNext/>
        <w:spacing w:after="200" w:line="240" w:lineRule="auto"/>
        <w:rPr>
          <w:bCs/>
          <w:sz w:val="18"/>
          <w:szCs w:val="18"/>
        </w:rPr>
      </w:pPr>
      <w:r w:rsidRPr="00D54F24">
        <w:rPr>
          <w:rFonts w:ascii="Cambria" w:eastAsia="Times New Roman" w:hAnsi="Cambria" w:cs="Times New Roman"/>
          <w:b/>
          <w:bCs/>
          <w:sz w:val="20"/>
          <w:szCs w:val="18"/>
          <w:lang w:val="sq-AL"/>
        </w:rPr>
        <w:t>Tabela 5:</w:t>
      </w:r>
      <w:r w:rsidRPr="00D54F24">
        <w:rPr>
          <w:b/>
          <w:bCs/>
          <w:sz w:val="18"/>
          <w:szCs w:val="18"/>
        </w:rPr>
        <w:t xml:space="preserve"> </w:t>
      </w:r>
      <w:r w:rsidRPr="00D54F24">
        <w:rPr>
          <w:rFonts w:ascii="Cambria" w:eastAsia="Times New Roman" w:hAnsi="Cambria" w:cs="Times New Roman"/>
          <w:bCs/>
          <w:sz w:val="20"/>
          <w:szCs w:val="18"/>
          <w:lang w:val="sq-AL"/>
        </w:rPr>
        <w:t>Shpenzimet për Ministrinë e Arsimit, Rinisë dhe Sporteve në vitet 2020-2022</w:t>
      </w:r>
    </w:p>
    <w:p w:rsidR="00D54F24" w:rsidRPr="00D54F24" w:rsidRDefault="00D54F24" w:rsidP="00D54F24">
      <w:pPr>
        <w:spacing w:after="0" w:line="240" w:lineRule="auto"/>
        <w:jc w:val="both"/>
        <w:rPr>
          <w:rFonts w:ascii="Cambria" w:eastAsia="Times New Roman" w:hAnsi="Cambria" w:cs="Times New Roman"/>
          <w:lang w:val="sq-AL" w:eastAsia="sq-AL"/>
        </w:rPr>
      </w:pPr>
      <w:r w:rsidRPr="00D54F24">
        <w:rPr>
          <w:noProof/>
          <w:lang w:val="en-GB" w:eastAsia="en-GB"/>
        </w:rPr>
        <w:drawing>
          <wp:inline distT="0" distB="0" distL="0" distR="0" wp14:anchorId="3D8F4529" wp14:editId="3C5CF848">
            <wp:extent cx="5943600" cy="1078787"/>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078787"/>
                    </a:xfrm>
                    <a:prstGeom prst="rect">
                      <a:avLst/>
                    </a:prstGeom>
                    <a:noFill/>
                    <a:ln>
                      <a:noFill/>
                    </a:ln>
                  </pic:spPr>
                </pic:pic>
              </a:graphicData>
            </a:graphic>
          </wp:inline>
        </w:drawing>
      </w:r>
    </w:p>
    <w:p w:rsidR="00D54F24" w:rsidRPr="00D54F24" w:rsidRDefault="00D54F24" w:rsidP="00D54F24">
      <w:pPr>
        <w:spacing w:after="0" w:line="240" w:lineRule="auto"/>
        <w:jc w:val="both"/>
        <w:rPr>
          <w:rFonts w:ascii="Cambria" w:eastAsia="Times New Roman" w:hAnsi="Cambria" w:cs="Times New Roman"/>
          <w:lang w:val="sq-AL" w:eastAsia="sq-AL"/>
        </w:rPr>
      </w:pPr>
    </w:p>
    <w:p w:rsidR="00D54F24" w:rsidRPr="00D54F24" w:rsidRDefault="00D54F24" w:rsidP="00D54F24">
      <w:pPr>
        <w:keepNext/>
        <w:keepLines/>
        <w:numPr>
          <w:ilvl w:val="2"/>
          <w:numId w:val="27"/>
        </w:numPr>
        <w:tabs>
          <w:tab w:val="num" w:pos="360"/>
        </w:tabs>
        <w:spacing w:before="40" w:after="0"/>
        <w:ind w:left="0" w:firstLine="0"/>
        <w:outlineLvl w:val="2"/>
        <w:rPr>
          <w:rFonts w:ascii="Times New Roman" w:eastAsiaTheme="majorEastAsia" w:hAnsi="Times New Roman" w:cs="Times New Roman"/>
          <w:b/>
          <w:noProof/>
          <w:sz w:val="24"/>
          <w:szCs w:val="24"/>
          <w:lang w:eastAsia="sq-AL"/>
        </w:rPr>
      </w:pPr>
      <w:r w:rsidRPr="00D54F24">
        <w:rPr>
          <w:rFonts w:ascii="Times New Roman" w:eastAsiaTheme="majorEastAsia" w:hAnsi="Times New Roman" w:cs="Times New Roman"/>
          <w:b/>
          <w:noProof/>
          <w:sz w:val="24"/>
          <w:szCs w:val="24"/>
          <w:lang w:eastAsia="sq-AL"/>
        </w:rPr>
        <w:t>Prioritetet për periudhën 2020-2022</w:t>
      </w:r>
    </w:p>
    <w:p w:rsidR="00D54F24" w:rsidRPr="00D54F24" w:rsidRDefault="00D54F24" w:rsidP="00D54F24">
      <w:pPr>
        <w:spacing w:after="0" w:line="276" w:lineRule="auto"/>
        <w:jc w:val="both"/>
        <w:rPr>
          <w:rFonts w:ascii="Cambria" w:eastAsia="Times New Roman" w:hAnsi="Cambria" w:cs="Times New Roman"/>
          <w:color w:val="000000"/>
          <w:lang w:val="sq-AL" w:eastAsia="sq-AL"/>
        </w:rPr>
      </w:pPr>
    </w:p>
    <w:p w:rsidR="00D54F24" w:rsidRPr="00D54F24" w:rsidRDefault="00D54F24" w:rsidP="00D54F24">
      <w:pPr>
        <w:spacing w:after="0" w:line="276" w:lineRule="auto"/>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Ministria e Arsimit, Rinisë dhe Sporteve do të vijojë masat e saj të integruara për mbështetjen e arsimit bazë, të mesëm, dhe të lartë, orientimin e kurrikulave ndaj nevojave të tregut të punës dhe modernizimin e tyre, si edhe mbështetjen për trajnim dhe punësim të kategorive të veçanta. Për periudhën 2020-2022, Ministria e Arsimit, Sportit dhe Rinisë do të financojë me prioritet:</w:t>
      </w:r>
    </w:p>
    <w:p w:rsidR="00D54F24" w:rsidRPr="00D54F24" w:rsidRDefault="00D54F24" w:rsidP="00D54F24">
      <w:pPr>
        <w:spacing w:after="0" w:line="276" w:lineRule="auto"/>
        <w:jc w:val="both"/>
        <w:rPr>
          <w:rFonts w:ascii="Cambria" w:eastAsia="Times New Roman" w:hAnsi="Cambria" w:cs="Times New Roman"/>
          <w:color w:val="000000"/>
          <w:lang w:val="sq-AL" w:eastAsia="sq-AL"/>
        </w:rPr>
      </w:pPr>
    </w:p>
    <w:p w:rsidR="00D54F24" w:rsidRPr="00D54F24" w:rsidRDefault="00D54F24" w:rsidP="00D54F24">
      <w:pPr>
        <w:numPr>
          <w:ilvl w:val="0"/>
          <w:numId w:val="4"/>
        </w:numPr>
        <w:spacing w:after="0" w:line="276" w:lineRule="auto"/>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lastRenderedPageBreak/>
        <w:t>Transportin e 28-30 mijë nxënësve që kanë vendbanimi mbi 2 km nga shkolla si dhe transportin e 9-12 mijë mësuesve që punojnë mbi 5 Km nga vendbanimi/qendra e përhershme e punës në shkollë;</w:t>
      </w:r>
    </w:p>
    <w:p w:rsidR="00D54F24" w:rsidRPr="00D54F24" w:rsidRDefault="00D54F24" w:rsidP="00D54F24">
      <w:pPr>
        <w:numPr>
          <w:ilvl w:val="0"/>
          <w:numId w:val="4"/>
        </w:numPr>
        <w:spacing w:after="0" w:line="276" w:lineRule="auto"/>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Blerjen e teksteve shkollore  për rreth 230-250 mijë nxënës të arsimit para-universitar nga shtresat sociale në nevojë;</w:t>
      </w:r>
    </w:p>
    <w:p w:rsidR="00D54F24" w:rsidRPr="00D54F24" w:rsidRDefault="00D54F24" w:rsidP="00D54F24">
      <w:pPr>
        <w:numPr>
          <w:ilvl w:val="0"/>
          <w:numId w:val="4"/>
        </w:numPr>
        <w:spacing w:after="0" w:line="276" w:lineRule="auto"/>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Për 1000-1400 nxënës të arsimit para-universitar nga shtresat sociale në nevojë do të garantohet trajtimi me kuotë ushqimore;</w:t>
      </w:r>
    </w:p>
    <w:p w:rsidR="00D54F24" w:rsidRPr="00D54F24" w:rsidRDefault="00D54F24" w:rsidP="00D54F24">
      <w:pPr>
        <w:numPr>
          <w:ilvl w:val="0"/>
          <w:numId w:val="4"/>
        </w:numPr>
        <w:spacing w:after="0" w:line="276" w:lineRule="auto"/>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Mbështetje e vazhdueshme për studentët, përmes mbulimit të shpenzimeve për bursat e studentëve nga  shtresat sociale në nevojë, krijimit të kushteve të përshtatshme të akomodimit në tetë “Shoqëritë e Trajtimit të studentëve në Tiranë dhe në Rrethe”</w:t>
      </w:r>
      <w:r w:rsidRPr="00D54F24">
        <w:rPr>
          <w:rFonts w:ascii="Times New Roman" w:eastAsia="Times New Roman" w:hAnsi="Times New Roman" w:cs="Times New Roman"/>
          <w:lang w:val="sq-AL" w:eastAsia="sq-AL"/>
        </w:rPr>
        <w:t xml:space="preserve"> </w:t>
      </w:r>
      <w:r w:rsidRPr="00D54F24">
        <w:rPr>
          <w:rFonts w:ascii="Cambria" w:eastAsia="Times New Roman" w:hAnsi="Cambria" w:cs="Times New Roman"/>
          <w:color w:val="000000"/>
          <w:lang w:val="sq-AL" w:eastAsia="sq-AL"/>
        </w:rPr>
        <w:t>për rreth 8-10 mijë studentë, mbështetjes me bursa të</w:t>
      </w:r>
      <w:r w:rsidRPr="00D54F24">
        <w:rPr>
          <w:rFonts w:ascii="Times New Roman" w:eastAsia="Times New Roman" w:hAnsi="Times New Roman" w:cs="Times New Roman"/>
          <w:sz w:val="24"/>
          <w:szCs w:val="24"/>
          <w:lang w:val="sq-AL" w:eastAsia="sq-AL"/>
        </w:rPr>
        <w:t xml:space="preserve"> </w:t>
      </w:r>
      <w:r w:rsidRPr="00D54F24">
        <w:rPr>
          <w:rFonts w:ascii="Cambria" w:eastAsia="Times New Roman" w:hAnsi="Cambria" w:cs="Times New Roman"/>
          <w:color w:val="000000"/>
          <w:lang w:val="sq-AL" w:eastAsia="sq-AL"/>
        </w:rPr>
        <w:t>rreth 100-120 studentë të rinj ekselentë  që ndjekin studimet në 15 universitetet më të mira,</w:t>
      </w:r>
      <w:r w:rsidRPr="00D54F24">
        <w:rPr>
          <w:rFonts w:ascii="Times New Roman" w:eastAsia="Times New Roman" w:hAnsi="Times New Roman" w:cs="Times New Roman"/>
          <w:sz w:val="24"/>
          <w:szCs w:val="24"/>
          <w:lang w:val="sq-AL" w:eastAsia="sq-AL"/>
        </w:rPr>
        <w:t xml:space="preserve"> </w:t>
      </w:r>
      <w:r w:rsidRPr="00D54F24">
        <w:rPr>
          <w:rFonts w:ascii="Cambria" w:eastAsia="Times New Roman" w:hAnsi="Cambria" w:cs="Times New Roman"/>
          <w:color w:val="000000"/>
          <w:lang w:val="sq-AL" w:eastAsia="sq-AL"/>
        </w:rPr>
        <w:t>referuar renditjes së “Times Higher Education”.</w:t>
      </w:r>
    </w:p>
    <w:p w:rsidR="00D54F24" w:rsidRPr="00D54F24" w:rsidRDefault="00D54F24" w:rsidP="00D54F24">
      <w:pPr>
        <w:numPr>
          <w:ilvl w:val="0"/>
          <w:numId w:val="4"/>
        </w:numPr>
        <w:spacing w:after="0" w:line="276" w:lineRule="auto"/>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Në arsimin parauniversitar do të financojë me prioritet projekte për ndërtime të reja, rikonstruksion/rindërtimin apo shtesa në objektet aktuale për më shumë se 170-200 objekte arsimore të tjera ose rreth 1700-2000 klasa / laboratorë mësimore  nga të cilat do të përfitojnë 35000- 40,000 nxënës dhe 3000-3500 mësues dhe edukatorë.</w:t>
      </w:r>
    </w:p>
    <w:p w:rsidR="00D54F24" w:rsidRPr="00D54F24" w:rsidRDefault="00D54F24" w:rsidP="00D54F24">
      <w:pPr>
        <w:numPr>
          <w:ilvl w:val="0"/>
          <w:numId w:val="4"/>
        </w:numPr>
        <w:spacing w:after="0" w:line="276" w:lineRule="auto"/>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Edukimi nëpërmjet sportit si një faktor efikas në përmirësimin e shëndetit e të mirëqenies për qytetarët përmes sigurimit të një shërbimi cilësor nëpërmjet sportit elitar dhe sportit në tërësi në institucionet arsimore duke kontribuar kësisoj dhe në forcimin e statusit të të rinjve shqiptarë në të gjitha fushat e jetës.</w:t>
      </w:r>
    </w:p>
    <w:p w:rsidR="00D54F24" w:rsidRPr="00D54F24" w:rsidRDefault="00D54F24" w:rsidP="00D54F24">
      <w:pPr>
        <w:spacing w:after="0" w:line="276" w:lineRule="auto"/>
        <w:jc w:val="both"/>
        <w:rPr>
          <w:rFonts w:ascii="Cambria" w:eastAsia="Times New Roman" w:hAnsi="Cambria" w:cs="Times New Roman"/>
          <w:color w:val="000000"/>
          <w:lang w:val="sq-AL" w:eastAsia="sq-AL"/>
        </w:rPr>
      </w:pPr>
    </w:p>
    <w:p w:rsidR="00D54F24" w:rsidRPr="00D54F24" w:rsidRDefault="00D54F24" w:rsidP="00D54F24">
      <w:pPr>
        <w:spacing w:after="0" w:line="276" w:lineRule="auto"/>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Në tabelën e mëposhtme paraqitet buxheti për periudhën 2019-2022 për Ministrinë e Arsimit, Sportit dhe Rinisë sipas programeve buxhetore dhe sipas klasifikimit ekonomik.</w:t>
      </w:r>
    </w:p>
    <w:p w:rsidR="00D54F24" w:rsidRPr="00D54F24" w:rsidRDefault="00D54F24" w:rsidP="00D54F24">
      <w:pPr>
        <w:spacing w:after="0" w:line="276" w:lineRule="auto"/>
        <w:jc w:val="both"/>
        <w:rPr>
          <w:rFonts w:ascii="Cambria" w:eastAsia="Times New Roman" w:hAnsi="Cambria" w:cs="Times New Roman"/>
          <w:color w:val="000000"/>
          <w:lang w:val="sq-AL" w:eastAsia="sq-AL"/>
        </w:rPr>
      </w:pPr>
    </w:p>
    <w:p w:rsidR="00D54F24" w:rsidRPr="00D54F24" w:rsidRDefault="00D54F24" w:rsidP="00D54F24">
      <w:pPr>
        <w:keepNext/>
        <w:spacing w:after="200" w:line="240" w:lineRule="auto"/>
        <w:jc w:val="both"/>
        <w:rPr>
          <w:rFonts w:ascii="Cambria" w:eastAsia="Times New Roman" w:hAnsi="Cambria" w:cs="Times New Roman"/>
          <w:bCs/>
          <w:noProof/>
          <w:sz w:val="20"/>
          <w:szCs w:val="18"/>
          <w:lang w:val="sq-AL"/>
        </w:rPr>
      </w:pPr>
      <w:r w:rsidRPr="00D54F24">
        <w:rPr>
          <w:rFonts w:ascii="Cambria" w:eastAsia="Times New Roman" w:hAnsi="Cambria" w:cs="Times New Roman"/>
          <w:b/>
          <w:bCs/>
          <w:noProof/>
          <w:sz w:val="20"/>
          <w:szCs w:val="18"/>
          <w:lang w:val="sq-AL"/>
        </w:rPr>
        <w:lastRenderedPageBreak/>
        <w:t>Tabela 6</w:t>
      </w:r>
      <w:r w:rsidRPr="00D54F24">
        <w:rPr>
          <w:rFonts w:ascii="Cambria" w:eastAsia="Times New Roman" w:hAnsi="Cambria" w:cs="Times New Roman"/>
          <w:bCs/>
          <w:noProof/>
          <w:sz w:val="20"/>
          <w:szCs w:val="18"/>
          <w:lang w:val="sq-AL"/>
        </w:rPr>
        <w:t>: Shpenzimet e Ministrisë së Arsimit, Rinisë dhe Sporteve sipas programeve buxhetore dhe sipas artikujve ekonomikë</w:t>
      </w:r>
    </w:p>
    <w:p w:rsidR="00D54F24" w:rsidRPr="00405A65" w:rsidRDefault="00D54F24" w:rsidP="00276384">
      <w:pPr>
        <w:jc w:val="center"/>
        <w:rPr>
          <w:lang w:val="sq-AL"/>
        </w:rPr>
      </w:pPr>
      <w:r w:rsidRPr="00D54F24">
        <w:rPr>
          <w:noProof/>
          <w:lang w:val="en-GB" w:eastAsia="en-GB"/>
        </w:rPr>
        <w:drawing>
          <wp:inline distT="0" distB="0" distL="0" distR="0" wp14:anchorId="55ADC4E9" wp14:editId="066807EC">
            <wp:extent cx="4572000" cy="4754688"/>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04718" cy="4788713"/>
                    </a:xfrm>
                    <a:prstGeom prst="rect">
                      <a:avLst/>
                    </a:prstGeom>
                    <a:noFill/>
                    <a:ln>
                      <a:noFill/>
                    </a:ln>
                  </pic:spPr>
                </pic:pic>
              </a:graphicData>
            </a:graphic>
          </wp:inline>
        </w:drawing>
      </w:r>
    </w:p>
    <w:p w:rsidR="00D54F24" w:rsidRDefault="00D54F24" w:rsidP="00D54F24">
      <w:pPr>
        <w:spacing w:after="0" w:line="264" w:lineRule="auto"/>
        <w:rPr>
          <w:rFonts w:ascii="Cambria" w:eastAsia="Calibri" w:hAnsi="Cambria" w:cs="Arial"/>
          <w:b/>
          <w:i/>
          <w:sz w:val="18"/>
          <w:szCs w:val="18"/>
          <w:lang w:val="sq-AL"/>
        </w:rPr>
      </w:pPr>
      <w:r w:rsidRPr="00D54F24">
        <w:rPr>
          <w:rFonts w:ascii="Cambria" w:eastAsia="Calibri" w:hAnsi="Cambria" w:cs="Arial"/>
          <w:b/>
          <w:i/>
          <w:sz w:val="18"/>
          <w:szCs w:val="18"/>
          <w:lang w:val="sq-AL"/>
        </w:rPr>
        <w:t xml:space="preserve">*Diferenca 12,187 </w:t>
      </w:r>
      <w:r w:rsidR="009033D0">
        <w:rPr>
          <w:rFonts w:ascii="Cambria" w:eastAsia="Calibri" w:hAnsi="Cambria" w:cs="Arial"/>
          <w:b/>
          <w:i/>
          <w:sz w:val="18"/>
          <w:szCs w:val="18"/>
          <w:lang w:val="sq-AL"/>
        </w:rPr>
        <w:t>ë</w:t>
      </w:r>
      <w:r w:rsidRPr="00D54F24">
        <w:rPr>
          <w:rFonts w:ascii="Cambria" w:eastAsia="Calibri" w:hAnsi="Cambria" w:cs="Arial"/>
          <w:b/>
          <w:i/>
          <w:sz w:val="18"/>
          <w:szCs w:val="18"/>
          <w:lang w:val="sq-AL"/>
        </w:rPr>
        <w:t>sht</w:t>
      </w:r>
      <w:r w:rsidR="009033D0">
        <w:rPr>
          <w:rFonts w:ascii="Cambria" w:eastAsia="Calibri" w:hAnsi="Cambria" w:cs="Arial"/>
          <w:b/>
          <w:i/>
          <w:sz w:val="18"/>
          <w:szCs w:val="18"/>
          <w:lang w:val="sq-AL"/>
        </w:rPr>
        <w:t>ë</w:t>
      </w:r>
      <w:r w:rsidRPr="00D54F24">
        <w:rPr>
          <w:rFonts w:ascii="Cambria" w:eastAsia="Calibri" w:hAnsi="Cambria" w:cs="Arial"/>
          <w:b/>
          <w:i/>
          <w:sz w:val="18"/>
          <w:szCs w:val="18"/>
          <w:lang w:val="sq-AL"/>
        </w:rPr>
        <w:t xml:space="preserve"> n</w:t>
      </w:r>
      <w:r w:rsidR="009033D0">
        <w:rPr>
          <w:rFonts w:ascii="Cambria" w:eastAsia="Calibri" w:hAnsi="Cambria" w:cs="Arial"/>
          <w:b/>
          <w:i/>
          <w:sz w:val="18"/>
          <w:szCs w:val="18"/>
          <w:lang w:val="sq-AL"/>
        </w:rPr>
        <w:t>ë</w:t>
      </w:r>
      <w:r w:rsidRPr="00D54F24">
        <w:rPr>
          <w:rFonts w:ascii="Cambria" w:eastAsia="Calibri" w:hAnsi="Cambria" w:cs="Arial"/>
          <w:b/>
          <w:i/>
          <w:sz w:val="18"/>
          <w:szCs w:val="18"/>
          <w:lang w:val="sq-AL"/>
        </w:rPr>
        <w:t>n tavan n</w:t>
      </w:r>
      <w:r w:rsidR="009033D0">
        <w:rPr>
          <w:rFonts w:ascii="Cambria" w:eastAsia="Calibri" w:hAnsi="Cambria" w:cs="Arial"/>
          <w:b/>
          <w:i/>
          <w:sz w:val="18"/>
          <w:szCs w:val="18"/>
          <w:lang w:val="sq-AL"/>
        </w:rPr>
        <w:t>ë</w:t>
      </w:r>
      <w:r w:rsidRPr="00D54F24">
        <w:rPr>
          <w:rFonts w:ascii="Cambria" w:eastAsia="Calibri" w:hAnsi="Cambria" w:cs="Arial"/>
          <w:b/>
          <w:i/>
          <w:sz w:val="18"/>
          <w:szCs w:val="18"/>
          <w:lang w:val="sq-AL"/>
        </w:rPr>
        <w:t xml:space="preserve"> programin e sportit n</w:t>
      </w:r>
      <w:r w:rsidR="009033D0">
        <w:rPr>
          <w:rFonts w:ascii="Cambria" w:eastAsia="Calibri" w:hAnsi="Cambria" w:cs="Arial"/>
          <w:b/>
          <w:i/>
          <w:sz w:val="18"/>
          <w:szCs w:val="18"/>
          <w:lang w:val="sq-AL"/>
        </w:rPr>
        <w:t>ë</w:t>
      </w:r>
      <w:r w:rsidRPr="00D54F24">
        <w:rPr>
          <w:rFonts w:ascii="Cambria" w:eastAsia="Calibri" w:hAnsi="Cambria" w:cs="Arial"/>
          <w:b/>
          <w:i/>
          <w:sz w:val="18"/>
          <w:szCs w:val="18"/>
          <w:lang w:val="sq-AL"/>
        </w:rPr>
        <w:t xml:space="preserve"> llogarin</w:t>
      </w:r>
      <w:r w:rsidR="009033D0">
        <w:rPr>
          <w:rFonts w:ascii="Cambria" w:eastAsia="Calibri" w:hAnsi="Cambria" w:cs="Arial"/>
          <w:b/>
          <w:i/>
          <w:sz w:val="18"/>
          <w:szCs w:val="18"/>
          <w:lang w:val="sq-AL"/>
        </w:rPr>
        <w:t>ë</w:t>
      </w:r>
      <w:r w:rsidRPr="00D54F24">
        <w:rPr>
          <w:rFonts w:ascii="Cambria" w:eastAsia="Calibri" w:hAnsi="Cambria" w:cs="Arial"/>
          <w:b/>
          <w:i/>
          <w:sz w:val="18"/>
          <w:szCs w:val="18"/>
          <w:lang w:val="sq-AL"/>
        </w:rPr>
        <w:t xml:space="preserve"> 231</w:t>
      </w:r>
      <w:r w:rsidR="009033D0">
        <w:rPr>
          <w:rFonts w:ascii="Cambria" w:eastAsia="Calibri" w:hAnsi="Cambria" w:cs="Arial"/>
          <w:b/>
          <w:i/>
          <w:sz w:val="18"/>
          <w:szCs w:val="18"/>
          <w:lang w:val="sq-AL"/>
        </w:rPr>
        <w:t xml:space="preserve"> pasi rezulton e pashp</w:t>
      </w:r>
      <w:r w:rsidR="00FA0246">
        <w:rPr>
          <w:rFonts w:ascii="Cambria" w:eastAsia="Calibri" w:hAnsi="Cambria" w:cs="Arial"/>
          <w:b/>
          <w:i/>
          <w:sz w:val="18"/>
          <w:szCs w:val="18"/>
          <w:lang w:val="sq-AL"/>
        </w:rPr>
        <w:t>ë</w:t>
      </w:r>
      <w:r w:rsidR="009033D0">
        <w:rPr>
          <w:rFonts w:ascii="Cambria" w:eastAsia="Calibri" w:hAnsi="Cambria" w:cs="Arial"/>
          <w:b/>
          <w:i/>
          <w:sz w:val="18"/>
          <w:szCs w:val="18"/>
          <w:lang w:val="sq-AL"/>
        </w:rPr>
        <w:t>rndar</w:t>
      </w:r>
      <w:r w:rsidR="00FA0246">
        <w:rPr>
          <w:rFonts w:ascii="Cambria" w:eastAsia="Calibri" w:hAnsi="Cambria" w:cs="Arial"/>
          <w:b/>
          <w:i/>
          <w:sz w:val="18"/>
          <w:szCs w:val="18"/>
          <w:lang w:val="sq-AL"/>
        </w:rPr>
        <w:t>ë</w:t>
      </w:r>
      <w:r w:rsidR="009033D0">
        <w:rPr>
          <w:rFonts w:ascii="Cambria" w:eastAsia="Calibri" w:hAnsi="Cambria" w:cs="Arial"/>
          <w:b/>
          <w:i/>
          <w:sz w:val="18"/>
          <w:szCs w:val="18"/>
          <w:lang w:val="sq-AL"/>
        </w:rPr>
        <w:t xml:space="preserve"> nga MASR</w:t>
      </w:r>
      <w:r w:rsidRPr="00D54F24">
        <w:rPr>
          <w:rFonts w:ascii="Cambria" w:eastAsia="Calibri" w:hAnsi="Cambria" w:cs="Arial"/>
          <w:b/>
          <w:i/>
          <w:sz w:val="18"/>
          <w:szCs w:val="18"/>
          <w:lang w:val="sq-AL"/>
        </w:rPr>
        <w:t>.</w:t>
      </w:r>
    </w:p>
    <w:p w:rsidR="00405A65" w:rsidRPr="00D54F24" w:rsidRDefault="00405A65" w:rsidP="00D54F24">
      <w:pPr>
        <w:spacing w:after="0" w:line="264" w:lineRule="auto"/>
        <w:rPr>
          <w:rFonts w:ascii="Cambria" w:eastAsia="Calibri" w:hAnsi="Cambria" w:cs="Arial"/>
          <w:b/>
          <w:i/>
          <w:sz w:val="18"/>
          <w:szCs w:val="18"/>
          <w:lang w:val="sq-AL"/>
        </w:rPr>
      </w:pPr>
    </w:p>
    <w:p w:rsidR="00D54F24" w:rsidRPr="00D54F24" w:rsidRDefault="00D54F24" w:rsidP="00D54F24">
      <w:pPr>
        <w:keepNext/>
        <w:keepLines/>
        <w:numPr>
          <w:ilvl w:val="2"/>
          <w:numId w:val="27"/>
        </w:numPr>
        <w:tabs>
          <w:tab w:val="num" w:pos="360"/>
        </w:tabs>
        <w:spacing w:before="40" w:after="0"/>
        <w:ind w:left="0" w:firstLine="0"/>
        <w:outlineLvl w:val="2"/>
        <w:rPr>
          <w:rFonts w:ascii="Times New Roman" w:eastAsiaTheme="majorEastAsia" w:hAnsi="Times New Roman" w:cs="Times New Roman"/>
          <w:b/>
          <w:noProof/>
          <w:sz w:val="24"/>
          <w:szCs w:val="24"/>
          <w:lang w:eastAsia="sq-AL"/>
        </w:rPr>
      </w:pPr>
      <w:r w:rsidRPr="00D54F24">
        <w:rPr>
          <w:rFonts w:ascii="Times New Roman" w:eastAsiaTheme="majorEastAsia" w:hAnsi="Times New Roman" w:cs="Times New Roman"/>
          <w:b/>
          <w:noProof/>
          <w:sz w:val="24"/>
          <w:szCs w:val="24"/>
          <w:lang w:eastAsia="sq-AL"/>
        </w:rPr>
        <w:t>Përmbledhje e Treguesve Kyç të Performancës</w:t>
      </w:r>
    </w:p>
    <w:p w:rsidR="00D54F24" w:rsidRPr="00D54F24" w:rsidRDefault="00D54F24" w:rsidP="00D54F24">
      <w:pPr>
        <w:spacing w:before="120" w:after="120" w:line="276" w:lineRule="auto"/>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Disa nga prioritetet e kësaj Ministrie për 3 vitet në vijim janë:</w:t>
      </w:r>
    </w:p>
    <w:p w:rsidR="00D54F24" w:rsidRPr="00D54F24" w:rsidRDefault="00D54F24" w:rsidP="00D54F24">
      <w:pPr>
        <w:spacing w:before="120" w:after="120" w:line="276" w:lineRule="auto"/>
        <w:contextualSpacing/>
        <w:jc w:val="both"/>
        <w:rPr>
          <w:rFonts w:ascii="Cambria" w:eastAsia="Times New Roman" w:hAnsi="Cambria" w:cs="Times New Roman"/>
          <w:lang w:val="sq-AL" w:eastAsia="sq-AL"/>
        </w:rPr>
      </w:pPr>
      <w:r w:rsidRPr="00D54F24">
        <w:rPr>
          <w:rFonts w:ascii="Cambria" w:eastAsia="Times New Roman" w:hAnsi="Cambria" w:cs="Times New Roman"/>
          <w:b/>
          <w:lang w:val="sq-AL" w:eastAsia="sq-AL"/>
        </w:rPr>
        <w:t xml:space="preserve">Për arsimin parauniversitar </w:t>
      </w:r>
      <w:r w:rsidRPr="00D54F24">
        <w:rPr>
          <w:rFonts w:ascii="Cambria" w:eastAsia="Times New Roman" w:hAnsi="Cambria" w:cs="Times New Roman"/>
          <w:lang w:val="sq-AL" w:eastAsia="sq-AL"/>
        </w:rPr>
        <w:t>për periudhën 2020-2022 synohet si më poshtë</w:t>
      </w:r>
      <w:r w:rsidRPr="00D54F24">
        <w:rPr>
          <w:rFonts w:ascii="Cambria" w:eastAsia="Times New Roman" w:hAnsi="Cambria" w:cs="Times New Roman"/>
          <w:b/>
          <w:lang w:val="sq-AL" w:eastAsia="sq-AL"/>
        </w:rPr>
        <w:t xml:space="preserve"> </w:t>
      </w:r>
      <w:r w:rsidRPr="00D54F24">
        <w:rPr>
          <w:rFonts w:ascii="Cambria" w:eastAsia="Times New Roman" w:hAnsi="Cambria" w:cs="Times New Roman"/>
          <w:lang w:val="sq-AL" w:eastAsia="sq-AL"/>
        </w:rPr>
        <w:t>:</w:t>
      </w:r>
    </w:p>
    <w:p w:rsidR="009033D0"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Të sigurohet rritja e aksesit të fëmijëve në arsimi</w:t>
      </w:r>
      <w:r w:rsidR="009033D0">
        <w:rPr>
          <w:rFonts w:ascii="Cambria" w:eastAsia="Times New Roman" w:hAnsi="Cambria" w:cs="Times New Roman"/>
          <w:color w:val="000000"/>
          <w:lang w:val="sq-AL" w:eastAsia="sq-AL"/>
        </w:rPr>
        <w:t>n</w:t>
      </w:r>
      <w:r w:rsidRPr="00D54F24">
        <w:rPr>
          <w:rFonts w:ascii="Cambria" w:eastAsia="Times New Roman" w:hAnsi="Cambria" w:cs="Times New Roman"/>
          <w:color w:val="000000"/>
          <w:lang w:val="sq-AL" w:eastAsia="sq-AL"/>
        </w:rPr>
        <w:t xml:space="preserve"> parashkollor 86%, ndjekja e arsimit bazë (nga 100% e </w:t>
      </w:r>
      <w:r w:rsidR="009033D0">
        <w:rPr>
          <w:rFonts w:ascii="Cambria" w:eastAsia="Times New Roman" w:hAnsi="Cambria" w:cs="Times New Roman"/>
          <w:color w:val="000000"/>
          <w:lang w:val="sq-AL" w:eastAsia="sq-AL"/>
        </w:rPr>
        <w:t>f</w:t>
      </w:r>
      <w:r w:rsidR="00FA0246">
        <w:rPr>
          <w:rFonts w:ascii="Cambria" w:eastAsia="Times New Roman" w:hAnsi="Cambria" w:cs="Times New Roman"/>
          <w:color w:val="000000"/>
          <w:lang w:val="sq-AL" w:eastAsia="sq-AL"/>
        </w:rPr>
        <w:t>ë</w:t>
      </w:r>
      <w:r w:rsidR="009033D0">
        <w:rPr>
          <w:rFonts w:ascii="Cambria" w:eastAsia="Times New Roman" w:hAnsi="Cambria" w:cs="Times New Roman"/>
          <w:color w:val="000000"/>
          <w:lang w:val="sq-AL" w:eastAsia="sq-AL"/>
        </w:rPr>
        <w:t>mij</w:t>
      </w:r>
      <w:r w:rsidR="00FA0246">
        <w:rPr>
          <w:rFonts w:ascii="Cambria" w:eastAsia="Times New Roman" w:hAnsi="Cambria" w:cs="Times New Roman"/>
          <w:color w:val="000000"/>
          <w:lang w:val="sq-AL" w:eastAsia="sq-AL"/>
        </w:rPr>
        <w:t>ë</w:t>
      </w:r>
      <w:r w:rsidR="009033D0">
        <w:rPr>
          <w:rFonts w:ascii="Cambria" w:eastAsia="Times New Roman" w:hAnsi="Cambria" w:cs="Times New Roman"/>
          <w:color w:val="000000"/>
          <w:lang w:val="sq-AL" w:eastAsia="sq-AL"/>
        </w:rPr>
        <w:t>ve t</w:t>
      </w:r>
      <w:r w:rsidR="00FA0246">
        <w:rPr>
          <w:rFonts w:ascii="Cambria" w:eastAsia="Times New Roman" w:hAnsi="Cambria" w:cs="Times New Roman"/>
          <w:color w:val="000000"/>
          <w:lang w:val="sq-AL" w:eastAsia="sq-AL"/>
        </w:rPr>
        <w:t>ë</w:t>
      </w:r>
      <w:r w:rsidR="009033D0">
        <w:rPr>
          <w:rFonts w:ascii="Cambria" w:eastAsia="Times New Roman" w:hAnsi="Cambria" w:cs="Times New Roman"/>
          <w:color w:val="000000"/>
          <w:lang w:val="sq-AL" w:eastAsia="sq-AL"/>
        </w:rPr>
        <w:t xml:space="preserve"> grup</w:t>
      </w:r>
      <w:r w:rsidRPr="00D54F24">
        <w:rPr>
          <w:rFonts w:ascii="Cambria" w:eastAsia="Times New Roman" w:hAnsi="Cambria" w:cs="Times New Roman"/>
          <w:color w:val="000000"/>
          <w:lang w:val="sq-AL" w:eastAsia="sq-AL"/>
        </w:rPr>
        <w:t xml:space="preserve">moshës 6-16), si dhe përfshirja me përparësi e grupeve vulnerabël. </w:t>
      </w:r>
    </w:p>
    <w:p w:rsidR="009033D0"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 xml:space="preserve">Rritja e treguesit të regjistrimit me 10-15% ose 350-500 fëmijë për nxënësit romë dhe egjiptianë, 10% për nxënësit me  AK. </w:t>
      </w:r>
    </w:p>
    <w:p w:rsidR="00D54F24" w:rsidRPr="00D54F24"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 xml:space="preserve"> Reformimi  i arsimit parashkollor dhe bazë, përmes miratimit 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kornizës s</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re kurrikulare dhe programeve për çdo grupmoshe për arsimin parashkollor, bazë, trajnimit të </w:t>
      </w:r>
      <w:r w:rsidR="009033D0">
        <w:rPr>
          <w:rFonts w:ascii="Cambria" w:eastAsia="Times New Roman" w:hAnsi="Cambria" w:cs="Times New Roman"/>
          <w:color w:val="000000"/>
          <w:lang w:val="sq-AL" w:eastAsia="sq-AL"/>
        </w:rPr>
        <w:t>përvitshëm të mësuesve/</w:t>
      </w:r>
      <w:r w:rsidRPr="00D54F24">
        <w:rPr>
          <w:rFonts w:ascii="Cambria" w:eastAsia="Times New Roman" w:hAnsi="Cambria" w:cs="Times New Roman"/>
          <w:color w:val="000000"/>
          <w:lang w:val="sq-AL" w:eastAsia="sq-AL"/>
        </w:rPr>
        <w:t xml:space="preserve">edukatorëve dhe punonjësve të shërbimit psikosocial (150 psikologë dhe 150 punonjës social)  dhe pajisjes me materiale didaktike të kopshteve dhe shkollave. </w:t>
      </w:r>
    </w:p>
    <w:p w:rsidR="009033D0"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 xml:space="preserve">Zbatimi/implementimi i kurikulës së re klasa 1-5 dhe klasa 6-9,  përgatitja e 25 programeve kualifikues, 12 module trajnimi, 40 teste  trajnuese për kurrikulën e re. </w:t>
      </w:r>
    </w:p>
    <w:p w:rsidR="00D54F24" w:rsidRPr="00D54F24"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lastRenderedPageBreak/>
        <w:t>Trajnimi i 12.000 mësuesve 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klasa</w:t>
      </w:r>
      <w:r w:rsidR="009033D0">
        <w:rPr>
          <w:rFonts w:ascii="Cambria" w:eastAsia="Times New Roman" w:hAnsi="Cambria" w:cs="Times New Roman"/>
          <w:color w:val="000000"/>
          <w:lang w:val="sq-AL" w:eastAsia="sq-AL"/>
        </w:rPr>
        <w:t>ve</w:t>
      </w:r>
      <w:r w:rsidRPr="00D54F24">
        <w:rPr>
          <w:rFonts w:ascii="Cambria" w:eastAsia="Times New Roman" w:hAnsi="Cambria" w:cs="Times New Roman"/>
          <w:color w:val="000000"/>
          <w:lang w:val="sq-AL" w:eastAsia="sq-AL"/>
        </w:rPr>
        <w:t xml:space="preserve"> 4 dhe klasës 9 ( trajnimi 25% 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mësueseve të AB) për kurrikulen e re, përfshirë  edhe  40 mësues të pakicave kombëtare, si dhe 200 mësues ndihmës për fëmijët me AK. Trajnimi i 80 mësuesve të diasporës në seminarin mbarëkombëtar për mësuesit e diasporës.</w:t>
      </w:r>
    </w:p>
    <w:p w:rsidR="00D54F24" w:rsidRPr="00D54F24"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 xml:space="preserve">Zhvillimi i reformës së teksteve shkollore, përmirësimi i cilësisë së teksteve shkollore si dhe kompensimi i çmimit të  teksteve shkollore nga klasa I-IX, në masën 100 % fëmijëve që vijnë nga familje të cilat trajtohen me ndihmë ekonomike dhe pagesë papunësie, fëmijëve që gëzojnë statusin ligjor të jetimit, fëmijëve që gëzojnë statusin e të verbrit, fëmijëve të pakicave kombëtare, për nxënësit romë, egjiptianë,  fëmijëve të familjeve të emigrantëve që jetojnë jashtë territorit të Republikës së Shqipërisë, fëmijët që vijnë nga familje të cilat trajtohen me ndihmë ekonomike dhe pagesë papunësie; fëmijë të familjeve që kanë në përbërjen e tyre anëtarë me aftësi të kufizuar, fëmijë që vijnë nga familje ku kryefamiljari përfiton pension pleqërie shteti dhe kanë fëmijë në ngarkim, të cilët janë pa të ardhura; familje në nevojë, viktimave te trafikimit, si dhe dhënia falas e teksteve shkollore të fëmijëve që ndjekin studimet në klasën parë deri në klasën pestë. </w:t>
      </w:r>
    </w:p>
    <w:p w:rsidR="00D54F24" w:rsidRPr="00D54F24"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Sigurimi i transportit të nxënësve për ndjekjen e arsimit parashkollor dhe bazë që mësojnë në një distancë prej më shumë se 2 km nga vendbanimi i përhershëm i tyre si dhe mësuesve që punojnë e banojnë më shumë se rreth 5 km nga vendbanimi i tyre dhe mbulimi 100% i shpenzimeve të transporti me fonde të buxhetit.</w:t>
      </w:r>
    </w:p>
    <w:p w:rsidR="00D54F24" w:rsidRPr="00D54F24"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 xml:space="preserve">Numri i nxënësve që regjistrohen dhe ndjekin arsimin e mesëm të lartë të arrijë në 96-98% e nxënësve që përfundojnë arsimin bazë.                                                                                                                                       </w:t>
      </w:r>
    </w:p>
    <w:p w:rsidR="00D54F24" w:rsidRPr="00D54F24"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Zbatimi i kurrikul</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s s</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re dhe trajnimi i mësuesve të  klasës 10-12 n</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shkollat e arsimit të mesëm të lartë, si dhe zbatimi i sistemit 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ri 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zhvillimit profesional, të drejtuesve të </w:t>
      </w:r>
      <w:r w:rsidR="009033D0">
        <w:rPr>
          <w:rFonts w:ascii="Cambria" w:eastAsia="Times New Roman" w:hAnsi="Cambria" w:cs="Times New Roman"/>
          <w:color w:val="000000"/>
          <w:lang w:val="sq-AL" w:eastAsia="sq-AL"/>
        </w:rPr>
        <w:t>institucioneve arsimore</w:t>
      </w:r>
      <w:r w:rsidRPr="00D54F24">
        <w:rPr>
          <w:rFonts w:ascii="Cambria" w:eastAsia="Times New Roman" w:hAnsi="Cambria" w:cs="Times New Roman"/>
          <w:color w:val="000000"/>
          <w:lang w:val="sq-AL" w:eastAsia="sq-AL"/>
        </w:rPr>
        <w:t>, mësueseve dhe drejtuesve 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rrjeteve profesionale.                                                                                                                                                                                                          </w:t>
      </w:r>
    </w:p>
    <w:p w:rsidR="00D54F24" w:rsidRPr="00D54F24"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Realizimi i Maturës Shtetërore 2020 sipas kur</w:t>
      </w:r>
      <w:r w:rsidR="009033D0">
        <w:rPr>
          <w:rFonts w:ascii="Cambria" w:eastAsia="Times New Roman" w:hAnsi="Cambria" w:cs="Times New Roman"/>
          <w:color w:val="000000"/>
          <w:lang w:val="sq-AL" w:eastAsia="sq-AL"/>
        </w:rPr>
        <w:t>r</w:t>
      </w:r>
      <w:r w:rsidRPr="00D54F24">
        <w:rPr>
          <w:rFonts w:ascii="Cambria" w:eastAsia="Times New Roman" w:hAnsi="Cambria" w:cs="Times New Roman"/>
          <w:color w:val="000000"/>
          <w:lang w:val="sq-AL" w:eastAsia="sq-AL"/>
        </w:rPr>
        <w:t xml:space="preserve">ikulës së re me bazë kompetencën.  Realizimi i testimit "Mësues për Shqipërinë" në formë elektronike.                                                                                                                                                                                       </w:t>
      </w:r>
    </w:p>
    <w:p w:rsidR="00D54F24" w:rsidRPr="00D54F24"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Përmirësimi i infrastrukturës ekzistuese në arsimin e mesëm 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lart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(rehabilitimi i 10% të klasave në gjimnazeve në zonat urbane, shtimi me 5%-8% i klasave të reja në zonat urbane, pajisja me mjete didaktike</w:t>
      </w:r>
      <w:r w:rsidR="009033D0">
        <w:rPr>
          <w:rFonts w:ascii="Cambria" w:eastAsia="Times New Roman" w:hAnsi="Cambria" w:cs="Times New Roman"/>
          <w:color w:val="000000"/>
          <w:lang w:val="sq-AL" w:eastAsia="sq-AL"/>
        </w:rPr>
        <w:t xml:space="preserve"> për Fizikë-Kimi-Biologji  për 8</w:t>
      </w:r>
      <w:r w:rsidRPr="00D54F24">
        <w:rPr>
          <w:rFonts w:ascii="Cambria" w:eastAsia="Times New Roman" w:hAnsi="Cambria" w:cs="Times New Roman"/>
          <w:color w:val="000000"/>
          <w:lang w:val="sq-AL" w:eastAsia="sq-AL"/>
        </w:rPr>
        <w:t>% n</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vit 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shkollave të mesme,  pajisja </w:t>
      </w:r>
      <w:r w:rsidR="009033D0">
        <w:rPr>
          <w:rFonts w:ascii="Cambria" w:eastAsia="Times New Roman" w:hAnsi="Cambria" w:cs="Times New Roman"/>
          <w:color w:val="000000"/>
          <w:lang w:val="sq-AL" w:eastAsia="sq-AL"/>
        </w:rPr>
        <w:t>e</w:t>
      </w:r>
      <w:r w:rsidRPr="00D54F24">
        <w:rPr>
          <w:rFonts w:ascii="Cambria" w:eastAsia="Times New Roman" w:hAnsi="Cambria" w:cs="Times New Roman"/>
          <w:color w:val="000000"/>
          <w:lang w:val="sq-AL" w:eastAsia="sq-AL"/>
        </w:rPr>
        <w:t xml:space="preserve"> klasave dhe shkollave me kompjuter, si dhe pasurimi i bibliotekave në të gjitha shkollat me 10% 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fondit ekzistues 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bibliotekave.</w:t>
      </w:r>
    </w:p>
    <w:p w:rsidR="00D54F24" w:rsidRPr="00D54F24" w:rsidRDefault="00D54F24" w:rsidP="00D54F24">
      <w:pPr>
        <w:spacing w:before="120" w:after="120" w:line="276" w:lineRule="auto"/>
        <w:contextualSpacing/>
        <w:jc w:val="both"/>
        <w:rPr>
          <w:rFonts w:ascii="Cambria" w:eastAsia="Times New Roman" w:hAnsi="Cambria" w:cs="Times New Roman"/>
          <w:lang w:val="sq-AL" w:eastAsia="sq-AL"/>
        </w:rPr>
      </w:pPr>
    </w:p>
    <w:p w:rsidR="00D54F24" w:rsidRPr="00D54F24" w:rsidRDefault="00D54F24" w:rsidP="00D54F24">
      <w:pPr>
        <w:numPr>
          <w:ilvl w:val="0"/>
          <w:numId w:val="12"/>
        </w:numPr>
        <w:spacing w:before="120" w:after="120" w:line="276" w:lineRule="auto"/>
        <w:contextualSpacing/>
        <w:jc w:val="both"/>
        <w:rPr>
          <w:rFonts w:ascii="Cambria" w:eastAsia="Times New Roman" w:hAnsi="Cambria" w:cs="Times New Roman"/>
          <w:lang w:val="sq-AL" w:eastAsia="sq-AL"/>
        </w:rPr>
      </w:pPr>
      <w:r w:rsidRPr="00D54F24">
        <w:rPr>
          <w:rFonts w:ascii="Cambria" w:eastAsia="Times New Roman" w:hAnsi="Cambria" w:cs="Times New Roman"/>
          <w:b/>
          <w:lang w:val="sq-AL" w:eastAsia="sq-AL"/>
        </w:rPr>
        <w:t>Për arsimin e lartë dhe kërkimin shkencor</w:t>
      </w:r>
      <w:r w:rsidRPr="00D54F24">
        <w:rPr>
          <w:rFonts w:ascii="Cambria" w:eastAsia="Times New Roman" w:hAnsi="Cambria" w:cs="Times New Roman"/>
          <w:lang w:val="sq-AL" w:eastAsia="sq-AL"/>
        </w:rPr>
        <w:t xml:space="preserve"> për periudhën 2020-2022 parashikohet sa më poshtë:</w:t>
      </w:r>
    </w:p>
    <w:p w:rsidR="00D54F24" w:rsidRPr="00D54F24"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100% të programeve studimore të akredituara brenda vitit 2030;</w:t>
      </w:r>
    </w:p>
    <w:p w:rsidR="00D54F24" w:rsidRPr="00D54F24" w:rsidRDefault="00D54F24" w:rsidP="00D54F24">
      <w:pPr>
        <w:numPr>
          <w:ilvl w:val="0"/>
          <w:numId w:val="35"/>
        </w:numPr>
        <w:spacing w:line="276" w:lineRule="auto"/>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 xml:space="preserve"> Të sigurohet standardi një vend pune për dy studentë në laborator kërkimorë shkencorë, në përputhje me parimet e barazis</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gjinore;</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Të sigurohet standardi 5-8 m2 për student sipas natyrës së programit të studimeve në vitin 2022, në përputhje me parimet e barazis</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gjinore.</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 xml:space="preserve"> Fonde publike për IAL të arrijnë në 2% ndaj PBB në vitin 2022; </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100% e të dhënave të stafit akademik, të studentëve, të karrierës akademike, diplomimit, janë në regjistrin elektronik kombëtar.</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90% e stafeve me kohë të plotë të departamenteve të jenë me grada/tituj në 2022, në përputhje me parimet e barazis</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gjinore.</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lastRenderedPageBreak/>
        <w:t xml:space="preserve"> Rritja e mobilitetit të stafit dhe studentëve me 20% në 2020 dhe 40% në 2022 dhe 60% në vitin 2025;</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100% e studentëve ekselente, studentë në nevojë të p</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rfitojnë bursa e kredi studentore në 2022;</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Raporti student/pedagog të arrijë 15/1, në vitin 2025.</w:t>
      </w:r>
    </w:p>
    <w:p w:rsidR="00D54F24" w:rsidRPr="00D54F24" w:rsidRDefault="0027638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Pr>
          <w:rFonts w:ascii="Cambria" w:eastAsia="Times New Roman" w:hAnsi="Cambria" w:cs="Times New Roman"/>
          <w:color w:val="000000"/>
          <w:lang w:val="sq-AL" w:eastAsia="sq-AL"/>
        </w:rPr>
        <w:t xml:space="preserve"> Numri i kërkuesve shkencor</w:t>
      </w:r>
      <w:r w:rsidR="00FA0246">
        <w:rPr>
          <w:rFonts w:ascii="Cambria" w:eastAsia="Times New Roman" w:hAnsi="Cambria" w:cs="Times New Roman"/>
          <w:color w:val="000000"/>
          <w:lang w:val="sq-AL" w:eastAsia="sq-AL"/>
        </w:rPr>
        <w:t>ë</w:t>
      </w:r>
      <w:r>
        <w:rPr>
          <w:rFonts w:ascii="Cambria" w:eastAsia="Times New Roman" w:hAnsi="Cambria" w:cs="Times New Roman"/>
          <w:color w:val="000000"/>
          <w:lang w:val="sq-AL" w:eastAsia="sq-AL"/>
        </w:rPr>
        <w:t xml:space="preserve"> der</w:t>
      </w:r>
      <w:r w:rsidR="00D54F24" w:rsidRPr="00D54F24">
        <w:rPr>
          <w:rFonts w:ascii="Cambria" w:eastAsia="Times New Roman" w:hAnsi="Cambria" w:cs="Times New Roman"/>
          <w:color w:val="000000"/>
          <w:lang w:val="sq-AL" w:eastAsia="sq-AL"/>
        </w:rPr>
        <w:t>i në vitin 2025 të arrijë treguesit mesatare për kërkues në OECD;</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 xml:space="preserve">Të arrihet standardi 7 kërkues për çdo 1,000 të punësuar në vitin 2022; </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40% e personelit në kërkim dhe zhvillim të jenë nga IAL publike (30% e kërkuesve shkencor</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 xml:space="preserve"> të jenë  femra</w:t>
      </w:r>
      <w:r w:rsidR="00276384">
        <w:rPr>
          <w:rFonts w:ascii="Cambria" w:eastAsia="Times New Roman" w:hAnsi="Cambria" w:cs="Times New Roman"/>
          <w:color w:val="000000"/>
          <w:lang w:val="sq-AL" w:eastAsia="sq-AL"/>
        </w:rPr>
        <w:t>)</w:t>
      </w:r>
      <w:r w:rsidRPr="00D54F24">
        <w:rPr>
          <w:rFonts w:ascii="Cambria" w:eastAsia="Times New Roman" w:hAnsi="Cambria" w:cs="Times New Roman"/>
          <w:color w:val="000000"/>
          <w:lang w:val="sq-AL" w:eastAsia="sq-AL"/>
        </w:rPr>
        <w:t>;</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Rritja me 30 % e financimit të projekteve kombëtare të kërkim zhvillimit që drejtohen nga kërkuese femra dhe Doktoratave të fushave prioritare të kërkimit, me synim që pas vitit 2021, të sigurohet barazi gjinore në  projektet fitues ;</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 xml:space="preserve">Të rritet me 10%-15%  në vit numri i aplikimeve nga programet bilaterale dhe Programin Horizon 2020 , si dhe programet ERASMUS +; </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Financim për  punën kërkimore shkencore për 3,500- 4,000 kërkuesve në vit  në IAL publike në periudhën  2019-2022;</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 xml:space="preserve"> Synohet që fondet për kërkim ekselencë dhe inovacion në vitin</w:t>
      </w:r>
      <w:r w:rsidR="00276384">
        <w:rPr>
          <w:rFonts w:ascii="Cambria" w:eastAsia="Times New Roman" w:hAnsi="Cambria" w:cs="Times New Roman"/>
          <w:color w:val="000000"/>
          <w:lang w:val="sq-AL" w:eastAsia="sq-AL"/>
        </w:rPr>
        <w:t xml:space="preserve"> 2025  të arrijnë  1% të PBB-së</w:t>
      </w:r>
      <w:r w:rsidRPr="00D54F24">
        <w:rPr>
          <w:rFonts w:ascii="Cambria" w:eastAsia="Times New Roman" w:hAnsi="Cambria" w:cs="Times New Roman"/>
          <w:color w:val="000000"/>
          <w:lang w:val="sq-AL" w:eastAsia="sq-AL"/>
        </w:rPr>
        <w:t>;</w:t>
      </w:r>
    </w:p>
    <w:p w:rsidR="00D54F24" w:rsidRPr="00D54F24" w:rsidRDefault="00D54F24" w:rsidP="00D54F24">
      <w:pPr>
        <w:numPr>
          <w:ilvl w:val="0"/>
          <w:numId w:val="12"/>
        </w:numPr>
        <w:spacing w:before="120" w:after="120" w:line="276" w:lineRule="auto"/>
        <w:contextualSpacing/>
        <w:jc w:val="both"/>
        <w:rPr>
          <w:rFonts w:ascii="Cambria" w:eastAsia="Times New Roman" w:hAnsi="Cambria" w:cs="Times New Roman"/>
          <w:lang w:val="sq-AL" w:eastAsia="sq-AL"/>
        </w:rPr>
      </w:pPr>
      <w:r w:rsidRPr="00D54F24">
        <w:rPr>
          <w:rFonts w:ascii="Cambria" w:eastAsia="Times New Roman" w:hAnsi="Cambria" w:cs="Times New Roman"/>
          <w:b/>
          <w:lang w:val="sq-AL" w:eastAsia="sq-AL"/>
        </w:rPr>
        <w:t>Për sportin dhe rininë</w:t>
      </w:r>
      <w:r w:rsidRPr="00D54F24">
        <w:rPr>
          <w:rFonts w:ascii="Cambria" w:eastAsia="Times New Roman" w:hAnsi="Cambria" w:cs="Times New Roman"/>
          <w:lang w:val="sq-AL" w:eastAsia="sq-AL"/>
        </w:rPr>
        <w:t xml:space="preserve"> për periudhën 2020-2022 parashikohet sa më poshtë:</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Sigurimi i mbështetjes financiare për federatat Olimpike në aktivitete, E</w:t>
      </w:r>
      <w:r w:rsidR="00276384">
        <w:rPr>
          <w:rFonts w:ascii="Cambria" w:eastAsia="Times New Roman" w:hAnsi="Cambria" w:cs="Times New Roman"/>
          <w:color w:val="000000"/>
          <w:lang w:val="sq-AL" w:eastAsia="sq-AL"/>
        </w:rPr>
        <w:t>vropiane, Botërore , Ballkanike</w:t>
      </w:r>
      <w:r w:rsidRPr="00D54F24">
        <w:rPr>
          <w:rFonts w:ascii="Cambria" w:eastAsia="Times New Roman" w:hAnsi="Cambria" w:cs="Times New Roman"/>
          <w:color w:val="000000"/>
          <w:lang w:val="sq-AL" w:eastAsia="sq-AL"/>
        </w:rPr>
        <w:t xml:space="preserve"> në funksion të kualifikimeve për Lojërat Olimpike Japoni 2020, realizimi i 30 analizave antidoping</w:t>
      </w:r>
      <w:r w:rsidR="00276384">
        <w:rPr>
          <w:rFonts w:ascii="Cambria" w:eastAsia="Times New Roman" w:hAnsi="Cambria" w:cs="Times New Roman"/>
          <w:color w:val="000000"/>
          <w:lang w:val="sq-AL" w:eastAsia="sq-AL"/>
        </w:rPr>
        <w:t xml:space="preserve"> </w:t>
      </w:r>
      <w:r w:rsidRPr="00D54F24">
        <w:rPr>
          <w:rFonts w:ascii="Cambria" w:eastAsia="Times New Roman" w:hAnsi="Cambria" w:cs="Times New Roman"/>
          <w:color w:val="000000"/>
          <w:lang w:val="sq-AL" w:eastAsia="sq-AL"/>
        </w:rPr>
        <w:t>p</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r sportist</w:t>
      </w:r>
      <w:r w:rsidR="00FA0246">
        <w:rPr>
          <w:rFonts w:ascii="Cambria" w:eastAsia="Times New Roman" w:hAnsi="Cambria" w:cs="Times New Roman"/>
          <w:color w:val="000000"/>
          <w:lang w:val="sq-AL" w:eastAsia="sq-AL"/>
        </w:rPr>
        <w:t>ë</w:t>
      </w:r>
      <w:r w:rsidRPr="00D54F24">
        <w:rPr>
          <w:rFonts w:ascii="Cambria" w:eastAsia="Times New Roman" w:hAnsi="Cambria" w:cs="Times New Roman"/>
          <w:color w:val="000000"/>
          <w:lang w:val="sq-AL" w:eastAsia="sq-AL"/>
        </w:rPr>
        <w:t>t elitar si dhe ato kandidat për Lojërat Olimpike Japoni 2020 .</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Mbështetja financiare  për Ekipin Kombëtar Olimpik  pjesëmarrës ne Lojërat e Olimpike Japoni 2020 si dhe</w:t>
      </w:r>
      <w:r w:rsidR="00276384">
        <w:rPr>
          <w:rFonts w:ascii="Cambria" w:eastAsia="Times New Roman" w:hAnsi="Cambria" w:cs="Times New Roman"/>
          <w:color w:val="000000"/>
          <w:lang w:val="sq-AL" w:eastAsia="sq-AL"/>
        </w:rPr>
        <w:t>,</w:t>
      </w:r>
      <w:r w:rsidRPr="00D54F24">
        <w:rPr>
          <w:rFonts w:ascii="Cambria" w:eastAsia="Times New Roman" w:hAnsi="Cambria" w:cs="Times New Roman"/>
          <w:color w:val="000000"/>
          <w:lang w:val="sq-AL" w:eastAsia="sq-AL"/>
        </w:rPr>
        <w:t xml:space="preserve"> aktivitetet kombëtare dhe ndërkombetare për F</w:t>
      </w:r>
      <w:r w:rsidR="00276384">
        <w:rPr>
          <w:rFonts w:ascii="Cambria" w:eastAsia="Times New Roman" w:hAnsi="Cambria" w:cs="Times New Roman"/>
          <w:color w:val="000000"/>
          <w:lang w:val="sq-AL" w:eastAsia="sq-AL"/>
        </w:rPr>
        <w:t>ederatat Sportive, në të gjitha</w:t>
      </w:r>
      <w:r w:rsidRPr="00D54F24">
        <w:rPr>
          <w:rFonts w:ascii="Cambria" w:eastAsia="Times New Roman" w:hAnsi="Cambria" w:cs="Times New Roman"/>
          <w:color w:val="000000"/>
          <w:lang w:val="sq-AL" w:eastAsia="sq-AL"/>
        </w:rPr>
        <w:t xml:space="preserve"> disiplinat sportive, sipas kalendarëve të aktiviteteve në 42 Kampionate Kombëtare, 42 Kupa</w:t>
      </w:r>
      <w:r w:rsidRPr="00D54F24">
        <w:t xml:space="preserve"> </w:t>
      </w:r>
      <w:r w:rsidRPr="00D54F24">
        <w:rPr>
          <w:rFonts w:ascii="Cambria" w:eastAsia="Times New Roman" w:hAnsi="Cambria" w:cs="Times New Roman"/>
          <w:color w:val="000000"/>
          <w:lang w:val="sq-AL" w:eastAsia="sq-AL"/>
        </w:rPr>
        <w:t xml:space="preserve">Shqipërisë,  42 Kampionate Evropianë, si dhe 42 Kampionate Botërore, në përputhje me parimet e barazisë gjinore. </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Mbështetja financiare me investime në sport, për ndërtimin/rindërtimin e objekteve sportive, pajisje me bazë materiale të tyre në funksion të ekipeve kombëtare.</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Zhvillimi i programeve trajnuese në sistemin sportiv kombëtar në funksion të rritjes së kapaciteteve në fushën e sportit, trajnime çdo vit për 20-25% e stafe</w:t>
      </w:r>
      <w:r w:rsidR="00276384">
        <w:rPr>
          <w:rFonts w:ascii="Cambria" w:eastAsia="Times New Roman" w:hAnsi="Cambria" w:cs="Times New Roman"/>
          <w:color w:val="000000"/>
          <w:lang w:val="sq-AL" w:eastAsia="sq-AL"/>
        </w:rPr>
        <w:t>ve</w:t>
      </w:r>
      <w:r w:rsidRPr="00D54F24">
        <w:rPr>
          <w:rFonts w:ascii="Cambria" w:eastAsia="Times New Roman" w:hAnsi="Cambria" w:cs="Times New Roman"/>
          <w:color w:val="000000"/>
          <w:lang w:val="sq-AL" w:eastAsia="sq-AL"/>
        </w:rPr>
        <w:t xml:space="preserve"> teknike të sistemit sportiv kombëtar (732 teknike - trainerë, specialistë, instruktorë, mjekë etj, ku përparësi kanë sportistet dhe trajnerët femra). </w:t>
      </w:r>
    </w:p>
    <w:p w:rsidR="00D54F24" w:rsidRPr="00D54F2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Rritja e mbështetjes financiare për shpërblim e sportisteve elitar, fitues në aktivitete ndërkombëtare, mbështetje financiare për 20-25 sportistë elitarë në vit, si dhe mbështetje financiare për aktivitete sportive promovuese dhe garuese ne institucionet arsimore te arsimit parauniversitar dhe universitar.</w:t>
      </w:r>
    </w:p>
    <w:p w:rsidR="0027638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D54F24">
        <w:rPr>
          <w:rFonts w:ascii="Cambria" w:eastAsia="Times New Roman" w:hAnsi="Cambria" w:cs="Times New Roman"/>
          <w:color w:val="000000"/>
          <w:lang w:val="sq-AL" w:eastAsia="sq-AL"/>
        </w:rPr>
        <w:t>Të përmirësojmë cilësinë e jetës së të rinjve, përmes  rritjes së pjesëmarrjes së tyre, në punësim, në informim, në edukim dhe në vendimmarrje.</w:t>
      </w:r>
    </w:p>
    <w:p w:rsidR="0023580B" w:rsidRPr="00276384" w:rsidRDefault="00D54F24" w:rsidP="00D54F24">
      <w:pPr>
        <w:numPr>
          <w:ilvl w:val="0"/>
          <w:numId w:val="36"/>
        </w:numPr>
        <w:spacing w:line="276" w:lineRule="auto"/>
        <w:ind w:left="709"/>
        <w:contextualSpacing/>
        <w:jc w:val="both"/>
        <w:rPr>
          <w:rFonts w:ascii="Cambria" w:eastAsia="Times New Roman" w:hAnsi="Cambria" w:cs="Times New Roman"/>
          <w:color w:val="000000"/>
          <w:lang w:val="sq-AL" w:eastAsia="sq-AL"/>
        </w:rPr>
      </w:pPr>
      <w:r w:rsidRPr="00276384">
        <w:rPr>
          <w:rFonts w:ascii="Cambria" w:eastAsia="Times New Roman" w:hAnsi="Cambria" w:cs="Times New Roman"/>
          <w:lang w:val="sq-AL" w:eastAsia="sq-AL"/>
        </w:rPr>
        <w:t>Mbështetja financiare me investime për ristrukturimin/ ndërtimin dhe pajisjen e objekteve për rininë, në funksion të përmirësimit të kushteve për argëtim.</w:t>
      </w:r>
    </w:p>
    <w:p w:rsidR="00F22823" w:rsidRPr="00642AF5" w:rsidRDefault="00F22823" w:rsidP="00894DEB">
      <w:pPr>
        <w:pStyle w:val="Default"/>
        <w:jc w:val="both"/>
        <w:rPr>
          <w:rFonts w:ascii="Cambria" w:hAnsi="Cambria" w:cs="Times New Roman"/>
          <w:color w:val="auto"/>
          <w:sz w:val="22"/>
          <w:szCs w:val="22"/>
        </w:rPr>
      </w:pPr>
    </w:p>
    <w:p w:rsidR="00C04AB3" w:rsidRPr="00405A65" w:rsidRDefault="00C04AB3" w:rsidP="00982EED">
      <w:pPr>
        <w:pStyle w:val="Heading2"/>
        <w:rPr>
          <w:rFonts w:ascii="Cambria" w:eastAsia="Calibri" w:hAnsi="Cambria"/>
          <w:i w:val="0"/>
          <w:sz w:val="24"/>
        </w:rPr>
      </w:pPr>
      <w:bookmarkStart w:id="15" w:name="_Toc391045450"/>
      <w:bookmarkStart w:id="16" w:name="_Toc13653978"/>
      <w:r w:rsidRPr="00405A65">
        <w:rPr>
          <w:rFonts w:ascii="Cambria" w:eastAsia="Calibri" w:hAnsi="Cambria"/>
          <w:i w:val="0"/>
          <w:sz w:val="24"/>
        </w:rPr>
        <w:lastRenderedPageBreak/>
        <w:t>M</w:t>
      </w:r>
      <w:bookmarkEnd w:id="15"/>
      <w:r w:rsidR="0012634D" w:rsidRPr="00405A65">
        <w:rPr>
          <w:rFonts w:ascii="Cambria" w:eastAsia="Calibri" w:hAnsi="Cambria"/>
          <w:i w:val="0"/>
          <w:sz w:val="24"/>
        </w:rPr>
        <w:t>INISTRIA E BUJQËSISË DHE ZHVILLIMIT RURAL</w:t>
      </w:r>
      <w:bookmarkEnd w:id="16"/>
    </w:p>
    <w:p w:rsidR="008B1FDF" w:rsidRPr="009C4DBA" w:rsidRDefault="008B1FDF" w:rsidP="008B1FDF">
      <w:p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Ministria e Bujqësisë dhe Zhvillimit Rural synon të zbatojë programin e qeverisë në fushën e bujqësisë dhe zhvillimit rural, duke e ndërthurur atë me sektorë të tjerë si turizmi, infrastruktura dhe shërbimet, për nxitjen e prodhimit bujqësor dhe blegtoral, nëpërmjet:</w:t>
      </w:r>
    </w:p>
    <w:p w:rsidR="008B1FDF" w:rsidRPr="009C4DBA" w:rsidRDefault="008B1FDF" w:rsidP="008B1FDF">
      <w:pPr>
        <w:numPr>
          <w:ilvl w:val="0"/>
          <w:numId w:val="17"/>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uljes së kostos dhe rritjes së konkurueshmërisë, </w:t>
      </w:r>
    </w:p>
    <w:p w:rsidR="008B1FDF" w:rsidRPr="009C4DBA" w:rsidRDefault="008B1FDF" w:rsidP="008B1FDF">
      <w:pPr>
        <w:numPr>
          <w:ilvl w:val="0"/>
          <w:numId w:val="17"/>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menaxhimit të qëndrueshëm të tokës dhe të ujitjes, </w:t>
      </w:r>
    </w:p>
    <w:p w:rsidR="008B1FDF" w:rsidRPr="009C4DBA" w:rsidRDefault="008B1FDF" w:rsidP="008B1FDF">
      <w:pPr>
        <w:numPr>
          <w:ilvl w:val="0"/>
          <w:numId w:val="17"/>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kullimit e mbrojtjes nga përmbytja, </w:t>
      </w:r>
    </w:p>
    <w:p w:rsidR="008B1FDF" w:rsidRPr="009C4DBA" w:rsidRDefault="008B1FDF" w:rsidP="008B1FDF">
      <w:pPr>
        <w:numPr>
          <w:ilvl w:val="0"/>
          <w:numId w:val="17"/>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përmirësimin e sigurisë ushqimore në funksion të mbrojtjes së konsumatorit.</w:t>
      </w:r>
    </w:p>
    <w:p w:rsidR="008B1FDF" w:rsidRPr="009C4DBA" w:rsidRDefault="008B1FDF" w:rsidP="008B1FDF">
      <w:pPr>
        <w:spacing w:after="0" w:line="240" w:lineRule="auto"/>
        <w:jc w:val="both"/>
        <w:rPr>
          <w:rFonts w:ascii="Cambria" w:eastAsia="Times New Roman" w:hAnsi="Cambria" w:cs="Times New Roman"/>
          <w:lang w:val="sq-AL"/>
        </w:rPr>
      </w:pPr>
      <w:r>
        <w:rPr>
          <w:rFonts w:ascii="Cambria" w:eastAsia="Times New Roman" w:hAnsi="Cambria" w:cs="Times New Roman"/>
          <w:lang w:val="sq-AL"/>
        </w:rPr>
        <w:t>Për periudhën 2020-2022</w:t>
      </w:r>
      <w:r w:rsidRPr="009C4DBA">
        <w:rPr>
          <w:rFonts w:ascii="Cambria" w:eastAsia="Times New Roman" w:hAnsi="Cambria" w:cs="Times New Roman"/>
          <w:lang w:val="sq-AL"/>
        </w:rPr>
        <w:t xml:space="preserve">, Ministria e Bujqësisë dhe Zhvillimit Rural do të përmbushë objektivat e synuar përmes fondeve buxhetore të alokuara sipas tabelës së mëposhtme. </w:t>
      </w:r>
    </w:p>
    <w:p w:rsidR="008B1FDF" w:rsidRPr="009C4DBA" w:rsidRDefault="008B1FDF" w:rsidP="008B1FDF">
      <w:pPr>
        <w:contextualSpacing/>
        <w:rPr>
          <w:rFonts w:ascii="Cambria" w:eastAsia="Times New Roman" w:hAnsi="Cambria" w:cs="Times New Roman"/>
          <w:sz w:val="20"/>
          <w:lang w:val="sq-AL"/>
        </w:rPr>
      </w:pPr>
    </w:p>
    <w:p w:rsidR="008B1FDF" w:rsidRPr="009C4DBA" w:rsidRDefault="008B1FDF" w:rsidP="008B1FDF">
      <w:pPr>
        <w:contextualSpacing/>
        <w:rPr>
          <w:rFonts w:ascii="Cambria" w:eastAsia="Times New Roman" w:hAnsi="Cambria" w:cs="Arial"/>
          <w:sz w:val="20"/>
          <w:lang w:val="sq-AL"/>
        </w:rPr>
      </w:pPr>
      <w:r w:rsidRPr="009C4DBA">
        <w:rPr>
          <w:rFonts w:ascii="Cambria" w:eastAsia="Times New Roman" w:hAnsi="Cambria" w:cs="Times New Roman"/>
          <w:b/>
          <w:sz w:val="20"/>
          <w:lang w:val="sq-AL"/>
        </w:rPr>
        <w:t xml:space="preserve">                   Tabela 7: </w:t>
      </w:r>
      <w:r w:rsidRPr="009C4DBA">
        <w:rPr>
          <w:rFonts w:ascii="Cambria" w:eastAsia="Times New Roman" w:hAnsi="Cambria" w:cs="Arial"/>
          <w:sz w:val="20"/>
          <w:lang w:val="sq-AL"/>
        </w:rPr>
        <w:t>Shpenzimet për Ministrinë e Bujqësisë dh</w:t>
      </w:r>
      <w:r>
        <w:rPr>
          <w:rFonts w:ascii="Cambria" w:eastAsia="Times New Roman" w:hAnsi="Cambria" w:cs="Arial"/>
          <w:sz w:val="20"/>
          <w:lang w:val="sq-AL"/>
        </w:rPr>
        <w:t>e Zhvillimit Rural në vitet 2020-2022</w:t>
      </w:r>
    </w:p>
    <w:p w:rsidR="008B1FDF" w:rsidRPr="009C4DBA" w:rsidRDefault="008B1FDF" w:rsidP="008B1FDF">
      <w:pPr>
        <w:spacing w:before="120" w:after="120" w:line="240" w:lineRule="auto"/>
        <w:jc w:val="center"/>
        <w:rPr>
          <w:rFonts w:ascii="Cambria" w:eastAsia="Times New Roman" w:hAnsi="Cambria" w:cs="Times New Roman"/>
          <w:noProof/>
          <w:lang w:val="sq-AL"/>
        </w:rPr>
      </w:pPr>
      <w:r w:rsidRPr="009C4DBA">
        <w:rPr>
          <w:rFonts w:ascii="Cambria" w:eastAsia="Times New Roman" w:hAnsi="Cambria" w:cs="Times New Roman"/>
          <w:noProof/>
          <w:lang w:val="sq-AL"/>
        </w:rPr>
        <w:br w:type="textWrapping" w:clear="all"/>
      </w:r>
      <w:r w:rsidRPr="00211FE6">
        <w:rPr>
          <w:noProof/>
          <w:lang w:val="en-GB" w:eastAsia="en-GB"/>
        </w:rPr>
        <w:drawing>
          <wp:inline distT="0" distB="0" distL="0" distR="0" wp14:anchorId="6004A413" wp14:editId="2D1767B6">
            <wp:extent cx="5716905" cy="17252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6905" cy="1725295"/>
                    </a:xfrm>
                    <a:prstGeom prst="rect">
                      <a:avLst/>
                    </a:prstGeom>
                    <a:noFill/>
                    <a:ln>
                      <a:noFill/>
                    </a:ln>
                  </pic:spPr>
                </pic:pic>
              </a:graphicData>
            </a:graphic>
          </wp:inline>
        </w:drawing>
      </w:r>
    </w:p>
    <w:p w:rsidR="008B1FDF" w:rsidRPr="0076409D" w:rsidRDefault="008B1FDF" w:rsidP="008B1FDF">
      <w:pPr>
        <w:pStyle w:val="Heading3"/>
        <w:rPr>
          <w:rFonts w:ascii="Cambria" w:hAnsi="Cambria"/>
          <w:b/>
          <w:color w:val="auto"/>
          <w:szCs w:val="20"/>
          <w:lang w:val="sq-AL"/>
        </w:rPr>
      </w:pPr>
      <w:r w:rsidRPr="0076409D">
        <w:rPr>
          <w:rFonts w:ascii="Cambria" w:hAnsi="Cambria"/>
          <w:b/>
          <w:color w:val="auto"/>
          <w:szCs w:val="20"/>
          <w:lang w:val="sq-AL"/>
        </w:rPr>
        <w:t>Prioritetet e sektorit për periudhën 2020-2022</w:t>
      </w:r>
    </w:p>
    <w:p w:rsidR="008B1FDF" w:rsidRPr="009C4DBA" w:rsidRDefault="008B1FDF" w:rsidP="008B1FDF">
      <w:pPr>
        <w:spacing w:before="120" w:after="120" w:line="240" w:lineRule="auto"/>
        <w:ind w:left="446"/>
        <w:contextualSpacing/>
        <w:jc w:val="both"/>
        <w:rPr>
          <w:rFonts w:ascii="Cambria" w:eastAsia="Times New Roman" w:hAnsi="Cambria" w:cs="Arial"/>
          <w:b/>
          <w:lang w:val="sq-AL"/>
        </w:rPr>
      </w:pPr>
    </w:p>
    <w:p w:rsidR="008B1FDF" w:rsidRPr="009C4DBA" w:rsidRDefault="008B1FDF" w:rsidP="008B1FDF">
      <w:pPr>
        <w:spacing w:before="120" w:after="120" w:line="240" w:lineRule="auto"/>
        <w:ind w:left="446"/>
        <w:contextualSpacing/>
        <w:jc w:val="both"/>
        <w:rPr>
          <w:rFonts w:ascii="Cambria" w:eastAsia="Times New Roman" w:hAnsi="Cambria" w:cs="Arial"/>
          <w:lang w:val="sq-AL"/>
        </w:rPr>
      </w:pPr>
      <w:r w:rsidRPr="009C4DBA">
        <w:rPr>
          <w:rFonts w:ascii="Cambria" w:eastAsia="Times New Roman" w:hAnsi="Cambria" w:cs="Arial"/>
          <w:lang w:val="sq-AL"/>
        </w:rPr>
        <w:t>Prioritetet e sektorit të bujqësi</w:t>
      </w:r>
      <w:r>
        <w:rPr>
          <w:rFonts w:ascii="Cambria" w:eastAsia="Times New Roman" w:hAnsi="Cambria" w:cs="Arial"/>
          <w:lang w:val="sq-AL"/>
        </w:rPr>
        <w:t>së, për periudhën afatmesme 2020-2022</w:t>
      </w:r>
      <w:r w:rsidRPr="009C4DBA">
        <w:rPr>
          <w:rFonts w:ascii="Cambria" w:eastAsia="Times New Roman" w:hAnsi="Cambria" w:cs="Arial"/>
          <w:lang w:val="sq-AL"/>
        </w:rPr>
        <w:t xml:space="preserve">, janë si më poshtë: </w:t>
      </w:r>
    </w:p>
    <w:p w:rsidR="008B1FDF" w:rsidRPr="009C4DBA" w:rsidRDefault="008B1FDF" w:rsidP="008B1FDF">
      <w:pPr>
        <w:numPr>
          <w:ilvl w:val="0"/>
          <w:numId w:val="17"/>
        </w:numPr>
        <w:spacing w:before="100" w:beforeAutospacing="1" w:after="100" w:afterAutospacing="1"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Garantimi i sigurisë ushqimore, shëndetit dhe mirëqenies së kafshëve, dhe shëndetit të bimëve përmes adoptimit të standardeve përkatëse të BE-së në kuadrin normativ vendas;</w:t>
      </w:r>
    </w:p>
    <w:p w:rsidR="008B1FDF" w:rsidRPr="009C4DBA" w:rsidRDefault="008B1FDF" w:rsidP="008B1FDF">
      <w:pPr>
        <w:numPr>
          <w:ilvl w:val="0"/>
          <w:numId w:val="17"/>
        </w:numPr>
        <w:spacing w:before="100" w:beforeAutospacing="1" w:after="100" w:afterAutospacing="1"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Konsolidimi i pronësisë mbi tokën bujqësore, administrimi i qëndrueshëm, ruajtja e saj nga dëmtimi, gërryerja, s</w:t>
      </w:r>
      <w:r w:rsidR="0076409D">
        <w:rPr>
          <w:rFonts w:ascii="Cambria" w:eastAsia="Times New Roman" w:hAnsi="Cambria" w:cs="Times New Roman"/>
          <w:noProof/>
          <w:lang w:val="sq-AL"/>
        </w:rPr>
        <w:t>hpërdorimi dhe faktorë të tjerë</w:t>
      </w:r>
      <w:r w:rsidRPr="009C4DBA">
        <w:rPr>
          <w:rFonts w:ascii="Cambria" w:eastAsia="Times New Roman" w:hAnsi="Cambria" w:cs="Times New Roman"/>
          <w:noProof/>
          <w:lang w:val="sq-AL"/>
        </w:rPr>
        <w:t>;</w:t>
      </w:r>
    </w:p>
    <w:p w:rsidR="008B1FDF" w:rsidRPr="009C4DBA" w:rsidRDefault="008B1FDF" w:rsidP="008B1FDF">
      <w:pPr>
        <w:numPr>
          <w:ilvl w:val="0"/>
          <w:numId w:val="17"/>
        </w:numPr>
        <w:spacing w:before="100" w:beforeAutospacing="1" w:after="100" w:afterAutospacing="1"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Nxitja e tregut të tokës dhe konsolidimi i fermës bujqësore duke rritur sipërfaqen dhe nxitur kooperimin;</w:t>
      </w:r>
    </w:p>
    <w:p w:rsidR="008B1FDF" w:rsidRPr="009C4DBA" w:rsidRDefault="008B1FDF" w:rsidP="008B1FDF">
      <w:pPr>
        <w:numPr>
          <w:ilvl w:val="0"/>
          <w:numId w:val="17"/>
        </w:numPr>
        <w:spacing w:before="100" w:beforeAutospacing="1" w:after="100" w:afterAutospacing="1"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Mbështjetje për agroindustrinë;</w:t>
      </w:r>
    </w:p>
    <w:p w:rsidR="008B1FDF" w:rsidRPr="009C4DBA" w:rsidRDefault="008B1FDF" w:rsidP="008B1FDF">
      <w:pPr>
        <w:numPr>
          <w:ilvl w:val="0"/>
          <w:numId w:val="17"/>
        </w:numPr>
        <w:spacing w:before="100" w:beforeAutospacing="1" w:after="100" w:afterAutospacing="1"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Mbështjetje për tregjet dhe marketingun e produkteve bujqësore dhe blegtorale;</w:t>
      </w:r>
    </w:p>
    <w:p w:rsidR="008B1FDF" w:rsidRPr="009C4DBA" w:rsidRDefault="008B1FDF" w:rsidP="008B1FDF">
      <w:pPr>
        <w:numPr>
          <w:ilvl w:val="0"/>
          <w:numId w:val="17"/>
        </w:numPr>
        <w:spacing w:before="100" w:beforeAutospacing="1" w:after="100" w:afterAutospacing="1"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Administrimi i sistemit të ujitjes nëpërmjet kujdesit, sigurimit dhe administrimit të qëndrueshëm të sistemit të ujitjes dhe shmangia e përmbytjeve;</w:t>
      </w:r>
    </w:p>
    <w:p w:rsidR="008B1FDF" w:rsidRPr="009C4DBA" w:rsidRDefault="008B1FDF" w:rsidP="008B1FDF">
      <w:pPr>
        <w:numPr>
          <w:ilvl w:val="0"/>
          <w:numId w:val="17"/>
        </w:numPr>
        <w:spacing w:before="100" w:beforeAutospacing="1" w:after="100" w:afterAutospacing="1"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Mbështetje financiare dhe asistencë teknike për fermerët.</w:t>
      </w:r>
    </w:p>
    <w:p w:rsidR="008B1FDF" w:rsidRPr="0076409D" w:rsidRDefault="008B1FDF" w:rsidP="0076409D">
      <w:pPr>
        <w:numPr>
          <w:ilvl w:val="0"/>
          <w:numId w:val="17"/>
        </w:numPr>
        <w:spacing w:before="100" w:beforeAutospacing="1" w:after="100" w:afterAutospacing="1"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Zhvillimin i qëndrueshëm i sektorit të peshkimit dhe akuakulturës, shfrytëzimin e përgjegjshëm të burimeve peshkore  dhe kapaciteteve të flotës së peshkimit si dhe ngritjen e një sistemi kontrolli dhe inspektimi për peshkimin në det, në tokë dhe në të gjithë zinxhirin e tregut.</w:t>
      </w:r>
    </w:p>
    <w:p w:rsidR="008B1FDF" w:rsidRPr="009C4DBA" w:rsidRDefault="008B1FDF" w:rsidP="008B1FDF">
      <w:pPr>
        <w:spacing w:before="120" w:after="120" w:line="240" w:lineRule="auto"/>
        <w:jc w:val="both"/>
        <w:textAlignment w:val="bottom"/>
        <w:rPr>
          <w:rFonts w:ascii="Cambria" w:eastAsia="Times New Roman" w:hAnsi="Cambria" w:cs="Times New Roman"/>
          <w:noProof/>
          <w:lang w:val="sq-AL"/>
        </w:rPr>
      </w:pPr>
      <w:r w:rsidRPr="009C4DBA">
        <w:rPr>
          <w:rFonts w:ascii="Cambria" w:eastAsia="Times New Roman" w:hAnsi="Cambria" w:cs="Times New Roman"/>
          <w:noProof/>
          <w:lang w:val="sq-AL"/>
        </w:rPr>
        <w:t>Në tabelën e mëposhtëm paraqitet shpenzimet e Ministrisë së Bujqësisë dhe Zhvillimit Rural sipas programeve buxhetore dhe sipas artikujve ekonomikë</w:t>
      </w:r>
    </w:p>
    <w:p w:rsidR="008B1FDF" w:rsidRPr="009C4DBA" w:rsidRDefault="008B1FDF" w:rsidP="008B1FDF">
      <w:pPr>
        <w:spacing w:before="120" w:after="120" w:line="240" w:lineRule="auto"/>
        <w:contextualSpacing/>
        <w:jc w:val="both"/>
        <w:textAlignment w:val="bottom"/>
        <w:rPr>
          <w:rFonts w:ascii="Cambria" w:eastAsia="Times New Roman" w:hAnsi="Cambria" w:cs="Times New Roman"/>
          <w:b/>
          <w:noProof/>
          <w:sz w:val="20"/>
          <w:lang w:val="sq-AL"/>
        </w:rPr>
      </w:pPr>
    </w:p>
    <w:p w:rsidR="008B1FDF" w:rsidRPr="00211FE6" w:rsidRDefault="008B1FDF" w:rsidP="008B1FDF">
      <w:pPr>
        <w:spacing w:before="120" w:after="120" w:line="240" w:lineRule="auto"/>
        <w:contextualSpacing/>
        <w:jc w:val="both"/>
        <w:textAlignment w:val="bottom"/>
        <w:rPr>
          <w:rFonts w:ascii="Cambria" w:eastAsia="Times New Roman" w:hAnsi="Cambria" w:cs="Times New Roman"/>
          <w:noProof/>
          <w:sz w:val="20"/>
          <w:lang w:val="sq-AL"/>
        </w:rPr>
      </w:pPr>
      <w:r w:rsidRPr="009C4DBA">
        <w:rPr>
          <w:rFonts w:ascii="Cambria" w:eastAsia="Times New Roman" w:hAnsi="Cambria" w:cs="Times New Roman"/>
          <w:b/>
          <w:noProof/>
          <w:sz w:val="20"/>
          <w:lang w:val="sq-AL"/>
        </w:rPr>
        <w:lastRenderedPageBreak/>
        <w:t xml:space="preserve">Tabela 8: </w:t>
      </w:r>
      <w:r w:rsidRPr="009C4DBA">
        <w:rPr>
          <w:rFonts w:ascii="Cambria" w:eastAsia="Times New Roman" w:hAnsi="Cambria" w:cs="Times New Roman"/>
          <w:noProof/>
          <w:sz w:val="20"/>
          <w:lang w:val="sq-AL"/>
        </w:rPr>
        <w:t>Shpenzimet e Ministrisë së Bujqësisë dhe Zhvillimit Rural sipas programeve buxhetore dhe sipas artikujve ekonomikë</w:t>
      </w:r>
    </w:p>
    <w:p w:rsidR="008B1FDF" w:rsidRPr="009C4DBA" w:rsidRDefault="008B1FDF" w:rsidP="008B1FDF">
      <w:pPr>
        <w:spacing w:before="120" w:after="120" w:line="240" w:lineRule="auto"/>
        <w:jc w:val="center"/>
        <w:textAlignment w:val="bottom"/>
        <w:rPr>
          <w:rFonts w:ascii="Cambria" w:eastAsia="Times New Roman" w:hAnsi="Cambria" w:cs="Times New Roman"/>
          <w:noProof/>
          <w:lang w:val="sq-AL"/>
        </w:rPr>
      </w:pPr>
      <w:r w:rsidRPr="00211FE6">
        <w:rPr>
          <w:noProof/>
          <w:lang w:val="en-GB" w:eastAsia="en-GB"/>
        </w:rPr>
        <w:drawing>
          <wp:inline distT="0" distB="0" distL="0" distR="0" wp14:anchorId="75F27FCA" wp14:editId="731D5DF1">
            <wp:extent cx="5716905" cy="5048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6905" cy="5048885"/>
                    </a:xfrm>
                    <a:prstGeom prst="rect">
                      <a:avLst/>
                    </a:prstGeom>
                    <a:noFill/>
                    <a:ln>
                      <a:noFill/>
                    </a:ln>
                  </pic:spPr>
                </pic:pic>
              </a:graphicData>
            </a:graphic>
          </wp:inline>
        </w:drawing>
      </w:r>
    </w:p>
    <w:p w:rsidR="008B1FDF" w:rsidRPr="009C4DBA" w:rsidRDefault="008B1FDF" w:rsidP="008B1FDF">
      <w:pPr>
        <w:spacing w:before="120" w:after="120" w:line="240" w:lineRule="auto"/>
        <w:jc w:val="both"/>
        <w:textAlignment w:val="bottom"/>
        <w:rPr>
          <w:rFonts w:ascii="Cambria" w:eastAsia="Times New Roman" w:hAnsi="Cambria" w:cs="Times New Roman"/>
          <w:noProof/>
          <w:lang w:val="sq-AL"/>
        </w:rPr>
      </w:pPr>
    </w:p>
    <w:p w:rsidR="008B1FDF" w:rsidRPr="009C4DBA" w:rsidRDefault="008B1FDF" w:rsidP="008B1FDF">
      <w:pPr>
        <w:pStyle w:val="Heading3"/>
        <w:rPr>
          <w:rFonts w:ascii="Times New Roman" w:eastAsia="Calibri" w:hAnsi="Times New Roman" w:cs="Times New Roman"/>
          <w:b/>
          <w:color w:val="auto"/>
          <w:lang w:val="sq-AL"/>
        </w:rPr>
      </w:pPr>
      <w:r w:rsidRPr="009C4DBA">
        <w:rPr>
          <w:rFonts w:ascii="Times New Roman" w:eastAsia="Calibri" w:hAnsi="Times New Roman" w:cs="Times New Roman"/>
          <w:b/>
          <w:color w:val="auto"/>
          <w:lang w:val="sq-AL"/>
        </w:rPr>
        <w:t>Përmbledhje e Treguesve Kyç të Performancës</w:t>
      </w:r>
    </w:p>
    <w:p w:rsidR="008B1FDF" w:rsidRPr="009C4DBA" w:rsidRDefault="008B1FDF" w:rsidP="008B1FDF">
      <w:p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Në fushën e “Infrastrukturës së Ujitjes dhe Kullimit”, synohet të realizohet:</w:t>
      </w:r>
    </w:p>
    <w:p w:rsidR="008B1FDF" w:rsidRPr="00087233"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087233">
        <w:rPr>
          <w:rFonts w:ascii="Cambria" w:eastAsia="Times New Roman" w:hAnsi="Cambria" w:cs="Times New Roman"/>
          <w:noProof/>
          <w:lang w:val="sq-AL"/>
        </w:rPr>
        <w:t>Rritja e % s</w:t>
      </w:r>
      <w:r>
        <w:rPr>
          <w:rFonts w:ascii="Cambria" w:eastAsia="Times New Roman" w:hAnsi="Cambria" w:cs="Times New Roman"/>
          <w:noProof/>
          <w:lang w:val="sq-AL"/>
        </w:rPr>
        <w:t>ë</w:t>
      </w:r>
      <w:r w:rsidRPr="00087233">
        <w:rPr>
          <w:rFonts w:ascii="Cambria" w:eastAsia="Times New Roman" w:hAnsi="Cambria" w:cs="Times New Roman"/>
          <w:noProof/>
          <w:lang w:val="sq-AL"/>
        </w:rPr>
        <w:t xml:space="preserve"> fermerëve që përfitojnë nga p</w:t>
      </w:r>
      <w:r>
        <w:rPr>
          <w:rFonts w:ascii="Cambria" w:eastAsia="Times New Roman" w:hAnsi="Cambria" w:cs="Times New Roman"/>
          <w:noProof/>
          <w:lang w:val="sq-AL"/>
        </w:rPr>
        <w:t>ë</w:t>
      </w:r>
      <w:r w:rsidRPr="00087233">
        <w:rPr>
          <w:rFonts w:ascii="Cambria" w:eastAsia="Times New Roman" w:hAnsi="Cambria" w:cs="Times New Roman"/>
          <w:noProof/>
          <w:lang w:val="sq-AL"/>
        </w:rPr>
        <w:t>rmir</w:t>
      </w:r>
      <w:r w:rsidR="00FA0246">
        <w:rPr>
          <w:rFonts w:ascii="Cambria" w:eastAsia="Times New Roman" w:hAnsi="Cambria" w:cs="Times New Roman"/>
          <w:noProof/>
          <w:lang w:val="sq-AL"/>
        </w:rPr>
        <w:t>ë</w:t>
      </w:r>
      <w:r w:rsidRPr="00087233">
        <w:rPr>
          <w:rFonts w:ascii="Cambria" w:eastAsia="Times New Roman" w:hAnsi="Cambria" w:cs="Times New Roman"/>
          <w:noProof/>
          <w:lang w:val="sq-AL"/>
        </w:rPr>
        <w:t>simi i infrastruktur</w:t>
      </w:r>
      <w:r w:rsidR="00FA0246">
        <w:rPr>
          <w:rFonts w:ascii="Cambria" w:eastAsia="Times New Roman" w:hAnsi="Cambria" w:cs="Times New Roman"/>
          <w:noProof/>
          <w:lang w:val="sq-AL"/>
        </w:rPr>
        <w:t>ë</w:t>
      </w:r>
      <w:r w:rsidRPr="00087233">
        <w:rPr>
          <w:rFonts w:ascii="Cambria" w:eastAsia="Times New Roman" w:hAnsi="Cambria" w:cs="Times New Roman"/>
          <w:noProof/>
          <w:lang w:val="sq-AL"/>
        </w:rPr>
        <w:t>s ujitëse dhe kulluese ndaj totalit të fermërëve n</w:t>
      </w:r>
      <w:r w:rsidR="00FA0246">
        <w:rPr>
          <w:rFonts w:ascii="Cambria" w:eastAsia="Times New Roman" w:hAnsi="Cambria" w:cs="Times New Roman"/>
          <w:noProof/>
          <w:lang w:val="sq-AL"/>
        </w:rPr>
        <w:t>ë</w:t>
      </w:r>
      <w:r w:rsidRPr="00087233">
        <w:rPr>
          <w:rFonts w:ascii="Cambria" w:eastAsia="Times New Roman" w:hAnsi="Cambria" w:cs="Times New Roman"/>
          <w:noProof/>
          <w:lang w:val="sq-AL"/>
        </w:rPr>
        <w:t xml:space="preserve"> sip</w:t>
      </w:r>
      <w:r w:rsidR="00FA0246">
        <w:rPr>
          <w:rFonts w:ascii="Cambria" w:eastAsia="Times New Roman" w:hAnsi="Cambria" w:cs="Times New Roman"/>
          <w:noProof/>
          <w:lang w:val="sq-AL"/>
        </w:rPr>
        <w:t>ë</w:t>
      </w:r>
      <w:r w:rsidRPr="00087233">
        <w:rPr>
          <w:rFonts w:ascii="Cambria" w:eastAsia="Times New Roman" w:hAnsi="Cambria" w:cs="Times New Roman"/>
          <w:noProof/>
          <w:lang w:val="sq-AL"/>
        </w:rPr>
        <w:t>rfaqen potencialisht t</w:t>
      </w:r>
      <w:r w:rsidR="00FA0246">
        <w:rPr>
          <w:rFonts w:ascii="Cambria" w:eastAsia="Times New Roman" w:hAnsi="Cambria" w:cs="Times New Roman"/>
          <w:noProof/>
          <w:lang w:val="sq-AL"/>
        </w:rPr>
        <w:t>ë</w:t>
      </w:r>
      <w:r w:rsidRPr="00087233">
        <w:rPr>
          <w:rFonts w:ascii="Cambria" w:eastAsia="Times New Roman" w:hAnsi="Cambria" w:cs="Times New Roman"/>
          <w:noProof/>
          <w:lang w:val="sq-AL"/>
        </w:rPr>
        <w:t xml:space="preserve"> ujitshme nga 70.3%</w:t>
      </w:r>
      <w:r w:rsidR="0076409D">
        <w:rPr>
          <w:rFonts w:ascii="Cambria" w:eastAsia="Times New Roman" w:hAnsi="Cambria" w:cs="Times New Roman"/>
          <w:noProof/>
          <w:lang w:val="sq-AL"/>
        </w:rPr>
        <w:t xml:space="preserve"> </w:t>
      </w:r>
      <w:r w:rsidRPr="00087233">
        <w:rPr>
          <w:rFonts w:ascii="Cambria" w:eastAsia="Times New Roman" w:hAnsi="Cambria" w:cs="Times New Roman"/>
          <w:noProof/>
          <w:lang w:val="sq-AL"/>
        </w:rPr>
        <w:t>në vitin 2019, në 78.9% në vitin 2022;</w:t>
      </w:r>
    </w:p>
    <w:p w:rsidR="008B1FDF" w:rsidRPr="00087233"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087233">
        <w:rPr>
          <w:rFonts w:ascii="Cambria" w:eastAsia="Times New Roman" w:hAnsi="Cambria" w:cs="Times New Roman"/>
          <w:noProof/>
          <w:lang w:val="sq-AL"/>
        </w:rPr>
        <w:t>Përqindja e sipërfaqes ujitëse ku fermerët kanë akses për ujë për ujitje, kundrejt sipërfaqes potencialisht të ujitshme (360 000 ha) nga 66.6% në vitin 2019, në 74.9% në vitin 2022;</w:t>
      </w:r>
    </w:p>
    <w:p w:rsidR="008B1FDF" w:rsidRPr="00087233"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087233">
        <w:rPr>
          <w:rFonts w:ascii="Cambria" w:eastAsia="Times New Roman" w:hAnsi="Cambria" w:cs="Times New Roman"/>
          <w:noProof/>
          <w:lang w:val="sq-AL"/>
        </w:rPr>
        <w:t>Përqindja e hidrovoreve të rehabilituara/ndërtuara/rikonstruktuara, kundrejt totalit të nevojshëm (14 hidrovorë) nga 21.4% në vitin 2019, në 36% në vitin 2022;</w:t>
      </w:r>
    </w:p>
    <w:p w:rsidR="008B1FDF" w:rsidRPr="00087233"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087233">
        <w:rPr>
          <w:rFonts w:ascii="Cambria" w:eastAsia="Times New Roman" w:hAnsi="Cambria" w:cs="Times New Roman"/>
          <w:noProof/>
          <w:lang w:val="sq-AL"/>
        </w:rPr>
        <w:t>Mirëmbajtje vjetore të rrjetit kullues për 45 000 hektarë tokë si proces ciklik vjetor;</w:t>
      </w:r>
    </w:p>
    <w:p w:rsidR="008B1FDF" w:rsidRPr="00087233"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087233">
        <w:rPr>
          <w:rFonts w:ascii="Cambria" w:eastAsia="Times New Roman" w:hAnsi="Cambria" w:cs="Times New Roman"/>
          <w:noProof/>
          <w:lang w:val="sq-AL"/>
        </w:rPr>
        <w:t>Vepra të mbrojtjes nga përmbytja të rehabilituara/ndërtuara (argjinatura gjatësore dhe penele t</w:t>
      </w:r>
      <w:r w:rsidR="00FA0246">
        <w:rPr>
          <w:rFonts w:ascii="Cambria" w:eastAsia="Times New Roman" w:hAnsi="Cambria" w:cs="Times New Roman"/>
          <w:noProof/>
          <w:lang w:val="sq-AL"/>
        </w:rPr>
        <w:t>ë</w:t>
      </w:r>
      <w:r w:rsidRPr="00087233">
        <w:rPr>
          <w:rFonts w:ascii="Cambria" w:eastAsia="Times New Roman" w:hAnsi="Cambria" w:cs="Times New Roman"/>
          <w:noProof/>
          <w:lang w:val="sq-AL"/>
        </w:rPr>
        <w:t>rthorë), kundrejt totalit të nevojshëm (300 km) nga 12% në vitin 2019, në 28% në vitin 2022.</w:t>
      </w:r>
    </w:p>
    <w:p w:rsidR="008B1FDF" w:rsidRPr="009C4DBA" w:rsidRDefault="008B1FDF" w:rsidP="008B1FDF">
      <w:pPr>
        <w:spacing w:before="120" w:after="120" w:line="240" w:lineRule="auto"/>
        <w:jc w:val="both"/>
        <w:rPr>
          <w:rFonts w:ascii="Cambria" w:eastAsia="Times New Roman" w:hAnsi="Cambria" w:cs="Times New Roman"/>
          <w:noProof/>
          <w:lang w:val="sq-AL"/>
        </w:rPr>
      </w:pPr>
    </w:p>
    <w:p w:rsidR="008B1FDF" w:rsidRPr="009C4DBA" w:rsidRDefault="008B1FDF" w:rsidP="008B1FDF">
      <w:p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Programi “Zhvillimi Rural duke mbështetur Prodhimin Bujqësor, Blegtoral, Agroindustrial dhe Marketingun” synon:</w:t>
      </w:r>
    </w:p>
    <w:p w:rsidR="008B1FDF" w:rsidRPr="009C4DBA"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Rritja e produktivitetit dhe konkurrueshmërisë së produkteve bujqësore dhe blegtorale  përmirësimi i standardeve dhe garantimi i sigurisë ushqimore, si dhe zhvillimi i zonave rurale për një zhvillim bujqësor dhe rural të qëndrueshëm përmes nxitjes së shumëllojshmërisë së veprimtarive ekonomike në zonat rurale, duke rritur:</w:t>
      </w:r>
    </w:p>
    <w:p w:rsidR="008B1FDF" w:rsidRPr="009C4DBA" w:rsidRDefault="008B1FDF" w:rsidP="008B1FDF">
      <w:pPr>
        <w:numPr>
          <w:ilvl w:val="1"/>
          <w:numId w:val="16"/>
        </w:num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Numrin e të punësuarëve në bujqësi dhe agropërpunim</w:t>
      </w:r>
    </w:p>
    <w:p w:rsidR="008B1FDF" w:rsidRPr="009C4DBA" w:rsidRDefault="008B1FDF" w:rsidP="008B1FDF">
      <w:pPr>
        <w:numPr>
          <w:ilvl w:val="1"/>
          <w:numId w:val="16"/>
        </w:num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Sipërfaqet e mbjella me fruta dhe perime.  </w:t>
      </w:r>
    </w:p>
    <w:p w:rsidR="008B1FDF" w:rsidRPr="009C4DBA" w:rsidRDefault="008B1FDF" w:rsidP="008B1FDF">
      <w:pPr>
        <w:numPr>
          <w:ilvl w:val="1"/>
          <w:numId w:val="16"/>
        </w:num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Aktivitetet promovuese të produkteve shqiptare në bujqësi, blegtori dhe agropërpunim të kryera</w:t>
      </w:r>
    </w:p>
    <w:p w:rsidR="008B1FDF" w:rsidRPr="009C4DBA"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Arritja e standarteve të BE-së, në fushën e bujqësisë dhe zhvillimit rural, nëpërmjet: </w:t>
      </w:r>
    </w:p>
    <w:p w:rsidR="008B1FDF" w:rsidRPr="009C4DBA" w:rsidRDefault="008B1FDF" w:rsidP="008B1FDF">
      <w:pPr>
        <w:numPr>
          <w:ilvl w:val="1"/>
          <w:numId w:val="16"/>
        </w:numPr>
        <w:spacing w:before="120" w:after="120" w:line="240" w:lineRule="auto"/>
        <w:contextualSpacing/>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Shtimit të numrit të përfituesëve nga skema e masave mbështetëse në bujqësi nga </w:t>
      </w:r>
      <w:r>
        <w:rPr>
          <w:rFonts w:ascii="Cambria" w:eastAsia="Times New Roman" w:hAnsi="Cambria" w:cs="Times New Roman"/>
          <w:noProof/>
          <w:lang w:val="sq-AL"/>
        </w:rPr>
        <w:t>1800 përfitues në vitin 2019 në 2450 përfitues në vitin 2022</w:t>
      </w:r>
      <w:r w:rsidRPr="009C4DBA">
        <w:rPr>
          <w:rFonts w:ascii="Cambria" w:eastAsia="Times New Roman" w:hAnsi="Cambria" w:cs="Times New Roman"/>
          <w:noProof/>
          <w:lang w:val="sq-AL"/>
        </w:rPr>
        <w:t>.</w:t>
      </w:r>
    </w:p>
    <w:p w:rsidR="008B1FDF" w:rsidRPr="009C4DBA" w:rsidRDefault="008B1FDF" w:rsidP="008B1FDF">
      <w:pPr>
        <w:spacing w:before="120" w:after="120" w:line="240" w:lineRule="auto"/>
        <w:ind w:left="1440"/>
        <w:contextualSpacing/>
        <w:jc w:val="both"/>
        <w:rPr>
          <w:rFonts w:ascii="Cambria" w:eastAsia="Times New Roman" w:hAnsi="Cambria" w:cs="Times New Roman"/>
          <w:noProof/>
          <w:lang w:val="sq-AL"/>
        </w:rPr>
      </w:pPr>
    </w:p>
    <w:p w:rsidR="008B1FDF" w:rsidRPr="009C4DBA" w:rsidRDefault="008B1FDF" w:rsidP="008B1FDF">
      <w:pPr>
        <w:numPr>
          <w:ilvl w:val="1"/>
          <w:numId w:val="16"/>
        </w:numPr>
        <w:spacing w:before="120" w:after="120" w:line="240" w:lineRule="auto"/>
        <w:contextualSpacing/>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Certifikimit dhe testimit të farave dhe fidanëve që hidhen në treg në mënyrë që të sigurohen inpute cilësore për bujqësinë. </w:t>
      </w:r>
    </w:p>
    <w:p w:rsidR="008B1FDF" w:rsidRPr="009C4DBA" w:rsidRDefault="008B1FDF" w:rsidP="008B1FDF">
      <w:pPr>
        <w:spacing w:before="120" w:after="120" w:line="240" w:lineRule="auto"/>
        <w:jc w:val="both"/>
        <w:rPr>
          <w:rFonts w:ascii="Cambria" w:eastAsia="Times New Roman" w:hAnsi="Cambria" w:cs="Times New Roman"/>
          <w:noProof/>
          <w:lang w:val="sq-AL"/>
        </w:rPr>
      </w:pPr>
    </w:p>
    <w:p w:rsidR="008B1FDF" w:rsidRPr="009C4DBA" w:rsidRDefault="008B1FDF" w:rsidP="008B1FDF">
      <w:p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Nëpërmjet programit “Siguria Ushqimore dhe Mbrojtja e Konsumatorit” synohet fuqizimi i sistemit të kontrollit dhe inspektimit, duke përfshirë të gjithë zinxhirin ushqimor nga ferma në tavolinë nëpërmjet:</w:t>
      </w:r>
    </w:p>
    <w:p w:rsidR="008B1FDF" w:rsidRPr="009C4DBA" w:rsidRDefault="008B1FDF" w:rsidP="008B1FDF">
      <w:pPr>
        <w:numPr>
          <w:ilvl w:val="1"/>
          <w:numId w:val="16"/>
        </w:numPr>
        <w:spacing w:before="120" w:after="120" w:line="240" w:lineRule="auto"/>
        <w:ind w:left="720" w:hanging="270"/>
        <w:jc w:val="both"/>
        <w:rPr>
          <w:rFonts w:ascii="Cambria" w:eastAsia="Times New Roman" w:hAnsi="Cambria" w:cs="Times New Roman"/>
          <w:noProof/>
          <w:lang w:val="sq-AL"/>
        </w:rPr>
      </w:pPr>
      <w:r w:rsidRPr="009C4DBA">
        <w:rPr>
          <w:rFonts w:ascii="Cambria" w:eastAsia="Times New Roman" w:hAnsi="Cambria" w:cs="Times New Roman"/>
          <w:noProof/>
          <w:lang w:val="sq-AL"/>
        </w:rPr>
        <w:t>Kontrolleve dhe monitorimeve të sëmundjeve infektive dhe zoonotike në kafshët e gjalla.</w:t>
      </w:r>
    </w:p>
    <w:p w:rsidR="008B1FDF" w:rsidRPr="009C4DBA" w:rsidRDefault="008B1FDF" w:rsidP="008B1FDF">
      <w:pPr>
        <w:numPr>
          <w:ilvl w:val="1"/>
          <w:numId w:val="16"/>
        </w:numPr>
        <w:spacing w:before="120" w:after="120" w:line="240" w:lineRule="auto"/>
        <w:ind w:left="720" w:hanging="270"/>
        <w:jc w:val="both"/>
        <w:rPr>
          <w:rFonts w:ascii="Cambria" w:eastAsia="Times New Roman" w:hAnsi="Cambria" w:cs="Times New Roman"/>
          <w:noProof/>
          <w:lang w:val="sq-AL"/>
        </w:rPr>
      </w:pPr>
      <w:r w:rsidRPr="009C4DBA">
        <w:rPr>
          <w:rFonts w:ascii="Cambria" w:eastAsia="Times New Roman" w:hAnsi="Cambria" w:cs="Times New Roman"/>
          <w:noProof/>
          <w:lang w:val="sq-AL"/>
        </w:rPr>
        <w:t>Do të vijojë zbatimi i politikave të shëndetit dhe mirëqenies së kafshëve të gjalla, si dhe programet e parandalimit, kontrollit, eliminimit deri në çrrënjosjen e sëmundjeve infektive në kafshë, sipas përcaktimeve të legjislacionit veterinar, nëpërmjet:</w:t>
      </w:r>
    </w:p>
    <w:p w:rsidR="008B1FDF" w:rsidRPr="009C4DBA" w:rsidRDefault="008B1FDF" w:rsidP="008B1FDF">
      <w:pPr>
        <w:numPr>
          <w:ilvl w:val="1"/>
          <w:numId w:val="16"/>
        </w:numPr>
        <w:spacing w:before="120" w:after="120" w:line="240" w:lineRule="auto"/>
        <w:contextualSpacing/>
        <w:jc w:val="both"/>
        <w:rPr>
          <w:rFonts w:ascii="Cambria" w:eastAsia="Times New Roman" w:hAnsi="Cambria" w:cs="Times New Roman"/>
          <w:noProof/>
          <w:lang w:val="sq-AL"/>
        </w:rPr>
      </w:pPr>
      <w:r w:rsidRPr="009C4DBA">
        <w:rPr>
          <w:rFonts w:ascii="Cambria" w:eastAsia="Times New Roman" w:hAnsi="Cambria" w:cs="Times New Roman"/>
          <w:noProof/>
          <w:lang w:val="sq-AL"/>
        </w:rPr>
        <w:t>Rritjes së numrit të gju</w:t>
      </w:r>
      <w:r>
        <w:rPr>
          <w:rFonts w:ascii="Cambria" w:eastAsia="Times New Roman" w:hAnsi="Cambria" w:cs="Times New Roman"/>
          <w:noProof/>
          <w:lang w:val="sq-AL"/>
        </w:rPr>
        <w:t>rmimeve nga 54.500 në vitin 2019 në 56.000 në vitin 2022</w:t>
      </w:r>
      <w:r w:rsidRPr="009C4DBA">
        <w:rPr>
          <w:rFonts w:ascii="Cambria" w:eastAsia="Times New Roman" w:hAnsi="Cambria" w:cs="Times New Roman"/>
          <w:noProof/>
          <w:lang w:val="sq-AL"/>
        </w:rPr>
        <w:t>.</w:t>
      </w:r>
    </w:p>
    <w:p w:rsidR="008B1FDF" w:rsidRPr="009C4DBA" w:rsidRDefault="008B1FDF" w:rsidP="008B1FDF">
      <w:pPr>
        <w:spacing w:before="120" w:after="120" w:line="240" w:lineRule="auto"/>
        <w:ind w:left="1440"/>
        <w:contextualSpacing/>
        <w:jc w:val="both"/>
        <w:rPr>
          <w:rFonts w:ascii="Cambria" w:eastAsia="Times New Roman" w:hAnsi="Cambria" w:cs="Times New Roman"/>
          <w:noProof/>
          <w:lang w:val="sq-AL"/>
        </w:rPr>
      </w:pPr>
    </w:p>
    <w:p w:rsidR="008B1FDF" w:rsidRPr="009C4DBA" w:rsidRDefault="008B1FDF" w:rsidP="008B1FDF">
      <w:pPr>
        <w:numPr>
          <w:ilvl w:val="1"/>
          <w:numId w:val="16"/>
        </w:numPr>
        <w:spacing w:before="120" w:after="120" w:line="240" w:lineRule="auto"/>
        <w:contextualSpacing/>
        <w:jc w:val="both"/>
        <w:rPr>
          <w:rFonts w:ascii="Cambria" w:eastAsia="Times New Roman" w:hAnsi="Cambria" w:cs="Times New Roman"/>
          <w:noProof/>
          <w:lang w:val="sq-AL"/>
        </w:rPr>
      </w:pPr>
      <w:r w:rsidRPr="009C4DBA">
        <w:rPr>
          <w:rFonts w:ascii="Cambria" w:eastAsia="Times New Roman" w:hAnsi="Cambria" w:cs="Times New Roman"/>
          <w:noProof/>
          <w:lang w:val="sq-AL"/>
        </w:rPr>
        <w:t>Realizimit të një fushate masive për matrikullimin e kaf</w:t>
      </w:r>
      <w:r>
        <w:rPr>
          <w:rFonts w:ascii="Cambria" w:eastAsia="Times New Roman" w:hAnsi="Cambria" w:cs="Times New Roman"/>
          <w:noProof/>
          <w:lang w:val="sq-AL"/>
        </w:rPr>
        <w:t>shë</w:t>
      </w:r>
      <w:r w:rsidRPr="009C4DBA">
        <w:rPr>
          <w:rFonts w:ascii="Cambria" w:eastAsia="Times New Roman" w:hAnsi="Cambria" w:cs="Times New Roman"/>
          <w:noProof/>
          <w:lang w:val="sq-AL"/>
        </w:rPr>
        <w:t>ve të gjalla.</w:t>
      </w:r>
    </w:p>
    <w:p w:rsidR="008B1FDF" w:rsidRPr="009C4DBA" w:rsidRDefault="008B1FDF" w:rsidP="008B1FDF">
      <w:pPr>
        <w:ind w:left="720"/>
        <w:contextualSpacing/>
        <w:rPr>
          <w:rFonts w:ascii="Cambria" w:eastAsia="Times New Roman" w:hAnsi="Cambria" w:cs="Times New Roman"/>
          <w:noProof/>
          <w:lang w:val="sq-AL"/>
        </w:rPr>
      </w:pPr>
    </w:p>
    <w:p w:rsidR="008B1FDF" w:rsidRDefault="008B1FDF" w:rsidP="008B1FDF">
      <w:pPr>
        <w:numPr>
          <w:ilvl w:val="1"/>
          <w:numId w:val="16"/>
        </w:numPr>
        <w:spacing w:before="120" w:after="120" w:line="240" w:lineRule="auto"/>
        <w:contextualSpacing/>
        <w:jc w:val="both"/>
        <w:rPr>
          <w:rFonts w:ascii="Cambria" w:eastAsia="Times New Roman" w:hAnsi="Cambria" w:cs="Times New Roman"/>
          <w:noProof/>
          <w:lang w:val="sq-AL"/>
        </w:rPr>
      </w:pPr>
      <w:r w:rsidRPr="009C4DBA">
        <w:rPr>
          <w:rFonts w:ascii="Cambria" w:eastAsia="Times New Roman" w:hAnsi="Cambria" w:cs="Times New Roman"/>
          <w:noProof/>
          <w:lang w:val="sq-AL"/>
        </w:rPr>
        <w:t>Punësimit në të gjitha komunat të një veterineri zyrtar me qëllim që të rritet kontrolli dhe fusha e mbulimit të vendit me mjekë veterinerë.</w:t>
      </w:r>
    </w:p>
    <w:p w:rsidR="008B1FDF" w:rsidRPr="009C4DBA" w:rsidRDefault="008B1FDF" w:rsidP="008B1FDF">
      <w:pPr>
        <w:spacing w:before="120" w:after="120" w:line="240" w:lineRule="auto"/>
        <w:contextualSpacing/>
        <w:jc w:val="both"/>
        <w:rPr>
          <w:rFonts w:ascii="Cambria" w:eastAsia="Times New Roman" w:hAnsi="Cambria" w:cs="Times New Roman"/>
          <w:noProof/>
          <w:lang w:val="sq-AL"/>
        </w:rPr>
      </w:pPr>
    </w:p>
    <w:p w:rsidR="008B1FDF" w:rsidRPr="009C4DBA"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Do të kryhen inspektime të vazhdueshme (rreth 86 mijë inspektime në tre vitet e adhshme dhe kontrollit dhe mbrojt</w:t>
      </w:r>
      <w:r w:rsidR="0076409D">
        <w:rPr>
          <w:rFonts w:ascii="Cambria" w:eastAsia="Times New Roman" w:hAnsi="Cambria" w:cs="Times New Roman"/>
          <w:noProof/>
          <w:lang w:val="sq-AL"/>
        </w:rPr>
        <w:t>j</w:t>
      </w:r>
      <w:r w:rsidRPr="009C4DBA">
        <w:rPr>
          <w:rFonts w:ascii="Cambria" w:eastAsia="Times New Roman" w:hAnsi="Cambria" w:cs="Times New Roman"/>
          <w:noProof/>
          <w:lang w:val="sq-AL"/>
        </w:rPr>
        <w:t>es nga parazitët në fushën e bujqësisë të rreth 25,000 ha mesatarisht)</w:t>
      </w:r>
      <w:r w:rsidRPr="009C4DBA" w:rsidDel="00E8746D">
        <w:rPr>
          <w:rFonts w:ascii="Cambria" w:eastAsia="Times New Roman" w:hAnsi="Cambria" w:cs="Times New Roman"/>
          <w:noProof/>
          <w:lang w:val="sq-AL"/>
        </w:rPr>
        <w:t xml:space="preserve"> </w:t>
      </w:r>
    </w:p>
    <w:p w:rsidR="008B1FDF" w:rsidRPr="009C4DBA"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Mbajtjes së një fondi për emergjencat veterinare dhe emergjencat për sigurinë ushqimore. Ky z</w:t>
      </w:r>
      <w:r w:rsidR="00FA0246">
        <w:rPr>
          <w:rFonts w:ascii="Cambria" w:eastAsia="Times New Roman" w:hAnsi="Cambria" w:cs="Times New Roman"/>
          <w:noProof/>
          <w:lang w:val="sq-AL"/>
        </w:rPr>
        <w:t>ë</w:t>
      </w:r>
      <w:r w:rsidRPr="009C4DBA">
        <w:rPr>
          <w:rFonts w:ascii="Cambria" w:eastAsia="Times New Roman" w:hAnsi="Cambria" w:cs="Times New Roman"/>
          <w:noProof/>
          <w:lang w:val="sq-AL"/>
        </w:rPr>
        <w:t xml:space="preserve"> përdoret në rastet e shpërthimit të sëmundjeve të cilat janë të pa parashikueshme.</w:t>
      </w:r>
    </w:p>
    <w:p w:rsidR="008B1FDF" w:rsidRPr="009C4DBA"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Rritjes së numrit të operatorëve që aplikojnë standardet HACCP në sigurinë ushqimore, nëpërmjet:</w:t>
      </w:r>
    </w:p>
    <w:p w:rsidR="008B1FDF" w:rsidRDefault="008B1FDF" w:rsidP="008B1FDF">
      <w:pPr>
        <w:numPr>
          <w:ilvl w:val="1"/>
          <w:numId w:val="16"/>
        </w:numPr>
        <w:spacing w:before="120" w:after="120" w:line="240" w:lineRule="auto"/>
        <w:contextualSpacing/>
        <w:jc w:val="both"/>
        <w:rPr>
          <w:rFonts w:ascii="Cambria" w:eastAsia="Times New Roman" w:hAnsi="Cambria" w:cs="Times New Roman"/>
          <w:noProof/>
          <w:lang w:val="sq-AL"/>
        </w:rPr>
      </w:pPr>
      <w:r w:rsidRPr="009C4DBA">
        <w:rPr>
          <w:rFonts w:ascii="Cambria" w:eastAsia="Times New Roman" w:hAnsi="Cambria" w:cs="Times New Roman"/>
          <w:noProof/>
          <w:lang w:val="sq-AL"/>
        </w:rPr>
        <w:t>Rritjes së numrit të inspektimeve; shtimit të numrit të gjobave të vendosura nga inspektimet në terren; numrit të bizneseve të mbyllura për mosplotësimin e kushteve të sigurisë ushqimore; numrit të rasteve të produkteve ushqimore të hequra nga tregu; numri të ngarkesave të kthyera në Pikat e Inspektimit Kufitar.</w:t>
      </w:r>
    </w:p>
    <w:p w:rsidR="008B1FDF" w:rsidRPr="0057684C" w:rsidRDefault="008B1FDF" w:rsidP="008B1FDF">
      <w:pPr>
        <w:spacing w:before="120" w:after="120" w:line="240" w:lineRule="auto"/>
        <w:ind w:left="1080"/>
        <w:contextualSpacing/>
        <w:jc w:val="both"/>
        <w:rPr>
          <w:rFonts w:ascii="Cambria" w:eastAsia="Times New Roman" w:hAnsi="Cambria" w:cs="Times New Roman"/>
          <w:noProof/>
          <w:lang w:val="sq-AL"/>
        </w:rPr>
      </w:pPr>
    </w:p>
    <w:p w:rsidR="008B1FDF"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lastRenderedPageBreak/>
        <w:t>Uljen e rasteve të sëmundshmërisë së njerëzve të shkaktuara nga kafshët;</w:t>
      </w:r>
    </w:p>
    <w:p w:rsidR="008B1FDF" w:rsidRPr="0091516D" w:rsidRDefault="008B1FDF" w:rsidP="008B1FDF">
      <w:pPr>
        <w:numPr>
          <w:ilvl w:val="0"/>
          <w:numId w:val="16"/>
        </w:numPr>
        <w:spacing w:before="120" w:after="120" w:line="240" w:lineRule="auto"/>
        <w:jc w:val="both"/>
        <w:rPr>
          <w:rFonts w:ascii="Cambria" w:eastAsia="Times New Roman" w:hAnsi="Cambria" w:cs="Times New Roman"/>
          <w:noProof/>
          <w:lang w:val="sq-AL"/>
        </w:rPr>
      </w:pPr>
      <w:r w:rsidRPr="0091516D">
        <w:rPr>
          <w:rFonts w:ascii="Cambria" w:eastAsia="Times New Roman" w:hAnsi="Cambria" w:cs="Times New Roman"/>
          <w:noProof/>
          <w:lang w:val="sq-AL"/>
        </w:rPr>
        <w:t>Uljen e rasteve të sëmundshmërisë së kafshëve në blegtori prej brucelozës, plasjes, tuberkulozit dhe LSD;</w:t>
      </w:r>
    </w:p>
    <w:p w:rsidR="006E54D7" w:rsidRPr="009B79CF" w:rsidRDefault="006E54D7" w:rsidP="009C4DBA">
      <w:pPr>
        <w:rPr>
          <w:rFonts w:ascii="Cambria" w:eastAsia="Times New Roman" w:hAnsi="Cambria" w:cs="Times New Roman"/>
          <w:lang w:val="sq-AL"/>
        </w:rPr>
      </w:pPr>
    </w:p>
    <w:p w:rsidR="00C04AB3" w:rsidRPr="00405A65" w:rsidRDefault="00C04AB3" w:rsidP="00982EED">
      <w:pPr>
        <w:pStyle w:val="Heading2"/>
        <w:rPr>
          <w:rFonts w:ascii="Cambria" w:eastAsia="Calibri" w:hAnsi="Cambria"/>
          <w:i w:val="0"/>
          <w:sz w:val="24"/>
        </w:rPr>
      </w:pPr>
      <w:bookmarkStart w:id="17" w:name="_Toc13653979"/>
      <w:r w:rsidRPr="00405A65">
        <w:rPr>
          <w:rFonts w:ascii="Cambria" w:eastAsia="Calibri" w:hAnsi="Cambria"/>
          <w:i w:val="0"/>
          <w:sz w:val="24"/>
        </w:rPr>
        <w:t>MINISTRIA E DREJTËSISË</w:t>
      </w:r>
      <w:bookmarkEnd w:id="17"/>
    </w:p>
    <w:p w:rsidR="0031069E" w:rsidRPr="0031069E" w:rsidRDefault="0031069E" w:rsidP="0031069E">
      <w:pPr>
        <w:jc w:val="both"/>
        <w:rPr>
          <w:rFonts w:ascii="Cambria" w:eastAsia="Times New Roman" w:hAnsi="Cambria" w:cs="Times New Roman"/>
          <w:lang w:val="sq-AL"/>
        </w:rPr>
      </w:pPr>
      <w:r w:rsidRPr="0031069E">
        <w:rPr>
          <w:rFonts w:ascii="Cambria" w:eastAsia="Arial" w:hAnsi="Cambria" w:cs="Arial"/>
          <w:szCs w:val="24"/>
          <w:lang w:val="sq-AL" w:eastAsia="en-GB"/>
        </w:rPr>
        <w:t>Ministria e Drejtësisë ka për mision hartimin dhe ndjekjen e politikave, përgatitjen e akteve ligjore dhe nënligjore, si dhe ushtrimin e shërbimeve të nevojshme lidhur me sistemin gjyqësor, sistemin e ekzekutimit të vendimeve penale e civile, sistemin e shërbimeve të lira juridiko-profesionale, bashkëpunimin ndërkombëtar në fushën civile dhe penale, fushat e tjera të drejtësisë dhe të kompetencës së saj sipas ligjit, si dhe për bashkërendimin, harmonizimin dhe reformimin e legjislacionit shqiptar në tërësi.</w:t>
      </w:r>
    </w:p>
    <w:p w:rsidR="0031069E" w:rsidRPr="0031069E" w:rsidRDefault="0031069E" w:rsidP="0031069E">
      <w:pPr>
        <w:spacing w:after="200" w:line="276" w:lineRule="auto"/>
        <w:jc w:val="both"/>
        <w:rPr>
          <w:rFonts w:ascii="Cambria" w:eastAsia="Arial" w:hAnsi="Cambria" w:cs="Arial"/>
          <w:szCs w:val="24"/>
          <w:lang w:val="sq-AL" w:eastAsia="en-GB"/>
        </w:rPr>
      </w:pPr>
      <w:r>
        <w:rPr>
          <w:rFonts w:ascii="Cambria" w:eastAsia="Arial" w:hAnsi="Cambria" w:cs="Arial"/>
          <w:szCs w:val="24"/>
          <w:lang w:val="sq-AL" w:eastAsia="en-GB"/>
        </w:rPr>
        <w:t>Për periudhën 2020-2022</w:t>
      </w:r>
      <w:r w:rsidRPr="0031069E">
        <w:rPr>
          <w:rFonts w:ascii="Cambria" w:eastAsia="Arial" w:hAnsi="Cambria" w:cs="Arial"/>
          <w:szCs w:val="24"/>
          <w:lang w:val="sq-AL" w:eastAsia="en-GB"/>
        </w:rPr>
        <w:t xml:space="preserve">, Ministria e Drejtësisë do të përmbushë objektivat e synuar përmes fondeve buxhetore të alokuara sipas tabelës së mëposhtme. </w:t>
      </w:r>
    </w:p>
    <w:p w:rsidR="0031069E" w:rsidRPr="0031069E" w:rsidRDefault="0031069E" w:rsidP="0031069E">
      <w:pPr>
        <w:spacing w:after="200" w:line="276" w:lineRule="auto"/>
        <w:contextualSpacing/>
        <w:jc w:val="both"/>
        <w:rPr>
          <w:rFonts w:ascii="Cambria" w:eastAsia="Arial" w:hAnsi="Cambria" w:cs="Arial"/>
          <w:b/>
          <w:sz w:val="20"/>
          <w:szCs w:val="18"/>
          <w:lang w:val="sq-AL" w:eastAsia="en-GB"/>
        </w:rPr>
      </w:pPr>
      <w:r w:rsidRPr="0031069E">
        <w:rPr>
          <w:rFonts w:ascii="Cambria" w:eastAsia="Arial" w:hAnsi="Cambria" w:cs="Arial"/>
          <w:b/>
          <w:sz w:val="20"/>
          <w:szCs w:val="18"/>
          <w:lang w:val="sq-AL" w:eastAsia="en-GB"/>
        </w:rPr>
        <w:t xml:space="preserve">Tabela 9: </w:t>
      </w:r>
      <w:r w:rsidRPr="0031069E">
        <w:rPr>
          <w:rFonts w:ascii="Cambria" w:eastAsia="Times New Roman" w:hAnsi="Cambria" w:cs="Arial"/>
          <w:sz w:val="20"/>
          <w:szCs w:val="18"/>
          <w:lang w:val="sq-AL"/>
        </w:rPr>
        <w:t>Shpenzimet për Sektorin e Drejtësisë dhe Mini</w:t>
      </w:r>
      <w:r>
        <w:rPr>
          <w:rFonts w:ascii="Cambria" w:eastAsia="Times New Roman" w:hAnsi="Cambria" w:cs="Arial"/>
          <w:sz w:val="20"/>
          <w:szCs w:val="18"/>
          <w:lang w:val="sq-AL"/>
        </w:rPr>
        <w:t>strinë e Drejtësisë për PBA 2020-2022</w:t>
      </w:r>
    </w:p>
    <w:tbl>
      <w:tblPr>
        <w:tblStyle w:val="GridTable5Dark-Accent121"/>
        <w:tblW w:w="9603" w:type="dxa"/>
        <w:tblLook w:val="04A0" w:firstRow="1" w:lastRow="0" w:firstColumn="1" w:lastColumn="0" w:noHBand="0" w:noVBand="1"/>
      </w:tblPr>
      <w:tblGrid>
        <w:gridCol w:w="3823"/>
        <w:gridCol w:w="1595"/>
        <w:gridCol w:w="1394"/>
        <w:gridCol w:w="1394"/>
        <w:gridCol w:w="1397"/>
      </w:tblGrid>
      <w:tr w:rsidR="0031069E" w:rsidRPr="0031069E" w:rsidTr="007B54EB">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9603" w:type="dxa"/>
            <w:gridSpan w:val="5"/>
            <w:hideMark/>
          </w:tcPr>
          <w:p w:rsidR="0076409D" w:rsidRDefault="0076409D" w:rsidP="0076409D">
            <w:pPr>
              <w:spacing w:after="160" w:line="259" w:lineRule="auto"/>
              <w:rPr>
                <w:rFonts w:ascii="Arial" w:eastAsia="Times New Roman" w:hAnsi="Arial" w:cs="Arial"/>
                <w:bCs w:val="0"/>
                <w:color w:val="FFFFFF" w:themeColor="background1"/>
                <w:sz w:val="18"/>
                <w:szCs w:val="18"/>
                <w:lang w:val="sq-AL"/>
              </w:rPr>
            </w:pPr>
          </w:p>
          <w:p w:rsidR="0031069E" w:rsidRPr="0076409D" w:rsidRDefault="0031069E" w:rsidP="0076409D">
            <w:pPr>
              <w:spacing w:after="160" w:line="259" w:lineRule="auto"/>
              <w:jc w:val="center"/>
              <w:rPr>
                <w:rFonts w:ascii="Arial" w:eastAsia="Times New Roman" w:hAnsi="Arial" w:cs="Arial"/>
                <w:bCs w:val="0"/>
                <w:color w:val="auto"/>
                <w:sz w:val="18"/>
                <w:szCs w:val="18"/>
                <w:lang w:val="sq-AL"/>
              </w:rPr>
            </w:pPr>
            <w:r w:rsidRPr="0076409D">
              <w:rPr>
                <w:rFonts w:ascii="Arial" w:eastAsia="Times New Roman" w:hAnsi="Arial" w:cs="Arial"/>
                <w:bCs w:val="0"/>
                <w:color w:val="FFFFFF" w:themeColor="background1"/>
                <w:sz w:val="18"/>
                <w:szCs w:val="18"/>
                <w:lang w:val="sq-AL"/>
              </w:rPr>
              <w:t>Shpenzimet për Sektorin e Drejtësisë dhe Ministrinë e Drejtësisë për PBA 2020-2022</w:t>
            </w:r>
          </w:p>
        </w:tc>
      </w:tr>
      <w:tr w:rsidR="0031069E" w:rsidRPr="0031069E" w:rsidTr="007B54E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rsidR="0031069E" w:rsidRPr="0031069E" w:rsidRDefault="0031069E" w:rsidP="0031069E">
            <w:pPr>
              <w:spacing w:after="160" w:line="259" w:lineRule="auto"/>
              <w:jc w:val="center"/>
              <w:rPr>
                <w:rFonts w:ascii="Arial" w:eastAsia="Times New Roman" w:hAnsi="Arial" w:cs="Arial"/>
                <w:b w:val="0"/>
                <w:bCs w:val="0"/>
                <w:color w:val="000080"/>
                <w:sz w:val="18"/>
                <w:szCs w:val="18"/>
                <w:lang w:val="sq-AL"/>
              </w:rPr>
            </w:pPr>
          </w:p>
        </w:tc>
        <w:tc>
          <w:tcPr>
            <w:tcW w:w="5780" w:type="dxa"/>
            <w:gridSpan w:val="4"/>
            <w:noWrap/>
            <w:hideMark/>
          </w:tcPr>
          <w:p w:rsidR="0031069E" w:rsidRPr="0076409D"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2E74B5" w:themeColor="accent1" w:themeShade="BF"/>
                <w:sz w:val="18"/>
                <w:szCs w:val="18"/>
                <w:lang w:val="sq-AL"/>
              </w:rPr>
            </w:pPr>
            <w:r w:rsidRPr="0076409D">
              <w:rPr>
                <w:rFonts w:ascii="Arial" w:eastAsia="Times New Roman" w:hAnsi="Arial" w:cs="Arial"/>
                <w:b/>
                <w:bCs/>
                <w:color w:val="2E74B5" w:themeColor="accent1" w:themeShade="BF"/>
                <w:sz w:val="18"/>
                <w:szCs w:val="18"/>
                <w:lang w:val="sq-AL"/>
              </w:rPr>
              <w:t xml:space="preserve">Shpenzimet totale </w:t>
            </w:r>
          </w:p>
        </w:tc>
      </w:tr>
      <w:tr w:rsidR="0076409D" w:rsidRPr="0076409D" w:rsidTr="007B54EB">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rsidR="0031069E" w:rsidRPr="0031069E" w:rsidRDefault="0031069E" w:rsidP="0031069E">
            <w:pPr>
              <w:spacing w:after="160" w:line="259" w:lineRule="auto"/>
              <w:rPr>
                <w:rFonts w:ascii="Arial" w:eastAsia="Times New Roman" w:hAnsi="Arial" w:cs="Arial"/>
                <w:b w:val="0"/>
                <w:bCs w:val="0"/>
                <w:color w:val="000080"/>
                <w:sz w:val="18"/>
                <w:szCs w:val="18"/>
                <w:lang w:val="sq-AL"/>
              </w:rPr>
            </w:pPr>
          </w:p>
        </w:tc>
        <w:tc>
          <w:tcPr>
            <w:tcW w:w="1595" w:type="dxa"/>
            <w:noWrap/>
            <w:hideMark/>
          </w:tcPr>
          <w:p w:rsidR="0031069E" w:rsidRPr="0076409D"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sidRPr="0076409D">
              <w:rPr>
                <w:rFonts w:ascii="Arial" w:eastAsia="Times New Roman" w:hAnsi="Arial" w:cs="Arial"/>
                <w:b/>
                <w:bCs/>
                <w:color w:val="2E74B5" w:themeColor="accent1" w:themeShade="BF"/>
                <w:sz w:val="18"/>
                <w:szCs w:val="18"/>
                <w:lang w:val="sq-AL"/>
              </w:rPr>
              <w:t>Buxheti 2019</w:t>
            </w:r>
          </w:p>
        </w:tc>
        <w:tc>
          <w:tcPr>
            <w:tcW w:w="1394" w:type="dxa"/>
            <w:noWrap/>
            <w:hideMark/>
          </w:tcPr>
          <w:p w:rsidR="0031069E" w:rsidRPr="0076409D"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2E74B5" w:themeColor="accent1" w:themeShade="BF"/>
                <w:sz w:val="18"/>
                <w:szCs w:val="18"/>
                <w:lang w:val="sq-AL"/>
              </w:rPr>
            </w:pPr>
            <w:r w:rsidRPr="0076409D">
              <w:rPr>
                <w:rFonts w:ascii="Arial" w:eastAsia="Times New Roman" w:hAnsi="Arial" w:cs="Arial"/>
                <w:b/>
                <w:bCs/>
                <w:color w:val="2E74B5" w:themeColor="accent1" w:themeShade="BF"/>
                <w:sz w:val="18"/>
                <w:szCs w:val="18"/>
                <w:lang w:val="sq-AL"/>
              </w:rPr>
              <w:t>Buxheti 2020</w:t>
            </w:r>
          </w:p>
        </w:tc>
        <w:tc>
          <w:tcPr>
            <w:tcW w:w="1394" w:type="dxa"/>
            <w:noWrap/>
            <w:hideMark/>
          </w:tcPr>
          <w:p w:rsidR="0031069E" w:rsidRPr="0076409D"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2E74B5" w:themeColor="accent1" w:themeShade="BF"/>
                <w:sz w:val="18"/>
                <w:szCs w:val="18"/>
                <w:lang w:val="sq-AL"/>
              </w:rPr>
            </w:pPr>
            <w:r w:rsidRPr="0076409D">
              <w:rPr>
                <w:rFonts w:ascii="Arial" w:eastAsia="Times New Roman" w:hAnsi="Arial" w:cs="Arial"/>
                <w:b/>
                <w:bCs/>
                <w:color w:val="2E74B5" w:themeColor="accent1" w:themeShade="BF"/>
                <w:sz w:val="18"/>
                <w:szCs w:val="18"/>
                <w:lang w:val="sq-AL"/>
              </w:rPr>
              <w:t>Buxheti 2021</w:t>
            </w:r>
          </w:p>
        </w:tc>
        <w:tc>
          <w:tcPr>
            <w:tcW w:w="1397" w:type="dxa"/>
            <w:noWrap/>
            <w:hideMark/>
          </w:tcPr>
          <w:p w:rsidR="0031069E" w:rsidRPr="0076409D"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2E74B5" w:themeColor="accent1" w:themeShade="BF"/>
                <w:sz w:val="18"/>
                <w:szCs w:val="18"/>
                <w:lang w:val="sq-AL"/>
              </w:rPr>
            </w:pPr>
            <w:r w:rsidRPr="0076409D">
              <w:rPr>
                <w:rFonts w:ascii="Arial" w:eastAsia="Times New Roman" w:hAnsi="Arial" w:cs="Arial"/>
                <w:b/>
                <w:bCs/>
                <w:color w:val="2E74B5" w:themeColor="accent1" w:themeShade="BF"/>
                <w:sz w:val="18"/>
                <w:szCs w:val="18"/>
                <w:lang w:val="sq-AL"/>
              </w:rPr>
              <w:t>Buxheti 2022</w:t>
            </w:r>
          </w:p>
        </w:tc>
      </w:tr>
      <w:tr w:rsidR="0031069E" w:rsidRPr="0031069E" w:rsidTr="007B54E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rsidR="0031069E" w:rsidRPr="0076409D" w:rsidRDefault="0031069E" w:rsidP="0031069E">
            <w:pPr>
              <w:spacing w:after="160" w:line="259" w:lineRule="auto"/>
              <w:rPr>
                <w:rFonts w:ascii="Arial" w:eastAsia="Times New Roman" w:hAnsi="Arial" w:cs="Arial"/>
                <w:bCs w:val="0"/>
                <w:color w:val="FFFFFF" w:themeColor="background1"/>
                <w:sz w:val="18"/>
                <w:szCs w:val="18"/>
                <w:lang w:val="sq-AL"/>
              </w:rPr>
            </w:pPr>
            <w:r w:rsidRPr="0076409D">
              <w:rPr>
                <w:rFonts w:ascii="Arial" w:eastAsia="Times New Roman" w:hAnsi="Arial" w:cs="Arial"/>
                <w:bCs w:val="0"/>
                <w:color w:val="FFFFFF" w:themeColor="background1"/>
                <w:sz w:val="18"/>
                <w:szCs w:val="18"/>
                <w:lang w:val="sq-AL"/>
              </w:rPr>
              <w:t>Sektori i Drejtësisë   (% ndaj PBB)</w:t>
            </w:r>
          </w:p>
        </w:tc>
        <w:tc>
          <w:tcPr>
            <w:tcW w:w="1595"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0.98%</w:t>
            </w:r>
          </w:p>
        </w:tc>
        <w:tc>
          <w:tcPr>
            <w:tcW w:w="1394"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1.01%</w:t>
            </w:r>
          </w:p>
        </w:tc>
        <w:tc>
          <w:tcPr>
            <w:tcW w:w="1394"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0.94%</w:t>
            </w:r>
          </w:p>
        </w:tc>
        <w:tc>
          <w:tcPr>
            <w:tcW w:w="1397"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0.88%</w:t>
            </w:r>
          </w:p>
        </w:tc>
      </w:tr>
      <w:tr w:rsidR="0031069E" w:rsidRPr="0031069E" w:rsidTr="007B54EB">
        <w:trPr>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rsidR="0031069E" w:rsidRPr="0076409D" w:rsidRDefault="0031069E" w:rsidP="0031069E">
            <w:pPr>
              <w:spacing w:after="160" w:line="259" w:lineRule="auto"/>
              <w:rPr>
                <w:rFonts w:ascii="Arial" w:eastAsia="Times New Roman" w:hAnsi="Arial" w:cs="Arial"/>
                <w:bCs w:val="0"/>
                <w:color w:val="FFFFFF" w:themeColor="background1"/>
                <w:sz w:val="18"/>
                <w:szCs w:val="18"/>
                <w:lang w:val="sq-AL"/>
              </w:rPr>
            </w:pPr>
            <w:r w:rsidRPr="0076409D">
              <w:rPr>
                <w:rFonts w:ascii="Arial" w:eastAsia="Times New Roman" w:hAnsi="Arial" w:cs="Arial"/>
                <w:bCs w:val="0"/>
                <w:color w:val="FFFFFF" w:themeColor="background1"/>
                <w:sz w:val="18"/>
                <w:szCs w:val="18"/>
                <w:lang w:val="sq-AL"/>
              </w:rPr>
              <w:t>Sektori i Drejtësisë  (në mln lekë)</w:t>
            </w:r>
          </w:p>
        </w:tc>
        <w:tc>
          <w:tcPr>
            <w:tcW w:w="1595"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17,198</w:t>
            </w:r>
          </w:p>
        </w:tc>
        <w:tc>
          <w:tcPr>
            <w:tcW w:w="1394"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18,821</w:t>
            </w:r>
          </w:p>
        </w:tc>
        <w:tc>
          <w:tcPr>
            <w:tcW w:w="1394"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18,762</w:t>
            </w:r>
          </w:p>
        </w:tc>
        <w:tc>
          <w:tcPr>
            <w:tcW w:w="1397"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18,615</w:t>
            </w:r>
          </w:p>
        </w:tc>
      </w:tr>
      <w:tr w:rsidR="0031069E" w:rsidRPr="0031069E" w:rsidTr="007B54E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rsidR="0031069E" w:rsidRPr="0076409D" w:rsidRDefault="0031069E" w:rsidP="0031069E">
            <w:pPr>
              <w:spacing w:after="160" w:line="259" w:lineRule="auto"/>
              <w:rPr>
                <w:rFonts w:ascii="Arial" w:eastAsia="Times New Roman" w:hAnsi="Arial" w:cs="Arial"/>
                <w:bCs w:val="0"/>
                <w:color w:val="FFFFFF" w:themeColor="background1"/>
                <w:sz w:val="18"/>
                <w:szCs w:val="18"/>
                <w:lang w:val="sq-AL"/>
              </w:rPr>
            </w:pPr>
            <w:r w:rsidRPr="0076409D">
              <w:rPr>
                <w:rFonts w:ascii="Arial" w:eastAsia="Times New Roman" w:hAnsi="Arial" w:cs="Arial"/>
                <w:bCs w:val="0"/>
                <w:color w:val="FFFFFF" w:themeColor="background1"/>
                <w:sz w:val="18"/>
                <w:szCs w:val="18"/>
                <w:lang w:val="sq-AL"/>
              </w:rPr>
              <w:t>Sektori i Drejtësisë (% ndaj buxhetit)</w:t>
            </w:r>
          </w:p>
        </w:tc>
        <w:tc>
          <w:tcPr>
            <w:tcW w:w="1595"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3.3%</w:t>
            </w:r>
          </w:p>
        </w:tc>
        <w:tc>
          <w:tcPr>
            <w:tcW w:w="1394"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3.4%</w:t>
            </w:r>
          </w:p>
        </w:tc>
        <w:tc>
          <w:tcPr>
            <w:tcW w:w="1394"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3.2%</w:t>
            </w:r>
          </w:p>
        </w:tc>
        <w:tc>
          <w:tcPr>
            <w:tcW w:w="1397"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3.0%</w:t>
            </w:r>
          </w:p>
        </w:tc>
      </w:tr>
      <w:tr w:rsidR="0031069E" w:rsidRPr="0031069E" w:rsidTr="007B54EB">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31069E" w:rsidRPr="0076409D" w:rsidRDefault="0031069E" w:rsidP="0031069E">
            <w:pPr>
              <w:spacing w:after="160" w:line="259" w:lineRule="auto"/>
              <w:rPr>
                <w:rFonts w:ascii="Arial" w:eastAsia="Times New Roman" w:hAnsi="Arial" w:cs="Arial"/>
                <w:bCs w:val="0"/>
                <w:color w:val="FFFFFF" w:themeColor="background1"/>
                <w:sz w:val="18"/>
                <w:szCs w:val="18"/>
                <w:lang w:val="sq-AL"/>
              </w:rPr>
            </w:pPr>
            <w:r w:rsidRPr="0076409D">
              <w:rPr>
                <w:rFonts w:ascii="Arial" w:eastAsia="Times New Roman" w:hAnsi="Arial" w:cs="Arial"/>
                <w:bCs w:val="0"/>
                <w:color w:val="FFFFFF" w:themeColor="background1"/>
                <w:sz w:val="18"/>
                <w:szCs w:val="18"/>
                <w:lang w:val="sq-AL"/>
              </w:rPr>
              <w:t>Ministria e Drejtësisë  (% ndaj PBB)</w:t>
            </w:r>
          </w:p>
        </w:tc>
        <w:tc>
          <w:tcPr>
            <w:tcW w:w="1595"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0.7%</w:t>
            </w:r>
          </w:p>
        </w:tc>
        <w:tc>
          <w:tcPr>
            <w:tcW w:w="1394"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0.7%</w:t>
            </w:r>
          </w:p>
        </w:tc>
        <w:tc>
          <w:tcPr>
            <w:tcW w:w="1394"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0.6%</w:t>
            </w:r>
          </w:p>
        </w:tc>
        <w:tc>
          <w:tcPr>
            <w:tcW w:w="1397"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0.6%</w:t>
            </w:r>
          </w:p>
        </w:tc>
      </w:tr>
      <w:tr w:rsidR="0031069E" w:rsidRPr="0031069E" w:rsidTr="007B54E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31069E" w:rsidRPr="0076409D" w:rsidRDefault="0031069E" w:rsidP="0031069E">
            <w:pPr>
              <w:spacing w:after="160" w:line="259" w:lineRule="auto"/>
              <w:rPr>
                <w:rFonts w:ascii="Arial" w:eastAsia="Times New Roman" w:hAnsi="Arial" w:cs="Arial"/>
                <w:bCs w:val="0"/>
                <w:color w:val="FFFFFF" w:themeColor="background1"/>
                <w:sz w:val="18"/>
                <w:szCs w:val="18"/>
                <w:lang w:val="sq-AL"/>
              </w:rPr>
            </w:pPr>
            <w:r w:rsidRPr="0076409D">
              <w:rPr>
                <w:rFonts w:ascii="Arial" w:eastAsia="Times New Roman" w:hAnsi="Arial" w:cs="Arial"/>
                <w:bCs w:val="0"/>
                <w:color w:val="FFFFFF" w:themeColor="background1"/>
                <w:sz w:val="18"/>
                <w:szCs w:val="18"/>
                <w:lang w:val="sq-AL"/>
              </w:rPr>
              <w:t>Ministria e Drejtësisë  (në mln lekë)</w:t>
            </w:r>
          </w:p>
        </w:tc>
        <w:tc>
          <w:tcPr>
            <w:tcW w:w="1595"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12,202</w:t>
            </w:r>
          </w:p>
        </w:tc>
        <w:tc>
          <w:tcPr>
            <w:tcW w:w="1394"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12,618</w:t>
            </w:r>
          </w:p>
        </w:tc>
        <w:tc>
          <w:tcPr>
            <w:tcW w:w="1394"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12,577</w:t>
            </w:r>
          </w:p>
        </w:tc>
        <w:tc>
          <w:tcPr>
            <w:tcW w:w="1397" w:type="dxa"/>
            <w:noWrap/>
            <w:hideMark/>
          </w:tcPr>
          <w:p w:rsidR="0031069E" w:rsidRPr="0031069E" w:rsidRDefault="0031069E" w:rsidP="0031069E">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1069E">
              <w:rPr>
                <w:sz w:val="20"/>
                <w:szCs w:val="20"/>
              </w:rPr>
              <w:t>12,639</w:t>
            </w:r>
          </w:p>
        </w:tc>
      </w:tr>
      <w:tr w:rsidR="0031069E" w:rsidRPr="0031069E" w:rsidTr="007B54EB">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31069E" w:rsidRPr="0076409D" w:rsidRDefault="0031069E" w:rsidP="0031069E">
            <w:pPr>
              <w:spacing w:after="160" w:line="259" w:lineRule="auto"/>
              <w:rPr>
                <w:rFonts w:ascii="Arial" w:eastAsia="Times New Roman" w:hAnsi="Arial" w:cs="Arial"/>
                <w:bCs w:val="0"/>
                <w:color w:val="FFFFFF" w:themeColor="background1"/>
                <w:sz w:val="18"/>
                <w:szCs w:val="18"/>
                <w:lang w:val="sq-AL"/>
              </w:rPr>
            </w:pPr>
            <w:r w:rsidRPr="0076409D">
              <w:rPr>
                <w:rFonts w:ascii="Arial" w:eastAsia="Times New Roman" w:hAnsi="Arial" w:cs="Arial"/>
                <w:bCs w:val="0"/>
                <w:color w:val="FFFFFF" w:themeColor="background1"/>
                <w:sz w:val="18"/>
                <w:szCs w:val="18"/>
                <w:lang w:val="sq-AL"/>
              </w:rPr>
              <w:t>Ministria e Drejtësisë  (% ndaj buxhetit )</w:t>
            </w:r>
          </w:p>
        </w:tc>
        <w:tc>
          <w:tcPr>
            <w:tcW w:w="1595"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2.3%</w:t>
            </w:r>
          </w:p>
        </w:tc>
        <w:tc>
          <w:tcPr>
            <w:tcW w:w="1394"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2.3%</w:t>
            </w:r>
          </w:p>
        </w:tc>
        <w:tc>
          <w:tcPr>
            <w:tcW w:w="1394"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2.2%</w:t>
            </w:r>
          </w:p>
        </w:tc>
        <w:tc>
          <w:tcPr>
            <w:tcW w:w="1397" w:type="dxa"/>
            <w:noWrap/>
            <w:hideMark/>
          </w:tcPr>
          <w:p w:rsidR="0031069E" w:rsidRPr="0031069E" w:rsidRDefault="0031069E" w:rsidP="0031069E">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1069E">
              <w:rPr>
                <w:sz w:val="20"/>
                <w:szCs w:val="20"/>
              </w:rPr>
              <w:t>2.1%</w:t>
            </w:r>
          </w:p>
        </w:tc>
      </w:tr>
    </w:tbl>
    <w:p w:rsidR="0031069E" w:rsidRPr="0031069E" w:rsidRDefault="0031069E" w:rsidP="0031069E">
      <w:pPr>
        <w:spacing w:before="120" w:after="120" w:line="276" w:lineRule="auto"/>
        <w:jc w:val="both"/>
        <w:rPr>
          <w:rFonts w:ascii="Cambria" w:eastAsia="Arial" w:hAnsi="Cambria" w:cs="Arial"/>
          <w:lang w:val="sq-AL" w:eastAsia="en-GB"/>
        </w:rPr>
      </w:pPr>
      <w:r w:rsidRPr="0031069E">
        <w:rPr>
          <w:rFonts w:ascii="Cambria" w:eastAsia="Arial" w:hAnsi="Cambria" w:cs="Arial"/>
          <w:lang w:val="sq-AL" w:eastAsia="en-GB"/>
        </w:rPr>
        <w:t>Në fushën e Drejtësisë, Ministria e Drejtësisë ka për qëllim të kërkojë respektimin e Kushtetutës, të ligjeve, realizimin dhe mbrojtjen e dinjitetit, të të drejtave të njeriut dhe lirive themelore, si dhe të kontribuojë në parandalimin e shkeljeve të ligjit, në përputhje dhe në funksion të kërkesave të zhvillimit demokratik dhe të integrimit evropian të Republikës së Shqipërisë.</w:t>
      </w:r>
    </w:p>
    <w:p w:rsidR="0031069E" w:rsidRPr="0031069E" w:rsidRDefault="0031069E" w:rsidP="0031069E">
      <w:pPr>
        <w:spacing w:before="120" w:after="120" w:line="276" w:lineRule="auto"/>
        <w:jc w:val="both"/>
        <w:rPr>
          <w:rFonts w:ascii="Cambria" w:eastAsia="Arial" w:hAnsi="Cambria" w:cs="Arial"/>
          <w:lang w:val="sq-AL" w:eastAsia="en-GB"/>
        </w:rPr>
      </w:pPr>
    </w:p>
    <w:p w:rsidR="0031069E" w:rsidRPr="00F6409B" w:rsidRDefault="0031069E" w:rsidP="00570F53">
      <w:pPr>
        <w:keepNext/>
        <w:keepLines/>
        <w:numPr>
          <w:ilvl w:val="2"/>
          <w:numId w:val="27"/>
        </w:numPr>
        <w:tabs>
          <w:tab w:val="num" w:pos="360"/>
        </w:tabs>
        <w:spacing w:before="40" w:after="0"/>
        <w:ind w:left="0" w:firstLine="0"/>
        <w:outlineLvl w:val="2"/>
        <w:rPr>
          <w:rFonts w:ascii="Cambria" w:eastAsia="SimSun" w:hAnsi="Cambria" w:cs="Times New Roman"/>
          <w:b/>
          <w:sz w:val="24"/>
          <w:szCs w:val="24"/>
          <w:lang w:val="sq-AL"/>
        </w:rPr>
      </w:pPr>
      <w:r w:rsidRPr="00F6409B">
        <w:rPr>
          <w:rFonts w:ascii="Cambria" w:eastAsia="SimSun" w:hAnsi="Cambria" w:cs="Times New Roman"/>
          <w:b/>
          <w:sz w:val="24"/>
          <w:szCs w:val="24"/>
          <w:lang w:val="sq-AL"/>
        </w:rPr>
        <w:t>Prioritetet e sektorit për periudhën 2020-2022</w:t>
      </w:r>
    </w:p>
    <w:p w:rsidR="0031069E" w:rsidRPr="0031069E" w:rsidRDefault="0031069E" w:rsidP="00570F53">
      <w:pPr>
        <w:numPr>
          <w:ilvl w:val="0"/>
          <w:numId w:val="18"/>
        </w:numPr>
        <w:spacing w:before="240" w:after="0" w:line="240" w:lineRule="auto"/>
        <w:contextualSpacing/>
        <w:jc w:val="both"/>
        <w:rPr>
          <w:rFonts w:ascii="Cambria" w:eastAsia="SimSun" w:hAnsi="Cambria" w:cs="Arial"/>
          <w:szCs w:val="24"/>
          <w:lang w:val="sq-AL"/>
        </w:rPr>
      </w:pPr>
      <w:r w:rsidRPr="0031069E">
        <w:rPr>
          <w:rFonts w:ascii="Cambria" w:eastAsia="SimSun" w:hAnsi="Cambria" w:cs="Arial"/>
          <w:szCs w:val="24"/>
          <w:lang w:val="sq-AL"/>
        </w:rPr>
        <w:t>Jetësimi i Reformës në Drejtësi;</w:t>
      </w:r>
    </w:p>
    <w:p w:rsidR="0031069E" w:rsidRPr="0031069E" w:rsidRDefault="0031069E" w:rsidP="00570F53">
      <w:pPr>
        <w:numPr>
          <w:ilvl w:val="0"/>
          <w:numId w:val="18"/>
        </w:numPr>
        <w:spacing w:before="240" w:after="0" w:line="240" w:lineRule="auto"/>
        <w:contextualSpacing/>
        <w:jc w:val="both"/>
        <w:rPr>
          <w:rFonts w:ascii="Cambria" w:eastAsia="SimSun" w:hAnsi="Cambria" w:cs="Arial"/>
          <w:szCs w:val="24"/>
          <w:lang w:val="sq-AL"/>
        </w:rPr>
      </w:pPr>
      <w:r w:rsidRPr="0031069E">
        <w:rPr>
          <w:rFonts w:ascii="Cambria" w:eastAsia="SimSun" w:hAnsi="Cambria" w:cs="Arial"/>
          <w:szCs w:val="24"/>
          <w:lang w:val="sq-AL"/>
        </w:rPr>
        <w:t>Jet</w:t>
      </w:r>
      <w:r w:rsidR="00D80DFD">
        <w:rPr>
          <w:rFonts w:ascii="Cambria" w:eastAsia="SimSun" w:hAnsi="Cambria" w:cs="Arial"/>
          <w:szCs w:val="24"/>
          <w:lang w:val="sq-AL"/>
        </w:rPr>
        <w:t>ë</w:t>
      </w:r>
      <w:r w:rsidRPr="0031069E">
        <w:rPr>
          <w:rFonts w:ascii="Cambria" w:eastAsia="SimSun" w:hAnsi="Cambria" w:cs="Arial"/>
          <w:szCs w:val="24"/>
          <w:lang w:val="sq-AL"/>
        </w:rPr>
        <w:t>simi i reform</w:t>
      </w:r>
      <w:r w:rsidR="00D80DFD">
        <w:rPr>
          <w:rFonts w:ascii="Cambria" w:eastAsia="SimSun" w:hAnsi="Cambria" w:cs="Arial"/>
          <w:szCs w:val="24"/>
          <w:lang w:val="sq-AL"/>
        </w:rPr>
        <w:t>ë</w:t>
      </w:r>
      <w:r w:rsidRPr="0031069E">
        <w:rPr>
          <w:rFonts w:ascii="Cambria" w:eastAsia="SimSun" w:hAnsi="Cambria" w:cs="Arial"/>
          <w:szCs w:val="24"/>
          <w:lang w:val="sq-AL"/>
        </w:rPr>
        <w:t>s n</w:t>
      </w:r>
      <w:r w:rsidR="00D80DFD">
        <w:rPr>
          <w:rFonts w:ascii="Cambria" w:eastAsia="SimSun" w:hAnsi="Cambria" w:cs="Arial"/>
          <w:szCs w:val="24"/>
          <w:lang w:val="sq-AL"/>
        </w:rPr>
        <w:t>ë</w:t>
      </w:r>
      <w:r w:rsidRPr="0031069E">
        <w:rPr>
          <w:rFonts w:ascii="Cambria" w:eastAsia="SimSun" w:hAnsi="Cambria" w:cs="Arial"/>
          <w:szCs w:val="24"/>
          <w:lang w:val="sq-AL"/>
        </w:rPr>
        <w:t xml:space="preserve"> Drejt</w:t>
      </w:r>
      <w:r w:rsidR="00D80DFD">
        <w:rPr>
          <w:rFonts w:ascii="Cambria" w:eastAsia="SimSun" w:hAnsi="Cambria" w:cs="Arial"/>
          <w:szCs w:val="24"/>
          <w:lang w:val="sq-AL"/>
        </w:rPr>
        <w:t>ë</w:t>
      </w:r>
      <w:r w:rsidRPr="0031069E">
        <w:rPr>
          <w:rFonts w:ascii="Cambria" w:eastAsia="SimSun" w:hAnsi="Cambria" w:cs="Arial"/>
          <w:szCs w:val="24"/>
          <w:lang w:val="sq-AL"/>
        </w:rPr>
        <w:t>si p</w:t>
      </w:r>
      <w:r w:rsidR="00D80DFD">
        <w:rPr>
          <w:rFonts w:ascii="Cambria" w:eastAsia="SimSun" w:hAnsi="Cambria" w:cs="Arial"/>
          <w:szCs w:val="24"/>
          <w:lang w:val="sq-AL"/>
        </w:rPr>
        <w:t>ë</w:t>
      </w:r>
      <w:r w:rsidRPr="0031069E">
        <w:rPr>
          <w:rFonts w:ascii="Cambria" w:eastAsia="SimSun" w:hAnsi="Cambria" w:cs="Arial"/>
          <w:szCs w:val="24"/>
          <w:lang w:val="sq-AL"/>
        </w:rPr>
        <w:t>r t</w:t>
      </w:r>
      <w:r w:rsidR="00D80DFD">
        <w:rPr>
          <w:rFonts w:ascii="Cambria" w:eastAsia="SimSun" w:hAnsi="Cambria" w:cs="Arial"/>
          <w:szCs w:val="24"/>
          <w:lang w:val="sq-AL"/>
        </w:rPr>
        <w:t>ë</w:t>
      </w:r>
      <w:r w:rsidRPr="0031069E">
        <w:rPr>
          <w:rFonts w:ascii="Cambria" w:eastAsia="SimSun" w:hAnsi="Cambria" w:cs="Arial"/>
          <w:szCs w:val="24"/>
          <w:lang w:val="sq-AL"/>
        </w:rPr>
        <w:t xml:space="preserve"> miturit;</w:t>
      </w:r>
    </w:p>
    <w:p w:rsidR="0031069E" w:rsidRPr="0031069E" w:rsidRDefault="0031069E" w:rsidP="00570F53">
      <w:pPr>
        <w:numPr>
          <w:ilvl w:val="0"/>
          <w:numId w:val="18"/>
        </w:numPr>
        <w:spacing w:before="240" w:after="0" w:line="240" w:lineRule="auto"/>
        <w:contextualSpacing/>
        <w:jc w:val="both"/>
        <w:rPr>
          <w:rFonts w:ascii="Cambria" w:eastAsia="SimSun" w:hAnsi="Cambria" w:cs="Arial"/>
          <w:szCs w:val="24"/>
          <w:lang w:val="sq-AL"/>
        </w:rPr>
      </w:pPr>
      <w:r w:rsidRPr="0031069E">
        <w:rPr>
          <w:rFonts w:ascii="Cambria" w:eastAsia="SimSun" w:hAnsi="Cambria" w:cs="Arial"/>
          <w:szCs w:val="24"/>
          <w:lang w:val="sq-AL"/>
        </w:rPr>
        <w:t>Forcimi i Luftës kundër Korrupsionit në Administratë;</w:t>
      </w:r>
    </w:p>
    <w:p w:rsidR="0031069E" w:rsidRPr="0031069E" w:rsidRDefault="0031069E" w:rsidP="00570F53">
      <w:pPr>
        <w:numPr>
          <w:ilvl w:val="0"/>
          <w:numId w:val="18"/>
        </w:numPr>
        <w:spacing w:before="240" w:after="0" w:line="240" w:lineRule="auto"/>
        <w:contextualSpacing/>
        <w:jc w:val="both"/>
        <w:rPr>
          <w:rFonts w:ascii="Cambria" w:eastAsia="SimSun" w:hAnsi="Cambria" w:cs="Arial"/>
          <w:szCs w:val="24"/>
          <w:lang w:val="sq-AL"/>
        </w:rPr>
      </w:pPr>
      <w:r w:rsidRPr="0031069E">
        <w:rPr>
          <w:rFonts w:ascii="Cambria" w:eastAsia="SimSun" w:hAnsi="Cambria" w:cs="Arial"/>
          <w:szCs w:val="24"/>
          <w:lang w:val="sq-AL"/>
        </w:rPr>
        <w:t>Legalizimi, urbanizimi dhe integrimi i ndërtimeve dhe zonave informale. Rregullimi i çështjes së pronave në zbatim të ligjit 133/2015 “Për trajtimin e pronës dhe përfundimin e proçesit të kompensimit të pronave” dhe akteve nënligjore;</w:t>
      </w:r>
    </w:p>
    <w:p w:rsidR="0031069E" w:rsidRPr="0031069E" w:rsidRDefault="0031069E" w:rsidP="00570F53">
      <w:pPr>
        <w:numPr>
          <w:ilvl w:val="0"/>
          <w:numId w:val="18"/>
        </w:numPr>
        <w:spacing w:after="0" w:line="240" w:lineRule="auto"/>
        <w:contextualSpacing/>
        <w:jc w:val="both"/>
        <w:rPr>
          <w:rFonts w:ascii="Cambria" w:eastAsia="SimSun" w:hAnsi="Cambria" w:cs="Arial"/>
          <w:szCs w:val="24"/>
          <w:lang w:val="sq-AL"/>
        </w:rPr>
      </w:pPr>
      <w:r w:rsidRPr="0031069E">
        <w:rPr>
          <w:rFonts w:ascii="Cambria" w:eastAsia="SimSun" w:hAnsi="Cambria" w:cs="Arial"/>
          <w:szCs w:val="24"/>
          <w:lang w:val="sq-AL"/>
        </w:rPr>
        <w:t xml:space="preserve">Garantimi i të drejtave dhe lirive themelore të personave me liri të kufizuar në </w:t>
      </w:r>
      <w:r w:rsidR="00F6409B">
        <w:rPr>
          <w:rFonts w:ascii="Cambria" w:eastAsia="SimSun" w:hAnsi="Cambria" w:cs="Arial"/>
          <w:szCs w:val="24"/>
          <w:lang w:val="sq-AL"/>
        </w:rPr>
        <w:t xml:space="preserve">sistemin e burgjeve dhe </w:t>
      </w:r>
      <w:r w:rsidRPr="0031069E">
        <w:rPr>
          <w:rFonts w:ascii="Cambria" w:eastAsia="SimSun" w:hAnsi="Cambria" w:cs="Arial"/>
          <w:szCs w:val="24"/>
          <w:lang w:val="sq-AL"/>
        </w:rPr>
        <w:t xml:space="preserve">ri-integrimin e tyre në shoqëri;  </w:t>
      </w:r>
    </w:p>
    <w:p w:rsidR="0031069E" w:rsidRPr="0031069E" w:rsidRDefault="0031069E" w:rsidP="00570F53">
      <w:pPr>
        <w:numPr>
          <w:ilvl w:val="0"/>
          <w:numId w:val="18"/>
        </w:numPr>
        <w:spacing w:after="0" w:line="240" w:lineRule="auto"/>
        <w:contextualSpacing/>
        <w:jc w:val="both"/>
        <w:rPr>
          <w:rFonts w:ascii="Cambria" w:eastAsia="SimSun" w:hAnsi="Cambria" w:cs="Arial"/>
          <w:szCs w:val="24"/>
          <w:lang w:val="sq-AL"/>
        </w:rPr>
      </w:pPr>
      <w:r w:rsidRPr="0031069E">
        <w:rPr>
          <w:rFonts w:ascii="Cambria" w:eastAsia="SimSun" w:hAnsi="Cambria" w:cs="Arial"/>
          <w:szCs w:val="24"/>
          <w:lang w:val="sq-AL"/>
        </w:rPr>
        <w:lastRenderedPageBreak/>
        <w:t>Rritja e performancës së Shërbimit të Provës në zbatimin e kuadrit ligjor në fuqi dhe standardeve më të larta në fushën e masave alternative për realizimin e programeve sa më efikase në realizimin e rehabilitimit të të dënuarve  me masa alternative.</w:t>
      </w:r>
    </w:p>
    <w:p w:rsidR="0031069E" w:rsidRPr="0031069E" w:rsidRDefault="0031069E" w:rsidP="0031069E">
      <w:pPr>
        <w:spacing w:after="0" w:line="240" w:lineRule="auto"/>
        <w:contextualSpacing/>
        <w:jc w:val="both"/>
        <w:rPr>
          <w:rFonts w:ascii="Cambria" w:eastAsia="SimSun" w:hAnsi="Cambria" w:cs="Arial"/>
          <w:b/>
          <w:sz w:val="20"/>
          <w:lang w:val="sq-AL"/>
        </w:rPr>
      </w:pPr>
    </w:p>
    <w:p w:rsidR="0031069E" w:rsidRPr="0031069E" w:rsidRDefault="0031069E" w:rsidP="0031069E">
      <w:pPr>
        <w:spacing w:after="0" w:line="240" w:lineRule="auto"/>
        <w:contextualSpacing/>
        <w:jc w:val="both"/>
        <w:rPr>
          <w:rFonts w:ascii="Cambria" w:eastAsia="SimSun" w:hAnsi="Cambria" w:cs="Arial"/>
          <w:b/>
          <w:sz w:val="20"/>
          <w:lang w:val="sq-AL"/>
        </w:rPr>
      </w:pPr>
    </w:p>
    <w:p w:rsidR="0031069E" w:rsidRPr="0031069E" w:rsidRDefault="0031069E" w:rsidP="0031069E">
      <w:pPr>
        <w:spacing w:after="0" w:line="240" w:lineRule="auto"/>
        <w:ind w:left="360"/>
        <w:contextualSpacing/>
        <w:jc w:val="both"/>
        <w:rPr>
          <w:rFonts w:ascii="Cambria" w:eastAsia="Times New Roman" w:hAnsi="Cambria" w:cs="Arial"/>
          <w:sz w:val="20"/>
          <w:lang w:val="sq-AL"/>
        </w:rPr>
      </w:pPr>
      <w:r w:rsidRPr="0031069E">
        <w:rPr>
          <w:rFonts w:ascii="Cambria" w:eastAsia="SimSun" w:hAnsi="Cambria" w:cs="Arial"/>
          <w:b/>
          <w:sz w:val="20"/>
          <w:lang w:val="sq-AL"/>
        </w:rPr>
        <w:t>Tabela 10:</w:t>
      </w:r>
      <w:r w:rsidRPr="0031069E">
        <w:rPr>
          <w:rFonts w:ascii="Cambria" w:eastAsia="SimSun" w:hAnsi="Cambria" w:cs="Arial"/>
          <w:sz w:val="20"/>
          <w:lang w:val="sq-AL"/>
        </w:rPr>
        <w:t xml:space="preserve"> </w:t>
      </w:r>
      <w:r w:rsidRPr="0031069E">
        <w:rPr>
          <w:rFonts w:ascii="Cambria" w:eastAsia="Times New Roman" w:hAnsi="Cambria" w:cs="Arial"/>
          <w:sz w:val="20"/>
          <w:lang w:val="sq-AL"/>
        </w:rPr>
        <w:t>Shpenzimet për Ministrinë e Drejtësisë sipas programeve buxhetore dhe sipas artikujve ekonomikë</w:t>
      </w:r>
    </w:p>
    <w:p w:rsidR="0031069E" w:rsidRPr="0031069E" w:rsidRDefault="0031069E" w:rsidP="0031069E">
      <w:pPr>
        <w:spacing w:after="0" w:line="240" w:lineRule="auto"/>
        <w:ind w:left="-270"/>
        <w:contextualSpacing/>
        <w:jc w:val="both"/>
        <w:rPr>
          <w:rFonts w:ascii="Cambria" w:eastAsia="SimSun" w:hAnsi="Cambria" w:cs="Arial"/>
          <w:sz w:val="20"/>
          <w:lang w:val="sq-AL"/>
        </w:rPr>
      </w:pPr>
      <w:r w:rsidRPr="0031069E">
        <w:rPr>
          <w:noProof/>
          <w:lang w:val="en-GB" w:eastAsia="en-GB"/>
        </w:rPr>
        <w:drawing>
          <wp:inline distT="0" distB="0" distL="0" distR="0" wp14:anchorId="48A9E69A" wp14:editId="39008C1F">
            <wp:extent cx="6427310" cy="41351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37435" cy="4141634"/>
                    </a:xfrm>
                    <a:prstGeom prst="rect">
                      <a:avLst/>
                    </a:prstGeom>
                    <a:noFill/>
                    <a:ln>
                      <a:noFill/>
                    </a:ln>
                  </pic:spPr>
                </pic:pic>
              </a:graphicData>
            </a:graphic>
          </wp:inline>
        </w:drawing>
      </w:r>
    </w:p>
    <w:p w:rsidR="0031069E" w:rsidRPr="0031069E" w:rsidRDefault="0031069E" w:rsidP="0031069E">
      <w:pPr>
        <w:spacing w:after="0" w:line="240" w:lineRule="auto"/>
        <w:contextualSpacing/>
        <w:jc w:val="both"/>
        <w:rPr>
          <w:rFonts w:ascii="Cambria" w:eastAsia="SimSun" w:hAnsi="Cambria" w:cs="Arial"/>
          <w:sz w:val="24"/>
          <w:szCs w:val="24"/>
          <w:highlight w:val="yellow"/>
          <w:lang w:val="sq-AL"/>
        </w:rPr>
      </w:pPr>
    </w:p>
    <w:p w:rsidR="0031069E" w:rsidRPr="0031069E" w:rsidRDefault="0031069E" w:rsidP="00570F53">
      <w:pPr>
        <w:keepNext/>
        <w:keepLines/>
        <w:numPr>
          <w:ilvl w:val="2"/>
          <w:numId w:val="27"/>
        </w:numPr>
        <w:tabs>
          <w:tab w:val="num" w:pos="360"/>
        </w:tabs>
        <w:spacing w:before="40" w:after="0"/>
        <w:ind w:left="0" w:firstLine="0"/>
        <w:outlineLvl w:val="2"/>
        <w:rPr>
          <w:rFonts w:ascii="Times New Roman" w:eastAsia="Calibri" w:hAnsi="Times New Roman" w:cs="Times New Roman"/>
          <w:b/>
          <w:sz w:val="24"/>
          <w:szCs w:val="24"/>
          <w:lang w:val="sq-AL"/>
        </w:rPr>
      </w:pPr>
      <w:r w:rsidRPr="0031069E">
        <w:rPr>
          <w:rFonts w:ascii="Times New Roman" w:eastAsia="Calibri" w:hAnsi="Times New Roman" w:cs="Times New Roman"/>
          <w:b/>
          <w:sz w:val="24"/>
          <w:szCs w:val="24"/>
          <w:lang w:val="sq-AL"/>
        </w:rPr>
        <w:t>Përmbledhje e Treguesve Kyç të Performancës</w:t>
      </w:r>
    </w:p>
    <w:p w:rsidR="0031069E" w:rsidRPr="0031069E" w:rsidRDefault="0031069E" w:rsidP="0031069E">
      <w:pPr>
        <w:rPr>
          <w:lang w:val="sq-AL"/>
        </w:rPr>
      </w:pPr>
    </w:p>
    <w:p w:rsidR="0031069E" w:rsidRPr="0031069E" w:rsidRDefault="0031069E" w:rsidP="0031069E">
      <w:pPr>
        <w:spacing w:after="120" w:line="276" w:lineRule="auto"/>
        <w:jc w:val="both"/>
        <w:rPr>
          <w:rFonts w:ascii="Cambria" w:eastAsia="Arial" w:hAnsi="Cambria" w:cs="Arial"/>
          <w:szCs w:val="24"/>
          <w:lang w:val="sq-AL" w:eastAsia="en-GB"/>
        </w:rPr>
      </w:pPr>
      <w:r w:rsidRPr="0031069E">
        <w:rPr>
          <w:rFonts w:ascii="Cambria" w:eastAsia="Arial" w:hAnsi="Cambria" w:cs="Arial"/>
          <w:szCs w:val="24"/>
          <w:lang w:val="sq-AL" w:eastAsia="en-GB"/>
        </w:rPr>
        <w:t xml:space="preserve">Programi “Sistemi i Burgjeve” </w:t>
      </w:r>
      <w:r w:rsidRPr="0031069E">
        <w:rPr>
          <w:rFonts w:ascii="Cambria" w:eastAsia="Times New Roman" w:hAnsi="Cambria" w:cs="Arial"/>
          <w:szCs w:val="24"/>
          <w:lang w:val="sq-AL"/>
        </w:rPr>
        <w:t>synon q</w:t>
      </w:r>
      <w:r w:rsidRPr="0031069E">
        <w:rPr>
          <w:rFonts w:ascii="Cambria" w:eastAsia="Arial" w:hAnsi="Cambria" w:cs="Arial"/>
          <w:szCs w:val="24"/>
          <w:lang w:val="sq-AL" w:eastAsia="en-GB"/>
        </w:rPr>
        <w:t>ë të arrijë treguesit e mëposhtëm gjatë periudhës 2020-2022:</w:t>
      </w:r>
    </w:p>
    <w:p w:rsidR="0031069E" w:rsidRPr="0031069E" w:rsidRDefault="0031069E" w:rsidP="0031069E">
      <w:pPr>
        <w:numPr>
          <w:ilvl w:val="0"/>
          <w:numId w:val="7"/>
        </w:numPr>
        <w:spacing w:after="0" w:line="240" w:lineRule="auto"/>
        <w:contextualSpacing/>
        <w:jc w:val="both"/>
        <w:rPr>
          <w:rFonts w:ascii="Cambria" w:eastAsia="SimSun" w:hAnsi="Cambria" w:cs="Arial"/>
          <w:szCs w:val="24"/>
          <w:lang w:val="sq-AL"/>
        </w:rPr>
      </w:pPr>
      <w:r w:rsidRPr="0031069E">
        <w:rPr>
          <w:rFonts w:ascii="Cambria" w:eastAsia="SimSun" w:hAnsi="Cambria" w:cs="Arial"/>
          <w:szCs w:val="24"/>
          <w:lang w:val="sq-AL"/>
        </w:rPr>
        <w:t>Norma e recidivitetit (burra) të ketë një trend rënës nga 18% që është aktualisht;</w:t>
      </w:r>
    </w:p>
    <w:p w:rsidR="0031069E" w:rsidRPr="0031069E" w:rsidRDefault="0031069E" w:rsidP="0031069E">
      <w:pPr>
        <w:numPr>
          <w:ilvl w:val="0"/>
          <w:numId w:val="7"/>
        </w:numPr>
        <w:spacing w:after="0" w:line="240" w:lineRule="auto"/>
        <w:contextualSpacing/>
        <w:jc w:val="both"/>
        <w:rPr>
          <w:rFonts w:ascii="Cambria" w:eastAsia="SimSun" w:hAnsi="Cambria" w:cs="Arial"/>
          <w:szCs w:val="24"/>
          <w:lang w:val="sq-AL"/>
        </w:rPr>
      </w:pPr>
      <w:r w:rsidRPr="0031069E">
        <w:rPr>
          <w:rFonts w:ascii="Cambria" w:eastAsia="SimSun" w:hAnsi="Cambria" w:cs="Arial"/>
          <w:szCs w:val="24"/>
          <w:lang w:val="sq-AL"/>
        </w:rPr>
        <w:t>Norma e recidivitetit (gra) të ketë një trend rënës nga 1% që është aktualisht;</w:t>
      </w:r>
    </w:p>
    <w:p w:rsidR="0031069E" w:rsidRPr="0031069E" w:rsidRDefault="0031069E" w:rsidP="0031069E">
      <w:pPr>
        <w:numPr>
          <w:ilvl w:val="0"/>
          <w:numId w:val="7"/>
        </w:numPr>
        <w:spacing w:after="0" w:line="240" w:lineRule="auto"/>
        <w:contextualSpacing/>
        <w:jc w:val="both"/>
        <w:rPr>
          <w:rFonts w:ascii="Cambria" w:eastAsia="SimSun" w:hAnsi="Cambria" w:cs="Arial"/>
          <w:szCs w:val="24"/>
          <w:lang w:val="sq-AL"/>
        </w:rPr>
      </w:pPr>
      <w:r w:rsidRPr="0031069E">
        <w:rPr>
          <w:rFonts w:ascii="Cambria" w:eastAsia="SimSun" w:hAnsi="Cambria" w:cs="Arial"/>
          <w:szCs w:val="24"/>
          <w:lang w:val="sq-AL"/>
        </w:rPr>
        <w:t>Të dënuar që punësohen pasi fitojnë lirinë të rritet nga 10% e totalit që është aktualisht.</w:t>
      </w:r>
    </w:p>
    <w:p w:rsidR="0031069E" w:rsidRPr="0031069E" w:rsidRDefault="0031069E" w:rsidP="0031069E">
      <w:pPr>
        <w:spacing w:before="120" w:after="120" w:line="276" w:lineRule="auto"/>
        <w:jc w:val="both"/>
        <w:rPr>
          <w:rFonts w:ascii="Cambria" w:eastAsia="Arial" w:hAnsi="Cambria" w:cs="Arial"/>
          <w:szCs w:val="24"/>
          <w:lang w:val="sq-AL" w:eastAsia="en-GB"/>
        </w:rPr>
      </w:pPr>
      <w:r w:rsidRPr="0031069E">
        <w:rPr>
          <w:rFonts w:ascii="Cambria" w:eastAsia="Arial" w:hAnsi="Cambria" w:cs="Arial"/>
          <w:szCs w:val="24"/>
          <w:lang w:val="sq-AL" w:eastAsia="en-GB"/>
        </w:rPr>
        <w:t>Programi “</w:t>
      </w:r>
      <w:r w:rsidRPr="0031069E">
        <w:rPr>
          <w:rFonts w:ascii="Cambria" w:eastAsia="Times New Roman" w:hAnsi="Cambria" w:cs="Arial"/>
          <w:szCs w:val="24"/>
          <w:lang w:val="sq-AL"/>
        </w:rPr>
        <w:t>Shërbimi i Kthimit dhe Kompensimit të Provave</w:t>
      </w:r>
      <w:r w:rsidRPr="0031069E">
        <w:rPr>
          <w:rFonts w:ascii="Cambria" w:eastAsia="Arial" w:hAnsi="Cambria" w:cs="Arial"/>
          <w:szCs w:val="24"/>
          <w:lang w:val="sq-AL" w:eastAsia="en-GB"/>
        </w:rPr>
        <w:t xml:space="preserve">”, për periudhën 2020-2022, </w:t>
      </w:r>
      <w:r w:rsidRPr="0031069E">
        <w:rPr>
          <w:rFonts w:ascii="Cambria" w:eastAsia="Times New Roman" w:hAnsi="Cambria" w:cs="Arial"/>
          <w:szCs w:val="24"/>
          <w:lang w:val="sq-AL"/>
        </w:rPr>
        <w:t>synon</w:t>
      </w:r>
      <w:r w:rsidRPr="0031069E">
        <w:rPr>
          <w:rFonts w:ascii="Cambria" w:eastAsia="Arial" w:hAnsi="Cambria" w:cs="Arial"/>
          <w:szCs w:val="24"/>
          <w:lang w:val="sq-AL" w:eastAsia="en-GB"/>
        </w:rPr>
        <w:t>:</w:t>
      </w:r>
    </w:p>
    <w:p w:rsidR="0031069E" w:rsidRPr="0031069E" w:rsidRDefault="0031069E" w:rsidP="0031069E">
      <w:pPr>
        <w:numPr>
          <w:ilvl w:val="0"/>
          <w:numId w:val="8"/>
        </w:numPr>
        <w:spacing w:after="120" w:line="240" w:lineRule="auto"/>
        <w:contextualSpacing/>
        <w:jc w:val="both"/>
        <w:rPr>
          <w:rFonts w:ascii="Cambria" w:eastAsia="SimSun" w:hAnsi="Cambria" w:cs="Arial"/>
          <w:szCs w:val="24"/>
          <w:lang w:val="sq-AL"/>
        </w:rPr>
      </w:pPr>
      <w:r w:rsidRPr="0031069E">
        <w:rPr>
          <w:rFonts w:ascii="Cambria" w:eastAsia="SimSun" w:hAnsi="Cambria" w:cs="Arial"/>
          <w:szCs w:val="24"/>
          <w:lang w:val="sq-AL"/>
        </w:rPr>
        <w:t>Realizimi i skemës së shpërndarjes së Fondit Special të Kompensimit nga 800</w:t>
      </w:r>
      <w:r w:rsidR="00F6409B">
        <w:rPr>
          <w:rFonts w:ascii="Cambria" w:eastAsia="SimSun" w:hAnsi="Cambria" w:cs="Arial"/>
          <w:szCs w:val="24"/>
          <w:lang w:val="sq-AL"/>
        </w:rPr>
        <w:t xml:space="preserve"> përfitues</w:t>
      </w:r>
      <w:r w:rsidRPr="0031069E">
        <w:rPr>
          <w:rFonts w:ascii="Cambria" w:eastAsia="SimSun" w:hAnsi="Cambria" w:cs="Arial"/>
          <w:szCs w:val="24"/>
          <w:lang w:val="sq-AL"/>
        </w:rPr>
        <w:t xml:space="preserve"> që është aktualisht në 1,400 në 2022;</w:t>
      </w:r>
    </w:p>
    <w:p w:rsidR="0031069E" w:rsidRPr="0031069E" w:rsidRDefault="0031069E" w:rsidP="0031069E">
      <w:pPr>
        <w:numPr>
          <w:ilvl w:val="0"/>
          <w:numId w:val="8"/>
        </w:numPr>
        <w:spacing w:after="120" w:line="240" w:lineRule="auto"/>
        <w:contextualSpacing/>
        <w:jc w:val="both"/>
        <w:rPr>
          <w:rFonts w:ascii="Cambria" w:eastAsia="SimSun" w:hAnsi="Cambria" w:cs="Arial"/>
          <w:szCs w:val="24"/>
          <w:lang w:val="sq-AL"/>
        </w:rPr>
      </w:pPr>
      <w:r w:rsidRPr="0031069E">
        <w:rPr>
          <w:rFonts w:ascii="Cambria" w:eastAsia="SimSun" w:hAnsi="Cambria" w:cs="Arial"/>
          <w:szCs w:val="24"/>
          <w:lang w:val="sq-AL"/>
        </w:rPr>
        <w:t>Ndarja e fondit të vënë në dispozicion kundrejt subjekteve që kanë përfituar të drejtën e kompensimit duke bërë që të rritet numri subjekteve të kompensuara nga viti në vit.</w:t>
      </w:r>
    </w:p>
    <w:p w:rsidR="00C04AB3" w:rsidRDefault="00C04AB3" w:rsidP="00034D99">
      <w:pPr>
        <w:spacing w:after="120" w:line="240" w:lineRule="auto"/>
        <w:contextualSpacing/>
        <w:jc w:val="both"/>
        <w:rPr>
          <w:rFonts w:ascii="Cambria" w:eastAsia="SimSun" w:hAnsi="Cambria" w:cs="Arial"/>
          <w:szCs w:val="24"/>
          <w:lang w:val="sq-AL"/>
        </w:rPr>
      </w:pPr>
    </w:p>
    <w:p w:rsidR="00982EED" w:rsidRPr="001B35EC" w:rsidRDefault="00982EED" w:rsidP="00982EED">
      <w:pPr>
        <w:spacing w:after="120" w:line="240" w:lineRule="auto"/>
        <w:contextualSpacing/>
        <w:jc w:val="both"/>
        <w:rPr>
          <w:rFonts w:ascii="Cambria" w:eastAsia="SimSun" w:hAnsi="Cambria" w:cs="Arial"/>
          <w:szCs w:val="24"/>
          <w:lang w:val="sq-AL"/>
        </w:rPr>
      </w:pPr>
    </w:p>
    <w:p w:rsidR="00C04AB3" w:rsidRPr="00405A65" w:rsidRDefault="00C04AB3" w:rsidP="00982EED">
      <w:pPr>
        <w:pStyle w:val="Heading2"/>
        <w:rPr>
          <w:rFonts w:ascii="Cambria" w:eastAsia="Calibri" w:hAnsi="Cambria"/>
          <w:i w:val="0"/>
          <w:sz w:val="24"/>
        </w:rPr>
      </w:pPr>
      <w:bookmarkStart w:id="18" w:name="_Toc13653980"/>
      <w:r w:rsidRPr="00405A65">
        <w:rPr>
          <w:rFonts w:ascii="Cambria" w:eastAsia="Calibri" w:hAnsi="Cambria"/>
          <w:i w:val="0"/>
          <w:sz w:val="24"/>
        </w:rPr>
        <w:lastRenderedPageBreak/>
        <w:t>MINISTRIA E INFRASTRUKTURËS DHE ENERGJISË</w:t>
      </w:r>
      <w:bookmarkEnd w:id="18"/>
    </w:p>
    <w:p w:rsidR="00DC669F" w:rsidRPr="00DC669F" w:rsidRDefault="00DC669F" w:rsidP="00DC669F">
      <w:pPr>
        <w:spacing w:after="0" w:line="264" w:lineRule="auto"/>
        <w:jc w:val="both"/>
        <w:rPr>
          <w:rFonts w:ascii="Cambria" w:eastAsia="Times New Roman" w:hAnsi="Cambria" w:cs="Times New Roman"/>
          <w:color w:val="0070C0"/>
          <w:u w:val="single"/>
          <w:lang w:val="en-GB" w:eastAsia="sr-Latn-CS"/>
        </w:rPr>
      </w:pPr>
    </w:p>
    <w:p w:rsidR="00DC669F" w:rsidRPr="00DC669F" w:rsidRDefault="00DC669F" w:rsidP="00DC669F">
      <w:pPr>
        <w:jc w:val="both"/>
        <w:rPr>
          <w:rFonts w:ascii="Cambria" w:eastAsia="Calibri" w:hAnsi="Cambria" w:cs="Times New Roman"/>
          <w:lang w:val="sq-AL"/>
        </w:rPr>
      </w:pPr>
      <w:r w:rsidRPr="00DC669F">
        <w:rPr>
          <w:rFonts w:ascii="Cambria" w:eastAsia="Calibri" w:hAnsi="Cambria" w:cs="Times New Roman"/>
          <w:lang w:val="sq-AL"/>
        </w:rPr>
        <w:t>Misioni i Ministrisë së Infrastrukturës dhe Energjisë është hartimi, zbatimi dhe monitorimi i politikave shtetërore, programeve, normave dhe standarteve të përcaktuara kombëtare, në funksion të zhvillimit të sektorit të planifikimit dhe zhvillimit urban, në infrastrukturën rrugore dhe transportin detar, hekurudhor dhe ajror, ujësjellës kanalizime, në sektorin e telekomunikacionit e shërbimin postar, në sektorin e energjisë, shfrytëzimit të burimeve energjike e minerare dhe në sektorin e industrisë, me synim rritjen e vazhdueshme të mirëqënies së qytetarëve, sigurimin e një zhvillimi të qëndrueshëm dhe promovues për investimet private dhe rritjen ekonomike, zhvillimin e hapësirës së lirë private si dhe</w:t>
      </w:r>
      <w:r w:rsidR="00772340">
        <w:rPr>
          <w:rFonts w:ascii="Cambria" w:eastAsia="Calibri" w:hAnsi="Cambria" w:cs="Times New Roman"/>
          <w:lang w:val="sq-AL"/>
        </w:rPr>
        <w:t>,</w:t>
      </w:r>
      <w:r w:rsidRPr="00DC669F">
        <w:rPr>
          <w:rFonts w:ascii="Cambria" w:eastAsia="Calibri" w:hAnsi="Cambria" w:cs="Times New Roman"/>
          <w:lang w:val="sq-AL"/>
        </w:rPr>
        <w:t xml:space="preserve"> krijimin e kushteve për një konkurrencë të drejtë ndërmjet llojeve të transportit dhe sistemit të licencimit, duke përdorur burimet e disponueshme me efiçencë dhe efektivitet.</w:t>
      </w:r>
    </w:p>
    <w:p w:rsidR="00DC669F" w:rsidRPr="00DC669F" w:rsidRDefault="00BD0979" w:rsidP="00DC669F">
      <w:pPr>
        <w:jc w:val="both"/>
        <w:rPr>
          <w:rFonts w:ascii="Cambria" w:eastAsia="Calibri" w:hAnsi="Cambria" w:cs="Times New Roman"/>
          <w:lang w:val="sq-AL"/>
        </w:rPr>
      </w:pPr>
      <w:r>
        <w:rPr>
          <w:rFonts w:ascii="Cambria" w:eastAsia="Calibri" w:hAnsi="Cambria" w:cs="Times New Roman"/>
          <w:lang w:val="sq-AL"/>
        </w:rPr>
        <w:t>Për periudhën 2020-2022</w:t>
      </w:r>
      <w:r w:rsidR="00DC669F" w:rsidRPr="00DC669F">
        <w:rPr>
          <w:rFonts w:ascii="Cambria" w:eastAsia="Calibri" w:hAnsi="Cambria" w:cs="Times New Roman"/>
          <w:lang w:val="sq-AL"/>
        </w:rPr>
        <w:t>, Ministria e Infrastrukturës dhe Energjisë do të përmbushë objektivat e synuar përmes fondeve buxhetore të alokuara sipas tabelës së mëposhtme:</w:t>
      </w:r>
    </w:p>
    <w:p w:rsidR="00DC669F" w:rsidRPr="00DC669F" w:rsidRDefault="00DC669F" w:rsidP="00DC669F">
      <w:pPr>
        <w:contextualSpacing/>
        <w:jc w:val="both"/>
        <w:rPr>
          <w:rFonts w:ascii="Cambria" w:eastAsia="Calibri" w:hAnsi="Cambria" w:cs="Times New Roman"/>
          <w:sz w:val="20"/>
          <w:lang w:val="sq-AL"/>
        </w:rPr>
      </w:pPr>
      <w:r w:rsidRPr="00553F36">
        <w:rPr>
          <w:rFonts w:ascii="Cambria" w:eastAsia="Calibri" w:hAnsi="Cambria" w:cs="Times New Roman"/>
          <w:b/>
          <w:sz w:val="20"/>
          <w:lang w:val="sq-AL"/>
        </w:rPr>
        <w:t>Tabela 11</w:t>
      </w:r>
      <w:r w:rsidRPr="00553F36">
        <w:rPr>
          <w:rFonts w:ascii="Cambria" w:eastAsia="Calibri" w:hAnsi="Cambria" w:cs="Times New Roman"/>
          <w:sz w:val="20"/>
          <w:lang w:val="sq-AL"/>
        </w:rPr>
        <w:t xml:space="preserve">: </w:t>
      </w:r>
      <w:r w:rsidRPr="00553F36">
        <w:rPr>
          <w:rFonts w:ascii="Cambria" w:eastAsia="Times New Roman" w:hAnsi="Cambria" w:cs="Arial"/>
          <w:sz w:val="20"/>
          <w:lang w:val="sq-AL"/>
        </w:rPr>
        <w:t>Shpenzimet për Ministrinë e Infrastruk</w:t>
      </w:r>
      <w:r w:rsidR="00BD0979">
        <w:rPr>
          <w:rFonts w:ascii="Cambria" w:eastAsia="Times New Roman" w:hAnsi="Cambria" w:cs="Arial"/>
          <w:sz w:val="20"/>
          <w:lang w:val="sq-AL"/>
        </w:rPr>
        <w:t>turës dhe Energjisë për PBA 2020-2022</w:t>
      </w:r>
    </w:p>
    <w:tbl>
      <w:tblPr>
        <w:tblStyle w:val="GridTable5Dark-Accent51"/>
        <w:tblW w:w="7760" w:type="dxa"/>
        <w:jc w:val="center"/>
        <w:tblLook w:val="04A0" w:firstRow="1" w:lastRow="0" w:firstColumn="1" w:lastColumn="0" w:noHBand="0" w:noVBand="1"/>
      </w:tblPr>
      <w:tblGrid>
        <w:gridCol w:w="2980"/>
        <w:gridCol w:w="1186"/>
        <w:gridCol w:w="1198"/>
        <w:gridCol w:w="1198"/>
        <w:gridCol w:w="1198"/>
      </w:tblGrid>
      <w:tr w:rsidR="00DC669F" w:rsidRPr="00DC669F" w:rsidTr="00F7609B">
        <w:trPr>
          <w:cnfStyle w:val="100000000000" w:firstRow="1" w:lastRow="0" w:firstColumn="0" w:lastColumn="0" w:oddVBand="0" w:evenVBand="0" w:oddHBand="0"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7760" w:type="dxa"/>
            <w:gridSpan w:val="5"/>
            <w:vAlign w:val="center"/>
            <w:hideMark/>
          </w:tcPr>
          <w:p w:rsidR="00DC669F" w:rsidRPr="00DC669F" w:rsidRDefault="00DC669F" w:rsidP="00DC669F">
            <w:pPr>
              <w:jc w:val="center"/>
              <w:rPr>
                <w:rFonts w:ascii="Cambria" w:eastAsia="Times New Roman" w:hAnsi="Cambria" w:cs="Arial"/>
                <w:b w:val="0"/>
                <w:color w:val="FFFFFF"/>
                <w:lang w:val="sq-AL"/>
              </w:rPr>
            </w:pPr>
            <w:r w:rsidRPr="00DC669F">
              <w:rPr>
                <w:rFonts w:ascii="Cambria" w:eastAsia="Times New Roman" w:hAnsi="Cambria" w:cs="Arial"/>
                <w:b w:val="0"/>
                <w:color w:val="FFFFFF"/>
                <w:lang w:val="sq-AL"/>
              </w:rPr>
              <w:t>Shpenzimet për Ministrinë e Infrastrukturës dhe Energjisë për P</w:t>
            </w:r>
            <w:r w:rsidR="00DA2538">
              <w:rPr>
                <w:rFonts w:ascii="Cambria" w:eastAsia="Times New Roman" w:hAnsi="Cambria" w:cs="Arial"/>
                <w:b w:val="0"/>
                <w:color w:val="FFFFFF"/>
                <w:lang w:val="sq-AL"/>
              </w:rPr>
              <w:t>BA 2020-2022</w:t>
            </w:r>
          </w:p>
        </w:tc>
      </w:tr>
      <w:tr w:rsidR="00DC669F" w:rsidRPr="00DC669F" w:rsidTr="00F7609B">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rsidR="00DC669F" w:rsidRPr="00DC669F" w:rsidRDefault="00DC669F" w:rsidP="00DC669F">
            <w:pPr>
              <w:jc w:val="center"/>
              <w:rPr>
                <w:rFonts w:ascii="Cambria" w:eastAsia="Times New Roman" w:hAnsi="Cambria" w:cs="Arial"/>
                <w:color w:val="2E74B5"/>
                <w:lang w:val="sq-AL"/>
              </w:rPr>
            </w:pPr>
          </w:p>
        </w:tc>
        <w:tc>
          <w:tcPr>
            <w:tcW w:w="4780" w:type="dxa"/>
            <w:gridSpan w:val="4"/>
            <w:noWrap/>
            <w:hideMark/>
          </w:tcPr>
          <w:p w:rsidR="00DC669F" w:rsidRPr="00DC669F" w:rsidRDefault="00DC669F"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lang w:val="sq-AL"/>
              </w:rPr>
            </w:pPr>
            <w:r w:rsidRPr="00DC669F">
              <w:rPr>
                <w:rFonts w:ascii="Cambria" w:eastAsia="Times New Roman" w:hAnsi="Cambria" w:cs="Arial"/>
                <w:b/>
                <w:bCs/>
                <w:color w:val="2E74B5"/>
                <w:lang w:val="sq-AL"/>
              </w:rPr>
              <w:t xml:space="preserve">Shpenzimet totale </w:t>
            </w:r>
          </w:p>
        </w:tc>
      </w:tr>
      <w:tr w:rsidR="00DC669F" w:rsidRPr="00DC669F" w:rsidTr="00F7609B">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hideMark/>
          </w:tcPr>
          <w:p w:rsidR="00DC669F" w:rsidRPr="00DC669F" w:rsidRDefault="00DC669F" w:rsidP="00DC669F">
            <w:pPr>
              <w:rPr>
                <w:rFonts w:ascii="Cambria" w:eastAsia="Times New Roman" w:hAnsi="Cambria" w:cs="Arial"/>
                <w:b w:val="0"/>
                <w:color w:val="000080"/>
                <w:lang w:val="sq-AL"/>
              </w:rPr>
            </w:pPr>
          </w:p>
        </w:tc>
        <w:tc>
          <w:tcPr>
            <w:tcW w:w="1186" w:type="dxa"/>
            <w:noWrap/>
            <w:hideMark/>
          </w:tcPr>
          <w:p w:rsidR="00DC669F" w:rsidRPr="00F6409B" w:rsidRDefault="00DA2538"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lang w:val="sq-AL"/>
              </w:rPr>
            </w:pPr>
            <w:r w:rsidRPr="00F6409B">
              <w:rPr>
                <w:rFonts w:ascii="Cambria" w:eastAsia="Times New Roman" w:hAnsi="Cambria" w:cs="Arial"/>
                <w:b/>
                <w:bCs/>
                <w:color w:val="2E74B5"/>
                <w:lang w:val="sq-AL"/>
              </w:rPr>
              <w:t>Buxheti 2019</w:t>
            </w:r>
            <w:r w:rsidR="0055038C" w:rsidRPr="00F6409B">
              <w:rPr>
                <w:rFonts w:ascii="Cambria" w:eastAsia="Times New Roman" w:hAnsi="Cambria" w:cs="Arial"/>
                <w:b/>
                <w:bCs/>
                <w:color w:val="2E74B5"/>
                <w:lang w:val="sq-AL"/>
              </w:rPr>
              <w:t xml:space="preserve"> </w:t>
            </w:r>
          </w:p>
        </w:tc>
        <w:tc>
          <w:tcPr>
            <w:tcW w:w="1198" w:type="dxa"/>
            <w:noWrap/>
            <w:hideMark/>
          </w:tcPr>
          <w:p w:rsidR="00DC669F" w:rsidRPr="00F6409B" w:rsidRDefault="00DA2538"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lang w:val="sq-AL"/>
              </w:rPr>
            </w:pPr>
            <w:r w:rsidRPr="00F6409B">
              <w:rPr>
                <w:rFonts w:ascii="Cambria" w:eastAsia="Times New Roman" w:hAnsi="Cambria" w:cs="Arial"/>
                <w:b/>
                <w:bCs/>
                <w:color w:val="2E74B5"/>
                <w:lang w:val="sq-AL"/>
              </w:rPr>
              <w:t>Buxheti 2020</w:t>
            </w:r>
          </w:p>
        </w:tc>
        <w:tc>
          <w:tcPr>
            <w:tcW w:w="1198" w:type="dxa"/>
            <w:noWrap/>
            <w:hideMark/>
          </w:tcPr>
          <w:p w:rsidR="00DC669F" w:rsidRPr="00F6409B" w:rsidRDefault="00DA2538"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lang w:val="sq-AL"/>
              </w:rPr>
            </w:pPr>
            <w:r w:rsidRPr="00F6409B">
              <w:rPr>
                <w:rFonts w:ascii="Cambria" w:eastAsia="Times New Roman" w:hAnsi="Cambria" w:cs="Arial"/>
                <w:b/>
                <w:bCs/>
                <w:color w:val="2E74B5"/>
                <w:lang w:val="sq-AL"/>
              </w:rPr>
              <w:t>Buxheti 2021</w:t>
            </w:r>
          </w:p>
        </w:tc>
        <w:tc>
          <w:tcPr>
            <w:tcW w:w="1198" w:type="dxa"/>
            <w:noWrap/>
            <w:hideMark/>
          </w:tcPr>
          <w:p w:rsidR="00DC669F" w:rsidRPr="00F6409B" w:rsidRDefault="00DA2538"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lang w:val="sq-AL"/>
              </w:rPr>
            </w:pPr>
            <w:r w:rsidRPr="00F6409B">
              <w:rPr>
                <w:rFonts w:ascii="Cambria" w:eastAsia="Times New Roman" w:hAnsi="Cambria" w:cs="Arial"/>
                <w:b/>
                <w:bCs/>
                <w:color w:val="2E74B5"/>
                <w:lang w:val="sq-AL"/>
              </w:rPr>
              <w:t>Buxheti 2022</w:t>
            </w:r>
          </w:p>
        </w:tc>
      </w:tr>
      <w:tr w:rsidR="00DC669F" w:rsidRPr="00DC669F" w:rsidTr="00F7609B">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vAlign w:val="center"/>
          </w:tcPr>
          <w:p w:rsidR="00DC669F" w:rsidRPr="00DC669F" w:rsidRDefault="00DC669F" w:rsidP="00DC669F">
            <w:pPr>
              <w:rPr>
                <w:rFonts w:ascii="Cambria" w:eastAsia="Times New Roman" w:hAnsi="Cambria" w:cs="Arial"/>
                <w:color w:val="FFFFFF"/>
                <w:lang w:val="sq-AL"/>
              </w:rPr>
            </w:pPr>
            <w:r w:rsidRPr="00DC669F">
              <w:rPr>
                <w:rFonts w:ascii="Cambria" w:eastAsia="Times New Roman" w:hAnsi="Cambria" w:cs="Arial"/>
                <w:b w:val="0"/>
                <w:color w:val="FFFFFF"/>
                <w:lang w:val="sq-AL"/>
              </w:rPr>
              <w:t>në milion lek</w:t>
            </w:r>
          </w:p>
        </w:tc>
        <w:tc>
          <w:tcPr>
            <w:tcW w:w="1186" w:type="dxa"/>
            <w:noWrap/>
            <w:vAlign w:val="center"/>
          </w:tcPr>
          <w:p w:rsidR="00DC669F" w:rsidRPr="00DC669F" w:rsidRDefault="00DC669F"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sidRPr="00DC669F">
              <w:rPr>
                <w:rFonts w:ascii="Cambria" w:eastAsia="Times New Roman" w:hAnsi="Cambria" w:cs="Arial"/>
                <w:lang w:val="sq-AL"/>
              </w:rPr>
              <w:t>4</w:t>
            </w:r>
            <w:r w:rsidR="00B50A95">
              <w:rPr>
                <w:rFonts w:ascii="Cambria" w:eastAsia="Times New Roman" w:hAnsi="Cambria" w:cs="Arial"/>
                <w:lang w:val="sq-AL"/>
              </w:rPr>
              <w:t>6,703</w:t>
            </w:r>
          </w:p>
        </w:tc>
        <w:tc>
          <w:tcPr>
            <w:tcW w:w="1198" w:type="dxa"/>
            <w:noWrap/>
            <w:vAlign w:val="center"/>
          </w:tcPr>
          <w:p w:rsidR="00DC669F" w:rsidRPr="00DC669F" w:rsidRDefault="00B50A95"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51,467</w:t>
            </w:r>
          </w:p>
        </w:tc>
        <w:tc>
          <w:tcPr>
            <w:tcW w:w="1198" w:type="dxa"/>
            <w:noWrap/>
            <w:vAlign w:val="center"/>
          </w:tcPr>
          <w:p w:rsidR="00DC669F" w:rsidRPr="00DC669F" w:rsidRDefault="00B50A95"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54,761</w:t>
            </w:r>
          </w:p>
        </w:tc>
        <w:tc>
          <w:tcPr>
            <w:tcW w:w="1198" w:type="dxa"/>
            <w:noWrap/>
            <w:vAlign w:val="center"/>
          </w:tcPr>
          <w:p w:rsidR="00DC669F" w:rsidRPr="00DC669F" w:rsidRDefault="00B50A95"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55,591</w:t>
            </w:r>
          </w:p>
        </w:tc>
      </w:tr>
      <w:tr w:rsidR="00DC669F" w:rsidRPr="00DC669F" w:rsidTr="00F7609B">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vAlign w:val="center"/>
            <w:hideMark/>
          </w:tcPr>
          <w:p w:rsidR="00DC669F" w:rsidRPr="00DC669F" w:rsidRDefault="00DC669F" w:rsidP="00DC669F">
            <w:pPr>
              <w:rPr>
                <w:rFonts w:ascii="Cambria" w:eastAsia="Times New Roman" w:hAnsi="Cambria" w:cs="Arial"/>
                <w:b w:val="0"/>
                <w:color w:val="FFFFFF"/>
                <w:lang w:val="sq-AL"/>
              </w:rPr>
            </w:pPr>
            <w:r w:rsidRPr="00DC669F">
              <w:rPr>
                <w:rFonts w:ascii="Cambria" w:eastAsia="Times New Roman" w:hAnsi="Cambria" w:cs="Arial"/>
                <w:b w:val="0"/>
                <w:color w:val="FFFFFF"/>
                <w:lang w:val="sq-AL"/>
              </w:rPr>
              <w:t>% ndaj PBB</w:t>
            </w:r>
          </w:p>
        </w:tc>
        <w:tc>
          <w:tcPr>
            <w:tcW w:w="1186" w:type="dxa"/>
            <w:noWrap/>
            <w:vAlign w:val="center"/>
            <w:hideMark/>
          </w:tcPr>
          <w:p w:rsidR="00DC669F" w:rsidRPr="00DC669F" w:rsidRDefault="00B50A95"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2.66</w:t>
            </w:r>
            <w:r w:rsidR="00DC669F" w:rsidRPr="00DC669F">
              <w:rPr>
                <w:rFonts w:ascii="Cambria" w:eastAsia="Times New Roman" w:hAnsi="Cambria" w:cs="Arial"/>
                <w:lang w:val="sq-AL"/>
              </w:rPr>
              <w:t>%</w:t>
            </w:r>
          </w:p>
        </w:tc>
        <w:tc>
          <w:tcPr>
            <w:tcW w:w="1198" w:type="dxa"/>
            <w:noWrap/>
            <w:vAlign w:val="center"/>
            <w:hideMark/>
          </w:tcPr>
          <w:p w:rsidR="00DC669F" w:rsidRPr="00DC669F" w:rsidRDefault="00B50A95"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2.75</w:t>
            </w:r>
            <w:r w:rsidR="00DC669F" w:rsidRPr="00DC669F">
              <w:rPr>
                <w:rFonts w:ascii="Cambria" w:eastAsia="Times New Roman" w:hAnsi="Cambria" w:cs="Arial"/>
                <w:lang w:val="sq-AL"/>
              </w:rPr>
              <w:t>%</w:t>
            </w:r>
          </w:p>
        </w:tc>
        <w:tc>
          <w:tcPr>
            <w:tcW w:w="1198" w:type="dxa"/>
            <w:noWrap/>
            <w:vAlign w:val="center"/>
            <w:hideMark/>
          </w:tcPr>
          <w:p w:rsidR="00DC669F" w:rsidRPr="00DC669F" w:rsidRDefault="00B50A95"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2.74</w:t>
            </w:r>
            <w:r w:rsidR="00DC669F" w:rsidRPr="00DC669F">
              <w:rPr>
                <w:rFonts w:ascii="Cambria" w:eastAsia="Times New Roman" w:hAnsi="Cambria" w:cs="Arial"/>
                <w:lang w:val="sq-AL"/>
              </w:rPr>
              <w:t>%</w:t>
            </w:r>
          </w:p>
        </w:tc>
        <w:tc>
          <w:tcPr>
            <w:tcW w:w="1198" w:type="dxa"/>
            <w:noWrap/>
            <w:vAlign w:val="center"/>
            <w:hideMark/>
          </w:tcPr>
          <w:p w:rsidR="00DC669F" w:rsidRPr="00DC669F" w:rsidRDefault="00B50A95"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2.62</w:t>
            </w:r>
            <w:r w:rsidR="00DC669F" w:rsidRPr="00DC669F">
              <w:rPr>
                <w:rFonts w:ascii="Cambria" w:eastAsia="Times New Roman" w:hAnsi="Cambria" w:cs="Arial"/>
                <w:lang w:val="sq-AL"/>
              </w:rPr>
              <w:t>%</w:t>
            </w:r>
          </w:p>
        </w:tc>
      </w:tr>
      <w:tr w:rsidR="00DC669F" w:rsidRPr="00DC669F" w:rsidTr="00F7609B">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vAlign w:val="center"/>
          </w:tcPr>
          <w:p w:rsidR="00DC669F" w:rsidRPr="00DC669F" w:rsidRDefault="00DC669F" w:rsidP="00DC669F">
            <w:pPr>
              <w:rPr>
                <w:rFonts w:ascii="Cambria" w:eastAsia="Times New Roman" w:hAnsi="Cambria" w:cs="Arial"/>
                <w:b w:val="0"/>
                <w:color w:val="FFFFFF"/>
                <w:lang w:val="sq-AL"/>
              </w:rPr>
            </w:pPr>
            <w:r w:rsidRPr="00DC669F">
              <w:rPr>
                <w:rFonts w:ascii="Cambria" w:eastAsia="Times New Roman" w:hAnsi="Cambria" w:cs="Arial"/>
                <w:b w:val="0"/>
                <w:color w:val="FFFFFF"/>
                <w:lang w:val="sq-AL"/>
              </w:rPr>
              <w:t>% ndaj totalit të Shpenzimeve Buxhetore</w:t>
            </w:r>
          </w:p>
        </w:tc>
        <w:tc>
          <w:tcPr>
            <w:tcW w:w="1186" w:type="dxa"/>
            <w:noWrap/>
            <w:vAlign w:val="center"/>
          </w:tcPr>
          <w:p w:rsidR="00DC669F" w:rsidRPr="00DC669F" w:rsidRDefault="00B50A95"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8.98</w:t>
            </w:r>
            <w:r w:rsidR="00DC669F" w:rsidRPr="00DC669F">
              <w:rPr>
                <w:rFonts w:ascii="Cambria" w:eastAsia="Times New Roman" w:hAnsi="Cambria" w:cs="Arial"/>
                <w:lang w:val="sq-AL"/>
              </w:rPr>
              <w:t>%</w:t>
            </w:r>
          </w:p>
        </w:tc>
        <w:tc>
          <w:tcPr>
            <w:tcW w:w="1198" w:type="dxa"/>
            <w:noWrap/>
            <w:vAlign w:val="center"/>
          </w:tcPr>
          <w:p w:rsidR="00DC669F" w:rsidRPr="00DC669F" w:rsidRDefault="00B50A95"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9.38</w:t>
            </w:r>
            <w:r w:rsidR="00DC669F" w:rsidRPr="00DC669F">
              <w:rPr>
                <w:rFonts w:ascii="Cambria" w:eastAsia="Times New Roman" w:hAnsi="Cambria" w:cs="Arial"/>
                <w:lang w:val="sq-AL"/>
              </w:rPr>
              <w:t>%</w:t>
            </w:r>
          </w:p>
        </w:tc>
        <w:tc>
          <w:tcPr>
            <w:tcW w:w="1198" w:type="dxa"/>
            <w:noWrap/>
            <w:vAlign w:val="center"/>
          </w:tcPr>
          <w:p w:rsidR="00DC669F" w:rsidRPr="00DC669F" w:rsidRDefault="00B50A95"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9.46</w:t>
            </w:r>
            <w:r w:rsidR="00DC669F" w:rsidRPr="00DC669F">
              <w:rPr>
                <w:rFonts w:ascii="Cambria" w:eastAsia="Times New Roman" w:hAnsi="Cambria" w:cs="Arial"/>
                <w:lang w:val="sq-AL"/>
              </w:rPr>
              <w:t>%</w:t>
            </w:r>
          </w:p>
        </w:tc>
        <w:tc>
          <w:tcPr>
            <w:tcW w:w="1198" w:type="dxa"/>
            <w:noWrap/>
            <w:vAlign w:val="center"/>
          </w:tcPr>
          <w:p w:rsidR="00DC669F" w:rsidRPr="00DC669F" w:rsidRDefault="00B50A95"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9.10</w:t>
            </w:r>
            <w:r w:rsidR="00DC669F" w:rsidRPr="00DC669F">
              <w:rPr>
                <w:rFonts w:ascii="Cambria" w:eastAsia="Times New Roman" w:hAnsi="Cambria" w:cs="Arial"/>
                <w:lang w:val="sq-AL"/>
              </w:rPr>
              <w:t>%</w:t>
            </w:r>
          </w:p>
        </w:tc>
      </w:tr>
    </w:tbl>
    <w:p w:rsidR="00DC669F" w:rsidRPr="00DC669F" w:rsidRDefault="00DC669F" w:rsidP="00DC669F">
      <w:pPr>
        <w:spacing w:after="0" w:line="264" w:lineRule="auto"/>
        <w:jc w:val="both"/>
        <w:rPr>
          <w:rFonts w:ascii="Cambria" w:eastAsia="Times New Roman" w:hAnsi="Cambria" w:cs="Times New Roman"/>
          <w:u w:val="single"/>
          <w:lang w:eastAsia="sr-Latn-CS"/>
        </w:rPr>
      </w:pPr>
    </w:p>
    <w:p w:rsidR="00DC669F" w:rsidRPr="00DC669F" w:rsidRDefault="00DC669F" w:rsidP="00DC669F">
      <w:pPr>
        <w:tabs>
          <w:tab w:val="left" w:pos="630"/>
        </w:tabs>
        <w:spacing w:after="0" w:line="264" w:lineRule="auto"/>
        <w:ind w:left="720"/>
        <w:rPr>
          <w:rFonts w:ascii="Cambria" w:eastAsia="Calibri" w:hAnsi="Cambria" w:cs="Times New Roman"/>
          <w:b/>
        </w:rPr>
      </w:pPr>
      <w:r>
        <w:rPr>
          <w:rFonts w:ascii="Cambria" w:eastAsia="Calibri" w:hAnsi="Cambria" w:cs="Times New Roman"/>
          <w:b/>
        </w:rPr>
        <w:t xml:space="preserve">3.5.1 </w:t>
      </w:r>
      <w:r w:rsidRPr="00DC669F">
        <w:rPr>
          <w:rFonts w:ascii="Cambria" w:eastAsia="Calibri" w:hAnsi="Cambria" w:cs="Times New Roman"/>
          <w:b/>
        </w:rPr>
        <w:t xml:space="preserve">Prioritetet për </w:t>
      </w:r>
      <w:r w:rsidR="00DA2538">
        <w:rPr>
          <w:rFonts w:ascii="Cambria" w:eastAsia="Calibri" w:hAnsi="Cambria" w:cs="Times New Roman"/>
          <w:b/>
        </w:rPr>
        <w:t>periudhën 2020-2022</w:t>
      </w:r>
    </w:p>
    <w:p w:rsidR="00DC669F" w:rsidRPr="00DC669F" w:rsidRDefault="00DC669F" w:rsidP="00DC669F">
      <w:pPr>
        <w:spacing w:after="0" w:line="264" w:lineRule="auto"/>
        <w:rPr>
          <w:rFonts w:ascii="Cambria" w:eastAsia="Times New Roman" w:hAnsi="Cambria" w:cs="Times New Roman"/>
          <w:b/>
          <w:color w:val="0070C0"/>
          <w:lang w:eastAsia="sr-Latn-CS"/>
        </w:rPr>
      </w:pPr>
    </w:p>
    <w:p w:rsidR="00DC669F" w:rsidRDefault="00DC669F" w:rsidP="00570F53">
      <w:pPr>
        <w:numPr>
          <w:ilvl w:val="0"/>
          <w:numId w:val="19"/>
        </w:numPr>
        <w:spacing w:after="200" w:line="276" w:lineRule="auto"/>
        <w:contextualSpacing/>
        <w:jc w:val="both"/>
        <w:rPr>
          <w:rFonts w:ascii="Cambria" w:eastAsia="Calibri" w:hAnsi="Cambria" w:cs="Times New Roman"/>
          <w:lang w:val="sq-AL"/>
        </w:rPr>
      </w:pPr>
      <w:r w:rsidRPr="00DC669F">
        <w:rPr>
          <w:rFonts w:ascii="Cambria" w:eastAsia="Calibri" w:hAnsi="Cambria" w:cs="Times New Roman"/>
          <w:lang w:val="sq-AL"/>
        </w:rPr>
        <w:t>Zgjerimi i rrjetit të rrugëve kombëtare  nëpërmjet, ndërtimit, rehabilitimit dhe sistemimit të rrugëve kombëtare dhe përveç kësaj kalimin në praktikat e mirëmbajtjes së rrugëve bazuar në performancë;</w:t>
      </w:r>
    </w:p>
    <w:p w:rsidR="00163849" w:rsidRPr="00DC669F" w:rsidRDefault="00163849" w:rsidP="00570F53">
      <w:pPr>
        <w:numPr>
          <w:ilvl w:val="0"/>
          <w:numId w:val="19"/>
        </w:numPr>
        <w:spacing w:after="200" w:line="276" w:lineRule="auto"/>
        <w:contextualSpacing/>
        <w:jc w:val="both"/>
        <w:rPr>
          <w:rFonts w:ascii="Cambria" w:eastAsia="Calibri" w:hAnsi="Cambria" w:cs="Times New Roman"/>
          <w:lang w:val="sq-AL"/>
        </w:rPr>
      </w:pPr>
      <w:r w:rsidRPr="00F6409B">
        <w:rPr>
          <w:rFonts w:ascii="Cambria" w:eastAsia="Calibri" w:hAnsi="Cambria" w:cs="Times New Roman"/>
          <w:lang w:val="sq-AL"/>
        </w:rPr>
        <w:t>Bazuar në objektivin e përgjithshëm të Strategjisë Sektoriale të Transportit dhe Planit të Veprimit 2016-2020, synon: (i) të zhvillojë më tej sistemin kombëtar të transportit, (ii) të përmirësojë ndjeshëm qëndrueshmërinë, ndërlidhjen, ndërveprimin dhe integrimin e tij më gjerë, me sistemin ndërkombëtar dhe evropian të transpo</w:t>
      </w:r>
      <w:r w:rsidR="005171AA" w:rsidRPr="00F6409B">
        <w:rPr>
          <w:rFonts w:ascii="Cambria" w:eastAsia="Calibri" w:hAnsi="Cambria" w:cs="Times New Roman"/>
          <w:lang w:val="sq-AL"/>
        </w:rPr>
        <w:t>rtit dhe rajonin;</w:t>
      </w:r>
    </w:p>
    <w:p w:rsidR="00DC669F" w:rsidRPr="00DC669F" w:rsidRDefault="00DC669F" w:rsidP="00570F53">
      <w:pPr>
        <w:numPr>
          <w:ilvl w:val="0"/>
          <w:numId w:val="19"/>
        </w:numPr>
        <w:spacing w:after="200" w:line="276" w:lineRule="auto"/>
        <w:contextualSpacing/>
        <w:jc w:val="both"/>
        <w:rPr>
          <w:rFonts w:ascii="Cambria" w:eastAsia="Calibri" w:hAnsi="Cambria" w:cs="Times New Roman"/>
          <w:lang w:val="sq-AL"/>
        </w:rPr>
      </w:pPr>
      <w:r w:rsidRPr="00DC669F">
        <w:rPr>
          <w:rFonts w:ascii="Cambria" w:eastAsia="Calibri" w:hAnsi="Cambria" w:cs="Times New Roman"/>
          <w:lang w:val="sq-AL"/>
        </w:rPr>
        <w:t>Zgjerimi i aksesit dhe cilësisë së shërbimit të ujit të pijshëm dhe kanalizimeve përmes: (i) një portofoli të investimeve publike; dhe (ii) përmirësimit rrënjësor të menaxhimit të shoqërive aksionere të ujësjellës kanalizimeve, duke standartizuar parimet e qeverisjes së sektorit;</w:t>
      </w:r>
    </w:p>
    <w:p w:rsidR="00DC669F" w:rsidRPr="00DC669F" w:rsidRDefault="00DC669F" w:rsidP="00570F53">
      <w:pPr>
        <w:numPr>
          <w:ilvl w:val="0"/>
          <w:numId w:val="19"/>
        </w:numPr>
        <w:spacing w:after="200" w:line="276" w:lineRule="auto"/>
        <w:contextualSpacing/>
        <w:jc w:val="both"/>
        <w:rPr>
          <w:rFonts w:ascii="Cambria" w:eastAsia="Calibri" w:hAnsi="Cambria" w:cs="Times New Roman"/>
          <w:lang w:val="sq-AL"/>
        </w:rPr>
      </w:pPr>
      <w:r w:rsidRPr="00DC669F">
        <w:rPr>
          <w:rFonts w:ascii="Cambria" w:eastAsia="Calibri" w:hAnsi="Cambria" w:cs="Times New Roman"/>
          <w:lang w:val="sq-AL"/>
        </w:rPr>
        <w:t>Rritja e efiçencës së energjisë  kundrejt konsumit të përgjithshëm final të energjisë nëpërmjet shqyrtimit të programeve për promovimin e tregut, për penetrimin e teknologjive të përparuara  si dhe rritjen e përdorimit të energjive të rinovu</w:t>
      </w:r>
      <w:r w:rsidR="00F6409B">
        <w:rPr>
          <w:rFonts w:ascii="Cambria" w:eastAsia="Calibri" w:hAnsi="Cambria" w:cs="Times New Roman"/>
          <w:lang w:val="sq-AL"/>
        </w:rPr>
        <w:t>e</w:t>
      </w:r>
      <w:r w:rsidRPr="00DC669F">
        <w:rPr>
          <w:rFonts w:ascii="Cambria" w:eastAsia="Calibri" w:hAnsi="Cambria" w:cs="Times New Roman"/>
          <w:lang w:val="sq-AL"/>
        </w:rPr>
        <w:t>shme;</w:t>
      </w:r>
    </w:p>
    <w:p w:rsidR="007B048F" w:rsidRPr="006202EF" w:rsidRDefault="00DC669F" w:rsidP="00570F53">
      <w:pPr>
        <w:numPr>
          <w:ilvl w:val="0"/>
          <w:numId w:val="19"/>
        </w:numPr>
        <w:spacing w:after="200" w:line="276" w:lineRule="auto"/>
        <w:contextualSpacing/>
        <w:jc w:val="both"/>
        <w:rPr>
          <w:rFonts w:ascii="Cambria" w:eastAsia="Calibri" w:hAnsi="Cambria" w:cs="Times New Roman"/>
          <w:lang w:val="sq-AL"/>
        </w:rPr>
      </w:pPr>
      <w:r w:rsidRPr="00DC669F">
        <w:rPr>
          <w:rFonts w:ascii="Cambria" w:eastAsia="Calibri" w:hAnsi="Cambria" w:cs="Times New Roman"/>
          <w:lang w:val="sq-AL"/>
        </w:rPr>
        <w:lastRenderedPageBreak/>
        <w:t>Trajtimi i mbetjeve në mënyrë të kontrolluar sanitare,  nëpërmjet vazhdimit të ndërtimit  të impianteve të reja të trajtimit të mbetjeve të ngurta dhe rehabilitimit të venddepozitimeve ekzistuese.</w:t>
      </w:r>
    </w:p>
    <w:p w:rsidR="00DC669F" w:rsidRPr="00DC669F" w:rsidRDefault="00DC669F" w:rsidP="00DC669F">
      <w:pPr>
        <w:spacing w:after="0" w:line="264" w:lineRule="auto"/>
        <w:jc w:val="both"/>
        <w:rPr>
          <w:rFonts w:ascii="Cambria" w:eastAsia="Calibri" w:hAnsi="Cambria" w:cs="Times New Roman"/>
          <w:b/>
          <w:sz w:val="20"/>
          <w:szCs w:val="20"/>
        </w:rPr>
      </w:pPr>
    </w:p>
    <w:p w:rsidR="00DC669F" w:rsidRPr="00DC669F" w:rsidRDefault="00DC669F" w:rsidP="00DC669F">
      <w:pPr>
        <w:spacing w:after="0" w:line="264" w:lineRule="auto"/>
        <w:jc w:val="both"/>
        <w:rPr>
          <w:rFonts w:ascii="Cambria" w:eastAsia="Calibri" w:hAnsi="Cambria" w:cs="Times New Roman"/>
          <w:b/>
          <w:sz w:val="20"/>
          <w:szCs w:val="20"/>
        </w:rPr>
      </w:pPr>
      <w:r w:rsidRPr="00DC669F">
        <w:rPr>
          <w:rFonts w:ascii="Cambria" w:eastAsia="Calibri" w:hAnsi="Cambria" w:cs="Times New Roman"/>
          <w:b/>
          <w:sz w:val="20"/>
          <w:szCs w:val="20"/>
        </w:rPr>
        <w:t xml:space="preserve">Tabela 12: </w:t>
      </w:r>
      <w:r w:rsidRPr="00DC669F">
        <w:rPr>
          <w:rFonts w:ascii="Cambria" w:eastAsia="Times New Roman" w:hAnsi="Cambria" w:cs="Arial"/>
          <w:sz w:val="20"/>
          <w:szCs w:val="20"/>
          <w:lang w:val="sq-AL"/>
        </w:rPr>
        <w:t xml:space="preserve">Shpenzimet për Ministrinë e Infrastrukturës dhe Energjisë </w:t>
      </w:r>
      <w:r w:rsidR="00277146" w:rsidRPr="00277146">
        <w:rPr>
          <w:rFonts w:ascii="Cambria" w:eastAsia="Times New Roman" w:hAnsi="Cambria" w:cs="Arial"/>
          <w:sz w:val="20"/>
          <w:szCs w:val="20"/>
          <w:lang w:val="sq-AL"/>
        </w:rPr>
        <w:t>sipas programeve buxhetore dhe sipas artikujve ekonomikë</w:t>
      </w:r>
    </w:p>
    <w:p w:rsidR="00DC669F" w:rsidRPr="00DC669F" w:rsidRDefault="00DC669F" w:rsidP="00DC669F">
      <w:pPr>
        <w:spacing w:after="0" w:line="264" w:lineRule="auto"/>
        <w:jc w:val="both"/>
        <w:rPr>
          <w:rFonts w:ascii="Cambria" w:eastAsia="Times New Roman" w:hAnsi="Cambria" w:cs="Times New Roman"/>
          <w:b/>
          <w:color w:val="0070C0"/>
          <w:lang w:eastAsia="sr-Latn-CS"/>
        </w:rPr>
      </w:pPr>
    </w:p>
    <w:p w:rsidR="00DC669F" w:rsidRPr="00DC669F" w:rsidRDefault="009466FD" w:rsidP="00DC669F">
      <w:pPr>
        <w:spacing w:line="264" w:lineRule="auto"/>
        <w:rPr>
          <w:rFonts w:ascii="Cambria" w:eastAsia="MS Gothic" w:hAnsi="Cambria" w:cs="Times New Roman"/>
          <w:b/>
          <w:bCs/>
          <w:color w:val="0070C0"/>
          <w:lang w:val="en-GB"/>
        </w:rPr>
      </w:pPr>
      <w:r w:rsidRPr="009466FD">
        <w:rPr>
          <w:noProof/>
          <w:lang w:val="en-GB" w:eastAsia="en-GB"/>
        </w:rPr>
        <w:drawing>
          <wp:inline distT="0" distB="0" distL="0" distR="0" wp14:anchorId="650C437F" wp14:editId="22864EDB">
            <wp:extent cx="5943600" cy="3879684"/>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79684"/>
                    </a:xfrm>
                    <a:prstGeom prst="rect">
                      <a:avLst/>
                    </a:prstGeom>
                    <a:noFill/>
                    <a:ln>
                      <a:noFill/>
                    </a:ln>
                  </pic:spPr>
                </pic:pic>
              </a:graphicData>
            </a:graphic>
          </wp:inline>
        </w:drawing>
      </w:r>
    </w:p>
    <w:p w:rsidR="00DC669F" w:rsidRPr="00DC669F" w:rsidRDefault="00DC669F" w:rsidP="00570F53">
      <w:pPr>
        <w:pStyle w:val="Heading3"/>
        <w:numPr>
          <w:ilvl w:val="2"/>
          <w:numId w:val="32"/>
        </w:numPr>
        <w:spacing w:after="200" w:line="276" w:lineRule="auto"/>
        <w:contextualSpacing/>
        <w:rPr>
          <w:rFonts w:ascii="Times New Roman" w:eastAsia="Calibri" w:hAnsi="Times New Roman" w:cs="Times New Roman"/>
          <w:b/>
          <w:color w:val="auto"/>
        </w:rPr>
      </w:pPr>
      <w:r w:rsidRPr="00DC669F">
        <w:rPr>
          <w:rFonts w:ascii="Times New Roman" w:eastAsia="Calibri" w:hAnsi="Times New Roman" w:cs="Times New Roman"/>
          <w:b/>
          <w:color w:val="auto"/>
        </w:rPr>
        <w:t>Përmbledhje e Treguesve Kyç të Performancës</w:t>
      </w:r>
    </w:p>
    <w:p w:rsidR="00DC669F" w:rsidRPr="00DC669F" w:rsidRDefault="00DC669F" w:rsidP="00DC669F">
      <w:pPr>
        <w:jc w:val="both"/>
        <w:rPr>
          <w:rFonts w:ascii="Cambria" w:eastAsia="Calibri" w:hAnsi="Cambria" w:cs="Times New Roman"/>
          <w:b/>
          <w:lang w:val="sq-AL"/>
        </w:rPr>
      </w:pPr>
      <w:r w:rsidRPr="00A3613D">
        <w:rPr>
          <w:rFonts w:ascii="Cambria" w:eastAsia="Calibri" w:hAnsi="Cambria" w:cs="Times New Roman"/>
          <w:b/>
          <w:lang w:val="sq-AL"/>
        </w:rPr>
        <w:t>Programi “Transporti Rrugor”</w:t>
      </w:r>
      <w:r w:rsidRPr="00DC669F">
        <w:rPr>
          <w:rFonts w:ascii="Cambria" w:eastAsia="Calibri" w:hAnsi="Cambria" w:cs="Times New Roman"/>
          <w:b/>
          <w:lang w:val="sq-AL"/>
        </w:rPr>
        <w:t xml:space="preserve"> </w:t>
      </w:r>
    </w:p>
    <w:p w:rsidR="00273E5B" w:rsidRPr="00273E5B" w:rsidRDefault="00273E5B" w:rsidP="00273E5B">
      <w:pPr>
        <w:pStyle w:val="ListParagraph"/>
        <w:numPr>
          <w:ilvl w:val="0"/>
          <w:numId w:val="7"/>
        </w:numPr>
        <w:spacing w:after="0" w:line="240" w:lineRule="auto"/>
        <w:jc w:val="both"/>
        <w:rPr>
          <w:rFonts w:ascii="Cambria" w:eastAsia="Calibri" w:hAnsi="Cambria" w:cs="Times New Roman"/>
          <w:lang w:val="sq-AL"/>
        </w:rPr>
      </w:pPr>
      <w:r w:rsidRPr="00273E5B">
        <w:rPr>
          <w:rFonts w:ascii="Cambria" w:eastAsia="Calibri" w:hAnsi="Cambria" w:cs="Times New Roman"/>
          <w:lang w:val="sq-AL"/>
        </w:rPr>
        <w:t>Ndërtim rruga Kardhiq - Delvinë Loti 8 (rishikimi dhe plotësimi i sinjalistikës nga Loti 1 deri në Lotin 7) dhe ndërtimi i rrugës lidhëse Shijan - Ura e Gajdarit dhe rehabilitimi i segmentit rrugor Shijan - Delvinë.</w:t>
      </w:r>
    </w:p>
    <w:p w:rsid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Rritja e sigurisë rrugore në të gjitha akset kombëtare ku synohet ulja e numrit të aksidenteve m</w:t>
      </w:r>
      <w:r w:rsidR="00FD7A65">
        <w:rPr>
          <w:rFonts w:ascii="Cambria" w:eastAsia="Calibri" w:hAnsi="Cambria" w:cs="Times New Roman"/>
          <w:lang w:val="sq-AL"/>
        </w:rPr>
        <w:t xml:space="preserve">e pasojë humbje jetë njerëzish </w:t>
      </w:r>
      <w:r w:rsidRPr="00DC669F">
        <w:rPr>
          <w:rFonts w:ascii="Cambria" w:eastAsia="Calibri" w:hAnsi="Cambria" w:cs="Times New Roman"/>
          <w:lang w:val="sq-AL"/>
        </w:rPr>
        <w:t>dhe numri i pikave të zeza me 2</w:t>
      </w:r>
      <w:r w:rsidR="00273E5B">
        <w:rPr>
          <w:rFonts w:ascii="Cambria" w:eastAsia="Calibri" w:hAnsi="Cambria" w:cs="Times New Roman"/>
          <w:lang w:val="sq-AL"/>
        </w:rPr>
        <w:t>5</w:t>
      </w:r>
      <w:r w:rsidRPr="00DC669F">
        <w:rPr>
          <w:rFonts w:ascii="Cambria" w:eastAsia="Calibri" w:hAnsi="Cambria" w:cs="Times New Roman"/>
          <w:lang w:val="sq-AL"/>
        </w:rPr>
        <w:t xml:space="preserve">%, sipas Strategjisë Kombëtare të Transportit. </w:t>
      </w:r>
    </w:p>
    <w:p w:rsidR="004476BC" w:rsidRDefault="00F6409B" w:rsidP="004476BC">
      <w:pPr>
        <w:numPr>
          <w:ilvl w:val="0"/>
          <w:numId w:val="7"/>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3283 km</w:t>
      </w:r>
      <w:r w:rsidR="00026B3F">
        <w:rPr>
          <w:rFonts w:ascii="Cambria" w:eastAsia="Calibri" w:hAnsi="Cambria" w:cs="Times New Roman"/>
          <w:lang w:val="sq-AL"/>
        </w:rPr>
        <w:t xml:space="preserve"> </w:t>
      </w:r>
      <w:r>
        <w:rPr>
          <w:rFonts w:ascii="Cambria" w:eastAsia="Calibri" w:hAnsi="Cambria" w:cs="Times New Roman"/>
          <w:lang w:val="sq-AL"/>
        </w:rPr>
        <w:t>r</w:t>
      </w:r>
      <w:r w:rsidR="00026B3F">
        <w:rPr>
          <w:rFonts w:ascii="Cambria" w:eastAsia="Calibri" w:hAnsi="Cambria" w:cs="Times New Roman"/>
          <w:lang w:val="sq-AL"/>
        </w:rPr>
        <w:t>rug</w:t>
      </w:r>
      <w:r w:rsidR="00025DD5">
        <w:rPr>
          <w:rFonts w:ascii="Cambria" w:eastAsia="Calibri" w:hAnsi="Cambria" w:cs="Times New Roman"/>
          <w:lang w:val="sq-AL"/>
        </w:rPr>
        <w:t>ë</w:t>
      </w:r>
      <w:r w:rsidR="00026B3F">
        <w:rPr>
          <w:rFonts w:ascii="Cambria" w:eastAsia="Calibri" w:hAnsi="Cambria" w:cs="Times New Roman"/>
          <w:lang w:val="sq-AL"/>
        </w:rPr>
        <w:t xml:space="preserve"> t</w:t>
      </w:r>
      <w:r w:rsidR="00025DD5">
        <w:rPr>
          <w:rFonts w:ascii="Cambria" w:eastAsia="Calibri" w:hAnsi="Cambria" w:cs="Times New Roman"/>
          <w:lang w:val="sq-AL"/>
        </w:rPr>
        <w:t>ë</w:t>
      </w:r>
      <w:r w:rsidR="00026B3F">
        <w:rPr>
          <w:rFonts w:ascii="Cambria" w:eastAsia="Calibri" w:hAnsi="Cambria" w:cs="Times New Roman"/>
          <w:lang w:val="sq-AL"/>
        </w:rPr>
        <w:t xml:space="preserve"> mir</w:t>
      </w:r>
      <w:r w:rsidR="00025DD5">
        <w:rPr>
          <w:rFonts w:ascii="Cambria" w:eastAsia="Calibri" w:hAnsi="Cambria" w:cs="Times New Roman"/>
          <w:lang w:val="sq-AL"/>
        </w:rPr>
        <w:t>ë</w:t>
      </w:r>
      <w:r w:rsidR="004476BC" w:rsidRPr="004476BC">
        <w:rPr>
          <w:rFonts w:ascii="Cambria" w:eastAsia="Calibri" w:hAnsi="Cambria" w:cs="Times New Roman"/>
          <w:lang w:val="sq-AL"/>
        </w:rPr>
        <w:t>mbajtura sipas standardeve</w:t>
      </w:r>
      <w:r w:rsidR="00026B3F">
        <w:rPr>
          <w:rFonts w:ascii="Cambria" w:eastAsia="Calibri" w:hAnsi="Cambria" w:cs="Times New Roman"/>
          <w:lang w:val="sq-AL"/>
        </w:rPr>
        <w:t xml:space="preserve"> n</w:t>
      </w:r>
      <w:r w:rsidR="00025DD5">
        <w:rPr>
          <w:rFonts w:ascii="Cambria" w:eastAsia="Calibri" w:hAnsi="Cambria" w:cs="Times New Roman"/>
          <w:lang w:val="sq-AL"/>
        </w:rPr>
        <w:t>ë</w:t>
      </w:r>
      <w:r w:rsidR="00026B3F">
        <w:rPr>
          <w:rFonts w:ascii="Cambria" w:eastAsia="Calibri" w:hAnsi="Cambria" w:cs="Times New Roman"/>
          <w:lang w:val="sq-AL"/>
        </w:rPr>
        <w:t xml:space="preserve"> vitin 2022 n</w:t>
      </w:r>
      <w:r w:rsidR="00025DD5">
        <w:rPr>
          <w:rFonts w:ascii="Cambria" w:eastAsia="Calibri" w:hAnsi="Cambria" w:cs="Times New Roman"/>
          <w:lang w:val="sq-AL"/>
        </w:rPr>
        <w:t>ë</w:t>
      </w:r>
      <w:r w:rsidR="00026B3F">
        <w:rPr>
          <w:rFonts w:ascii="Cambria" w:eastAsia="Calibri" w:hAnsi="Cambria" w:cs="Times New Roman"/>
          <w:lang w:val="sq-AL"/>
        </w:rPr>
        <w:t xml:space="preserve"> t</w:t>
      </w:r>
      <w:r w:rsidR="00025DD5">
        <w:rPr>
          <w:rFonts w:ascii="Cambria" w:eastAsia="Calibri" w:hAnsi="Cambria" w:cs="Times New Roman"/>
          <w:lang w:val="sq-AL"/>
        </w:rPr>
        <w:t>ë</w:t>
      </w:r>
      <w:r w:rsidR="00026B3F">
        <w:rPr>
          <w:rFonts w:ascii="Cambria" w:eastAsia="Calibri" w:hAnsi="Cambria" w:cs="Times New Roman"/>
          <w:lang w:val="sq-AL"/>
        </w:rPr>
        <w:t xml:space="preserve"> gjith</w:t>
      </w:r>
      <w:r w:rsidR="00025DD5">
        <w:rPr>
          <w:rFonts w:ascii="Cambria" w:eastAsia="Calibri" w:hAnsi="Cambria" w:cs="Times New Roman"/>
          <w:lang w:val="sq-AL"/>
        </w:rPr>
        <w:t>ë</w:t>
      </w:r>
      <w:r w:rsidR="00026B3F">
        <w:rPr>
          <w:rFonts w:ascii="Cambria" w:eastAsia="Calibri" w:hAnsi="Cambria" w:cs="Times New Roman"/>
          <w:lang w:val="sq-AL"/>
        </w:rPr>
        <w:t xml:space="preserve"> territorin;</w:t>
      </w:r>
    </w:p>
    <w:p w:rsidR="00026B3F" w:rsidRPr="00DC669F" w:rsidRDefault="00026B3F" w:rsidP="00026B3F">
      <w:pPr>
        <w:numPr>
          <w:ilvl w:val="0"/>
          <w:numId w:val="7"/>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 xml:space="preserve">Numri i </w:t>
      </w:r>
      <w:r w:rsidRPr="00026B3F">
        <w:rPr>
          <w:rFonts w:ascii="Cambria" w:eastAsia="Calibri" w:hAnsi="Cambria" w:cs="Times New Roman"/>
          <w:lang w:val="sq-AL"/>
        </w:rPr>
        <w:t>kilometra</w:t>
      </w:r>
      <w:r>
        <w:rPr>
          <w:rFonts w:ascii="Cambria" w:eastAsia="Calibri" w:hAnsi="Cambria" w:cs="Times New Roman"/>
          <w:lang w:val="sq-AL"/>
        </w:rPr>
        <w:t>ve rrug</w:t>
      </w:r>
      <w:r w:rsidR="00025DD5">
        <w:rPr>
          <w:rFonts w:ascii="Cambria" w:eastAsia="Calibri" w:hAnsi="Cambria" w:cs="Times New Roman"/>
          <w:lang w:val="sq-AL"/>
        </w:rPr>
        <w:t>ë</w:t>
      </w:r>
      <w:r w:rsidRPr="00026B3F">
        <w:rPr>
          <w:rFonts w:ascii="Cambria" w:eastAsia="Calibri" w:hAnsi="Cambria" w:cs="Times New Roman"/>
          <w:lang w:val="sq-AL"/>
        </w:rPr>
        <w:t xml:space="preserve"> </w:t>
      </w:r>
      <w:r>
        <w:rPr>
          <w:rFonts w:ascii="Cambria" w:eastAsia="Calibri" w:hAnsi="Cambria" w:cs="Times New Roman"/>
          <w:lang w:val="sq-AL"/>
        </w:rPr>
        <w:t>t</w:t>
      </w:r>
      <w:r w:rsidR="00025DD5">
        <w:rPr>
          <w:rFonts w:ascii="Cambria" w:eastAsia="Calibri" w:hAnsi="Cambria" w:cs="Times New Roman"/>
          <w:lang w:val="sq-AL"/>
        </w:rPr>
        <w:t>ë</w:t>
      </w:r>
      <w:r>
        <w:rPr>
          <w:rFonts w:ascii="Cambria" w:eastAsia="Calibri" w:hAnsi="Cambria" w:cs="Times New Roman"/>
          <w:lang w:val="sq-AL"/>
        </w:rPr>
        <w:t xml:space="preserve"> nd</w:t>
      </w:r>
      <w:r w:rsidR="00025DD5">
        <w:rPr>
          <w:rFonts w:ascii="Cambria" w:eastAsia="Calibri" w:hAnsi="Cambria" w:cs="Times New Roman"/>
          <w:lang w:val="sq-AL"/>
        </w:rPr>
        <w:t>ë</w:t>
      </w:r>
      <w:r>
        <w:rPr>
          <w:rFonts w:ascii="Cambria" w:eastAsia="Calibri" w:hAnsi="Cambria" w:cs="Times New Roman"/>
          <w:lang w:val="sq-AL"/>
        </w:rPr>
        <w:t>rtuara n</w:t>
      </w:r>
      <w:r w:rsidR="00025DD5">
        <w:rPr>
          <w:rFonts w:ascii="Cambria" w:eastAsia="Calibri" w:hAnsi="Cambria" w:cs="Times New Roman"/>
          <w:lang w:val="sq-AL"/>
        </w:rPr>
        <w:t>ë</w:t>
      </w:r>
      <w:r>
        <w:rPr>
          <w:rFonts w:ascii="Cambria" w:eastAsia="Calibri" w:hAnsi="Cambria" w:cs="Times New Roman"/>
          <w:lang w:val="sq-AL"/>
        </w:rPr>
        <w:t xml:space="preserve"> p</w:t>
      </w:r>
      <w:r w:rsidR="00025DD5">
        <w:rPr>
          <w:rFonts w:ascii="Cambria" w:eastAsia="Calibri" w:hAnsi="Cambria" w:cs="Times New Roman"/>
          <w:lang w:val="sq-AL"/>
        </w:rPr>
        <w:t>ë</w:t>
      </w:r>
      <w:r>
        <w:rPr>
          <w:rFonts w:ascii="Cambria" w:eastAsia="Calibri" w:hAnsi="Cambria" w:cs="Times New Roman"/>
          <w:lang w:val="sq-AL"/>
        </w:rPr>
        <w:t>rmbushje t</w:t>
      </w:r>
      <w:r w:rsidR="00025DD5">
        <w:rPr>
          <w:rFonts w:ascii="Cambria" w:eastAsia="Calibri" w:hAnsi="Cambria" w:cs="Times New Roman"/>
          <w:lang w:val="sq-AL"/>
        </w:rPr>
        <w:t>ë</w:t>
      </w:r>
      <w:r w:rsidRPr="00026B3F">
        <w:rPr>
          <w:rFonts w:ascii="Cambria" w:eastAsia="Calibri" w:hAnsi="Cambria" w:cs="Times New Roman"/>
          <w:lang w:val="sq-AL"/>
        </w:rPr>
        <w:t xml:space="preserve"> ko</w:t>
      </w:r>
      <w:r>
        <w:rPr>
          <w:rFonts w:ascii="Cambria" w:eastAsia="Calibri" w:hAnsi="Cambria" w:cs="Times New Roman"/>
          <w:lang w:val="sq-AL"/>
        </w:rPr>
        <w:t>ntratave koncesionare/PPP do t</w:t>
      </w:r>
      <w:r w:rsidR="00025DD5">
        <w:rPr>
          <w:rFonts w:ascii="Cambria" w:eastAsia="Calibri" w:hAnsi="Cambria" w:cs="Times New Roman"/>
          <w:lang w:val="sq-AL"/>
        </w:rPr>
        <w:t>ë</w:t>
      </w:r>
      <w:r>
        <w:rPr>
          <w:rFonts w:ascii="Cambria" w:eastAsia="Calibri" w:hAnsi="Cambria" w:cs="Times New Roman"/>
          <w:lang w:val="sq-AL"/>
        </w:rPr>
        <w:t xml:space="preserve"> arrij</w:t>
      </w:r>
      <w:r w:rsidR="00025DD5">
        <w:rPr>
          <w:rFonts w:ascii="Cambria" w:eastAsia="Calibri" w:hAnsi="Cambria" w:cs="Times New Roman"/>
          <w:lang w:val="sq-AL"/>
        </w:rPr>
        <w:t>ë</w:t>
      </w:r>
      <w:r>
        <w:rPr>
          <w:rFonts w:ascii="Cambria" w:eastAsia="Calibri" w:hAnsi="Cambria" w:cs="Times New Roman"/>
          <w:lang w:val="sq-AL"/>
        </w:rPr>
        <w:t xml:space="preserve"> n</w:t>
      </w:r>
      <w:r w:rsidR="00025DD5">
        <w:rPr>
          <w:rFonts w:ascii="Cambria" w:eastAsia="Calibri" w:hAnsi="Cambria" w:cs="Times New Roman"/>
          <w:lang w:val="sq-AL"/>
        </w:rPr>
        <w:t>ë</w:t>
      </w:r>
      <w:r>
        <w:rPr>
          <w:rFonts w:ascii="Cambria" w:eastAsia="Calibri" w:hAnsi="Cambria" w:cs="Times New Roman"/>
          <w:lang w:val="sq-AL"/>
        </w:rPr>
        <w:t xml:space="preserve"> 115 Km n</w:t>
      </w:r>
      <w:r w:rsidR="00025DD5">
        <w:rPr>
          <w:rFonts w:ascii="Cambria" w:eastAsia="Calibri" w:hAnsi="Cambria" w:cs="Times New Roman"/>
          <w:lang w:val="sq-AL"/>
        </w:rPr>
        <w:t>ë</w:t>
      </w:r>
      <w:r>
        <w:rPr>
          <w:rFonts w:ascii="Cambria" w:eastAsia="Calibri" w:hAnsi="Cambria" w:cs="Times New Roman"/>
          <w:lang w:val="sq-AL"/>
        </w:rPr>
        <w:t xml:space="preserve"> vitin 2022 nga 75 Km q</w:t>
      </w:r>
      <w:r w:rsidR="00025DD5">
        <w:rPr>
          <w:rFonts w:ascii="Cambria" w:eastAsia="Calibri" w:hAnsi="Cambria" w:cs="Times New Roman"/>
          <w:lang w:val="sq-AL"/>
        </w:rPr>
        <w:t>ë</w:t>
      </w:r>
      <w:r>
        <w:rPr>
          <w:rFonts w:ascii="Cambria" w:eastAsia="Calibri" w:hAnsi="Cambria" w:cs="Times New Roman"/>
          <w:lang w:val="sq-AL"/>
        </w:rPr>
        <w:t xml:space="preserve"> pritet t</w:t>
      </w:r>
      <w:r w:rsidR="00025DD5">
        <w:rPr>
          <w:rFonts w:ascii="Cambria" w:eastAsia="Calibri" w:hAnsi="Cambria" w:cs="Times New Roman"/>
          <w:lang w:val="sq-AL"/>
        </w:rPr>
        <w:t>ë</w:t>
      </w:r>
      <w:r>
        <w:rPr>
          <w:rFonts w:ascii="Cambria" w:eastAsia="Calibri" w:hAnsi="Cambria" w:cs="Times New Roman"/>
          <w:lang w:val="sq-AL"/>
        </w:rPr>
        <w:t xml:space="preserve"> nd</w:t>
      </w:r>
      <w:r w:rsidR="00025DD5">
        <w:rPr>
          <w:rFonts w:ascii="Cambria" w:eastAsia="Calibri" w:hAnsi="Cambria" w:cs="Times New Roman"/>
          <w:lang w:val="sq-AL"/>
        </w:rPr>
        <w:t>ë</w:t>
      </w:r>
      <w:r>
        <w:rPr>
          <w:rFonts w:ascii="Cambria" w:eastAsia="Calibri" w:hAnsi="Cambria" w:cs="Times New Roman"/>
          <w:lang w:val="sq-AL"/>
        </w:rPr>
        <w:t>rtohen deri n</w:t>
      </w:r>
      <w:r w:rsidR="00025DD5">
        <w:rPr>
          <w:rFonts w:ascii="Cambria" w:eastAsia="Calibri" w:hAnsi="Cambria" w:cs="Times New Roman"/>
          <w:lang w:val="sq-AL"/>
        </w:rPr>
        <w:t>ë</w:t>
      </w:r>
      <w:r>
        <w:rPr>
          <w:rFonts w:ascii="Cambria" w:eastAsia="Calibri" w:hAnsi="Cambria" w:cs="Times New Roman"/>
          <w:lang w:val="sq-AL"/>
        </w:rPr>
        <w:t xml:space="preserve"> fund t</w:t>
      </w:r>
      <w:r w:rsidR="00025DD5">
        <w:rPr>
          <w:rFonts w:ascii="Cambria" w:eastAsia="Calibri" w:hAnsi="Cambria" w:cs="Times New Roman"/>
          <w:lang w:val="sq-AL"/>
        </w:rPr>
        <w:t>ë</w:t>
      </w:r>
      <w:r>
        <w:rPr>
          <w:rFonts w:ascii="Cambria" w:eastAsia="Calibri" w:hAnsi="Cambria" w:cs="Times New Roman"/>
          <w:lang w:val="sq-AL"/>
        </w:rPr>
        <w:t xml:space="preserve"> vitit 2019;</w:t>
      </w:r>
    </w:p>
    <w:p w:rsidR="00DC669F" w:rsidRPr="00DC669F" w:rsidRDefault="00DC669F" w:rsidP="00DC669F">
      <w:pPr>
        <w:autoSpaceDE w:val="0"/>
        <w:autoSpaceDN w:val="0"/>
        <w:adjustRightInd w:val="0"/>
        <w:spacing w:line="264" w:lineRule="auto"/>
        <w:rPr>
          <w:rFonts w:ascii="Cambria" w:eastAsia="Calibri" w:hAnsi="Cambria" w:cs="Times New Roman"/>
          <w:i/>
          <w:lang w:val="sq-AL"/>
        </w:rPr>
      </w:pPr>
    </w:p>
    <w:p w:rsidR="00DC669F" w:rsidRPr="00DC669F" w:rsidRDefault="00DC669F" w:rsidP="00DC669F">
      <w:pPr>
        <w:jc w:val="both"/>
        <w:rPr>
          <w:rFonts w:ascii="Cambria" w:eastAsia="Calibri" w:hAnsi="Cambria" w:cs="Times New Roman"/>
          <w:b/>
          <w:lang w:val="sq-AL"/>
        </w:rPr>
      </w:pPr>
      <w:r w:rsidRPr="00A3613D">
        <w:rPr>
          <w:rFonts w:ascii="Cambria" w:eastAsia="Calibri" w:hAnsi="Cambria" w:cs="Times New Roman"/>
          <w:b/>
          <w:lang w:val="sq-AL"/>
        </w:rPr>
        <w:t>Programi “Ujësjellës Kanalizime”</w:t>
      </w:r>
      <w:r w:rsidRPr="00DC669F">
        <w:rPr>
          <w:rFonts w:ascii="Cambria" w:eastAsia="Calibri" w:hAnsi="Cambria" w:cs="Times New Roman"/>
          <w:b/>
          <w:lang w:val="sq-AL"/>
        </w:rPr>
        <w:t xml:space="preserve"> </w:t>
      </w:r>
    </w:p>
    <w:p w:rsidR="00DC669F" w:rsidRP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lastRenderedPageBreak/>
        <w:t xml:space="preserve">Deri në vitin 2027, raporti mesatar i  mbulimit me shërbimin e furnizimit me ujë për të gjithë popullatën e vendit do të </w:t>
      </w:r>
      <w:r w:rsidR="00B461E0">
        <w:rPr>
          <w:rFonts w:ascii="Cambria" w:eastAsia="Calibri" w:hAnsi="Cambria" w:cs="Times New Roman"/>
          <w:lang w:val="sq-AL"/>
        </w:rPr>
        <w:t>jetë 99% nga 80.1% në vitin 2018</w:t>
      </w:r>
      <w:r w:rsidRPr="00DC669F">
        <w:rPr>
          <w:rFonts w:ascii="Cambria" w:eastAsia="Calibri" w:hAnsi="Cambria" w:cs="Times New Roman"/>
          <w:lang w:val="sq-AL"/>
        </w:rPr>
        <w:t xml:space="preserve">; </w:t>
      </w:r>
    </w:p>
    <w:p w:rsidR="00B461E0" w:rsidRPr="00B461E0" w:rsidRDefault="00B461E0" w:rsidP="00B461E0">
      <w:pPr>
        <w:pStyle w:val="ListParagraph"/>
        <w:numPr>
          <w:ilvl w:val="0"/>
          <w:numId w:val="7"/>
        </w:numPr>
        <w:rPr>
          <w:rFonts w:ascii="Cambria" w:eastAsia="Calibri" w:hAnsi="Cambria" w:cs="Times New Roman"/>
          <w:lang w:val="sq-AL"/>
        </w:rPr>
      </w:pPr>
      <w:r w:rsidRPr="00B461E0">
        <w:rPr>
          <w:rFonts w:ascii="Cambria" w:eastAsia="Calibri" w:hAnsi="Cambria" w:cs="Times New Roman"/>
          <w:lang w:val="sq-AL"/>
        </w:rPr>
        <w:t>Reduktimi i humbjeve në nivel kombëtar në masën 20%</w:t>
      </w:r>
      <w:r>
        <w:rPr>
          <w:rFonts w:ascii="Cambria" w:eastAsia="Calibri" w:hAnsi="Cambria" w:cs="Times New Roman"/>
          <w:lang w:val="sq-AL"/>
        </w:rPr>
        <w:t xml:space="preserve"> në vitin 2022</w:t>
      </w:r>
      <w:r w:rsidRPr="00B461E0">
        <w:rPr>
          <w:rFonts w:ascii="Cambria" w:eastAsia="Calibri" w:hAnsi="Cambria" w:cs="Times New Roman"/>
          <w:lang w:val="sq-AL"/>
        </w:rPr>
        <w:t>;</w:t>
      </w:r>
    </w:p>
    <w:p w:rsidR="00B461E0" w:rsidRDefault="00B461E0" w:rsidP="00B461E0">
      <w:pPr>
        <w:pStyle w:val="ListParagraph"/>
        <w:numPr>
          <w:ilvl w:val="0"/>
          <w:numId w:val="7"/>
        </w:numPr>
        <w:rPr>
          <w:rFonts w:ascii="Cambria" w:eastAsia="Calibri" w:hAnsi="Cambria" w:cs="Times New Roman"/>
          <w:lang w:val="sq-AL"/>
        </w:rPr>
      </w:pPr>
      <w:r w:rsidRPr="00B461E0">
        <w:rPr>
          <w:rFonts w:ascii="Cambria" w:eastAsia="Calibri" w:hAnsi="Cambria" w:cs="Times New Roman"/>
          <w:lang w:val="sq-AL"/>
        </w:rPr>
        <w:t>Furnizimi me ujë dhe shër</w:t>
      </w:r>
      <w:r>
        <w:rPr>
          <w:rFonts w:ascii="Cambria" w:eastAsia="Calibri" w:hAnsi="Cambria" w:cs="Times New Roman"/>
          <w:lang w:val="sq-AL"/>
        </w:rPr>
        <w:t>bime i zonës bregdetare 24 orë në vitin 2022.</w:t>
      </w:r>
    </w:p>
    <w:p w:rsidR="00B461E0" w:rsidRDefault="00DC669F" w:rsidP="00B461E0">
      <w:pPr>
        <w:pStyle w:val="ListParagraph"/>
        <w:numPr>
          <w:ilvl w:val="0"/>
          <w:numId w:val="7"/>
        </w:numPr>
        <w:rPr>
          <w:rFonts w:ascii="Cambria" w:eastAsia="Calibri" w:hAnsi="Cambria" w:cs="Times New Roman"/>
          <w:lang w:val="sq-AL"/>
        </w:rPr>
      </w:pPr>
      <w:r w:rsidRPr="00B461E0">
        <w:rPr>
          <w:rFonts w:ascii="Cambria" w:eastAsia="Calibri" w:hAnsi="Cambria" w:cs="Times New Roman"/>
          <w:lang w:val="sq-AL"/>
        </w:rPr>
        <w:t>Raporti mesatar i mbulimit me shërbime kanalizimi t</w:t>
      </w:r>
      <w:r w:rsidR="00B461E0">
        <w:rPr>
          <w:rFonts w:ascii="Cambria" w:eastAsia="Calibri" w:hAnsi="Cambria" w:cs="Times New Roman"/>
          <w:lang w:val="sq-AL"/>
        </w:rPr>
        <w:t>ë ujrave të ndotur do të jetë 75% në vitin 2027, nga 54.1% në vitin 2018</w:t>
      </w:r>
      <w:r w:rsidRPr="00B461E0">
        <w:rPr>
          <w:rFonts w:ascii="Cambria" w:eastAsia="Calibri" w:hAnsi="Cambria" w:cs="Times New Roman"/>
          <w:lang w:val="sq-AL"/>
        </w:rPr>
        <w:t>;</w:t>
      </w:r>
    </w:p>
    <w:p w:rsidR="00B461E0" w:rsidRDefault="00DC669F" w:rsidP="00B461E0">
      <w:pPr>
        <w:pStyle w:val="ListParagraph"/>
        <w:numPr>
          <w:ilvl w:val="0"/>
          <w:numId w:val="7"/>
        </w:numPr>
        <w:rPr>
          <w:rFonts w:ascii="Cambria" w:eastAsia="Calibri" w:hAnsi="Cambria" w:cs="Times New Roman"/>
          <w:lang w:val="sq-AL"/>
        </w:rPr>
      </w:pPr>
      <w:r w:rsidRPr="00B461E0">
        <w:rPr>
          <w:rFonts w:ascii="Cambria" w:eastAsia="Calibri" w:hAnsi="Cambria" w:cs="Times New Roman"/>
          <w:lang w:val="sq-AL"/>
        </w:rPr>
        <w:t>Mbulimi me shërbim i ujrave të ndotura në impiantet e trajtimit të ujrave të ndotura në 70% në vitin 2027;</w:t>
      </w:r>
    </w:p>
    <w:p w:rsidR="00DC669F" w:rsidRDefault="00DC669F" w:rsidP="00B461E0">
      <w:pPr>
        <w:pStyle w:val="ListParagraph"/>
        <w:numPr>
          <w:ilvl w:val="0"/>
          <w:numId w:val="7"/>
        </w:numPr>
        <w:rPr>
          <w:rFonts w:ascii="Cambria" w:eastAsia="Calibri" w:hAnsi="Cambria" w:cs="Times New Roman"/>
          <w:lang w:val="sq-AL"/>
        </w:rPr>
      </w:pPr>
      <w:r w:rsidRPr="00B461E0">
        <w:rPr>
          <w:rFonts w:ascii="Cambria" w:eastAsia="Calibri" w:hAnsi="Cambria" w:cs="Times New Roman"/>
          <w:lang w:val="sq-AL"/>
        </w:rPr>
        <w:t xml:space="preserve">Mesatarja e orëve të furnizimit me ujë të pijshëm në rang kombëtar </w:t>
      </w:r>
      <w:r w:rsidR="00B461E0">
        <w:rPr>
          <w:rFonts w:ascii="Cambria" w:eastAsia="Calibri" w:hAnsi="Cambria" w:cs="Times New Roman"/>
          <w:lang w:val="sq-AL"/>
        </w:rPr>
        <w:t>rritet në 14 orë në ditë në 2022</w:t>
      </w:r>
      <w:r w:rsidRPr="00B461E0">
        <w:rPr>
          <w:rFonts w:ascii="Cambria" w:eastAsia="Calibri" w:hAnsi="Cambria" w:cs="Times New Roman"/>
          <w:lang w:val="sq-AL"/>
        </w:rPr>
        <w:t>, ng</w:t>
      </w:r>
      <w:r w:rsidR="00B461E0">
        <w:rPr>
          <w:rFonts w:ascii="Cambria" w:eastAsia="Calibri" w:hAnsi="Cambria" w:cs="Times New Roman"/>
          <w:lang w:val="sq-AL"/>
        </w:rPr>
        <w:t>a 12.5 orë në ditë në vitin 2019</w:t>
      </w:r>
      <w:r w:rsidRPr="00B461E0">
        <w:rPr>
          <w:rFonts w:ascii="Cambria" w:eastAsia="Calibri" w:hAnsi="Cambria" w:cs="Times New Roman"/>
          <w:lang w:val="sq-AL"/>
        </w:rPr>
        <w:t>;</w:t>
      </w:r>
    </w:p>
    <w:p w:rsidR="00AF7574" w:rsidRDefault="00AF7574" w:rsidP="00AF7574">
      <w:pPr>
        <w:pStyle w:val="ListParagraph"/>
        <w:numPr>
          <w:ilvl w:val="0"/>
          <w:numId w:val="7"/>
        </w:numPr>
        <w:rPr>
          <w:rFonts w:ascii="Cambria" w:eastAsia="Calibri" w:hAnsi="Cambria" w:cs="Times New Roman"/>
          <w:lang w:val="sq-AL"/>
        </w:rPr>
      </w:pPr>
      <w:r w:rsidRPr="00AF7574">
        <w:rPr>
          <w:rFonts w:ascii="Cambria" w:eastAsia="Calibri" w:hAnsi="Cambria" w:cs="Times New Roman"/>
          <w:lang w:val="sq-AL"/>
        </w:rPr>
        <w:t xml:space="preserve">Mbulimi me shërbim furnizimi me ujë të pijshëm </w:t>
      </w:r>
      <w:r>
        <w:rPr>
          <w:rFonts w:ascii="Cambria" w:eastAsia="Calibri" w:hAnsi="Cambria" w:cs="Times New Roman"/>
          <w:lang w:val="sq-AL"/>
        </w:rPr>
        <w:t xml:space="preserve"> zon</w:t>
      </w:r>
      <w:r w:rsidR="00025DD5">
        <w:rPr>
          <w:rFonts w:ascii="Cambria" w:eastAsia="Calibri" w:hAnsi="Cambria" w:cs="Times New Roman"/>
          <w:lang w:val="sq-AL"/>
        </w:rPr>
        <w:t>ë</w:t>
      </w:r>
      <w:r>
        <w:rPr>
          <w:rFonts w:ascii="Cambria" w:eastAsia="Calibri" w:hAnsi="Cambria" w:cs="Times New Roman"/>
          <w:lang w:val="sq-AL"/>
        </w:rPr>
        <w:t xml:space="preserve"> </w:t>
      </w:r>
      <w:r w:rsidRPr="00AF7574">
        <w:rPr>
          <w:rFonts w:ascii="Cambria" w:eastAsia="Calibri" w:hAnsi="Cambria" w:cs="Times New Roman"/>
          <w:lang w:val="sq-AL"/>
        </w:rPr>
        <w:t>Urb</w:t>
      </w:r>
      <w:r>
        <w:rPr>
          <w:rFonts w:ascii="Cambria" w:eastAsia="Calibri" w:hAnsi="Cambria" w:cs="Times New Roman"/>
          <w:lang w:val="sq-AL"/>
        </w:rPr>
        <w:t>ane 95% n</w:t>
      </w:r>
      <w:r w:rsidR="00025DD5">
        <w:rPr>
          <w:rFonts w:ascii="Cambria" w:eastAsia="Calibri" w:hAnsi="Cambria" w:cs="Times New Roman"/>
          <w:lang w:val="sq-AL"/>
        </w:rPr>
        <w:t>ë</w:t>
      </w:r>
      <w:r>
        <w:rPr>
          <w:rFonts w:ascii="Cambria" w:eastAsia="Calibri" w:hAnsi="Cambria" w:cs="Times New Roman"/>
          <w:lang w:val="sq-AL"/>
        </w:rPr>
        <w:t xml:space="preserve"> vitin 2022 nga 94% n</w:t>
      </w:r>
      <w:r w:rsidR="00025DD5">
        <w:rPr>
          <w:rFonts w:ascii="Cambria" w:eastAsia="Calibri" w:hAnsi="Cambria" w:cs="Times New Roman"/>
          <w:lang w:val="sq-AL"/>
        </w:rPr>
        <w:t>ë</w:t>
      </w:r>
      <w:r>
        <w:rPr>
          <w:rFonts w:ascii="Cambria" w:eastAsia="Calibri" w:hAnsi="Cambria" w:cs="Times New Roman"/>
          <w:lang w:val="sq-AL"/>
        </w:rPr>
        <w:t xml:space="preserve"> vitin 2019;</w:t>
      </w:r>
    </w:p>
    <w:p w:rsidR="00AF7574" w:rsidRDefault="00AF7574" w:rsidP="00AF7574">
      <w:pPr>
        <w:pStyle w:val="ListParagraph"/>
        <w:numPr>
          <w:ilvl w:val="0"/>
          <w:numId w:val="7"/>
        </w:numPr>
        <w:rPr>
          <w:rFonts w:ascii="Cambria" w:eastAsia="Calibri" w:hAnsi="Cambria" w:cs="Times New Roman"/>
          <w:lang w:val="sq-AL"/>
        </w:rPr>
      </w:pPr>
      <w:r w:rsidRPr="00AF7574">
        <w:rPr>
          <w:rFonts w:ascii="Cambria" w:eastAsia="Calibri" w:hAnsi="Cambria" w:cs="Times New Roman"/>
          <w:lang w:val="sq-AL"/>
        </w:rPr>
        <w:t xml:space="preserve">Mbulimi me shërbim furnizimi me ujë të pijshëm </w:t>
      </w:r>
      <w:r>
        <w:rPr>
          <w:rFonts w:ascii="Cambria" w:eastAsia="Calibri" w:hAnsi="Cambria" w:cs="Times New Roman"/>
          <w:lang w:val="sq-AL"/>
        </w:rPr>
        <w:t xml:space="preserve"> zon</w:t>
      </w:r>
      <w:r w:rsidR="00025DD5">
        <w:rPr>
          <w:rFonts w:ascii="Cambria" w:eastAsia="Calibri" w:hAnsi="Cambria" w:cs="Times New Roman"/>
          <w:lang w:val="sq-AL"/>
        </w:rPr>
        <w:t>ë</w:t>
      </w:r>
      <w:r>
        <w:rPr>
          <w:rFonts w:ascii="Cambria" w:eastAsia="Calibri" w:hAnsi="Cambria" w:cs="Times New Roman"/>
          <w:lang w:val="sq-AL"/>
        </w:rPr>
        <w:t xml:space="preserve"> Rurale 62% n</w:t>
      </w:r>
      <w:r w:rsidR="00025DD5">
        <w:rPr>
          <w:rFonts w:ascii="Cambria" w:eastAsia="Calibri" w:hAnsi="Cambria" w:cs="Times New Roman"/>
          <w:lang w:val="sq-AL"/>
        </w:rPr>
        <w:t>ë</w:t>
      </w:r>
      <w:r>
        <w:rPr>
          <w:rFonts w:ascii="Cambria" w:eastAsia="Calibri" w:hAnsi="Cambria" w:cs="Times New Roman"/>
          <w:lang w:val="sq-AL"/>
        </w:rPr>
        <w:t xml:space="preserve"> vitin 2022 nga 59% n</w:t>
      </w:r>
      <w:r w:rsidR="00025DD5">
        <w:rPr>
          <w:rFonts w:ascii="Cambria" w:eastAsia="Calibri" w:hAnsi="Cambria" w:cs="Times New Roman"/>
          <w:lang w:val="sq-AL"/>
        </w:rPr>
        <w:t>ë</w:t>
      </w:r>
      <w:r>
        <w:rPr>
          <w:rFonts w:ascii="Cambria" w:eastAsia="Calibri" w:hAnsi="Cambria" w:cs="Times New Roman"/>
          <w:lang w:val="sq-AL"/>
        </w:rPr>
        <w:t xml:space="preserve"> vitin 2019;</w:t>
      </w:r>
    </w:p>
    <w:p w:rsidR="00AF7574" w:rsidRDefault="00AF7574" w:rsidP="00AF7574">
      <w:pPr>
        <w:pStyle w:val="ListParagraph"/>
        <w:numPr>
          <w:ilvl w:val="0"/>
          <w:numId w:val="7"/>
        </w:numPr>
        <w:rPr>
          <w:rFonts w:ascii="Cambria" w:eastAsia="Calibri" w:hAnsi="Cambria" w:cs="Times New Roman"/>
          <w:lang w:val="sq-AL"/>
        </w:rPr>
      </w:pPr>
      <w:r w:rsidRPr="00AF7574">
        <w:rPr>
          <w:rFonts w:ascii="Cambria" w:eastAsia="Calibri" w:hAnsi="Cambria" w:cs="Times New Roman"/>
          <w:lang w:val="sq-AL"/>
        </w:rPr>
        <w:t xml:space="preserve">Mbulimi me </w:t>
      </w:r>
      <w:r w:rsidR="00F4617B">
        <w:rPr>
          <w:rFonts w:ascii="Cambria" w:eastAsia="Calibri" w:hAnsi="Cambria" w:cs="Times New Roman"/>
          <w:lang w:val="sq-AL"/>
        </w:rPr>
        <w:t>kanalizime</w:t>
      </w:r>
      <w:r w:rsidRPr="00AF7574">
        <w:rPr>
          <w:rFonts w:ascii="Cambria" w:eastAsia="Calibri" w:hAnsi="Cambria" w:cs="Times New Roman"/>
          <w:lang w:val="sq-AL"/>
        </w:rPr>
        <w:t xml:space="preserve"> </w:t>
      </w:r>
      <w:r>
        <w:rPr>
          <w:rFonts w:ascii="Cambria" w:eastAsia="Calibri" w:hAnsi="Cambria" w:cs="Times New Roman"/>
          <w:lang w:val="sq-AL"/>
        </w:rPr>
        <w:t xml:space="preserve"> zon</w:t>
      </w:r>
      <w:r w:rsidR="00025DD5">
        <w:rPr>
          <w:rFonts w:ascii="Cambria" w:eastAsia="Calibri" w:hAnsi="Cambria" w:cs="Times New Roman"/>
          <w:lang w:val="sq-AL"/>
        </w:rPr>
        <w:t>ë</w:t>
      </w:r>
      <w:r>
        <w:rPr>
          <w:rFonts w:ascii="Cambria" w:eastAsia="Calibri" w:hAnsi="Cambria" w:cs="Times New Roman"/>
          <w:lang w:val="sq-AL"/>
        </w:rPr>
        <w:t xml:space="preserve"> </w:t>
      </w:r>
      <w:r w:rsidR="00F4617B">
        <w:rPr>
          <w:rFonts w:ascii="Cambria" w:eastAsia="Calibri" w:hAnsi="Cambria" w:cs="Times New Roman"/>
          <w:lang w:val="sq-AL"/>
        </w:rPr>
        <w:t>Urbane 81% n</w:t>
      </w:r>
      <w:r w:rsidR="00025DD5">
        <w:rPr>
          <w:rFonts w:ascii="Cambria" w:eastAsia="Calibri" w:hAnsi="Cambria" w:cs="Times New Roman"/>
          <w:lang w:val="sq-AL"/>
        </w:rPr>
        <w:t>ë</w:t>
      </w:r>
      <w:r w:rsidR="00F4617B">
        <w:rPr>
          <w:rFonts w:ascii="Cambria" w:eastAsia="Calibri" w:hAnsi="Cambria" w:cs="Times New Roman"/>
          <w:lang w:val="sq-AL"/>
        </w:rPr>
        <w:t xml:space="preserve"> vitin 2022 nga 80</w:t>
      </w:r>
      <w:r>
        <w:rPr>
          <w:rFonts w:ascii="Cambria" w:eastAsia="Calibri" w:hAnsi="Cambria" w:cs="Times New Roman"/>
          <w:lang w:val="sq-AL"/>
        </w:rPr>
        <w:t>% n</w:t>
      </w:r>
      <w:r w:rsidR="00025DD5">
        <w:rPr>
          <w:rFonts w:ascii="Cambria" w:eastAsia="Calibri" w:hAnsi="Cambria" w:cs="Times New Roman"/>
          <w:lang w:val="sq-AL"/>
        </w:rPr>
        <w:t>ë</w:t>
      </w:r>
      <w:r>
        <w:rPr>
          <w:rFonts w:ascii="Cambria" w:eastAsia="Calibri" w:hAnsi="Cambria" w:cs="Times New Roman"/>
          <w:lang w:val="sq-AL"/>
        </w:rPr>
        <w:t xml:space="preserve"> vitin 2019;</w:t>
      </w:r>
    </w:p>
    <w:p w:rsidR="00F4617B" w:rsidRDefault="00F4617B" w:rsidP="00AF7574">
      <w:pPr>
        <w:pStyle w:val="ListParagraph"/>
        <w:numPr>
          <w:ilvl w:val="0"/>
          <w:numId w:val="7"/>
        </w:numPr>
        <w:rPr>
          <w:rFonts w:ascii="Cambria" w:eastAsia="Calibri" w:hAnsi="Cambria" w:cs="Times New Roman"/>
          <w:lang w:val="sq-AL"/>
        </w:rPr>
      </w:pPr>
      <w:r w:rsidRPr="00AF7574">
        <w:rPr>
          <w:rFonts w:ascii="Cambria" w:eastAsia="Calibri" w:hAnsi="Cambria" w:cs="Times New Roman"/>
          <w:lang w:val="sq-AL"/>
        </w:rPr>
        <w:t xml:space="preserve">Mbulimi me </w:t>
      </w:r>
      <w:r>
        <w:rPr>
          <w:rFonts w:ascii="Cambria" w:eastAsia="Calibri" w:hAnsi="Cambria" w:cs="Times New Roman"/>
          <w:lang w:val="sq-AL"/>
        </w:rPr>
        <w:t>kanalizime</w:t>
      </w:r>
      <w:r w:rsidRPr="00AF7574">
        <w:rPr>
          <w:rFonts w:ascii="Cambria" w:eastAsia="Calibri" w:hAnsi="Cambria" w:cs="Times New Roman"/>
          <w:lang w:val="sq-AL"/>
        </w:rPr>
        <w:t xml:space="preserve"> </w:t>
      </w:r>
      <w:r>
        <w:rPr>
          <w:rFonts w:ascii="Cambria" w:eastAsia="Calibri" w:hAnsi="Cambria" w:cs="Times New Roman"/>
          <w:lang w:val="sq-AL"/>
        </w:rPr>
        <w:t xml:space="preserve"> zon</w:t>
      </w:r>
      <w:r w:rsidR="00025DD5">
        <w:rPr>
          <w:rFonts w:ascii="Cambria" w:eastAsia="Calibri" w:hAnsi="Cambria" w:cs="Times New Roman"/>
          <w:lang w:val="sq-AL"/>
        </w:rPr>
        <w:t>ë</w:t>
      </w:r>
      <w:r>
        <w:rPr>
          <w:rFonts w:ascii="Cambria" w:eastAsia="Calibri" w:hAnsi="Cambria" w:cs="Times New Roman"/>
          <w:lang w:val="sq-AL"/>
        </w:rPr>
        <w:t xml:space="preserve"> Rurale 22% n</w:t>
      </w:r>
      <w:r w:rsidR="00025DD5">
        <w:rPr>
          <w:rFonts w:ascii="Cambria" w:eastAsia="Calibri" w:hAnsi="Cambria" w:cs="Times New Roman"/>
          <w:lang w:val="sq-AL"/>
        </w:rPr>
        <w:t>ë</w:t>
      </w:r>
      <w:r>
        <w:rPr>
          <w:rFonts w:ascii="Cambria" w:eastAsia="Calibri" w:hAnsi="Cambria" w:cs="Times New Roman"/>
          <w:lang w:val="sq-AL"/>
        </w:rPr>
        <w:t xml:space="preserve"> vitin 2022 nga 16% n</w:t>
      </w:r>
      <w:r w:rsidR="00025DD5">
        <w:rPr>
          <w:rFonts w:ascii="Cambria" w:eastAsia="Calibri" w:hAnsi="Cambria" w:cs="Times New Roman"/>
          <w:lang w:val="sq-AL"/>
        </w:rPr>
        <w:t>ë</w:t>
      </w:r>
      <w:r>
        <w:rPr>
          <w:rFonts w:ascii="Cambria" w:eastAsia="Calibri" w:hAnsi="Cambria" w:cs="Times New Roman"/>
          <w:lang w:val="sq-AL"/>
        </w:rPr>
        <w:t xml:space="preserve"> vitin 2019</w:t>
      </w:r>
    </w:p>
    <w:p w:rsidR="00AF7574" w:rsidRDefault="00F4617B" w:rsidP="00F4617B">
      <w:pPr>
        <w:pStyle w:val="ListParagraph"/>
        <w:numPr>
          <w:ilvl w:val="0"/>
          <w:numId w:val="7"/>
        </w:numPr>
        <w:rPr>
          <w:rFonts w:ascii="Cambria" w:eastAsia="Calibri" w:hAnsi="Cambria" w:cs="Times New Roman"/>
          <w:lang w:val="sq-AL"/>
        </w:rPr>
      </w:pPr>
      <w:r>
        <w:rPr>
          <w:rFonts w:ascii="Cambria" w:eastAsia="Calibri" w:hAnsi="Cambria" w:cs="Times New Roman"/>
          <w:lang w:val="sq-AL"/>
        </w:rPr>
        <w:t>Or</w:t>
      </w:r>
      <w:r w:rsidR="00025DD5">
        <w:rPr>
          <w:rFonts w:ascii="Cambria" w:eastAsia="Calibri" w:hAnsi="Cambria" w:cs="Times New Roman"/>
          <w:lang w:val="sq-AL"/>
        </w:rPr>
        <w:t>ë</w:t>
      </w:r>
      <w:r>
        <w:rPr>
          <w:rFonts w:ascii="Cambria" w:eastAsia="Calibri" w:hAnsi="Cambria" w:cs="Times New Roman"/>
          <w:lang w:val="sq-AL"/>
        </w:rPr>
        <w:t>t mesatare t</w:t>
      </w:r>
      <w:r w:rsidR="00025DD5">
        <w:rPr>
          <w:rFonts w:ascii="Cambria" w:eastAsia="Calibri" w:hAnsi="Cambria" w:cs="Times New Roman"/>
          <w:lang w:val="sq-AL"/>
        </w:rPr>
        <w:t>ë</w:t>
      </w:r>
      <w:r>
        <w:rPr>
          <w:rFonts w:ascii="Cambria" w:eastAsia="Calibri" w:hAnsi="Cambria" w:cs="Times New Roman"/>
          <w:lang w:val="sq-AL"/>
        </w:rPr>
        <w:t xml:space="preserve"> furnizimit me uj</w:t>
      </w:r>
      <w:r w:rsidR="00025DD5">
        <w:rPr>
          <w:rFonts w:ascii="Cambria" w:eastAsia="Calibri" w:hAnsi="Cambria" w:cs="Times New Roman"/>
          <w:lang w:val="sq-AL"/>
        </w:rPr>
        <w:t>ë</w:t>
      </w:r>
      <w:r>
        <w:rPr>
          <w:rFonts w:ascii="Cambria" w:eastAsia="Calibri" w:hAnsi="Cambria" w:cs="Times New Roman"/>
          <w:lang w:val="sq-AL"/>
        </w:rPr>
        <w:t xml:space="preserve"> t</w:t>
      </w:r>
      <w:r w:rsidR="00025DD5">
        <w:rPr>
          <w:rFonts w:ascii="Cambria" w:eastAsia="Calibri" w:hAnsi="Cambria" w:cs="Times New Roman"/>
          <w:lang w:val="sq-AL"/>
        </w:rPr>
        <w:t>ë</w:t>
      </w:r>
      <w:r>
        <w:rPr>
          <w:rFonts w:ascii="Cambria" w:eastAsia="Calibri" w:hAnsi="Cambria" w:cs="Times New Roman"/>
          <w:lang w:val="sq-AL"/>
        </w:rPr>
        <w:t xml:space="preserve"> pijsh</w:t>
      </w:r>
      <w:r w:rsidR="00025DD5">
        <w:rPr>
          <w:rFonts w:ascii="Cambria" w:eastAsia="Calibri" w:hAnsi="Cambria" w:cs="Times New Roman"/>
          <w:lang w:val="sq-AL"/>
        </w:rPr>
        <w:t>ë</w:t>
      </w:r>
      <w:r w:rsidRPr="00F4617B">
        <w:rPr>
          <w:rFonts w:ascii="Cambria" w:eastAsia="Calibri" w:hAnsi="Cambria" w:cs="Times New Roman"/>
          <w:lang w:val="sq-AL"/>
        </w:rPr>
        <w:t>m</w:t>
      </w:r>
      <w:r>
        <w:rPr>
          <w:rFonts w:ascii="Cambria" w:eastAsia="Calibri" w:hAnsi="Cambria" w:cs="Times New Roman"/>
          <w:lang w:val="sq-AL"/>
        </w:rPr>
        <w:t xml:space="preserve"> synohet n</w:t>
      </w:r>
      <w:r w:rsidR="00025DD5">
        <w:rPr>
          <w:rFonts w:ascii="Cambria" w:eastAsia="Calibri" w:hAnsi="Cambria" w:cs="Times New Roman"/>
          <w:lang w:val="sq-AL"/>
        </w:rPr>
        <w:t>ë</w:t>
      </w:r>
      <w:r>
        <w:rPr>
          <w:rFonts w:ascii="Cambria" w:eastAsia="Calibri" w:hAnsi="Cambria" w:cs="Times New Roman"/>
          <w:lang w:val="sq-AL"/>
        </w:rPr>
        <w:t xml:space="preserve"> 16 </w:t>
      </w:r>
      <w:r w:rsidRPr="00F4617B">
        <w:rPr>
          <w:rFonts w:ascii="Cambria" w:eastAsia="Calibri" w:hAnsi="Cambria" w:cs="Times New Roman"/>
          <w:lang w:val="sq-AL"/>
        </w:rPr>
        <w:t>ore/dite</w:t>
      </w:r>
      <w:r>
        <w:rPr>
          <w:rFonts w:ascii="Cambria" w:eastAsia="Calibri" w:hAnsi="Cambria" w:cs="Times New Roman"/>
          <w:lang w:val="sq-AL"/>
        </w:rPr>
        <w:t xml:space="preserve"> n</w:t>
      </w:r>
      <w:r w:rsidR="00025DD5">
        <w:rPr>
          <w:rFonts w:ascii="Cambria" w:eastAsia="Calibri" w:hAnsi="Cambria" w:cs="Times New Roman"/>
          <w:lang w:val="sq-AL"/>
        </w:rPr>
        <w:t>ë</w:t>
      </w:r>
      <w:r>
        <w:rPr>
          <w:rFonts w:ascii="Cambria" w:eastAsia="Calibri" w:hAnsi="Cambria" w:cs="Times New Roman"/>
          <w:lang w:val="sq-AL"/>
        </w:rPr>
        <w:t xml:space="preserve"> vitin 2022 nga 13 or</w:t>
      </w:r>
      <w:r w:rsidR="00025DD5">
        <w:rPr>
          <w:rFonts w:ascii="Cambria" w:eastAsia="Calibri" w:hAnsi="Cambria" w:cs="Times New Roman"/>
          <w:lang w:val="sq-AL"/>
        </w:rPr>
        <w:t>ë</w:t>
      </w:r>
      <w:r>
        <w:rPr>
          <w:rFonts w:ascii="Cambria" w:eastAsia="Calibri" w:hAnsi="Cambria" w:cs="Times New Roman"/>
          <w:lang w:val="sq-AL"/>
        </w:rPr>
        <w:t>/dit</w:t>
      </w:r>
      <w:r w:rsidR="00025DD5">
        <w:rPr>
          <w:rFonts w:ascii="Cambria" w:eastAsia="Calibri" w:hAnsi="Cambria" w:cs="Times New Roman"/>
          <w:lang w:val="sq-AL"/>
        </w:rPr>
        <w:t>ë</w:t>
      </w:r>
      <w:r>
        <w:rPr>
          <w:rFonts w:ascii="Cambria" w:eastAsia="Calibri" w:hAnsi="Cambria" w:cs="Times New Roman"/>
          <w:lang w:val="sq-AL"/>
        </w:rPr>
        <w:t xml:space="preserve"> n</w:t>
      </w:r>
      <w:r w:rsidR="00025DD5">
        <w:rPr>
          <w:rFonts w:ascii="Cambria" w:eastAsia="Calibri" w:hAnsi="Cambria" w:cs="Times New Roman"/>
          <w:lang w:val="sq-AL"/>
        </w:rPr>
        <w:t>ë</w:t>
      </w:r>
      <w:r>
        <w:rPr>
          <w:rFonts w:ascii="Cambria" w:eastAsia="Calibri" w:hAnsi="Cambria" w:cs="Times New Roman"/>
          <w:lang w:val="sq-AL"/>
        </w:rPr>
        <w:t xml:space="preserve"> vitin 2019;</w:t>
      </w:r>
    </w:p>
    <w:p w:rsidR="00F4617B" w:rsidRDefault="00F4617B" w:rsidP="00F4617B">
      <w:pPr>
        <w:pStyle w:val="ListParagraph"/>
        <w:numPr>
          <w:ilvl w:val="0"/>
          <w:numId w:val="7"/>
        </w:numPr>
        <w:rPr>
          <w:rFonts w:ascii="Cambria" w:eastAsia="Calibri" w:hAnsi="Cambria" w:cs="Times New Roman"/>
          <w:lang w:val="sq-AL"/>
        </w:rPr>
      </w:pPr>
      <w:r>
        <w:rPr>
          <w:rFonts w:ascii="Cambria" w:eastAsia="Calibri" w:hAnsi="Cambria" w:cs="Times New Roman"/>
          <w:lang w:val="sq-AL"/>
        </w:rPr>
        <w:t>Sasia e ujit t</w:t>
      </w:r>
      <w:r w:rsidR="00025DD5">
        <w:rPr>
          <w:rFonts w:ascii="Cambria" w:eastAsia="Calibri" w:hAnsi="Cambria" w:cs="Times New Roman"/>
          <w:lang w:val="sq-AL"/>
        </w:rPr>
        <w:t>ë</w:t>
      </w:r>
      <w:r w:rsidRPr="00F4617B">
        <w:rPr>
          <w:rFonts w:ascii="Cambria" w:eastAsia="Calibri" w:hAnsi="Cambria" w:cs="Times New Roman"/>
          <w:lang w:val="sq-AL"/>
        </w:rPr>
        <w:t xml:space="preserve"> faturuar </w:t>
      </w:r>
      <w:r>
        <w:rPr>
          <w:rFonts w:ascii="Cambria" w:eastAsia="Calibri" w:hAnsi="Cambria" w:cs="Times New Roman"/>
          <w:lang w:val="sq-AL"/>
        </w:rPr>
        <w:t>synohet t</w:t>
      </w:r>
      <w:r w:rsidR="00025DD5">
        <w:rPr>
          <w:rFonts w:ascii="Cambria" w:eastAsia="Calibri" w:hAnsi="Cambria" w:cs="Times New Roman"/>
          <w:lang w:val="sq-AL"/>
        </w:rPr>
        <w:t>ë</w:t>
      </w:r>
      <w:r>
        <w:rPr>
          <w:rFonts w:ascii="Cambria" w:eastAsia="Calibri" w:hAnsi="Cambria" w:cs="Times New Roman"/>
          <w:lang w:val="sq-AL"/>
        </w:rPr>
        <w:t xml:space="preserve"> arrihet n</w:t>
      </w:r>
      <w:r w:rsidR="00025DD5">
        <w:rPr>
          <w:rFonts w:ascii="Cambria" w:eastAsia="Calibri" w:hAnsi="Cambria" w:cs="Times New Roman"/>
          <w:lang w:val="sq-AL"/>
        </w:rPr>
        <w:t>ë</w:t>
      </w:r>
      <w:r>
        <w:rPr>
          <w:rFonts w:ascii="Cambria" w:eastAsia="Calibri" w:hAnsi="Cambria" w:cs="Times New Roman"/>
          <w:lang w:val="sq-AL"/>
        </w:rPr>
        <w:t xml:space="preserve"> 122 lit</w:t>
      </w:r>
      <w:r w:rsidR="00025DD5">
        <w:rPr>
          <w:rFonts w:ascii="Cambria" w:eastAsia="Calibri" w:hAnsi="Cambria" w:cs="Times New Roman"/>
          <w:lang w:val="sq-AL"/>
        </w:rPr>
        <w:t>ë</w:t>
      </w:r>
      <w:r>
        <w:rPr>
          <w:rFonts w:ascii="Cambria" w:eastAsia="Calibri" w:hAnsi="Cambria" w:cs="Times New Roman"/>
          <w:lang w:val="sq-AL"/>
        </w:rPr>
        <w:t>r/ frym</w:t>
      </w:r>
      <w:r w:rsidR="00025DD5">
        <w:rPr>
          <w:rFonts w:ascii="Cambria" w:eastAsia="Calibri" w:hAnsi="Cambria" w:cs="Times New Roman"/>
          <w:lang w:val="sq-AL"/>
        </w:rPr>
        <w:t>ë</w:t>
      </w:r>
      <w:r>
        <w:rPr>
          <w:rFonts w:ascii="Cambria" w:eastAsia="Calibri" w:hAnsi="Cambria" w:cs="Times New Roman"/>
          <w:lang w:val="sq-AL"/>
        </w:rPr>
        <w:t>/dit</w:t>
      </w:r>
      <w:r w:rsidR="00025DD5">
        <w:rPr>
          <w:rFonts w:ascii="Cambria" w:eastAsia="Calibri" w:hAnsi="Cambria" w:cs="Times New Roman"/>
          <w:lang w:val="sq-AL"/>
        </w:rPr>
        <w:t>ë</w:t>
      </w:r>
      <w:r>
        <w:rPr>
          <w:rFonts w:ascii="Cambria" w:eastAsia="Calibri" w:hAnsi="Cambria" w:cs="Times New Roman"/>
          <w:lang w:val="sq-AL"/>
        </w:rPr>
        <w:t xml:space="preserve"> n</w:t>
      </w:r>
      <w:r w:rsidR="00025DD5">
        <w:rPr>
          <w:rFonts w:ascii="Cambria" w:eastAsia="Calibri" w:hAnsi="Cambria" w:cs="Times New Roman"/>
          <w:lang w:val="sq-AL"/>
        </w:rPr>
        <w:t>ë</w:t>
      </w:r>
      <w:r>
        <w:rPr>
          <w:rFonts w:ascii="Cambria" w:eastAsia="Calibri" w:hAnsi="Cambria" w:cs="Times New Roman"/>
          <w:lang w:val="sq-AL"/>
        </w:rPr>
        <w:t xml:space="preserve"> vitin 2022 nga 115 lit</w:t>
      </w:r>
      <w:r w:rsidR="00025DD5">
        <w:rPr>
          <w:rFonts w:ascii="Cambria" w:eastAsia="Calibri" w:hAnsi="Cambria" w:cs="Times New Roman"/>
          <w:lang w:val="sq-AL"/>
        </w:rPr>
        <w:t>ë</w:t>
      </w:r>
      <w:r>
        <w:rPr>
          <w:rFonts w:ascii="Cambria" w:eastAsia="Calibri" w:hAnsi="Cambria" w:cs="Times New Roman"/>
          <w:lang w:val="sq-AL"/>
        </w:rPr>
        <w:t>r/ frym</w:t>
      </w:r>
      <w:r w:rsidR="00025DD5">
        <w:rPr>
          <w:rFonts w:ascii="Cambria" w:eastAsia="Calibri" w:hAnsi="Cambria" w:cs="Times New Roman"/>
          <w:lang w:val="sq-AL"/>
        </w:rPr>
        <w:t>ë</w:t>
      </w:r>
      <w:r>
        <w:rPr>
          <w:rFonts w:ascii="Cambria" w:eastAsia="Calibri" w:hAnsi="Cambria" w:cs="Times New Roman"/>
          <w:lang w:val="sq-AL"/>
        </w:rPr>
        <w:t>/dit</w:t>
      </w:r>
      <w:r w:rsidR="00025DD5">
        <w:rPr>
          <w:rFonts w:ascii="Cambria" w:eastAsia="Calibri" w:hAnsi="Cambria" w:cs="Times New Roman"/>
          <w:lang w:val="sq-AL"/>
        </w:rPr>
        <w:t>ë</w:t>
      </w:r>
      <w:r>
        <w:rPr>
          <w:rFonts w:ascii="Cambria" w:eastAsia="Calibri" w:hAnsi="Cambria" w:cs="Times New Roman"/>
          <w:lang w:val="sq-AL"/>
        </w:rPr>
        <w:t xml:space="preserve"> n</w:t>
      </w:r>
      <w:r w:rsidR="00025DD5">
        <w:rPr>
          <w:rFonts w:ascii="Cambria" w:eastAsia="Calibri" w:hAnsi="Cambria" w:cs="Times New Roman"/>
          <w:lang w:val="sq-AL"/>
        </w:rPr>
        <w:t>ë</w:t>
      </w:r>
      <w:r>
        <w:rPr>
          <w:rFonts w:ascii="Cambria" w:eastAsia="Calibri" w:hAnsi="Cambria" w:cs="Times New Roman"/>
          <w:lang w:val="sq-AL"/>
        </w:rPr>
        <w:t xml:space="preserve"> vitin 2019;</w:t>
      </w:r>
    </w:p>
    <w:p w:rsidR="00F4617B" w:rsidRDefault="00F4617B" w:rsidP="00F4617B">
      <w:pPr>
        <w:pStyle w:val="ListParagraph"/>
        <w:numPr>
          <w:ilvl w:val="0"/>
          <w:numId w:val="7"/>
        </w:numPr>
        <w:rPr>
          <w:rFonts w:ascii="Cambria" w:eastAsia="Calibri" w:hAnsi="Cambria" w:cs="Times New Roman"/>
          <w:lang w:val="sq-AL"/>
        </w:rPr>
      </w:pPr>
      <w:r w:rsidRPr="00F4617B">
        <w:rPr>
          <w:rFonts w:ascii="Cambria" w:eastAsia="Calibri" w:hAnsi="Cambria" w:cs="Times New Roman"/>
          <w:lang w:val="sq-AL"/>
        </w:rPr>
        <w:t xml:space="preserve">Orët e furnizimit me ujë në zonat bregdetare </w:t>
      </w:r>
      <w:r>
        <w:rPr>
          <w:rFonts w:ascii="Cambria" w:eastAsia="Calibri" w:hAnsi="Cambria" w:cs="Times New Roman"/>
          <w:lang w:val="sq-AL"/>
        </w:rPr>
        <w:t>synohet t</w:t>
      </w:r>
      <w:r w:rsidR="00025DD5">
        <w:rPr>
          <w:rFonts w:ascii="Cambria" w:eastAsia="Calibri" w:hAnsi="Cambria" w:cs="Times New Roman"/>
          <w:lang w:val="sq-AL"/>
        </w:rPr>
        <w:t>ë</w:t>
      </w:r>
      <w:r>
        <w:rPr>
          <w:rFonts w:ascii="Cambria" w:eastAsia="Calibri" w:hAnsi="Cambria" w:cs="Times New Roman"/>
          <w:lang w:val="sq-AL"/>
        </w:rPr>
        <w:t xml:space="preserve"> arrihet n</w:t>
      </w:r>
      <w:r w:rsidR="00025DD5">
        <w:rPr>
          <w:rFonts w:ascii="Cambria" w:eastAsia="Calibri" w:hAnsi="Cambria" w:cs="Times New Roman"/>
          <w:lang w:val="sq-AL"/>
        </w:rPr>
        <w:t>ë</w:t>
      </w:r>
      <w:r>
        <w:rPr>
          <w:rFonts w:ascii="Cambria" w:eastAsia="Calibri" w:hAnsi="Cambria" w:cs="Times New Roman"/>
          <w:lang w:val="sq-AL"/>
        </w:rPr>
        <w:t xml:space="preserve"> 24 or</w:t>
      </w:r>
      <w:r w:rsidR="00025DD5">
        <w:rPr>
          <w:rFonts w:ascii="Cambria" w:eastAsia="Calibri" w:hAnsi="Cambria" w:cs="Times New Roman"/>
          <w:lang w:val="sq-AL"/>
        </w:rPr>
        <w:t>ë</w:t>
      </w:r>
      <w:r>
        <w:rPr>
          <w:rFonts w:ascii="Cambria" w:eastAsia="Calibri" w:hAnsi="Cambria" w:cs="Times New Roman"/>
          <w:lang w:val="sq-AL"/>
        </w:rPr>
        <w:t>/dit</w:t>
      </w:r>
      <w:r w:rsidR="00025DD5">
        <w:rPr>
          <w:rFonts w:ascii="Cambria" w:eastAsia="Calibri" w:hAnsi="Cambria" w:cs="Times New Roman"/>
          <w:lang w:val="sq-AL"/>
        </w:rPr>
        <w:t>ë</w:t>
      </w:r>
      <w:r>
        <w:rPr>
          <w:rFonts w:ascii="Cambria" w:eastAsia="Calibri" w:hAnsi="Cambria" w:cs="Times New Roman"/>
          <w:lang w:val="sq-AL"/>
        </w:rPr>
        <w:t xml:space="preserve"> n</w:t>
      </w:r>
      <w:r w:rsidR="00025DD5">
        <w:rPr>
          <w:rFonts w:ascii="Cambria" w:eastAsia="Calibri" w:hAnsi="Cambria" w:cs="Times New Roman"/>
          <w:lang w:val="sq-AL"/>
        </w:rPr>
        <w:t>ë</w:t>
      </w:r>
      <w:r>
        <w:rPr>
          <w:rFonts w:ascii="Cambria" w:eastAsia="Calibri" w:hAnsi="Cambria" w:cs="Times New Roman"/>
          <w:lang w:val="sq-AL"/>
        </w:rPr>
        <w:t xml:space="preserve"> vitin 2022 nga 13 or</w:t>
      </w:r>
      <w:r w:rsidR="00025DD5">
        <w:rPr>
          <w:rFonts w:ascii="Cambria" w:eastAsia="Calibri" w:hAnsi="Cambria" w:cs="Times New Roman"/>
          <w:lang w:val="sq-AL"/>
        </w:rPr>
        <w:t>ë</w:t>
      </w:r>
      <w:r>
        <w:rPr>
          <w:rFonts w:ascii="Cambria" w:eastAsia="Calibri" w:hAnsi="Cambria" w:cs="Times New Roman"/>
          <w:lang w:val="sq-AL"/>
        </w:rPr>
        <w:t>/dit</w:t>
      </w:r>
      <w:r w:rsidR="00025DD5">
        <w:rPr>
          <w:rFonts w:ascii="Cambria" w:eastAsia="Calibri" w:hAnsi="Cambria" w:cs="Times New Roman"/>
          <w:lang w:val="sq-AL"/>
        </w:rPr>
        <w:t>ë</w:t>
      </w:r>
      <w:r>
        <w:rPr>
          <w:rFonts w:ascii="Cambria" w:eastAsia="Calibri" w:hAnsi="Cambria" w:cs="Times New Roman"/>
          <w:lang w:val="sq-AL"/>
        </w:rPr>
        <w:t xml:space="preserve"> n</w:t>
      </w:r>
      <w:r w:rsidR="00025DD5">
        <w:rPr>
          <w:rFonts w:ascii="Cambria" w:eastAsia="Calibri" w:hAnsi="Cambria" w:cs="Times New Roman"/>
          <w:lang w:val="sq-AL"/>
        </w:rPr>
        <w:t>ë</w:t>
      </w:r>
      <w:r>
        <w:rPr>
          <w:rFonts w:ascii="Cambria" w:eastAsia="Calibri" w:hAnsi="Cambria" w:cs="Times New Roman"/>
          <w:lang w:val="sq-AL"/>
        </w:rPr>
        <w:t xml:space="preserve"> vitin 2019;</w:t>
      </w:r>
    </w:p>
    <w:p w:rsidR="00F4617B" w:rsidRDefault="00F4617B" w:rsidP="00F4617B">
      <w:pPr>
        <w:pStyle w:val="ListParagraph"/>
        <w:numPr>
          <w:ilvl w:val="0"/>
          <w:numId w:val="7"/>
        </w:numPr>
        <w:rPr>
          <w:rFonts w:ascii="Cambria" w:eastAsia="Calibri" w:hAnsi="Cambria" w:cs="Times New Roman"/>
          <w:lang w:val="sq-AL"/>
        </w:rPr>
      </w:pPr>
      <w:r w:rsidRPr="00F4617B">
        <w:rPr>
          <w:rFonts w:ascii="Cambria" w:eastAsia="Calibri" w:hAnsi="Cambria" w:cs="Times New Roman"/>
          <w:lang w:val="sq-AL"/>
        </w:rPr>
        <w:t>Reduktimi i humbjev</w:t>
      </w:r>
      <w:r>
        <w:rPr>
          <w:rFonts w:ascii="Cambria" w:eastAsia="Calibri" w:hAnsi="Cambria" w:cs="Times New Roman"/>
          <w:lang w:val="sq-AL"/>
        </w:rPr>
        <w:t>e në rrjet në nivel kombëtar synohet t</w:t>
      </w:r>
      <w:r w:rsidR="00025DD5">
        <w:rPr>
          <w:rFonts w:ascii="Cambria" w:eastAsia="Calibri" w:hAnsi="Cambria" w:cs="Times New Roman"/>
          <w:lang w:val="sq-AL"/>
        </w:rPr>
        <w:t>ë</w:t>
      </w:r>
      <w:r>
        <w:rPr>
          <w:rFonts w:ascii="Cambria" w:eastAsia="Calibri" w:hAnsi="Cambria" w:cs="Times New Roman"/>
          <w:lang w:val="sq-AL"/>
        </w:rPr>
        <w:t xml:space="preserve"> arrihet n</w:t>
      </w:r>
      <w:r w:rsidR="00025DD5">
        <w:rPr>
          <w:rFonts w:ascii="Cambria" w:eastAsia="Calibri" w:hAnsi="Cambria" w:cs="Times New Roman"/>
          <w:lang w:val="sq-AL"/>
        </w:rPr>
        <w:t>ë</w:t>
      </w:r>
      <w:r>
        <w:rPr>
          <w:rFonts w:ascii="Cambria" w:eastAsia="Calibri" w:hAnsi="Cambria" w:cs="Times New Roman"/>
          <w:lang w:val="sq-AL"/>
        </w:rPr>
        <w:t xml:space="preserve"> 50% n</w:t>
      </w:r>
      <w:r w:rsidR="00025DD5">
        <w:rPr>
          <w:rFonts w:ascii="Cambria" w:eastAsia="Calibri" w:hAnsi="Cambria" w:cs="Times New Roman"/>
          <w:lang w:val="sq-AL"/>
        </w:rPr>
        <w:t>ë</w:t>
      </w:r>
      <w:r>
        <w:rPr>
          <w:rFonts w:ascii="Cambria" w:eastAsia="Calibri" w:hAnsi="Cambria" w:cs="Times New Roman"/>
          <w:lang w:val="sq-AL"/>
        </w:rPr>
        <w:t xml:space="preserve"> vitin 2022 nga 62% n</w:t>
      </w:r>
      <w:r w:rsidR="00025DD5">
        <w:rPr>
          <w:rFonts w:ascii="Cambria" w:eastAsia="Calibri" w:hAnsi="Cambria" w:cs="Times New Roman"/>
          <w:lang w:val="sq-AL"/>
        </w:rPr>
        <w:t>ë</w:t>
      </w:r>
      <w:r>
        <w:rPr>
          <w:rFonts w:ascii="Cambria" w:eastAsia="Calibri" w:hAnsi="Cambria" w:cs="Times New Roman"/>
          <w:lang w:val="sq-AL"/>
        </w:rPr>
        <w:t xml:space="preserve"> vitin 2019;</w:t>
      </w:r>
    </w:p>
    <w:p w:rsidR="00F4617B" w:rsidRDefault="00F4617B" w:rsidP="00F4617B">
      <w:pPr>
        <w:pStyle w:val="ListParagraph"/>
        <w:numPr>
          <w:ilvl w:val="0"/>
          <w:numId w:val="7"/>
        </w:numPr>
        <w:rPr>
          <w:rFonts w:ascii="Cambria" w:eastAsia="Calibri" w:hAnsi="Cambria" w:cs="Times New Roman"/>
          <w:lang w:val="sq-AL"/>
        </w:rPr>
      </w:pPr>
      <w:r>
        <w:rPr>
          <w:rFonts w:ascii="Cambria" w:eastAsia="Calibri" w:hAnsi="Cambria" w:cs="Times New Roman"/>
          <w:lang w:val="sq-AL"/>
        </w:rPr>
        <w:t>Mbulimi me sh</w:t>
      </w:r>
      <w:r w:rsidR="00025DD5">
        <w:rPr>
          <w:rFonts w:ascii="Cambria" w:eastAsia="Calibri" w:hAnsi="Cambria" w:cs="Times New Roman"/>
          <w:lang w:val="sq-AL"/>
        </w:rPr>
        <w:t>ë</w:t>
      </w:r>
      <w:r w:rsidRPr="00F4617B">
        <w:rPr>
          <w:rFonts w:ascii="Cambria" w:eastAsia="Calibri" w:hAnsi="Cambria" w:cs="Times New Roman"/>
          <w:lang w:val="sq-AL"/>
        </w:rPr>
        <w:t>rbimin e ITUN (kanalizime+gr</w:t>
      </w:r>
      <w:r>
        <w:rPr>
          <w:rFonts w:ascii="Cambria" w:eastAsia="Calibri" w:hAnsi="Cambria" w:cs="Times New Roman"/>
          <w:lang w:val="sq-AL"/>
        </w:rPr>
        <w:t>opa septike) synohet t</w:t>
      </w:r>
      <w:r w:rsidR="00025DD5">
        <w:rPr>
          <w:rFonts w:ascii="Cambria" w:eastAsia="Calibri" w:hAnsi="Cambria" w:cs="Times New Roman"/>
          <w:lang w:val="sq-AL"/>
        </w:rPr>
        <w:t>ë</w:t>
      </w:r>
      <w:r>
        <w:rPr>
          <w:rFonts w:ascii="Cambria" w:eastAsia="Calibri" w:hAnsi="Cambria" w:cs="Times New Roman"/>
          <w:lang w:val="sq-AL"/>
        </w:rPr>
        <w:t xml:space="preserve"> arrihet n</w:t>
      </w:r>
      <w:r w:rsidR="00025DD5">
        <w:rPr>
          <w:rFonts w:ascii="Cambria" w:eastAsia="Calibri" w:hAnsi="Cambria" w:cs="Times New Roman"/>
          <w:lang w:val="sq-AL"/>
        </w:rPr>
        <w:t>ë</w:t>
      </w:r>
      <w:r>
        <w:rPr>
          <w:rFonts w:ascii="Cambria" w:eastAsia="Calibri" w:hAnsi="Cambria" w:cs="Times New Roman"/>
          <w:lang w:val="sq-AL"/>
        </w:rPr>
        <w:t xml:space="preserve"> nivelin 17% n</w:t>
      </w:r>
      <w:r w:rsidR="00025DD5">
        <w:rPr>
          <w:rFonts w:ascii="Cambria" w:eastAsia="Calibri" w:hAnsi="Cambria" w:cs="Times New Roman"/>
          <w:lang w:val="sq-AL"/>
        </w:rPr>
        <w:t>ë</w:t>
      </w:r>
      <w:r>
        <w:rPr>
          <w:rFonts w:ascii="Cambria" w:eastAsia="Calibri" w:hAnsi="Cambria" w:cs="Times New Roman"/>
          <w:lang w:val="sq-AL"/>
        </w:rPr>
        <w:t xml:space="preserve"> vitin 2022 nga 12% n</w:t>
      </w:r>
      <w:r w:rsidR="00025DD5">
        <w:rPr>
          <w:rFonts w:ascii="Cambria" w:eastAsia="Calibri" w:hAnsi="Cambria" w:cs="Times New Roman"/>
          <w:lang w:val="sq-AL"/>
        </w:rPr>
        <w:t>ë</w:t>
      </w:r>
      <w:r>
        <w:rPr>
          <w:rFonts w:ascii="Cambria" w:eastAsia="Calibri" w:hAnsi="Cambria" w:cs="Times New Roman"/>
          <w:lang w:val="sq-AL"/>
        </w:rPr>
        <w:t xml:space="preserve"> vitin 2019;</w:t>
      </w:r>
    </w:p>
    <w:p w:rsidR="00F4617B" w:rsidRDefault="00F4617B" w:rsidP="00F4617B">
      <w:pPr>
        <w:pStyle w:val="ListParagraph"/>
        <w:numPr>
          <w:ilvl w:val="0"/>
          <w:numId w:val="7"/>
        </w:numPr>
        <w:rPr>
          <w:rFonts w:ascii="Cambria" w:eastAsia="Calibri" w:hAnsi="Cambria" w:cs="Times New Roman"/>
          <w:lang w:val="sq-AL"/>
        </w:rPr>
      </w:pPr>
      <w:r>
        <w:rPr>
          <w:rFonts w:ascii="Cambria" w:eastAsia="Calibri" w:hAnsi="Cambria" w:cs="Times New Roman"/>
          <w:lang w:val="sq-AL"/>
        </w:rPr>
        <w:t>Perqindja e mbulimit te kostove t</w:t>
      </w:r>
      <w:r w:rsidR="00025DD5">
        <w:rPr>
          <w:rFonts w:ascii="Cambria" w:eastAsia="Calibri" w:hAnsi="Cambria" w:cs="Times New Roman"/>
          <w:lang w:val="sq-AL"/>
        </w:rPr>
        <w:t>ë</w:t>
      </w:r>
      <w:r>
        <w:rPr>
          <w:rFonts w:ascii="Cambria" w:eastAsia="Calibri" w:hAnsi="Cambria" w:cs="Times New Roman"/>
          <w:lang w:val="sq-AL"/>
        </w:rPr>
        <w:t xml:space="preserve"> Uj</w:t>
      </w:r>
      <w:r w:rsidR="00025DD5">
        <w:rPr>
          <w:rFonts w:ascii="Cambria" w:eastAsia="Calibri" w:hAnsi="Cambria" w:cs="Times New Roman"/>
          <w:lang w:val="sq-AL"/>
        </w:rPr>
        <w:t>ë</w:t>
      </w:r>
      <w:r>
        <w:rPr>
          <w:rFonts w:ascii="Cambria" w:eastAsia="Calibri" w:hAnsi="Cambria" w:cs="Times New Roman"/>
          <w:lang w:val="sq-AL"/>
        </w:rPr>
        <w:t>sjell</w:t>
      </w:r>
      <w:r w:rsidR="00025DD5">
        <w:rPr>
          <w:rFonts w:ascii="Cambria" w:eastAsia="Calibri" w:hAnsi="Cambria" w:cs="Times New Roman"/>
          <w:lang w:val="sq-AL"/>
        </w:rPr>
        <w:t>ë</w:t>
      </w:r>
      <w:r>
        <w:rPr>
          <w:rFonts w:ascii="Cambria" w:eastAsia="Calibri" w:hAnsi="Cambria" w:cs="Times New Roman"/>
          <w:lang w:val="sq-AL"/>
        </w:rPr>
        <w:t>s-Kanalizimeve me t</w:t>
      </w:r>
      <w:r w:rsidR="00025DD5">
        <w:rPr>
          <w:rFonts w:ascii="Cambria" w:eastAsia="Calibri" w:hAnsi="Cambria" w:cs="Times New Roman"/>
          <w:lang w:val="sq-AL"/>
        </w:rPr>
        <w:t>ë</w:t>
      </w:r>
      <w:r w:rsidRPr="00F4617B">
        <w:rPr>
          <w:rFonts w:ascii="Cambria" w:eastAsia="Calibri" w:hAnsi="Cambria" w:cs="Times New Roman"/>
          <w:lang w:val="sq-AL"/>
        </w:rPr>
        <w:t xml:space="preserve"> ardhurat</w:t>
      </w:r>
      <w:r>
        <w:rPr>
          <w:rFonts w:ascii="Cambria" w:eastAsia="Calibri" w:hAnsi="Cambria" w:cs="Times New Roman"/>
          <w:lang w:val="sq-AL"/>
        </w:rPr>
        <w:t xml:space="preserve"> synohet t</w:t>
      </w:r>
      <w:r w:rsidR="00025DD5">
        <w:rPr>
          <w:rFonts w:ascii="Cambria" w:eastAsia="Calibri" w:hAnsi="Cambria" w:cs="Times New Roman"/>
          <w:lang w:val="sq-AL"/>
        </w:rPr>
        <w:t>ë</w:t>
      </w:r>
      <w:r>
        <w:rPr>
          <w:rFonts w:ascii="Cambria" w:eastAsia="Calibri" w:hAnsi="Cambria" w:cs="Times New Roman"/>
          <w:lang w:val="sq-AL"/>
        </w:rPr>
        <w:t xml:space="preserve"> arrihet n</w:t>
      </w:r>
      <w:r w:rsidR="00025DD5">
        <w:rPr>
          <w:rFonts w:ascii="Cambria" w:eastAsia="Calibri" w:hAnsi="Cambria" w:cs="Times New Roman"/>
          <w:lang w:val="sq-AL"/>
        </w:rPr>
        <w:t>ë</w:t>
      </w:r>
      <w:r>
        <w:rPr>
          <w:rFonts w:ascii="Cambria" w:eastAsia="Calibri" w:hAnsi="Cambria" w:cs="Times New Roman"/>
          <w:lang w:val="sq-AL"/>
        </w:rPr>
        <w:t xml:space="preserve"> vler</w:t>
      </w:r>
      <w:r w:rsidR="00025DD5">
        <w:rPr>
          <w:rFonts w:ascii="Cambria" w:eastAsia="Calibri" w:hAnsi="Cambria" w:cs="Times New Roman"/>
          <w:lang w:val="sq-AL"/>
        </w:rPr>
        <w:t>ë</w:t>
      </w:r>
      <w:r>
        <w:rPr>
          <w:rFonts w:ascii="Cambria" w:eastAsia="Calibri" w:hAnsi="Cambria" w:cs="Times New Roman"/>
          <w:lang w:val="sq-AL"/>
        </w:rPr>
        <w:t>n 90% n</w:t>
      </w:r>
      <w:r w:rsidR="00025DD5">
        <w:rPr>
          <w:rFonts w:ascii="Cambria" w:eastAsia="Calibri" w:hAnsi="Cambria" w:cs="Times New Roman"/>
          <w:lang w:val="sq-AL"/>
        </w:rPr>
        <w:t>ë</w:t>
      </w:r>
      <w:r>
        <w:rPr>
          <w:rFonts w:ascii="Cambria" w:eastAsia="Calibri" w:hAnsi="Cambria" w:cs="Times New Roman"/>
          <w:lang w:val="sq-AL"/>
        </w:rPr>
        <w:t xml:space="preserve"> vitin 2022 nga 75% n</w:t>
      </w:r>
      <w:r w:rsidR="00025DD5">
        <w:rPr>
          <w:rFonts w:ascii="Cambria" w:eastAsia="Calibri" w:hAnsi="Cambria" w:cs="Times New Roman"/>
          <w:lang w:val="sq-AL"/>
        </w:rPr>
        <w:t>ë</w:t>
      </w:r>
      <w:r>
        <w:rPr>
          <w:rFonts w:ascii="Cambria" w:eastAsia="Calibri" w:hAnsi="Cambria" w:cs="Times New Roman"/>
          <w:lang w:val="sq-AL"/>
        </w:rPr>
        <w:t xml:space="preserve"> vitin 2019;</w:t>
      </w:r>
    </w:p>
    <w:p w:rsidR="00B461E0" w:rsidRPr="00B461E0" w:rsidRDefault="00B461E0" w:rsidP="00B461E0">
      <w:pPr>
        <w:ind w:left="414"/>
        <w:rPr>
          <w:rFonts w:ascii="Cambria" w:eastAsia="Calibri" w:hAnsi="Cambria" w:cs="Times New Roman"/>
          <w:lang w:val="sq-AL"/>
        </w:rPr>
      </w:pPr>
    </w:p>
    <w:p w:rsidR="00DC669F" w:rsidRPr="00DC669F" w:rsidRDefault="00DC669F" w:rsidP="00DC669F">
      <w:pPr>
        <w:jc w:val="both"/>
        <w:rPr>
          <w:rFonts w:ascii="Cambria" w:eastAsia="Calibri" w:hAnsi="Cambria" w:cs="Times New Roman"/>
          <w:b/>
          <w:lang w:val="sq-AL"/>
        </w:rPr>
      </w:pPr>
      <w:r w:rsidRPr="00405A65">
        <w:rPr>
          <w:rFonts w:ascii="Cambria" w:eastAsia="Calibri" w:hAnsi="Cambria" w:cs="Times New Roman"/>
          <w:b/>
          <w:lang w:val="sq-AL"/>
        </w:rPr>
        <w:t>Programi “Mbështetje për Energjinë”</w:t>
      </w:r>
    </w:p>
    <w:p w:rsidR="00DC669F" w:rsidRP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 xml:space="preserve">Sigurimi i furnizimit të pandërprerë i konsumatorit me energji elektrike; </w:t>
      </w:r>
    </w:p>
    <w:p w:rsidR="00DC669F" w:rsidRP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Në vitin 2020 do të rritet përdorimi i energjis</w:t>
      </w:r>
      <w:r w:rsidR="00FA0246">
        <w:rPr>
          <w:rFonts w:ascii="Cambria" w:eastAsia="Calibri" w:hAnsi="Cambria" w:cs="Times New Roman"/>
          <w:lang w:val="sq-AL"/>
        </w:rPr>
        <w:t>ë</w:t>
      </w:r>
      <w:r w:rsidRPr="00DC669F">
        <w:rPr>
          <w:rFonts w:ascii="Cambria" w:eastAsia="Calibri" w:hAnsi="Cambria" w:cs="Times New Roman"/>
          <w:lang w:val="sq-AL"/>
        </w:rPr>
        <w:t xml:space="preserve"> së rinovueshme me 38% kundrejt vitit 2009;</w:t>
      </w:r>
    </w:p>
    <w:p w:rsidR="00DC669F" w:rsidRP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Në vitin 2020 do të rritet efiçenca e energjisë me 6.5% referuar vitit 2009.</w:t>
      </w:r>
    </w:p>
    <w:p w:rsidR="00DC669F" w:rsidRPr="00DC669F" w:rsidRDefault="00DC669F" w:rsidP="00DC669F">
      <w:pPr>
        <w:jc w:val="both"/>
        <w:rPr>
          <w:rFonts w:ascii="Cambria" w:eastAsia="Calibri" w:hAnsi="Cambria" w:cs="Times New Roman"/>
          <w:b/>
          <w:lang w:val="sq-AL"/>
        </w:rPr>
      </w:pPr>
    </w:p>
    <w:p w:rsidR="00DC669F" w:rsidRPr="00DC669F" w:rsidRDefault="00DC669F" w:rsidP="00DC669F">
      <w:pPr>
        <w:jc w:val="both"/>
        <w:rPr>
          <w:rFonts w:ascii="Cambria" w:eastAsia="Calibri" w:hAnsi="Cambria" w:cs="Times New Roman"/>
          <w:b/>
          <w:lang w:val="sq-AL"/>
        </w:rPr>
      </w:pPr>
      <w:r w:rsidRPr="00405A65">
        <w:rPr>
          <w:rFonts w:ascii="Cambria" w:eastAsia="Calibri" w:hAnsi="Cambria" w:cs="Times New Roman"/>
          <w:b/>
          <w:lang w:val="sq-AL"/>
        </w:rPr>
        <w:t>Programi “Menaxhimi i Mbetjeve Urbane”</w:t>
      </w:r>
    </w:p>
    <w:p w:rsidR="00DC669F" w:rsidRPr="00DC669F" w:rsidRDefault="00DC669F" w:rsidP="00FD7A65">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Në vitin 202</w:t>
      </w:r>
      <w:r w:rsidR="00486D88">
        <w:rPr>
          <w:rFonts w:ascii="Cambria" w:eastAsia="Calibri" w:hAnsi="Cambria" w:cs="Times New Roman"/>
          <w:lang w:val="sq-AL"/>
        </w:rPr>
        <w:t>2</w:t>
      </w:r>
      <w:r w:rsidRPr="00DC669F">
        <w:rPr>
          <w:rFonts w:ascii="Cambria" w:eastAsia="Calibri" w:hAnsi="Cambria" w:cs="Times New Roman"/>
          <w:lang w:val="sq-AL"/>
        </w:rPr>
        <w:t xml:space="preserve">, </w:t>
      </w:r>
      <w:r w:rsidR="00C452FD">
        <w:rPr>
          <w:rFonts w:ascii="Cambria" w:eastAsia="Calibri" w:hAnsi="Cambria" w:cs="Times New Roman"/>
          <w:lang w:val="sq-AL"/>
        </w:rPr>
        <w:t>synohet që të trajtohen rreth 50</w:t>
      </w:r>
      <w:r w:rsidRPr="00DC669F">
        <w:rPr>
          <w:rFonts w:ascii="Cambria" w:eastAsia="Calibri" w:hAnsi="Cambria" w:cs="Times New Roman"/>
          <w:lang w:val="sq-AL"/>
        </w:rPr>
        <w:t>% të mbetjeve me land</w:t>
      </w:r>
      <w:r w:rsidR="00A3613D">
        <w:rPr>
          <w:rFonts w:ascii="Cambria" w:eastAsia="Calibri" w:hAnsi="Cambria" w:cs="Times New Roman"/>
          <w:lang w:val="sq-AL"/>
        </w:rPr>
        <w:t>fill-e sipas standardeve, nga 30</w:t>
      </w:r>
      <w:r w:rsidRPr="00DC669F">
        <w:rPr>
          <w:rFonts w:ascii="Cambria" w:eastAsia="Calibri" w:hAnsi="Cambria" w:cs="Times New Roman"/>
          <w:lang w:val="sq-AL"/>
        </w:rPr>
        <w:t>% që parashikohet në fund të v</w:t>
      </w:r>
      <w:r w:rsidR="00A3613D">
        <w:rPr>
          <w:rFonts w:ascii="Cambria" w:eastAsia="Calibri" w:hAnsi="Cambria" w:cs="Times New Roman"/>
          <w:lang w:val="sq-AL"/>
        </w:rPr>
        <w:t>itit 2019</w:t>
      </w:r>
      <w:r w:rsidRPr="00DC669F">
        <w:rPr>
          <w:rFonts w:ascii="Cambria" w:eastAsia="Calibri" w:hAnsi="Cambria" w:cs="Times New Roman"/>
          <w:lang w:val="sq-AL"/>
        </w:rPr>
        <w:t>;</w:t>
      </w:r>
    </w:p>
    <w:p w:rsidR="00DC669F" w:rsidRDefault="00A3613D" w:rsidP="00FD7A65">
      <w:pPr>
        <w:numPr>
          <w:ilvl w:val="0"/>
          <w:numId w:val="7"/>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Në vitin 2022, synohet të riciklohet rreth 23</w:t>
      </w:r>
      <w:r w:rsidR="00DC669F" w:rsidRPr="00DC669F">
        <w:rPr>
          <w:rFonts w:ascii="Cambria" w:eastAsia="Calibri" w:hAnsi="Cambria" w:cs="Times New Roman"/>
          <w:lang w:val="sq-AL"/>
        </w:rPr>
        <w:t>% e totalit të</w:t>
      </w:r>
      <w:r>
        <w:rPr>
          <w:rFonts w:ascii="Cambria" w:eastAsia="Calibri" w:hAnsi="Cambria" w:cs="Times New Roman"/>
          <w:lang w:val="sq-AL"/>
        </w:rPr>
        <w:t xml:space="preserve"> mbetjeve të prodhuara, nga 5</w:t>
      </w:r>
      <w:r w:rsidR="00DC669F" w:rsidRPr="00DC669F">
        <w:rPr>
          <w:rFonts w:ascii="Cambria" w:eastAsia="Calibri" w:hAnsi="Cambria" w:cs="Times New Roman"/>
          <w:lang w:val="sq-AL"/>
        </w:rPr>
        <w:t>% që pa</w:t>
      </w:r>
      <w:r>
        <w:rPr>
          <w:rFonts w:ascii="Cambria" w:eastAsia="Calibri" w:hAnsi="Cambria" w:cs="Times New Roman"/>
          <w:lang w:val="sq-AL"/>
        </w:rPr>
        <w:t>rashikohet në fund të vitit 2019</w:t>
      </w:r>
      <w:r w:rsidR="00DC669F" w:rsidRPr="00DC669F">
        <w:rPr>
          <w:rFonts w:ascii="Cambria" w:eastAsia="Calibri" w:hAnsi="Cambria" w:cs="Times New Roman"/>
          <w:lang w:val="sq-AL"/>
        </w:rPr>
        <w:t>;</w:t>
      </w:r>
    </w:p>
    <w:p w:rsidR="00C452FD" w:rsidRDefault="00C452FD" w:rsidP="00C452FD">
      <w:pPr>
        <w:numPr>
          <w:ilvl w:val="0"/>
          <w:numId w:val="7"/>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Norma e ndotjes s</w:t>
      </w:r>
      <w:r w:rsidR="00025DD5">
        <w:rPr>
          <w:rFonts w:ascii="Cambria" w:eastAsia="Calibri" w:hAnsi="Cambria" w:cs="Times New Roman"/>
          <w:lang w:val="sq-AL"/>
        </w:rPr>
        <w:t>ë</w:t>
      </w:r>
      <w:r>
        <w:rPr>
          <w:rFonts w:ascii="Cambria" w:eastAsia="Calibri" w:hAnsi="Cambria" w:cs="Times New Roman"/>
          <w:lang w:val="sq-AL"/>
        </w:rPr>
        <w:t xml:space="preserve"> ajrit synohet t</w:t>
      </w:r>
      <w:r w:rsidR="00025DD5">
        <w:rPr>
          <w:rFonts w:ascii="Cambria" w:eastAsia="Calibri" w:hAnsi="Cambria" w:cs="Times New Roman"/>
          <w:lang w:val="sq-AL"/>
        </w:rPr>
        <w:t>ë</w:t>
      </w:r>
      <w:r>
        <w:rPr>
          <w:rFonts w:ascii="Cambria" w:eastAsia="Calibri" w:hAnsi="Cambria" w:cs="Times New Roman"/>
          <w:lang w:val="sq-AL"/>
        </w:rPr>
        <w:t xml:space="preserve"> arrihet n</w:t>
      </w:r>
      <w:r w:rsidR="00025DD5">
        <w:rPr>
          <w:rFonts w:ascii="Cambria" w:eastAsia="Calibri" w:hAnsi="Cambria" w:cs="Times New Roman"/>
          <w:lang w:val="sq-AL"/>
        </w:rPr>
        <w:t>ë</w:t>
      </w:r>
      <w:r>
        <w:rPr>
          <w:rFonts w:ascii="Cambria" w:eastAsia="Calibri" w:hAnsi="Cambria" w:cs="Times New Roman"/>
          <w:lang w:val="sq-AL"/>
        </w:rPr>
        <w:t xml:space="preserve"> </w:t>
      </w:r>
      <w:r w:rsidRPr="00C452FD">
        <w:rPr>
          <w:rFonts w:ascii="Cambria" w:eastAsia="Calibri" w:hAnsi="Cambria" w:cs="Times New Roman"/>
          <w:lang w:val="sq-AL"/>
        </w:rPr>
        <w:t>39 μg/m3</w:t>
      </w:r>
      <w:r>
        <w:rPr>
          <w:rFonts w:ascii="Cambria" w:eastAsia="Calibri" w:hAnsi="Cambria" w:cs="Times New Roman"/>
          <w:lang w:val="sq-AL"/>
        </w:rPr>
        <w:t xml:space="preserve"> n</w:t>
      </w:r>
      <w:r w:rsidR="00025DD5">
        <w:rPr>
          <w:rFonts w:ascii="Cambria" w:eastAsia="Calibri" w:hAnsi="Cambria" w:cs="Times New Roman"/>
          <w:lang w:val="sq-AL"/>
        </w:rPr>
        <w:t>ë</w:t>
      </w:r>
      <w:r>
        <w:rPr>
          <w:rFonts w:ascii="Cambria" w:eastAsia="Calibri" w:hAnsi="Cambria" w:cs="Times New Roman"/>
          <w:lang w:val="sq-AL"/>
        </w:rPr>
        <w:t xml:space="preserve"> 2022 nga </w:t>
      </w:r>
      <w:r w:rsidRPr="00C452FD">
        <w:rPr>
          <w:rFonts w:ascii="Cambria" w:eastAsia="Calibri" w:hAnsi="Cambria" w:cs="Times New Roman"/>
          <w:lang w:val="sq-AL"/>
        </w:rPr>
        <w:t>45 μg/m3</w:t>
      </w:r>
      <w:r>
        <w:rPr>
          <w:rFonts w:ascii="Cambria" w:eastAsia="Calibri" w:hAnsi="Cambria" w:cs="Times New Roman"/>
          <w:lang w:val="sq-AL"/>
        </w:rPr>
        <w:t xml:space="preserve"> q</w:t>
      </w:r>
      <w:r w:rsidR="00025DD5">
        <w:rPr>
          <w:rFonts w:ascii="Cambria" w:eastAsia="Calibri" w:hAnsi="Cambria" w:cs="Times New Roman"/>
          <w:lang w:val="sq-AL"/>
        </w:rPr>
        <w:t>ë</w:t>
      </w:r>
      <w:r>
        <w:rPr>
          <w:rFonts w:ascii="Cambria" w:eastAsia="Calibri" w:hAnsi="Cambria" w:cs="Times New Roman"/>
          <w:lang w:val="sq-AL"/>
        </w:rPr>
        <w:t xml:space="preserve"> pritet t</w:t>
      </w:r>
      <w:r w:rsidR="00025DD5">
        <w:rPr>
          <w:rFonts w:ascii="Cambria" w:eastAsia="Calibri" w:hAnsi="Cambria" w:cs="Times New Roman"/>
          <w:lang w:val="sq-AL"/>
        </w:rPr>
        <w:t>ë</w:t>
      </w:r>
      <w:r>
        <w:rPr>
          <w:rFonts w:ascii="Cambria" w:eastAsia="Calibri" w:hAnsi="Cambria" w:cs="Times New Roman"/>
          <w:lang w:val="sq-AL"/>
        </w:rPr>
        <w:t xml:space="preserve"> arrihet n</w:t>
      </w:r>
      <w:r w:rsidR="00025DD5">
        <w:rPr>
          <w:rFonts w:ascii="Cambria" w:eastAsia="Calibri" w:hAnsi="Cambria" w:cs="Times New Roman"/>
          <w:lang w:val="sq-AL"/>
        </w:rPr>
        <w:t>ë</w:t>
      </w:r>
      <w:r>
        <w:rPr>
          <w:rFonts w:ascii="Cambria" w:eastAsia="Calibri" w:hAnsi="Cambria" w:cs="Times New Roman"/>
          <w:lang w:val="sq-AL"/>
        </w:rPr>
        <w:t xml:space="preserve"> fund t</w:t>
      </w:r>
      <w:r w:rsidR="00025DD5">
        <w:rPr>
          <w:rFonts w:ascii="Cambria" w:eastAsia="Calibri" w:hAnsi="Cambria" w:cs="Times New Roman"/>
          <w:lang w:val="sq-AL"/>
        </w:rPr>
        <w:t>ë</w:t>
      </w:r>
      <w:r>
        <w:rPr>
          <w:rFonts w:ascii="Cambria" w:eastAsia="Calibri" w:hAnsi="Cambria" w:cs="Times New Roman"/>
          <w:lang w:val="sq-AL"/>
        </w:rPr>
        <w:t xml:space="preserve"> 2019;</w:t>
      </w:r>
    </w:p>
    <w:p w:rsidR="00C452FD" w:rsidRPr="00DC669F" w:rsidRDefault="00C452FD" w:rsidP="00C452FD">
      <w:pPr>
        <w:numPr>
          <w:ilvl w:val="0"/>
          <w:numId w:val="7"/>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 xml:space="preserve">Norma  e </w:t>
      </w:r>
      <w:r w:rsidRPr="00C452FD">
        <w:rPr>
          <w:rFonts w:ascii="Cambria" w:eastAsia="Calibri" w:hAnsi="Cambria" w:cs="Times New Roman"/>
          <w:lang w:val="sq-AL"/>
        </w:rPr>
        <w:t>mbetjeve të rikuperuara kundrejt sasisë totale të mbetjeve të prodhuara</w:t>
      </w:r>
      <w:r>
        <w:rPr>
          <w:rFonts w:ascii="Cambria" w:eastAsia="Calibri" w:hAnsi="Cambria" w:cs="Times New Roman"/>
          <w:lang w:val="sq-AL"/>
        </w:rPr>
        <w:t xml:space="preserve"> synohet t</w:t>
      </w:r>
      <w:r w:rsidR="00025DD5">
        <w:rPr>
          <w:rFonts w:ascii="Cambria" w:eastAsia="Calibri" w:hAnsi="Cambria" w:cs="Times New Roman"/>
          <w:lang w:val="sq-AL"/>
        </w:rPr>
        <w:t>ë</w:t>
      </w:r>
      <w:r>
        <w:rPr>
          <w:rFonts w:ascii="Cambria" w:eastAsia="Calibri" w:hAnsi="Cambria" w:cs="Times New Roman"/>
          <w:lang w:val="sq-AL"/>
        </w:rPr>
        <w:t xml:space="preserve"> arrihet n</w:t>
      </w:r>
      <w:r w:rsidR="00025DD5">
        <w:rPr>
          <w:rFonts w:ascii="Cambria" w:eastAsia="Calibri" w:hAnsi="Cambria" w:cs="Times New Roman"/>
          <w:lang w:val="sq-AL"/>
        </w:rPr>
        <w:t>ë</w:t>
      </w:r>
      <w:r>
        <w:rPr>
          <w:rFonts w:ascii="Cambria" w:eastAsia="Calibri" w:hAnsi="Cambria" w:cs="Times New Roman"/>
          <w:lang w:val="sq-AL"/>
        </w:rPr>
        <w:t xml:space="preserve"> 30</w:t>
      </w:r>
      <w:r w:rsidR="00DE1080">
        <w:rPr>
          <w:rFonts w:ascii="Cambria" w:eastAsia="Calibri" w:hAnsi="Cambria" w:cs="Times New Roman"/>
          <w:lang w:val="sq-AL"/>
        </w:rPr>
        <w:t>% n</w:t>
      </w:r>
      <w:r w:rsidR="00025DD5">
        <w:rPr>
          <w:rFonts w:ascii="Cambria" w:eastAsia="Calibri" w:hAnsi="Cambria" w:cs="Times New Roman"/>
          <w:lang w:val="sq-AL"/>
        </w:rPr>
        <w:t>ë</w:t>
      </w:r>
      <w:r w:rsidR="00DE1080">
        <w:rPr>
          <w:rFonts w:ascii="Cambria" w:eastAsia="Calibri" w:hAnsi="Cambria" w:cs="Times New Roman"/>
          <w:lang w:val="sq-AL"/>
        </w:rPr>
        <w:t xml:space="preserve"> 2022 nga 3% q</w:t>
      </w:r>
      <w:r w:rsidR="00025DD5">
        <w:rPr>
          <w:rFonts w:ascii="Cambria" w:eastAsia="Calibri" w:hAnsi="Cambria" w:cs="Times New Roman"/>
          <w:lang w:val="sq-AL"/>
        </w:rPr>
        <w:t>ë</w:t>
      </w:r>
      <w:r w:rsidR="00DE1080">
        <w:rPr>
          <w:rFonts w:ascii="Cambria" w:eastAsia="Calibri" w:hAnsi="Cambria" w:cs="Times New Roman"/>
          <w:lang w:val="sq-AL"/>
        </w:rPr>
        <w:t xml:space="preserve"> synohet n</w:t>
      </w:r>
      <w:r w:rsidR="00025DD5">
        <w:rPr>
          <w:rFonts w:ascii="Cambria" w:eastAsia="Calibri" w:hAnsi="Cambria" w:cs="Times New Roman"/>
          <w:lang w:val="sq-AL"/>
        </w:rPr>
        <w:t>ë</w:t>
      </w:r>
      <w:r w:rsidR="00DE1080">
        <w:rPr>
          <w:rFonts w:ascii="Cambria" w:eastAsia="Calibri" w:hAnsi="Cambria" w:cs="Times New Roman"/>
          <w:lang w:val="sq-AL"/>
        </w:rPr>
        <w:t xml:space="preserve"> fund t</w:t>
      </w:r>
      <w:r w:rsidR="00025DD5">
        <w:rPr>
          <w:rFonts w:ascii="Cambria" w:eastAsia="Calibri" w:hAnsi="Cambria" w:cs="Times New Roman"/>
          <w:lang w:val="sq-AL"/>
        </w:rPr>
        <w:t>ë</w:t>
      </w:r>
      <w:r w:rsidR="00DE1080">
        <w:rPr>
          <w:rFonts w:ascii="Cambria" w:eastAsia="Calibri" w:hAnsi="Cambria" w:cs="Times New Roman"/>
          <w:lang w:val="sq-AL"/>
        </w:rPr>
        <w:t xml:space="preserve"> 2019;</w:t>
      </w:r>
    </w:p>
    <w:p w:rsidR="00DC669F" w:rsidRPr="00DC669F" w:rsidRDefault="00DC669F" w:rsidP="00DC669F">
      <w:pPr>
        <w:rPr>
          <w:rFonts w:ascii="Cambria" w:eastAsia="Calibri" w:hAnsi="Cambria" w:cs="Times New Roman"/>
          <w:lang w:val="sq-AL"/>
        </w:rPr>
      </w:pPr>
    </w:p>
    <w:p w:rsidR="00DC669F" w:rsidRPr="00DC669F" w:rsidRDefault="00DC669F" w:rsidP="00DC669F">
      <w:pPr>
        <w:rPr>
          <w:rFonts w:ascii="Cambria" w:eastAsia="Calibri" w:hAnsi="Cambria" w:cs="Times New Roman"/>
          <w:b/>
          <w:lang w:val="sq-AL"/>
        </w:rPr>
      </w:pPr>
      <w:r w:rsidRPr="00405A65">
        <w:rPr>
          <w:rFonts w:ascii="Cambria" w:eastAsia="Calibri" w:hAnsi="Cambria" w:cs="Times New Roman"/>
          <w:b/>
          <w:lang w:val="sq-AL"/>
        </w:rPr>
        <w:t>Programi “Planifikimi Urban”</w:t>
      </w:r>
    </w:p>
    <w:p w:rsidR="00DC669F" w:rsidRDefault="00DC669F" w:rsidP="00FD7A65">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Do të përfundohen brenda vitit 2019 të gjitha Planet Vendore për të 61 njësitë e reja vendore në bashkëpunim me qeverisjen qendrore, ekspertizën e huaj dhe kombëtare të cilat do të shërbejnë si bazë për një zhvillim të qëndrueshëm ekonomik e social të tyre.</w:t>
      </w:r>
    </w:p>
    <w:p w:rsidR="00486D88" w:rsidRPr="00486D88" w:rsidRDefault="00486D88" w:rsidP="00FD7A65">
      <w:pPr>
        <w:numPr>
          <w:ilvl w:val="0"/>
          <w:numId w:val="7"/>
        </w:numPr>
        <w:spacing w:after="0" w:line="240" w:lineRule="auto"/>
        <w:contextualSpacing/>
        <w:jc w:val="both"/>
        <w:rPr>
          <w:rFonts w:ascii="Cambria" w:eastAsia="Calibri" w:hAnsi="Cambria" w:cs="Times New Roman"/>
          <w:lang w:val="sq-AL"/>
        </w:rPr>
      </w:pPr>
      <w:r w:rsidRPr="00F6409B">
        <w:rPr>
          <w:rFonts w:ascii="Cambria" w:eastAsia="Calibri" w:hAnsi="Cambria" w:cs="Times New Roman"/>
          <w:lang w:val="sq-AL"/>
        </w:rPr>
        <w:t>Projektet e Përmirësimit të Infrastrukturës Publike “100 Fshatrat”;</w:t>
      </w:r>
    </w:p>
    <w:p w:rsidR="00DC669F" w:rsidRPr="00DC669F" w:rsidRDefault="00DC669F" w:rsidP="00DC669F">
      <w:pPr>
        <w:rPr>
          <w:rFonts w:ascii="Cambria" w:eastAsia="Calibri" w:hAnsi="Cambria" w:cs="Times New Roman"/>
          <w:lang w:val="sq-AL"/>
        </w:rPr>
      </w:pPr>
    </w:p>
    <w:p w:rsidR="00DC669F" w:rsidRPr="00DC669F" w:rsidRDefault="00DC669F" w:rsidP="00DC669F">
      <w:pPr>
        <w:rPr>
          <w:rFonts w:ascii="Cambria" w:eastAsia="Calibri" w:hAnsi="Cambria" w:cs="Times New Roman"/>
          <w:lang w:val="sq-AL"/>
        </w:rPr>
      </w:pPr>
      <w:r w:rsidRPr="00405A65">
        <w:rPr>
          <w:rFonts w:ascii="Cambria" w:eastAsia="Calibri" w:hAnsi="Cambria" w:cs="Times New Roman"/>
          <w:b/>
          <w:lang w:val="sq-AL"/>
        </w:rPr>
        <w:t>Programi “Transporti Ajror”</w:t>
      </w:r>
    </w:p>
    <w:p w:rsidR="00DC669F" w:rsidRDefault="00DC669F" w:rsidP="00DC669F">
      <w:pPr>
        <w:numPr>
          <w:ilvl w:val="0"/>
          <w:numId w:val="7"/>
        </w:numPr>
        <w:spacing w:after="0" w:line="240" w:lineRule="auto"/>
        <w:contextualSpacing/>
        <w:rPr>
          <w:rFonts w:ascii="Cambria" w:eastAsia="Calibri" w:hAnsi="Cambria" w:cs="Times New Roman"/>
          <w:lang w:val="sq-AL"/>
        </w:rPr>
      </w:pPr>
      <w:r w:rsidRPr="00DC669F">
        <w:rPr>
          <w:rFonts w:ascii="Cambria" w:eastAsia="Calibri" w:hAnsi="Cambria" w:cs="Times New Roman"/>
          <w:lang w:val="sq-AL"/>
        </w:rPr>
        <w:t>Rritja e standarteve dhe performancës së Organit Kombëtar të incidenteve/Aksidenteve ajrore nëpërmjet investimeve për forcimin e kapaciteteve, në kuadër edhe të ndërtimit të infrastrukturave të reja aeroportuale;</w:t>
      </w:r>
    </w:p>
    <w:p w:rsidR="00AF7574" w:rsidRPr="00DC669F" w:rsidRDefault="00AF7574" w:rsidP="00DC669F">
      <w:pPr>
        <w:numPr>
          <w:ilvl w:val="0"/>
          <w:numId w:val="7"/>
        </w:numPr>
        <w:spacing w:after="0" w:line="240" w:lineRule="auto"/>
        <w:contextualSpacing/>
        <w:rPr>
          <w:rFonts w:ascii="Cambria" w:eastAsia="Calibri" w:hAnsi="Cambria" w:cs="Times New Roman"/>
          <w:lang w:val="sq-AL"/>
        </w:rPr>
      </w:pPr>
      <w:r>
        <w:rPr>
          <w:rFonts w:ascii="Cambria" w:eastAsia="Calibri" w:hAnsi="Cambria" w:cs="Times New Roman"/>
          <w:lang w:val="sq-AL"/>
        </w:rPr>
        <w:t>Numri i investigimeve t</w:t>
      </w:r>
      <w:r w:rsidR="00025DD5">
        <w:rPr>
          <w:rFonts w:ascii="Cambria" w:eastAsia="Calibri" w:hAnsi="Cambria" w:cs="Times New Roman"/>
          <w:lang w:val="sq-AL"/>
        </w:rPr>
        <w:t>ë</w:t>
      </w:r>
      <w:r>
        <w:rPr>
          <w:rFonts w:ascii="Cambria" w:eastAsia="Calibri" w:hAnsi="Cambria" w:cs="Times New Roman"/>
          <w:lang w:val="sq-AL"/>
        </w:rPr>
        <w:t xml:space="preserve"> kryera n</w:t>
      </w:r>
      <w:r w:rsidR="00025DD5">
        <w:rPr>
          <w:rFonts w:ascii="Cambria" w:eastAsia="Calibri" w:hAnsi="Cambria" w:cs="Times New Roman"/>
          <w:lang w:val="sq-AL"/>
        </w:rPr>
        <w:t>ë</w:t>
      </w:r>
      <w:r>
        <w:rPr>
          <w:rFonts w:ascii="Cambria" w:eastAsia="Calibri" w:hAnsi="Cambria" w:cs="Times New Roman"/>
          <w:lang w:val="sq-AL"/>
        </w:rPr>
        <w:t xml:space="preserve"> vitin 2022 t</w:t>
      </w:r>
      <w:r w:rsidR="00025DD5">
        <w:rPr>
          <w:rFonts w:ascii="Cambria" w:eastAsia="Calibri" w:hAnsi="Cambria" w:cs="Times New Roman"/>
          <w:lang w:val="sq-AL"/>
        </w:rPr>
        <w:t>ë</w:t>
      </w:r>
      <w:r>
        <w:rPr>
          <w:rFonts w:ascii="Cambria" w:eastAsia="Calibri" w:hAnsi="Cambria" w:cs="Times New Roman"/>
          <w:lang w:val="sq-AL"/>
        </w:rPr>
        <w:t xml:space="preserve"> arrij</w:t>
      </w:r>
      <w:r w:rsidR="00025DD5">
        <w:rPr>
          <w:rFonts w:ascii="Cambria" w:eastAsia="Calibri" w:hAnsi="Cambria" w:cs="Times New Roman"/>
          <w:lang w:val="sq-AL"/>
        </w:rPr>
        <w:t>ë</w:t>
      </w:r>
      <w:r>
        <w:rPr>
          <w:rFonts w:ascii="Cambria" w:eastAsia="Calibri" w:hAnsi="Cambria" w:cs="Times New Roman"/>
          <w:lang w:val="sq-AL"/>
        </w:rPr>
        <w:t xml:space="preserve"> n</w:t>
      </w:r>
      <w:r w:rsidR="00025DD5">
        <w:rPr>
          <w:rFonts w:ascii="Cambria" w:eastAsia="Calibri" w:hAnsi="Cambria" w:cs="Times New Roman"/>
          <w:lang w:val="sq-AL"/>
        </w:rPr>
        <w:t>ë</w:t>
      </w:r>
      <w:r>
        <w:rPr>
          <w:rFonts w:ascii="Cambria" w:eastAsia="Calibri" w:hAnsi="Cambria" w:cs="Times New Roman"/>
          <w:lang w:val="sq-AL"/>
        </w:rPr>
        <w:t xml:space="preserve"> 7 nga 5 investigime q</w:t>
      </w:r>
      <w:r w:rsidR="00025DD5">
        <w:rPr>
          <w:rFonts w:ascii="Cambria" w:eastAsia="Calibri" w:hAnsi="Cambria" w:cs="Times New Roman"/>
          <w:lang w:val="sq-AL"/>
        </w:rPr>
        <w:t>ë</w:t>
      </w:r>
      <w:r>
        <w:rPr>
          <w:rFonts w:ascii="Cambria" w:eastAsia="Calibri" w:hAnsi="Cambria" w:cs="Times New Roman"/>
          <w:lang w:val="sq-AL"/>
        </w:rPr>
        <w:t xml:space="preserve"> pritet n</w:t>
      </w:r>
      <w:r w:rsidR="00025DD5">
        <w:rPr>
          <w:rFonts w:ascii="Cambria" w:eastAsia="Calibri" w:hAnsi="Cambria" w:cs="Times New Roman"/>
          <w:lang w:val="sq-AL"/>
        </w:rPr>
        <w:t>ë</w:t>
      </w:r>
      <w:r>
        <w:rPr>
          <w:rFonts w:ascii="Cambria" w:eastAsia="Calibri" w:hAnsi="Cambria" w:cs="Times New Roman"/>
          <w:lang w:val="sq-AL"/>
        </w:rPr>
        <w:t xml:space="preserve"> 2022;</w:t>
      </w:r>
    </w:p>
    <w:p w:rsidR="00DC669F" w:rsidRPr="00DC669F" w:rsidRDefault="00DC669F" w:rsidP="00DC669F">
      <w:pPr>
        <w:numPr>
          <w:ilvl w:val="0"/>
          <w:numId w:val="7"/>
        </w:numPr>
        <w:spacing w:after="0" w:line="240" w:lineRule="auto"/>
        <w:contextualSpacing/>
        <w:rPr>
          <w:rFonts w:ascii="Cambria" w:eastAsia="Calibri" w:hAnsi="Cambria" w:cs="Times New Roman"/>
          <w:lang w:val="sq-AL"/>
        </w:rPr>
      </w:pPr>
      <w:r w:rsidRPr="00DC669F">
        <w:rPr>
          <w:rFonts w:ascii="Cambria" w:eastAsia="Calibri" w:hAnsi="Cambria" w:cs="Times New Roman"/>
          <w:lang w:val="sq-AL"/>
        </w:rPr>
        <w:t>Zbatimi i standarteve të njeh</w:t>
      </w:r>
      <w:r w:rsidR="00FA0246">
        <w:rPr>
          <w:rFonts w:ascii="Cambria" w:eastAsia="Calibri" w:hAnsi="Cambria" w:cs="Times New Roman"/>
          <w:lang w:val="sq-AL"/>
        </w:rPr>
        <w:t>ë</w:t>
      </w:r>
      <w:r w:rsidRPr="00DC669F">
        <w:rPr>
          <w:rFonts w:ascii="Cambria" w:eastAsia="Calibri" w:hAnsi="Cambria" w:cs="Times New Roman"/>
          <w:lang w:val="sq-AL"/>
        </w:rPr>
        <w:t>suara të sigurisë dhe parrezikshmërisë në transportin ajror.</w:t>
      </w:r>
    </w:p>
    <w:p w:rsidR="00DC669F" w:rsidRPr="00DC669F" w:rsidRDefault="00DC669F" w:rsidP="00DC669F">
      <w:pPr>
        <w:rPr>
          <w:rFonts w:ascii="Cambria" w:eastAsia="Calibri" w:hAnsi="Cambria" w:cs="Times New Roman"/>
          <w:lang w:val="sq-AL"/>
        </w:rPr>
      </w:pPr>
    </w:p>
    <w:p w:rsidR="00DC669F" w:rsidRPr="00A3613D" w:rsidRDefault="00DC669F" w:rsidP="00DC669F">
      <w:pPr>
        <w:rPr>
          <w:rFonts w:ascii="Cambria" w:eastAsia="Calibri" w:hAnsi="Cambria" w:cs="Times New Roman"/>
          <w:lang w:val="sq-AL"/>
        </w:rPr>
      </w:pPr>
      <w:r w:rsidRPr="00405A65">
        <w:rPr>
          <w:rFonts w:ascii="Cambria" w:eastAsia="Calibri" w:hAnsi="Cambria" w:cs="Times New Roman"/>
          <w:b/>
          <w:lang w:val="sq-AL"/>
        </w:rPr>
        <w:t>Programi “Transporti Detar”</w:t>
      </w:r>
    </w:p>
    <w:p w:rsid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Kryerja e investimeve prioritare për funksionimin me kapacitet të plotë të porteve dhe përmirësimin e infrastrukturës portuale në vend, me qëllim shndërrimin e Shqipërisë në një vend të zhvilluar detar që mbështet rritjen ekonomike dhe shpejton procesin e integrimit në BE;</w:t>
      </w:r>
    </w:p>
    <w:p w:rsidR="00AF7574" w:rsidRDefault="00AF7574" w:rsidP="00DC669F">
      <w:pPr>
        <w:numPr>
          <w:ilvl w:val="0"/>
          <w:numId w:val="7"/>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Rritja e volumit t</w:t>
      </w:r>
      <w:r w:rsidR="00025DD5">
        <w:rPr>
          <w:rFonts w:ascii="Cambria" w:eastAsia="Calibri" w:hAnsi="Cambria" w:cs="Times New Roman"/>
          <w:lang w:val="sq-AL"/>
        </w:rPr>
        <w:t>ë</w:t>
      </w:r>
      <w:r>
        <w:rPr>
          <w:rFonts w:ascii="Cambria" w:eastAsia="Calibri" w:hAnsi="Cambria" w:cs="Times New Roman"/>
          <w:lang w:val="sq-AL"/>
        </w:rPr>
        <w:t xml:space="preserve"> p</w:t>
      </w:r>
      <w:r w:rsidR="00025DD5">
        <w:rPr>
          <w:rFonts w:ascii="Cambria" w:eastAsia="Calibri" w:hAnsi="Cambria" w:cs="Times New Roman"/>
          <w:lang w:val="sq-AL"/>
        </w:rPr>
        <w:t>ë</w:t>
      </w:r>
      <w:r>
        <w:rPr>
          <w:rFonts w:ascii="Cambria" w:eastAsia="Calibri" w:hAnsi="Cambria" w:cs="Times New Roman"/>
          <w:lang w:val="sq-AL"/>
        </w:rPr>
        <w:t>rpunimit t</w:t>
      </w:r>
      <w:r w:rsidR="00025DD5">
        <w:rPr>
          <w:rFonts w:ascii="Cambria" w:eastAsia="Calibri" w:hAnsi="Cambria" w:cs="Times New Roman"/>
          <w:lang w:val="sq-AL"/>
        </w:rPr>
        <w:t>ë</w:t>
      </w:r>
      <w:r>
        <w:rPr>
          <w:rFonts w:ascii="Cambria" w:eastAsia="Calibri" w:hAnsi="Cambria" w:cs="Times New Roman"/>
          <w:lang w:val="sq-AL"/>
        </w:rPr>
        <w:t xml:space="preserve"> mallrave n</w:t>
      </w:r>
      <w:r w:rsidR="00025DD5">
        <w:rPr>
          <w:rFonts w:ascii="Cambria" w:eastAsia="Calibri" w:hAnsi="Cambria" w:cs="Times New Roman"/>
          <w:lang w:val="sq-AL"/>
        </w:rPr>
        <w:t>ë</w:t>
      </w:r>
      <w:r>
        <w:rPr>
          <w:rFonts w:ascii="Cambria" w:eastAsia="Calibri" w:hAnsi="Cambria" w:cs="Times New Roman"/>
          <w:lang w:val="sq-AL"/>
        </w:rPr>
        <w:t xml:space="preserve"> porte n</w:t>
      </w:r>
      <w:r w:rsidR="00025DD5">
        <w:rPr>
          <w:rFonts w:ascii="Cambria" w:eastAsia="Calibri" w:hAnsi="Cambria" w:cs="Times New Roman"/>
          <w:lang w:val="sq-AL"/>
        </w:rPr>
        <w:t>ë</w:t>
      </w:r>
      <w:r>
        <w:rPr>
          <w:rFonts w:ascii="Cambria" w:eastAsia="Calibri" w:hAnsi="Cambria" w:cs="Times New Roman"/>
          <w:lang w:val="sq-AL"/>
        </w:rPr>
        <w:t xml:space="preserve"> mas</w:t>
      </w:r>
      <w:r w:rsidR="00025DD5">
        <w:rPr>
          <w:rFonts w:ascii="Cambria" w:eastAsia="Calibri" w:hAnsi="Cambria" w:cs="Times New Roman"/>
          <w:lang w:val="sq-AL"/>
        </w:rPr>
        <w:t>ë</w:t>
      </w:r>
      <w:r>
        <w:rPr>
          <w:rFonts w:ascii="Cambria" w:eastAsia="Calibri" w:hAnsi="Cambria" w:cs="Times New Roman"/>
          <w:lang w:val="sq-AL"/>
        </w:rPr>
        <w:t>n 40% n</w:t>
      </w:r>
      <w:r w:rsidR="00025DD5">
        <w:rPr>
          <w:rFonts w:ascii="Cambria" w:eastAsia="Calibri" w:hAnsi="Cambria" w:cs="Times New Roman"/>
          <w:lang w:val="sq-AL"/>
        </w:rPr>
        <w:t>ë</w:t>
      </w:r>
      <w:r>
        <w:rPr>
          <w:rFonts w:ascii="Cambria" w:eastAsia="Calibri" w:hAnsi="Cambria" w:cs="Times New Roman"/>
          <w:lang w:val="sq-AL"/>
        </w:rPr>
        <w:t xml:space="preserve"> vitin 2022 nga 25% q</w:t>
      </w:r>
      <w:r w:rsidR="00025DD5">
        <w:rPr>
          <w:rFonts w:ascii="Cambria" w:eastAsia="Calibri" w:hAnsi="Cambria" w:cs="Times New Roman"/>
          <w:lang w:val="sq-AL"/>
        </w:rPr>
        <w:t>ë</w:t>
      </w:r>
      <w:r>
        <w:rPr>
          <w:rFonts w:ascii="Cambria" w:eastAsia="Calibri" w:hAnsi="Cambria" w:cs="Times New Roman"/>
          <w:lang w:val="sq-AL"/>
        </w:rPr>
        <w:t xml:space="preserve"> </w:t>
      </w:r>
      <w:r w:rsidR="00025DD5">
        <w:rPr>
          <w:rFonts w:ascii="Cambria" w:eastAsia="Calibri" w:hAnsi="Cambria" w:cs="Times New Roman"/>
          <w:lang w:val="sq-AL"/>
        </w:rPr>
        <w:t>ë</w:t>
      </w:r>
      <w:r>
        <w:rPr>
          <w:rFonts w:ascii="Cambria" w:eastAsia="Calibri" w:hAnsi="Cambria" w:cs="Times New Roman"/>
          <w:lang w:val="sq-AL"/>
        </w:rPr>
        <w:t>sht</w:t>
      </w:r>
      <w:r w:rsidR="00025DD5">
        <w:rPr>
          <w:rFonts w:ascii="Cambria" w:eastAsia="Calibri" w:hAnsi="Cambria" w:cs="Times New Roman"/>
          <w:lang w:val="sq-AL"/>
        </w:rPr>
        <w:t>ë</w:t>
      </w:r>
      <w:r>
        <w:rPr>
          <w:rFonts w:ascii="Cambria" w:eastAsia="Calibri" w:hAnsi="Cambria" w:cs="Times New Roman"/>
          <w:lang w:val="sq-AL"/>
        </w:rPr>
        <w:t xml:space="preserve"> aktualisht n</w:t>
      </w:r>
      <w:r w:rsidR="00025DD5">
        <w:rPr>
          <w:rFonts w:ascii="Cambria" w:eastAsia="Calibri" w:hAnsi="Cambria" w:cs="Times New Roman"/>
          <w:lang w:val="sq-AL"/>
        </w:rPr>
        <w:t>ë</w:t>
      </w:r>
      <w:r>
        <w:rPr>
          <w:rFonts w:ascii="Cambria" w:eastAsia="Calibri" w:hAnsi="Cambria" w:cs="Times New Roman"/>
          <w:lang w:val="sq-AL"/>
        </w:rPr>
        <w:t xml:space="preserve"> 2019</w:t>
      </w:r>
    </w:p>
    <w:p w:rsidR="00AF7574" w:rsidRPr="00DC669F" w:rsidRDefault="00AF7574" w:rsidP="00AF7574">
      <w:pPr>
        <w:spacing w:after="0" w:line="240" w:lineRule="auto"/>
        <w:ind w:left="414"/>
        <w:contextualSpacing/>
        <w:jc w:val="both"/>
        <w:rPr>
          <w:rFonts w:ascii="Cambria" w:eastAsia="Calibri" w:hAnsi="Cambria" w:cs="Times New Roman"/>
          <w:lang w:val="sq-AL"/>
        </w:rPr>
      </w:pPr>
    </w:p>
    <w:p w:rsidR="00DC669F" w:rsidRPr="00DC669F" w:rsidRDefault="00DC669F" w:rsidP="00DC669F">
      <w:pPr>
        <w:jc w:val="both"/>
        <w:rPr>
          <w:rFonts w:ascii="Cambria" w:eastAsia="Calibri" w:hAnsi="Cambria" w:cs="Times New Roman"/>
          <w:b/>
          <w:lang w:val="sq-AL"/>
        </w:rPr>
      </w:pPr>
    </w:p>
    <w:p w:rsidR="00DC669F" w:rsidRPr="00A3613D" w:rsidRDefault="00DC669F" w:rsidP="00DC669F">
      <w:pPr>
        <w:jc w:val="both"/>
        <w:rPr>
          <w:rFonts w:ascii="Cambria" w:eastAsia="Calibri" w:hAnsi="Cambria" w:cs="Times New Roman"/>
          <w:b/>
          <w:lang w:val="sq-AL"/>
        </w:rPr>
      </w:pPr>
      <w:r w:rsidRPr="00405A65">
        <w:rPr>
          <w:rFonts w:ascii="Cambria" w:eastAsia="Calibri" w:hAnsi="Cambria" w:cs="Times New Roman"/>
          <w:b/>
          <w:lang w:val="sq-AL"/>
        </w:rPr>
        <w:t>Programi “Transporti Hekurudhor”</w:t>
      </w:r>
    </w:p>
    <w:p w:rsidR="00DC669F" w:rsidRP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Riko</w:t>
      </w:r>
      <w:r w:rsidR="00366807">
        <w:rPr>
          <w:rFonts w:ascii="Cambria" w:eastAsia="Calibri" w:hAnsi="Cambria" w:cs="Times New Roman"/>
          <w:lang w:val="sq-AL"/>
        </w:rPr>
        <w:t>n</w:t>
      </w:r>
      <w:r w:rsidRPr="00DC669F">
        <w:rPr>
          <w:rFonts w:ascii="Cambria" w:eastAsia="Calibri" w:hAnsi="Cambria" w:cs="Times New Roman"/>
          <w:lang w:val="sq-AL"/>
        </w:rPr>
        <w:t>struksioni i segmentit hekurudhor Tiranë – Durrës si dhe ndërtimi i linjës së re hekurudhore Tiranë-Rinas;</w:t>
      </w:r>
    </w:p>
    <w:p w:rsidR="00DC669F" w:rsidRPr="00B461E0" w:rsidRDefault="00DC669F" w:rsidP="00B461E0">
      <w:pPr>
        <w:pStyle w:val="ListParagraph"/>
        <w:numPr>
          <w:ilvl w:val="0"/>
          <w:numId w:val="7"/>
        </w:numPr>
        <w:rPr>
          <w:rFonts w:ascii="Cambria" w:eastAsia="Calibri" w:hAnsi="Cambria" w:cs="Times New Roman"/>
          <w:lang w:val="sq-AL"/>
        </w:rPr>
      </w:pPr>
      <w:r w:rsidRPr="00B461E0">
        <w:rPr>
          <w:rFonts w:ascii="Cambria" w:eastAsia="Calibri" w:hAnsi="Cambria" w:cs="Times New Roman"/>
          <w:lang w:val="sq-AL"/>
        </w:rPr>
        <w:t>Mirëmbajtja e infrastrukturës hekurudhore ekzistuese si dhe mirëmbajt</w:t>
      </w:r>
      <w:r w:rsidR="00B461E0">
        <w:rPr>
          <w:rFonts w:ascii="Cambria" w:eastAsia="Calibri" w:hAnsi="Cambria" w:cs="Times New Roman"/>
          <w:lang w:val="sq-AL"/>
        </w:rPr>
        <w:t xml:space="preserve">ja e mjeteve-hekurudhore; </w:t>
      </w:r>
      <w:r w:rsidR="00B461E0" w:rsidRPr="00B461E0">
        <w:rPr>
          <w:rFonts w:ascii="Cambria" w:eastAsia="Calibri" w:hAnsi="Cambria" w:cs="Times New Roman"/>
          <w:lang w:val="sq-AL"/>
        </w:rPr>
        <w:t>Studime fizibiliteti dhe projekte zbatimi për segmente të reja dhe ekzistuese hekurudhore.</w:t>
      </w:r>
    </w:p>
    <w:p w:rsidR="00DC669F" w:rsidRPr="00DC669F" w:rsidRDefault="00DC669F" w:rsidP="00DC669F">
      <w:pPr>
        <w:jc w:val="both"/>
        <w:rPr>
          <w:rFonts w:ascii="Cambria" w:eastAsia="Calibri" w:hAnsi="Cambria" w:cs="Times New Roman"/>
          <w:lang w:val="sq-AL"/>
        </w:rPr>
      </w:pPr>
    </w:p>
    <w:p w:rsidR="00DC669F" w:rsidRPr="00A3613D" w:rsidRDefault="00DC669F" w:rsidP="00DC669F">
      <w:pPr>
        <w:jc w:val="both"/>
        <w:rPr>
          <w:rFonts w:ascii="Cambria" w:eastAsia="Calibri" w:hAnsi="Cambria" w:cs="Times New Roman"/>
          <w:lang w:val="sq-AL"/>
        </w:rPr>
      </w:pPr>
      <w:r w:rsidRPr="00405A65">
        <w:rPr>
          <w:rFonts w:ascii="Cambria" w:eastAsia="Calibri" w:hAnsi="Cambria" w:cs="Times New Roman"/>
          <w:b/>
          <w:lang w:val="sq-AL"/>
        </w:rPr>
        <w:t>Programi “Mbështetje për Burimet Natyrore”</w:t>
      </w:r>
    </w:p>
    <w:p w:rsid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Nxitja dhe inkurajimi i ndërtimit të objekteve të përpunimit të mineraleve;</w:t>
      </w:r>
    </w:p>
    <w:p w:rsidR="00486D88" w:rsidRDefault="00486D88" w:rsidP="00486D88">
      <w:pPr>
        <w:numPr>
          <w:ilvl w:val="0"/>
          <w:numId w:val="7"/>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 xml:space="preserve">Zhvillimi i qëndrueshëm i </w:t>
      </w:r>
      <w:r w:rsidRPr="00486D88">
        <w:rPr>
          <w:rFonts w:ascii="Cambria" w:eastAsia="Calibri" w:hAnsi="Cambria" w:cs="Times New Roman"/>
          <w:lang w:val="sq-AL"/>
        </w:rPr>
        <w:t xml:space="preserve">sektorit minerar  </w:t>
      </w:r>
      <w:r>
        <w:rPr>
          <w:rFonts w:ascii="Cambria" w:eastAsia="Calibri" w:hAnsi="Cambria" w:cs="Times New Roman"/>
          <w:lang w:val="sq-AL"/>
        </w:rPr>
        <w:t>dhe rritja</w:t>
      </w:r>
      <w:r w:rsidRPr="00486D88">
        <w:rPr>
          <w:rFonts w:ascii="Cambria" w:eastAsia="Calibri" w:hAnsi="Cambria" w:cs="Times New Roman"/>
          <w:lang w:val="sq-AL"/>
        </w:rPr>
        <w:t xml:space="preserve"> e transparencës në shfrytëzimin racional të burimeve natyrore</w:t>
      </w:r>
      <w:r w:rsidR="00366807">
        <w:rPr>
          <w:rFonts w:ascii="Cambria" w:eastAsia="Calibri" w:hAnsi="Cambria" w:cs="Times New Roman"/>
          <w:lang w:val="sq-AL"/>
        </w:rPr>
        <w:t>;</w:t>
      </w:r>
    </w:p>
    <w:p w:rsidR="00F9649D" w:rsidRPr="00DC669F" w:rsidRDefault="00F9649D" w:rsidP="00F9649D">
      <w:pPr>
        <w:numPr>
          <w:ilvl w:val="0"/>
          <w:numId w:val="7"/>
        </w:numPr>
        <w:spacing w:after="0" w:line="240" w:lineRule="auto"/>
        <w:contextualSpacing/>
        <w:jc w:val="both"/>
        <w:rPr>
          <w:rFonts w:ascii="Cambria" w:eastAsia="Calibri" w:hAnsi="Cambria" w:cs="Times New Roman"/>
          <w:lang w:val="sq-AL"/>
        </w:rPr>
      </w:pPr>
      <w:r w:rsidRPr="00F9649D">
        <w:rPr>
          <w:rFonts w:ascii="Cambria" w:eastAsia="Calibri" w:hAnsi="Cambria" w:cs="Times New Roman"/>
          <w:lang w:val="sq-AL"/>
        </w:rPr>
        <w:t>Rr</w:t>
      </w:r>
      <w:r>
        <w:rPr>
          <w:rFonts w:ascii="Cambria" w:eastAsia="Calibri" w:hAnsi="Cambria" w:cs="Times New Roman"/>
          <w:lang w:val="sq-AL"/>
        </w:rPr>
        <w:t>itja e lejeve minerare aktive n</w:t>
      </w:r>
      <w:r w:rsidR="00025DD5">
        <w:rPr>
          <w:rFonts w:ascii="Cambria" w:eastAsia="Calibri" w:hAnsi="Cambria" w:cs="Times New Roman"/>
          <w:lang w:val="sq-AL"/>
        </w:rPr>
        <w:t>ë</w:t>
      </w:r>
      <w:r>
        <w:rPr>
          <w:rFonts w:ascii="Cambria" w:eastAsia="Calibri" w:hAnsi="Cambria" w:cs="Times New Roman"/>
          <w:lang w:val="sq-AL"/>
        </w:rPr>
        <w:t xml:space="preserve"> t</w:t>
      </w:r>
      <w:r w:rsidR="00025DD5">
        <w:rPr>
          <w:rFonts w:ascii="Cambria" w:eastAsia="Calibri" w:hAnsi="Cambria" w:cs="Times New Roman"/>
          <w:lang w:val="sq-AL"/>
        </w:rPr>
        <w:t>ë</w:t>
      </w:r>
      <w:r w:rsidRPr="00F9649D">
        <w:rPr>
          <w:rFonts w:ascii="Cambria" w:eastAsia="Calibri" w:hAnsi="Cambria" w:cs="Times New Roman"/>
          <w:lang w:val="sq-AL"/>
        </w:rPr>
        <w:t xml:space="preserve"> cilat zhvillohet aktivitet minerar konform standarteve</w:t>
      </w:r>
      <w:r>
        <w:rPr>
          <w:rFonts w:ascii="Cambria" w:eastAsia="Calibri" w:hAnsi="Cambria" w:cs="Times New Roman"/>
          <w:lang w:val="sq-AL"/>
        </w:rPr>
        <w:t>;</w:t>
      </w:r>
    </w:p>
    <w:p w:rsidR="00DC669F" w:rsidRP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 xml:space="preserve">Realizimi në vazhdimësi i funksioneve të mbikëqyrjes së shfrytëzimit racional e efektiv të pasurive minerale, monitorimit minerar dhe të fenomeneve të postshfrytëzimit, rritja e kontrollit për rehabilitimin minerar;  </w:t>
      </w:r>
    </w:p>
    <w:p w:rsidR="00DC669F" w:rsidRP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Përmirësimi i transparencës së biznesit në industrinë nxjerrëse, në mënyrë që t</w:t>
      </w:r>
      <w:r w:rsidR="00FD7A65">
        <w:rPr>
          <w:rFonts w:ascii="Cambria" w:eastAsia="Calibri" w:hAnsi="Cambria" w:cs="Times New Roman"/>
          <w:lang w:val="sq-AL"/>
        </w:rPr>
        <w:t>ë</w:t>
      </w:r>
      <w:r w:rsidRPr="00DC669F">
        <w:rPr>
          <w:rFonts w:ascii="Cambria" w:eastAsia="Calibri" w:hAnsi="Cambria" w:cs="Times New Roman"/>
          <w:lang w:val="sq-AL"/>
        </w:rPr>
        <w:t xml:space="preserve"> ardhurat nga ky biznes të kontribuojnë më shumë në zhvillimin e vendit.</w:t>
      </w:r>
    </w:p>
    <w:p w:rsidR="00DC669F" w:rsidRPr="00DC669F" w:rsidRDefault="00DC669F" w:rsidP="00DC669F">
      <w:pPr>
        <w:jc w:val="both"/>
        <w:rPr>
          <w:rFonts w:ascii="Cambria" w:eastAsia="Calibri" w:hAnsi="Cambria" w:cs="Times New Roman"/>
          <w:lang w:val="sq-AL"/>
        </w:rPr>
      </w:pPr>
    </w:p>
    <w:p w:rsidR="00DC669F" w:rsidRPr="00DC669F" w:rsidRDefault="00DC669F" w:rsidP="00DC669F">
      <w:pPr>
        <w:jc w:val="both"/>
        <w:rPr>
          <w:rFonts w:ascii="Cambria" w:eastAsia="Calibri" w:hAnsi="Cambria" w:cs="Times New Roman"/>
          <w:b/>
          <w:lang w:val="sq-AL"/>
        </w:rPr>
      </w:pPr>
      <w:r w:rsidRPr="00405A65">
        <w:rPr>
          <w:rFonts w:ascii="Cambria" w:eastAsia="Calibri" w:hAnsi="Cambria" w:cs="Times New Roman"/>
          <w:b/>
          <w:lang w:val="sq-AL"/>
        </w:rPr>
        <w:lastRenderedPageBreak/>
        <w:t>Programi “Mbështetje për Industrinë”</w:t>
      </w:r>
    </w:p>
    <w:p w:rsid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Zhvillimi i strukturave dhe burimeve njerëzore dhe forcimi i kapaciteteve institucionale për inspekimin dhe mbikqyrjen, sigurinë në punë për monitorimin e inspektimit dhe mbikqyrjes së sigurisë teknike të produkteve / pajisjeve / instalimeve n</w:t>
      </w:r>
      <w:r w:rsidR="00486D88">
        <w:rPr>
          <w:rFonts w:ascii="Cambria" w:eastAsia="Calibri" w:hAnsi="Cambria" w:cs="Times New Roman"/>
          <w:lang w:val="sq-AL"/>
        </w:rPr>
        <w:t>ë fushat e veprimtarisë së MIE;</w:t>
      </w:r>
    </w:p>
    <w:p w:rsidR="00F9649D" w:rsidRDefault="00F9649D" w:rsidP="00F9649D">
      <w:pPr>
        <w:numPr>
          <w:ilvl w:val="0"/>
          <w:numId w:val="7"/>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Rritja e standardeve t</w:t>
      </w:r>
      <w:r w:rsidR="00025DD5">
        <w:rPr>
          <w:rFonts w:ascii="Cambria" w:eastAsia="Calibri" w:hAnsi="Cambria" w:cs="Times New Roman"/>
          <w:lang w:val="sq-AL"/>
        </w:rPr>
        <w:t>ë</w:t>
      </w:r>
      <w:r>
        <w:rPr>
          <w:rFonts w:ascii="Cambria" w:eastAsia="Calibri" w:hAnsi="Cambria" w:cs="Times New Roman"/>
          <w:lang w:val="sq-AL"/>
        </w:rPr>
        <w:t xml:space="preserve"> produkteve dhe siguris</w:t>
      </w:r>
      <w:r w:rsidR="00025DD5">
        <w:rPr>
          <w:rFonts w:ascii="Cambria" w:eastAsia="Calibri" w:hAnsi="Cambria" w:cs="Times New Roman"/>
          <w:lang w:val="sq-AL"/>
        </w:rPr>
        <w:t>ë</w:t>
      </w:r>
      <w:r w:rsidRPr="00F9649D">
        <w:rPr>
          <w:rFonts w:ascii="Cambria" w:eastAsia="Calibri" w:hAnsi="Cambria" w:cs="Times New Roman"/>
          <w:lang w:val="sq-AL"/>
        </w:rPr>
        <w:t xml:space="preserve"> se  pajisjeve / instalimeve</w:t>
      </w:r>
      <w:r>
        <w:rPr>
          <w:rFonts w:ascii="Cambria" w:eastAsia="Calibri" w:hAnsi="Cambria" w:cs="Times New Roman"/>
          <w:lang w:val="sq-AL"/>
        </w:rPr>
        <w:t xml:space="preserve"> me 7% deri n</w:t>
      </w:r>
      <w:r w:rsidR="00025DD5">
        <w:rPr>
          <w:rFonts w:ascii="Cambria" w:eastAsia="Calibri" w:hAnsi="Cambria" w:cs="Times New Roman"/>
          <w:lang w:val="sq-AL"/>
        </w:rPr>
        <w:t>ë</w:t>
      </w:r>
      <w:r>
        <w:rPr>
          <w:rFonts w:ascii="Cambria" w:eastAsia="Calibri" w:hAnsi="Cambria" w:cs="Times New Roman"/>
          <w:lang w:val="sq-AL"/>
        </w:rPr>
        <w:t xml:space="preserve"> vitin 2022</w:t>
      </w:r>
    </w:p>
    <w:p w:rsidR="00486D88" w:rsidRPr="00F9649D" w:rsidRDefault="00486D88" w:rsidP="00DC669F">
      <w:pPr>
        <w:numPr>
          <w:ilvl w:val="0"/>
          <w:numId w:val="7"/>
        </w:numPr>
        <w:spacing w:after="0" w:line="240" w:lineRule="auto"/>
        <w:contextualSpacing/>
        <w:jc w:val="both"/>
        <w:rPr>
          <w:rFonts w:ascii="Cambria" w:eastAsia="Calibri" w:hAnsi="Cambria" w:cs="Times New Roman"/>
          <w:lang w:val="sq-AL"/>
        </w:rPr>
      </w:pPr>
      <w:r w:rsidRPr="00366807">
        <w:rPr>
          <w:rFonts w:ascii="Cambria" w:eastAsia="Calibri" w:hAnsi="Cambria" w:cs="Times New Roman"/>
          <w:lang w:val="sq-AL"/>
        </w:rPr>
        <w:t>Nxitja e interesit të biznesit vendas dhe të huaj për mundësi zhvillimi veprimtarish industrial;</w:t>
      </w:r>
    </w:p>
    <w:p w:rsidR="00F9649D" w:rsidRPr="00DC669F" w:rsidRDefault="00F9649D" w:rsidP="00F9649D">
      <w:pPr>
        <w:numPr>
          <w:ilvl w:val="0"/>
          <w:numId w:val="7"/>
        </w:numPr>
        <w:spacing w:after="0" w:line="240" w:lineRule="auto"/>
        <w:contextualSpacing/>
        <w:jc w:val="both"/>
        <w:rPr>
          <w:rFonts w:ascii="Cambria" w:eastAsia="Calibri" w:hAnsi="Cambria" w:cs="Times New Roman"/>
          <w:lang w:val="sq-AL"/>
        </w:rPr>
      </w:pPr>
      <w:r w:rsidRPr="00F9649D">
        <w:rPr>
          <w:rFonts w:ascii="Cambria" w:eastAsia="Calibri" w:hAnsi="Cambria" w:cs="Times New Roman"/>
          <w:lang w:val="sq-AL"/>
        </w:rPr>
        <w:t>Red</w:t>
      </w:r>
      <w:r>
        <w:rPr>
          <w:rFonts w:ascii="Cambria" w:eastAsia="Calibri" w:hAnsi="Cambria" w:cs="Times New Roman"/>
          <w:lang w:val="sq-AL"/>
        </w:rPr>
        <w:t xml:space="preserve">uktimi i rrezikut nga kimikatet </w:t>
      </w:r>
      <w:r w:rsidRPr="00F9649D">
        <w:rPr>
          <w:rFonts w:ascii="Cambria" w:eastAsia="Calibri" w:hAnsi="Cambria" w:cs="Times New Roman"/>
          <w:lang w:val="sq-AL"/>
        </w:rPr>
        <w:t>e rrezikshme</w:t>
      </w:r>
      <w:r>
        <w:rPr>
          <w:rFonts w:ascii="Cambria" w:eastAsia="Calibri" w:hAnsi="Cambria" w:cs="Times New Roman"/>
          <w:lang w:val="sq-AL"/>
        </w:rPr>
        <w:t xml:space="preserve"> me 13% deri n</w:t>
      </w:r>
      <w:r w:rsidR="00025DD5">
        <w:rPr>
          <w:rFonts w:ascii="Cambria" w:eastAsia="Calibri" w:hAnsi="Cambria" w:cs="Times New Roman"/>
          <w:lang w:val="sq-AL"/>
        </w:rPr>
        <w:t>ë</w:t>
      </w:r>
      <w:r>
        <w:rPr>
          <w:rFonts w:ascii="Cambria" w:eastAsia="Calibri" w:hAnsi="Cambria" w:cs="Times New Roman"/>
          <w:lang w:val="sq-AL"/>
        </w:rPr>
        <w:t xml:space="preserve"> vitin 2022.</w:t>
      </w:r>
    </w:p>
    <w:p w:rsidR="00DC669F" w:rsidRP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Zhvillimi i strukturave dhe burimeve njerëzore dhe forcimi i kapaciteteve institucionale për sigurimin e kushteve të domosdoshme për  inspekimin dhe mbikqyrjen e shëndetit, sigurisë në punë, emergjencat dhe shpëtimin në veprimtarinë minerare dhe në punimet nëntokës</w:t>
      </w:r>
      <w:r w:rsidR="00486D88">
        <w:rPr>
          <w:rFonts w:ascii="Cambria" w:eastAsia="Calibri" w:hAnsi="Cambria" w:cs="Times New Roman"/>
          <w:lang w:val="sq-AL"/>
        </w:rPr>
        <w:t>ore të veprave hidroenergjetike;</w:t>
      </w:r>
    </w:p>
    <w:p w:rsidR="00DC669F" w:rsidRP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Rritja dhe përmirësimi i standarteve, kushteve të punës  dhe të sigurisë së depozitimit dhe ruajtjes së kimikateve të rrezikshme nën përgjegjësinë e MIE-s, në Qendrën e Grumbullimit dhe Trajti</w:t>
      </w:r>
      <w:r w:rsidR="00486D88">
        <w:rPr>
          <w:rFonts w:ascii="Cambria" w:eastAsia="Calibri" w:hAnsi="Cambria" w:cs="Times New Roman"/>
          <w:lang w:val="sq-AL"/>
        </w:rPr>
        <w:t>mit të Kimikateve të Rrezikshme;</w:t>
      </w:r>
    </w:p>
    <w:p w:rsidR="00DC669F" w:rsidRDefault="00DC669F" w:rsidP="00DC669F">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Përfundimi i procesit të likujdimit dhe mbylljes së  ish ndërmarrjeve industriale në varësi të MIE-s. Rehabilitimi i territoreve të ish ndërmarrjeve për nxitjen e investitorëve dhe promovimin e tyre pë</w:t>
      </w:r>
      <w:r w:rsidR="00486D88">
        <w:rPr>
          <w:rFonts w:ascii="Cambria" w:eastAsia="Calibri" w:hAnsi="Cambria" w:cs="Times New Roman"/>
          <w:lang w:val="sq-AL"/>
        </w:rPr>
        <w:t>r përdorim si parqe industriale;</w:t>
      </w:r>
    </w:p>
    <w:p w:rsidR="00F9649D" w:rsidRPr="00DC669F" w:rsidRDefault="00F9649D" w:rsidP="00F9649D">
      <w:pPr>
        <w:numPr>
          <w:ilvl w:val="0"/>
          <w:numId w:val="7"/>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Rritja e mumrit t</w:t>
      </w:r>
      <w:r w:rsidR="00025DD5">
        <w:rPr>
          <w:rFonts w:ascii="Cambria" w:eastAsia="Calibri" w:hAnsi="Cambria" w:cs="Times New Roman"/>
          <w:lang w:val="sq-AL"/>
        </w:rPr>
        <w:t>ë</w:t>
      </w:r>
      <w:r>
        <w:rPr>
          <w:rFonts w:ascii="Cambria" w:eastAsia="Calibri" w:hAnsi="Cambria" w:cs="Times New Roman"/>
          <w:lang w:val="sq-AL"/>
        </w:rPr>
        <w:t xml:space="preserve"> mostrave t</w:t>
      </w:r>
      <w:r w:rsidR="00025DD5">
        <w:rPr>
          <w:rFonts w:ascii="Cambria" w:eastAsia="Calibri" w:hAnsi="Cambria" w:cs="Times New Roman"/>
          <w:lang w:val="sq-AL"/>
        </w:rPr>
        <w:t>ë</w:t>
      </w:r>
      <w:r>
        <w:rPr>
          <w:rFonts w:ascii="Cambria" w:eastAsia="Calibri" w:hAnsi="Cambria" w:cs="Times New Roman"/>
          <w:lang w:val="sq-AL"/>
        </w:rPr>
        <w:t xml:space="preserve"> analizuara t</w:t>
      </w:r>
      <w:r w:rsidR="00025DD5">
        <w:rPr>
          <w:rFonts w:ascii="Cambria" w:eastAsia="Calibri" w:hAnsi="Cambria" w:cs="Times New Roman"/>
          <w:lang w:val="sq-AL"/>
        </w:rPr>
        <w:t>ë</w:t>
      </w:r>
      <w:r>
        <w:rPr>
          <w:rFonts w:ascii="Cambria" w:eastAsia="Calibri" w:hAnsi="Cambria" w:cs="Times New Roman"/>
          <w:lang w:val="sq-AL"/>
        </w:rPr>
        <w:t xml:space="preserve"> naft</w:t>
      </w:r>
      <w:r w:rsidR="00025DD5">
        <w:rPr>
          <w:rFonts w:ascii="Cambria" w:eastAsia="Calibri" w:hAnsi="Cambria" w:cs="Times New Roman"/>
          <w:lang w:val="sq-AL"/>
        </w:rPr>
        <w:t>ë</w:t>
      </w:r>
      <w:r>
        <w:rPr>
          <w:rFonts w:ascii="Cambria" w:eastAsia="Calibri" w:hAnsi="Cambria" w:cs="Times New Roman"/>
          <w:lang w:val="sq-AL"/>
        </w:rPr>
        <w:t>s dhe n</w:t>
      </w:r>
      <w:r w:rsidR="00025DD5">
        <w:rPr>
          <w:rFonts w:ascii="Cambria" w:eastAsia="Calibri" w:hAnsi="Cambria" w:cs="Times New Roman"/>
          <w:lang w:val="sq-AL"/>
        </w:rPr>
        <w:t>ë</w:t>
      </w:r>
      <w:r>
        <w:rPr>
          <w:rFonts w:ascii="Cambria" w:eastAsia="Calibri" w:hAnsi="Cambria" w:cs="Times New Roman"/>
          <w:lang w:val="sq-AL"/>
        </w:rPr>
        <w:t>nprodukteve t</w:t>
      </w:r>
      <w:r w:rsidR="00025DD5">
        <w:rPr>
          <w:rFonts w:ascii="Cambria" w:eastAsia="Calibri" w:hAnsi="Cambria" w:cs="Times New Roman"/>
          <w:lang w:val="sq-AL"/>
        </w:rPr>
        <w:t>ë</w:t>
      </w:r>
      <w:r>
        <w:rPr>
          <w:rFonts w:ascii="Cambria" w:eastAsia="Calibri" w:hAnsi="Cambria" w:cs="Times New Roman"/>
          <w:lang w:val="sq-AL"/>
        </w:rPr>
        <w:t xml:space="preserve"> saj, t</w:t>
      </w:r>
      <w:r w:rsidR="00025DD5">
        <w:rPr>
          <w:rFonts w:ascii="Cambria" w:eastAsia="Calibri" w:hAnsi="Cambria" w:cs="Times New Roman"/>
          <w:lang w:val="sq-AL"/>
        </w:rPr>
        <w:t>ë</w:t>
      </w:r>
      <w:r>
        <w:rPr>
          <w:rFonts w:ascii="Cambria" w:eastAsia="Calibri" w:hAnsi="Cambria" w:cs="Times New Roman"/>
          <w:lang w:val="sq-AL"/>
        </w:rPr>
        <w:t xml:space="preserve"> prodhuara n</w:t>
      </w:r>
      <w:r w:rsidR="00025DD5">
        <w:rPr>
          <w:rFonts w:ascii="Cambria" w:eastAsia="Calibri" w:hAnsi="Cambria" w:cs="Times New Roman"/>
          <w:lang w:val="sq-AL"/>
        </w:rPr>
        <w:t>ë</w:t>
      </w:r>
      <w:r>
        <w:rPr>
          <w:rFonts w:ascii="Cambria" w:eastAsia="Calibri" w:hAnsi="Cambria" w:cs="Times New Roman"/>
          <w:lang w:val="sq-AL"/>
        </w:rPr>
        <w:t xml:space="preserve"> vend dhe t</w:t>
      </w:r>
      <w:r w:rsidR="00025DD5">
        <w:rPr>
          <w:rFonts w:ascii="Cambria" w:eastAsia="Calibri" w:hAnsi="Cambria" w:cs="Times New Roman"/>
          <w:lang w:val="sq-AL"/>
        </w:rPr>
        <w:t>ë</w:t>
      </w:r>
      <w:r>
        <w:rPr>
          <w:rFonts w:ascii="Cambria" w:eastAsia="Calibri" w:hAnsi="Cambria" w:cs="Times New Roman"/>
          <w:lang w:val="sq-AL"/>
        </w:rPr>
        <w:t xml:space="preserve"> importuara n</w:t>
      </w:r>
      <w:r w:rsidR="00025DD5">
        <w:rPr>
          <w:rFonts w:ascii="Cambria" w:eastAsia="Calibri" w:hAnsi="Cambria" w:cs="Times New Roman"/>
          <w:lang w:val="sq-AL"/>
        </w:rPr>
        <w:t>ë</w:t>
      </w:r>
      <w:r>
        <w:rPr>
          <w:rFonts w:ascii="Cambria" w:eastAsia="Calibri" w:hAnsi="Cambria" w:cs="Times New Roman"/>
          <w:lang w:val="sq-AL"/>
        </w:rPr>
        <w:t xml:space="preserve"> mas</w:t>
      </w:r>
      <w:r w:rsidR="00025DD5">
        <w:rPr>
          <w:rFonts w:ascii="Cambria" w:eastAsia="Calibri" w:hAnsi="Cambria" w:cs="Times New Roman"/>
          <w:lang w:val="sq-AL"/>
        </w:rPr>
        <w:t>ë</w:t>
      </w:r>
      <w:r>
        <w:rPr>
          <w:rFonts w:ascii="Cambria" w:eastAsia="Calibri" w:hAnsi="Cambria" w:cs="Times New Roman"/>
          <w:lang w:val="sq-AL"/>
        </w:rPr>
        <w:t>n deri n</w:t>
      </w:r>
      <w:r w:rsidR="00025DD5">
        <w:rPr>
          <w:rFonts w:ascii="Cambria" w:eastAsia="Calibri" w:hAnsi="Cambria" w:cs="Times New Roman"/>
          <w:lang w:val="sq-AL"/>
        </w:rPr>
        <w:t>ë</w:t>
      </w:r>
      <w:r>
        <w:rPr>
          <w:rFonts w:ascii="Cambria" w:eastAsia="Calibri" w:hAnsi="Cambria" w:cs="Times New Roman"/>
          <w:lang w:val="sq-AL"/>
        </w:rPr>
        <w:t xml:space="preserve"> 9200 n</w:t>
      </w:r>
      <w:r w:rsidR="00025DD5">
        <w:rPr>
          <w:rFonts w:ascii="Cambria" w:eastAsia="Calibri" w:hAnsi="Cambria" w:cs="Times New Roman"/>
          <w:lang w:val="sq-AL"/>
        </w:rPr>
        <w:t>ë</w:t>
      </w:r>
      <w:r>
        <w:rPr>
          <w:rFonts w:ascii="Cambria" w:eastAsia="Calibri" w:hAnsi="Cambria" w:cs="Times New Roman"/>
          <w:lang w:val="sq-AL"/>
        </w:rPr>
        <w:t xml:space="preserve"> vitin 2022;</w:t>
      </w:r>
    </w:p>
    <w:p w:rsidR="0023580B" w:rsidRDefault="00DC669F" w:rsidP="00FD7A65">
      <w:pPr>
        <w:numPr>
          <w:ilvl w:val="0"/>
          <w:numId w:val="7"/>
        </w:numPr>
        <w:spacing w:after="0" w:line="240" w:lineRule="auto"/>
        <w:contextualSpacing/>
        <w:jc w:val="both"/>
        <w:rPr>
          <w:rFonts w:ascii="Cambria" w:eastAsia="Calibri" w:hAnsi="Cambria" w:cs="Times New Roman"/>
          <w:lang w:val="sq-AL"/>
        </w:rPr>
      </w:pPr>
      <w:r w:rsidRPr="00DC669F">
        <w:rPr>
          <w:rFonts w:ascii="Cambria" w:eastAsia="Calibri" w:hAnsi="Cambria" w:cs="Times New Roman"/>
          <w:lang w:val="sq-AL"/>
        </w:rPr>
        <w:t>Promovimi tek biznesi i studimeve tekniko-ekonomike për industrinë e Lëkurë-Këpucës, industrisë së bakrit, nikel-silikateve dhe kuarciteve, zhvillimit të QGTK dhe hartimi i raporteve mjedisore si dhe zhvillimi i disa ish territoreve industriale për ushtrimin e veprimtarive ekonomike.</w:t>
      </w:r>
    </w:p>
    <w:p w:rsidR="00B86AF9" w:rsidRPr="00FD7A65" w:rsidRDefault="00B86AF9" w:rsidP="00FD7A65">
      <w:pPr>
        <w:spacing w:after="0" w:line="240" w:lineRule="auto"/>
        <w:ind w:left="414"/>
        <w:contextualSpacing/>
        <w:jc w:val="both"/>
        <w:rPr>
          <w:rFonts w:ascii="Cambria" w:eastAsia="Calibri" w:hAnsi="Cambria" w:cs="Times New Roman"/>
          <w:lang w:val="sq-AL"/>
        </w:rPr>
      </w:pPr>
    </w:p>
    <w:p w:rsidR="00D7139A" w:rsidRPr="00D7139A" w:rsidRDefault="00D7139A" w:rsidP="00570F53">
      <w:pPr>
        <w:pStyle w:val="ListParagraph"/>
        <w:keepNext/>
        <w:numPr>
          <w:ilvl w:val="1"/>
          <w:numId w:val="29"/>
        </w:numPr>
        <w:spacing w:before="240" w:after="60" w:line="240" w:lineRule="auto"/>
        <w:contextualSpacing w:val="0"/>
        <w:outlineLvl w:val="1"/>
        <w:rPr>
          <w:rFonts w:ascii="Arial" w:eastAsia="Calibri" w:hAnsi="Arial" w:cs="Arial"/>
          <w:b/>
          <w:bCs/>
          <w:i/>
          <w:iCs/>
          <w:noProof/>
          <w:vanish/>
          <w:sz w:val="28"/>
          <w:szCs w:val="28"/>
          <w:lang w:eastAsia="sq-AL"/>
        </w:rPr>
      </w:pPr>
      <w:bookmarkStart w:id="19" w:name="_Toc518558893"/>
      <w:bookmarkStart w:id="20" w:name="_Toc518559015"/>
      <w:bookmarkStart w:id="21" w:name="_Toc518559242"/>
      <w:bookmarkStart w:id="22" w:name="_Toc518562257"/>
      <w:bookmarkStart w:id="23" w:name="_Toc527191564"/>
      <w:bookmarkStart w:id="24" w:name="_Toc527191596"/>
      <w:bookmarkStart w:id="25" w:name="_Toc527191722"/>
      <w:bookmarkStart w:id="26" w:name="_Toc527192126"/>
      <w:bookmarkStart w:id="27" w:name="_Toc527192176"/>
      <w:bookmarkStart w:id="28" w:name="_Toc527530921"/>
      <w:bookmarkStart w:id="29" w:name="_Toc354458"/>
      <w:bookmarkStart w:id="30" w:name="_Toc516539"/>
      <w:bookmarkStart w:id="31" w:name="_Toc12009295"/>
      <w:bookmarkStart w:id="32" w:name="_Toc12014083"/>
      <w:bookmarkStart w:id="33" w:name="_Toc12014154"/>
      <w:bookmarkStart w:id="34" w:name="_Toc12014387"/>
      <w:bookmarkStart w:id="35" w:name="_Toc12014417"/>
      <w:bookmarkStart w:id="36" w:name="_Toc12014537"/>
      <w:bookmarkStart w:id="37" w:name="_Toc12016554"/>
      <w:bookmarkStart w:id="38" w:name="_Toc12260716"/>
      <w:bookmarkStart w:id="39" w:name="_Toc12533833"/>
      <w:bookmarkStart w:id="40" w:name="_Toc12534346"/>
      <w:bookmarkStart w:id="41" w:name="_Toc12536771"/>
      <w:bookmarkStart w:id="42" w:name="_Toc12536802"/>
      <w:bookmarkStart w:id="43" w:name="_Toc12541859"/>
      <w:bookmarkStart w:id="44" w:name="_Toc12876748"/>
      <w:bookmarkStart w:id="45" w:name="_Toc12955088"/>
      <w:bookmarkStart w:id="46" w:name="_Toc12963506"/>
      <w:bookmarkStart w:id="47" w:name="_Toc12976982"/>
      <w:bookmarkStart w:id="48" w:name="_Toc13476481"/>
      <w:bookmarkStart w:id="49" w:name="_Toc13478525"/>
      <w:bookmarkStart w:id="50" w:name="_Toc13653937"/>
      <w:bookmarkStart w:id="51" w:name="_Toc1365398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D7139A" w:rsidRPr="00D7139A" w:rsidRDefault="00D7139A" w:rsidP="00570F53">
      <w:pPr>
        <w:pStyle w:val="ListParagraph"/>
        <w:keepNext/>
        <w:numPr>
          <w:ilvl w:val="1"/>
          <w:numId w:val="29"/>
        </w:numPr>
        <w:spacing w:before="240" w:after="60" w:line="240" w:lineRule="auto"/>
        <w:contextualSpacing w:val="0"/>
        <w:outlineLvl w:val="1"/>
        <w:rPr>
          <w:rFonts w:ascii="Arial" w:eastAsia="Calibri" w:hAnsi="Arial" w:cs="Arial"/>
          <w:b/>
          <w:bCs/>
          <w:i/>
          <w:iCs/>
          <w:noProof/>
          <w:vanish/>
          <w:sz w:val="28"/>
          <w:szCs w:val="28"/>
          <w:lang w:eastAsia="sq-AL"/>
        </w:rPr>
      </w:pPr>
      <w:bookmarkStart w:id="52" w:name="_Toc518559016"/>
      <w:bookmarkStart w:id="53" w:name="_Toc518559243"/>
      <w:bookmarkStart w:id="54" w:name="_Toc518562258"/>
      <w:bookmarkStart w:id="55" w:name="_Toc527191565"/>
      <w:bookmarkStart w:id="56" w:name="_Toc527191597"/>
      <w:bookmarkStart w:id="57" w:name="_Toc527191723"/>
      <w:bookmarkStart w:id="58" w:name="_Toc527192127"/>
      <w:bookmarkStart w:id="59" w:name="_Toc527192177"/>
      <w:bookmarkStart w:id="60" w:name="_Toc527530922"/>
      <w:bookmarkStart w:id="61" w:name="_Toc354459"/>
      <w:bookmarkStart w:id="62" w:name="_Toc516540"/>
      <w:bookmarkStart w:id="63" w:name="_Toc12009296"/>
      <w:bookmarkStart w:id="64" w:name="_Toc12014084"/>
      <w:bookmarkStart w:id="65" w:name="_Toc12014155"/>
      <w:bookmarkStart w:id="66" w:name="_Toc12014388"/>
      <w:bookmarkStart w:id="67" w:name="_Toc12014418"/>
      <w:bookmarkStart w:id="68" w:name="_Toc12014538"/>
      <w:bookmarkStart w:id="69" w:name="_Toc12016555"/>
      <w:bookmarkStart w:id="70" w:name="_Toc12260717"/>
      <w:bookmarkStart w:id="71" w:name="_Toc12533834"/>
      <w:bookmarkStart w:id="72" w:name="_Toc12534347"/>
      <w:bookmarkStart w:id="73" w:name="_Toc12536772"/>
      <w:bookmarkStart w:id="74" w:name="_Toc12536803"/>
      <w:bookmarkStart w:id="75" w:name="_Toc12541860"/>
      <w:bookmarkStart w:id="76" w:name="_Toc12876749"/>
      <w:bookmarkStart w:id="77" w:name="_Toc12955089"/>
      <w:bookmarkStart w:id="78" w:name="_Toc12963507"/>
      <w:bookmarkStart w:id="79" w:name="_Toc12976983"/>
      <w:bookmarkStart w:id="80" w:name="_Toc13476482"/>
      <w:bookmarkStart w:id="81" w:name="_Toc13478526"/>
      <w:bookmarkStart w:id="82" w:name="_Toc13653938"/>
      <w:bookmarkStart w:id="83" w:name="_Toc1365398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D7139A" w:rsidRPr="00D7139A" w:rsidRDefault="00D7139A" w:rsidP="00570F53">
      <w:pPr>
        <w:pStyle w:val="ListParagraph"/>
        <w:keepNext/>
        <w:numPr>
          <w:ilvl w:val="1"/>
          <w:numId w:val="29"/>
        </w:numPr>
        <w:spacing w:before="240" w:after="60" w:line="240" w:lineRule="auto"/>
        <w:contextualSpacing w:val="0"/>
        <w:outlineLvl w:val="1"/>
        <w:rPr>
          <w:rFonts w:ascii="Arial" w:eastAsia="Calibri" w:hAnsi="Arial" w:cs="Arial"/>
          <w:b/>
          <w:bCs/>
          <w:i/>
          <w:iCs/>
          <w:noProof/>
          <w:vanish/>
          <w:sz w:val="28"/>
          <w:szCs w:val="28"/>
          <w:lang w:eastAsia="sq-AL"/>
        </w:rPr>
      </w:pPr>
      <w:bookmarkStart w:id="84" w:name="_Toc518559017"/>
      <w:bookmarkStart w:id="85" w:name="_Toc518559244"/>
      <w:bookmarkStart w:id="86" w:name="_Toc518562259"/>
      <w:bookmarkStart w:id="87" w:name="_Toc527191566"/>
      <w:bookmarkStart w:id="88" w:name="_Toc527191598"/>
      <w:bookmarkStart w:id="89" w:name="_Toc527191724"/>
      <w:bookmarkStart w:id="90" w:name="_Toc527192128"/>
      <w:bookmarkStart w:id="91" w:name="_Toc527192178"/>
      <w:bookmarkStart w:id="92" w:name="_Toc527530923"/>
      <w:bookmarkStart w:id="93" w:name="_Toc354460"/>
      <w:bookmarkStart w:id="94" w:name="_Toc516541"/>
      <w:bookmarkStart w:id="95" w:name="_Toc12009297"/>
      <w:bookmarkStart w:id="96" w:name="_Toc12014085"/>
      <w:bookmarkStart w:id="97" w:name="_Toc12014156"/>
      <w:bookmarkStart w:id="98" w:name="_Toc12014389"/>
      <w:bookmarkStart w:id="99" w:name="_Toc12014419"/>
      <w:bookmarkStart w:id="100" w:name="_Toc12014539"/>
      <w:bookmarkStart w:id="101" w:name="_Toc12016556"/>
      <w:bookmarkStart w:id="102" w:name="_Toc12260718"/>
      <w:bookmarkStart w:id="103" w:name="_Toc12533835"/>
      <w:bookmarkStart w:id="104" w:name="_Toc12534348"/>
      <w:bookmarkStart w:id="105" w:name="_Toc12536773"/>
      <w:bookmarkStart w:id="106" w:name="_Toc12536804"/>
      <w:bookmarkStart w:id="107" w:name="_Toc12541861"/>
      <w:bookmarkStart w:id="108" w:name="_Toc12876750"/>
      <w:bookmarkStart w:id="109" w:name="_Toc12955090"/>
      <w:bookmarkStart w:id="110" w:name="_Toc12963508"/>
      <w:bookmarkStart w:id="111" w:name="_Toc12976984"/>
      <w:bookmarkStart w:id="112" w:name="_Toc13476483"/>
      <w:bookmarkStart w:id="113" w:name="_Toc13478527"/>
      <w:bookmarkStart w:id="114" w:name="_Toc13653939"/>
      <w:bookmarkStart w:id="115" w:name="_Toc136539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D7139A" w:rsidRPr="00D7139A" w:rsidRDefault="00D7139A" w:rsidP="00570F53">
      <w:pPr>
        <w:pStyle w:val="ListParagraph"/>
        <w:keepNext/>
        <w:numPr>
          <w:ilvl w:val="1"/>
          <w:numId w:val="29"/>
        </w:numPr>
        <w:spacing w:before="240" w:after="60" w:line="240" w:lineRule="auto"/>
        <w:contextualSpacing w:val="0"/>
        <w:outlineLvl w:val="1"/>
        <w:rPr>
          <w:rFonts w:ascii="Arial" w:eastAsia="Calibri" w:hAnsi="Arial" w:cs="Arial"/>
          <w:b/>
          <w:bCs/>
          <w:i/>
          <w:iCs/>
          <w:noProof/>
          <w:vanish/>
          <w:sz w:val="28"/>
          <w:szCs w:val="28"/>
          <w:lang w:eastAsia="sq-AL"/>
        </w:rPr>
      </w:pPr>
      <w:bookmarkStart w:id="116" w:name="_Toc518559018"/>
      <w:bookmarkStart w:id="117" w:name="_Toc518559245"/>
      <w:bookmarkStart w:id="118" w:name="_Toc518562260"/>
      <w:bookmarkStart w:id="119" w:name="_Toc527191567"/>
      <w:bookmarkStart w:id="120" w:name="_Toc527191599"/>
      <w:bookmarkStart w:id="121" w:name="_Toc527191725"/>
      <w:bookmarkStart w:id="122" w:name="_Toc527192129"/>
      <w:bookmarkStart w:id="123" w:name="_Toc527192179"/>
      <w:bookmarkStart w:id="124" w:name="_Toc527530924"/>
      <w:bookmarkStart w:id="125" w:name="_Toc354461"/>
      <w:bookmarkStart w:id="126" w:name="_Toc516542"/>
      <w:bookmarkStart w:id="127" w:name="_Toc12009298"/>
      <w:bookmarkStart w:id="128" w:name="_Toc12014086"/>
      <w:bookmarkStart w:id="129" w:name="_Toc12014157"/>
      <w:bookmarkStart w:id="130" w:name="_Toc12014390"/>
      <w:bookmarkStart w:id="131" w:name="_Toc12014420"/>
      <w:bookmarkStart w:id="132" w:name="_Toc12014540"/>
      <w:bookmarkStart w:id="133" w:name="_Toc12016557"/>
      <w:bookmarkStart w:id="134" w:name="_Toc12260719"/>
      <w:bookmarkStart w:id="135" w:name="_Toc12533836"/>
      <w:bookmarkStart w:id="136" w:name="_Toc12534349"/>
      <w:bookmarkStart w:id="137" w:name="_Toc12536774"/>
      <w:bookmarkStart w:id="138" w:name="_Toc12536805"/>
      <w:bookmarkStart w:id="139" w:name="_Toc12541862"/>
      <w:bookmarkStart w:id="140" w:name="_Toc12876751"/>
      <w:bookmarkStart w:id="141" w:name="_Toc12955091"/>
      <w:bookmarkStart w:id="142" w:name="_Toc12963509"/>
      <w:bookmarkStart w:id="143" w:name="_Toc12976985"/>
      <w:bookmarkStart w:id="144" w:name="_Toc13476484"/>
      <w:bookmarkStart w:id="145" w:name="_Toc13478528"/>
      <w:bookmarkStart w:id="146" w:name="_Toc13653940"/>
      <w:bookmarkStart w:id="147" w:name="_Toc1365398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C04AB3" w:rsidRPr="00405A65" w:rsidRDefault="00C04AB3" w:rsidP="00570F53">
      <w:pPr>
        <w:pStyle w:val="Heading2"/>
        <w:numPr>
          <w:ilvl w:val="1"/>
          <w:numId w:val="31"/>
        </w:numPr>
        <w:rPr>
          <w:rFonts w:ascii="Cambria" w:eastAsia="Calibri" w:hAnsi="Cambria"/>
          <w:i w:val="0"/>
          <w:sz w:val="24"/>
        </w:rPr>
      </w:pPr>
      <w:bookmarkStart w:id="148" w:name="_Toc13653985"/>
      <w:r w:rsidRPr="00405A65">
        <w:rPr>
          <w:rFonts w:ascii="Cambria" w:eastAsia="Calibri" w:hAnsi="Cambria"/>
          <w:i w:val="0"/>
          <w:sz w:val="24"/>
        </w:rPr>
        <w:t>MINISTRIA E BRENDSHME</w:t>
      </w:r>
      <w:bookmarkEnd w:id="148"/>
      <w:r w:rsidRPr="00405A65">
        <w:rPr>
          <w:rFonts w:ascii="Cambria" w:eastAsia="Calibri" w:hAnsi="Cambria"/>
          <w:i w:val="0"/>
          <w:sz w:val="24"/>
        </w:rPr>
        <w:t xml:space="preserve"> </w:t>
      </w:r>
    </w:p>
    <w:p w:rsidR="00F376DE" w:rsidRDefault="00F376DE" w:rsidP="00F376DE">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 xml:space="preserve">Ministria e Brendshme ka për mision arritjen e standardeve të shtetit të së drejtës në fushën e sigurisë dhe rendit  publik, në parandalimin dhe luftën ndaj krimit, në shërbim të të drejtave dhe lirive të garantuara nga Kushtetuta e Republikës së Shqipërisë. Ministria e Brendshme synon të jap një kontribut në krijimin e një shteti më të sigurt, në të cilin mbizotëron respektimi i të drejtave të individëve të garantuara nga </w:t>
      </w:r>
      <w:r>
        <w:rPr>
          <w:rFonts w:ascii="Cambria" w:eastAsia="Calibri" w:hAnsi="Cambria" w:cs="Times New Roman"/>
          <w:lang w:val="sq-AL"/>
        </w:rPr>
        <w:t>K</w:t>
      </w:r>
      <w:r w:rsidRPr="00A03518">
        <w:rPr>
          <w:rFonts w:ascii="Cambria" w:eastAsia="Calibri" w:hAnsi="Cambria" w:cs="Times New Roman"/>
          <w:lang w:val="sq-AL"/>
        </w:rPr>
        <w:t>ushte</w:t>
      </w:r>
      <w:r>
        <w:rPr>
          <w:rFonts w:ascii="Cambria" w:eastAsia="Calibri" w:hAnsi="Cambria" w:cs="Times New Roman"/>
          <w:lang w:val="sq-AL"/>
        </w:rPr>
        <w:t>tuta dhe ligjet, në krijimin e i</w:t>
      </w:r>
      <w:r w:rsidRPr="00A03518">
        <w:rPr>
          <w:rFonts w:ascii="Cambria" w:eastAsia="Calibri" w:hAnsi="Cambria" w:cs="Times New Roman"/>
          <w:lang w:val="sq-AL"/>
        </w:rPr>
        <w:t xml:space="preserve">nstitucioneve ligj-zbatuese të forta dhe të qëndrueshme, sipas standardeve </w:t>
      </w:r>
      <w:r>
        <w:rPr>
          <w:rFonts w:ascii="Cambria" w:eastAsia="Calibri" w:hAnsi="Cambria" w:cs="Times New Roman"/>
          <w:lang w:val="sq-AL"/>
        </w:rPr>
        <w:t>E</w:t>
      </w:r>
      <w:r w:rsidRPr="00A03518">
        <w:rPr>
          <w:rFonts w:ascii="Cambria" w:eastAsia="Calibri" w:hAnsi="Cambria" w:cs="Times New Roman"/>
          <w:lang w:val="sq-AL"/>
        </w:rPr>
        <w:t xml:space="preserve">vropiane. </w:t>
      </w:r>
    </w:p>
    <w:p w:rsidR="00F376DE" w:rsidRPr="00A03518" w:rsidRDefault="00F376DE" w:rsidP="00F376DE">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Shpenzimet për Ministrinë e Brendshme në vlerë nominale, në përqindje ndaj PBB dhe në përqindje ndaj shpenzimeve të përgjithshme të qeverisë për periudhën 20</w:t>
      </w:r>
      <w:r>
        <w:rPr>
          <w:rFonts w:ascii="Cambria" w:eastAsia="Calibri" w:hAnsi="Cambria" w:cs="Times New Roman"/>
          <w:lang w:val="sq-AL"/>
        </w:rPr>
        <w:t>20-2022</w:t>
      </w:r>
      <w:r w:rsidRPr="00A03518">
        <w:rPr>
          <w:rFonts w:ascii="Cambria" w:eastAsia="Calibri" w:hAnsi="Cambria" w:cs="Times New Roman"/>
          <w:lang w:val="sq-AL"/>
        </w:rPr>
        <w:t>, p</w:t>
      </w:r>
      <w:r>
        <w:rPr>
          <w:rFonts w:ascii="Cambria" w:eastAsia="Calibri" w:hAnsi="Cambria" w:cs="Times New Roman"/>
          <w:lang w:val="sq-AL"/>
        </w:rPr>
        <w:t>araqiten në tabelën e mëposhtme</w:t>
      </w:r>
    </w:p>
    <w:p w:rsidR="00F376DE" w:rsidRDefault="00F376DE" w:rsidP="00F376DE">
      <w:pPr>
        <w:spacing w:after="200" w:line="276" w:lineRule="auto"/>
        <w:contextualSpacing/>
        <w:jc w:val="both"/>
        <w:rPr>
          <w:rFonts w:ascii="Cambria" w:eastAsia="Times New Roman" w:hAnsi="Cambria" w:cs="Arial"/>
          <w:sz w:val="20"/>
          <w:szCs w:val="20"/>
          <w:lang w:val="sq-AL"/>
        </w:rPr>
      </w:pPr>
      <w:r w:rsidRPr="00A03518">
        <w:rPr>
          <w:rFonts w:ascii="Cambria" w:eastAsia="Calibri" w:hAnsi="Cambria" w:cs="Times New Roman"/>
          <w:b/>
          <w:sz w:val="20"/>
          <w:szCs w:val="20"/>
          <w:lang w:val="sq-AL"/>
        </w:rPr>
        <w:t xml:space="preserve">Tabela </w:t>
      </w:r>
      <w:r w:rsidRPr="007B048F">
        <w:rPr>
          <w:rFonts w:ascii="Cambria" w:eastAsia="Calibri" w:hAnsi="Cambria" w:cs="Times New Roman"/>
          <w:b/>
          <w:sz w:val="20"/>
          <w:szCs w:val="20"/>
          <w:lang w:val="sq-AL"/>
        </w:rPr>
        <w:t>13</w:t>
      </w:r>
      <w:r w:rsidRPr="00A03518">
        <w:rPr>
          <w:rFonts w:ascii="Cambria" w:eastAsia="Calibri" w:hAnsi="Cambria" w:cs="Times New Roman"/>
          <w:sz w:val="20"/>
          <w:szCs w:val="20"/>
          <w:lang w:val="sq-AL"/>
        </w:rPr>
        <w:t>:</w:t>
      </w:r>
      <w:r w:rsidRPr="00A03518">
        <w:rPr>
          <w:rFonts w:ascii="Cambria" w:eastAsia="Times New Roman" w:hAnsi="Cambria" w:cs="Arial"/>
          <w:sz w:val="20"/>
          <w:szCs w:val="20"/>
          <w:lang w:val="sq-AL"/>
        </w:rPr>
        <w:t xml:space="preserve"> Shpenzimet për Ministrinë e Brendshme </w:t>
      </w:r>
      <w:r>
        <w:rPr>
          <w:rFonts w:ascii="Cambria" w:eastAsia="Times New Roman" w:hAnsi="Cambria" w:cs="Arial"/>
          <w:sz w:val="20"/>
          <w:szCs w:val="20"/>
          <w:lang w:val="sq-AL"/>
        </w:rPr>
        <w:t xml:space="preserve">për vitet </w:t>
      </w:r>
      <w:r w:rsidRPr="00A03518">
        <w:rPr>
          <w:rFonts w:ascii="Cambria" w:eastAsia="Times New Roman" w:hAnsi="Cambria" w:cs="Arial"/>
          <w:sz w:val="20"/>
          <w:szCs w:val="20"/>
          <w:lang w:val="sq-AL"/>
        </w:rPr>
        <w:t>20</w:t>
      </w:r>
      <w:r>
        <w:rPr>
          <w:rFonts w:ascii="Cambria" w:eastAsia="Times New Roman" w:hAnsi="Cambria" w:cs="Arial"/>
          <w:sz w:val="20"/>
          <w:szCs w:val="20"/>
          <w:lang w:val="sq-AL"/>
        </w:rPr>
        <w:t>20-2022</w:t>
      </w:r>
    </w:p>
    <w:p w:rsidR="00F376DE" w:rsidRDefault="00F376DE" w:rsidP="00F376DE">
      <w:pPr>
        <w:spacing w:after="200" w:line="276" w:lineRule="auto"/>
        <w:contextualSpacing/>
        <w:jc w:val="both"/>
        <w:rPr>
          <w:rFonts w:ascii="Cambria" w:eastAsia="Times New Roman" w:hAnsi="Cambria" w:cs="Arial"/>
          <w:sz w:val="20"/>
          <w:szCs w:val="20"/>
          <w:lang w:val="sq-AL"/>
        </w:rPr>
      </w:pPr>
    </w:p>
    <w:tbl>
      <w:tblPr>
        <w:tblStyle w:val="GridTable5Dark-Accent12"/>
        <w:tblW w:w="7760" w:type="dxa"/>
        <w:jc w:val="center"/>
        <w:tblLook w:val="04A0" w:firstRow="1" w:lastRow="0" w:firstColumn="1" w:lastColumn="0" w:noHBand="0" w:noVBand="1"/>
      </w:tblPr>
      <w:tblGrid>
        <w:gridCol w:w="2980"/>
        <w:gridCol w:w="1186"/>
        <w:gridCol w:w="1198"/>
        <w:gridCol w:w="1198"/>
        <w:gridCol w:w="1198"/>
      </w:tblGrid>
      <w:tr w:rsidR="00F376DE" w:rsidRPr="00A03518" w:rsidTr="009466FD">
        <w:trPr>
          <w:cnfStyle w:val="100000000000" w:firstRow="1" w:lastRow="0" w:firstColumn="0" w:lastColumn="0" w:oddVBand="0" w:evenVBand="0" w:oddHBand="0" w:evenHBand="0" w:firstRowFirstColumn="0" w:firstRowLastColumn="0" w:lastRowFirstColumn="0" w:lastRowLastColumn="0"/>
          <w:trHeight w:val="825"/>
          <w:jc w:val="center"/>
        </w:trPr>
        <w:tc>
          <w:tcPr>
            <w:cnfStyle w:val="001000000000" w:firstRow="0" w:lastRow="0" w:firstColumn="1" w:lastColumn="0" w:oddVBand="0" w:evenVBand="0" w:oddHBand="0" w:evenHBand="0" w:firstRowFirstColumn="0" w:firstRowLastColumn="0" w:lastRowFirstColumn="0" w:lastRowLastColumn="0"/>
            <w:tcW w:w="7760" w:type="dxa"/>
            <w:gridSpan w:val="5"/>
            <w:hideMark/>
          </w:tcPr>
          <w:p w:rsidR="00F376DE" w:rsidRPr="00A03518" w:rsidRDefault="00F376DE" w:rsidP="009466FD">
            <w:pPr>
              <w:jc w:val="center"/>
              <w:rPr>
                <w:rFonts w:ascii="Calibri" w:eastAsia="Times New Roman" w:hAnsi="Calibri" w:cs="Arial"/>
                <w:color w:val="FFFFFF"/>
                <w:lang w:val="sq-AL"/>
              </w:rPr>
            </w:pPr>
            <w:r w:rsidRPr="00A03518">
              <w:rPr>
                <w:rFonts w:ascii="Calibri" w:eastAsia="Times New Roman" w:hAnsi="Calibri" w:cs="Arial"/>
                <w:color w:val="FFFFFF"/>
                <w:lang w:val="sq-AL"/>
              </w:rPr>
              <w:t>Shpenzimet për Ministrinë e Brendshme në vlerë nominale (n</w:t>
            </w:r>
            <w:r>
              <w:rPr>
                <w:rFonts w:ascii="Calibri" w:eastAsia="Times New Roman" w:hAnsi="Calibri" w:cs="Arial"/>
                <w:color w:val="FFFFFF"/>
                <w:lang w:val="sq-AL"/>
              </w:rPr>
              <w:t>ë mln lek) dhe në % ndaj PBB për vitet 2020-2022</w:t>
            </w:r>
          </w:p>
        </w:tc>
      </w:tr>
      <w:tr w:rsidR="00F376DE" w:rsidRPr="00A03518" w:rsidTr="009466FD">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rsidR="00F376DE" w:rsidRPr="00A03518" w:rsidRDefault="00F376DE" w:rsidP="009466FD">
            <w:pPr>
              <w:jc w:val="center"/>
              <w:rPr>
                <w:rFonts w:ascii="Calibri" w:eastAsia="Times New Roman" w:hAnsi="Calibri" w:cs="Arial"/>
                <w:color w:val="000080"/>
                <w:sz w:val="20"/>
                <w:szCs w:val="20"/>
                <w:lang w:val="sq-AL"/>
              </w:rPr>
            </w:pPr>
          </w:p>
        </w:tc>
        <w:tc>
          <w:tcPr>
            <w:tcW w:w="4780" w:type="dxa"/>
            <w:gridSpan w:val="4"/>
            <w:noWrap/>
            <w:hideMark/>
          </w:tcPr>
          <w:p w:rsidR="00F376DE" w:rsidRPr="00A03518" w:rsidRDefault="00F376DE" w:rsidP="009466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80"/>
                <w:sz w:val="20"/>
                <w:szCs w:val="20"/>
                <w:lang w:val="sq-AL"/>
              </w:rPr>
            </w:pPr>
            <w:r w:rsidRPr="00A03518">
              <w:rPr>
                <w:rFonts w:ascii="Calibri" w:eastAsia="Times New Roman" w:hAnsi="Calibri" w:cs="Arial"/>
                <w:b/>
                <w:bCs/>
                <w:color w:val="000080"/>
                <w:sz w:val="20"/>
                <w:szCs w:val="20"/>
                <w:lang w:val="sq-AL"/>
              </w:rPr>
              <w:t xml:space="preserve">Shpenzimet totale </w:t>
            </w:r>
          </w:p>
        </w:tc>
      </w:tr>
      <w:tr w:rsidR="00F376DE" w:rsidRPr="00A03518" w:rsidTr="009466FD">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hideMark/>
          </w:tcPr>
          <w:p w:rsidR="00F376DE" w:rsidRPr="00A03518" w:rsidRDefault="00F376DE" w:rsidP="009466FD">
            <w:pPr>
              <w:rPr>
                <w:rFonts w:ascii="Calibri" w:eastAsia="Times New Roman" w:hAnsi="Calibri" w:cs="Arial"/>
                <w:color w:val="000080"/>
                <w:sz w:val="20"/>
                <w:szCs w:val="20"/>
                <w:lang w:val="sq-AL"/>
              </w:rPr>
            </w:pPr>
          </w:p>
        </w:tc>
        <w:tc>
          <w:tcPr>
            <w:tcW w:w="1186" w:type="dxa"/>
            <w:noWrap/>
            <w:hideMark/>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03518">
              <w:rPr>
                <w:rFonts w:ascii="Calibri" w:eastAsia="Times New Roman" w:hAnsi="Calibri" w:cs="Arial"/>
                <w:b/>
                <w:bCs/>
                <w:color w:val="000080"/>
                <w:sz w:val="20"/>
                <w:szCs w:val="20"/>
                <w:lang w:val="sq-AL"/>
              </w:rPr>
              <w:t>Buxheti 2019</w:t>
            </w:r>
          </w:p>
        </w:tc>
        <w:tc>
          <w:tcPr>
            <w:tcW w:w="1198" w:type="dxa"/>
            <w:noWrap/>
            <w:hideMark/>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03518">
              <w:rPr>
                <w:rFonts w:ascii="Calibri" w:eastAsia="Times New Roman" w:hAnsi="Calibri" w:cs="Arial"/>
                <w:b/>
                <w:bCs/>
                <w:color w:val="000080"/>
                <w:sz w:val="20"/>
                <w:szCs w:val="20"/>
                <w:lang w:val="sq-AL"/>
              </w:rPr>
              <w:t>Buxheti 20</w:t>
            </w:r>
            <w:r>
              <w:rPr>
                <w:rFonts w:ascii="Calibri" w:eastAsia="Times New Roman" w:hAnsi="Calibri" w:cs="Arial"/>
                <w:b/>
                <w:bCs/>
                <w:color w:val="000080"/>
                <w:sz w:val="20"/>
                <w:szCs w:val="20"/>
                <w:lang w:val="sq-AL"/>
              </w:rPr>
              <w:t>20</w:t>
            </w:r>
          </w:p>
        </w:tc>
        <w:tc>
          <w:tcPr>
            <w:tcW w:w="1198" w:type="dxa"/>
            <w:noWrap/>
            <w:hideMark/>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Pr>
                <w:rFonts w:ascii="Calibri" w:eastAsia="Times New Roman" w:hAnsi="Calibri" w:cs="Arial"/>
                <w:b/>
                <w:bCs/>
                <w:color w:val="000080"/>
                <w:sz w:val="20"/>
                <w:szCs w:val="20"/>
                <w:lang w:val="sq-AL"/>
              </w:rPr>
              <w:t>Buxheti 2021</w:t>
            </w:r>
          </w:p>
        </w:tc>
        <w:tc>
          <w:tcPr>
            <w:tcW w:w="1198" w:type="dxa"/>
            <w:noWrap/>
            <w:hideMark/>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Pr>
                <w:rFonts w:ascii="Calibri" w:eastAsia="Times New Roman" w:hAnsi="Calibri" w:cs="Arial"/>
                <w:b/>
                <w:bCs/>
                <w:color w:val="000080"/>
                <w:sz w:val="20"/>
                <w:szCs w:val="20"/>
                <w:lang w:val="sq-AL"/>
              </w:rPr>
              <w:t>Buxheti 2022</w:t>
            </w:r>
          </w:p>
        </w:tc>
      </w:tr>
      <w:tr w:rsidR="00F376DE" w:rsidRPr="00A03518" w:rsidTr="009466FD">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hideMark/>
          </w:tcPr>
          <w:p w:rsidR="00F376DE" w:rsidRPr="00A03518" w:rsidRDefault="00F376DE" w:rsidP="009466FD">
            <w:pPr>
              <w:rPr>
                <w:rFonts w:ascii="Calibri" w:eastAsia="Times New Roman" w:hAnsi="Calibri" w:cs="Arial"/>
                <w:color w:val="FFFFFF"/>
                <w:sz w:val="20"/>
                <w:szCs w:val="20"/>
                <w:lang w:val="sq-AL"/>
              </w:rPr>
            </w:pPr>
            <w:r w:rsidRPr="00A03518">
              <w:rPr>
                <w:rFonts w:ascii="Calibri" w:eastAsia="Times New Roman" w:hAnsi="Calibri" w:cs="Arial"/>
                <w:color w:val="FFFFFF"/>
                <w:sz w:val="20"/>
                <w:szCs w:val="20"/>
                <w:lang w:val="sq-AL"/>
              </w:rPr>
              <w:lastRenderedPageBreak/>
              <w:t>% ndaj PBB</w:t>
            </w:r>
          </w:p>
        </w:tc>
        <w:tc>
          <w:tcPr>
            <w:tcW w:w="1186" w:type="dxa"/>
            <w:noWrap/>
          </w:tcPr>
          <w:p w:rsidR="00F376DE" w:rsidRPr="00A03518" w:rsidRDefault="00F376DE" w:rsidP="009466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1.19</w:t>
            </w:r>
            <w:r w:rsidRPr="00A03518">
              <w:rPr>
                <w:rFonts w:ascii="Calibri" w:eastAsia="Times New Roman" w:hAnsi="Calibri" w:cs="Arial"/>
                <w:sz w:val="20"/>
                <w:szCs w:val="20"/>
                <w:lang w:val="sq-AL"/>
              </w:rPr>
              <w:t>%</w:t>
            </w:r>
          </w:p>
        </w:tc>
        <w:tc>
          <w:tcPr>
            <w:tcW w:w="1198" w:type="dxa"/>
            <w:noWrap/>
          </w:tcPr>
          <w:p w:rsidR="00F376DE" w:rsidRPr="00A03518" w:rsidRDefault="00F376DE" w:rsidP="009466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1.09</w:t>
            </w:r>
            <w:r w:rsidRPr="00A03518">
              <w:rPr>
                <w:rFonts w:ascii="Calibri" w:eastAsia="Times New Roman" w:hAnsi="Calibri" w:cs="Arial"/>
                <w:sz w:val="20"/>
                <w:szCs w:val="20"/>
                <w:lang w:val="sq-AL"/>
              </w:rPr>
              <w:t>%</w:t>
            </w:r>
          </w:p>
        </w:tc>
        <w:tc>
          <w:tcPr>
            <w:tcW w:w="1198" w:type="dxa"/>
            <w:noWrap/>
          </w:tcPr>
          <w:p w:rsidR="00F376DE" w:rsidRPr="00A03518" w:rsidRDefault="00F376DE" w:rsidP="009466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1.03</w:t>
            </w:r>
            <w:r w:rsidRPr="00A03518">
              <w:rPr>
                <w:rFonts w:ascii="Calibri" w:eastAsia="Times New Roman" w:hAnsi="Calibri" w:cs="Arial"/>
                <w:sz w:val="20"/>
                <w:szCs w:val="20"/>
                <w:lang w:val="sq-AL"/>
              </w:rPr>
              <w:t>%</w:t>
            </w:r>
          </w:p>
        </w:tc>
        <w:tc>
          <w:tcPr>
            <w:tcW w:w="1198" w:type="dxa"/>
            <w:noWrap/>
          </w:tcPr>
          <w:p w:rsidR="00F376DE" w:rsidRPr="00A03518" w:rsidRDefault="00F376DE" w:rsidP="009466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0.98</w:t>
            </w:r>
            <w:r w:rsidRPr="00A03518">
              <w:rPr>
                <w:rFonts w:ascii="Calibri" w:eastAsia="Times New Roman" w:hAnsi="Calibri" w:cs="Arial"/>
                <w:sz w:val="20"/>
                <w:szCs w:val="20"/>
                <w:lang w:val="sq-AL"/>
              </w:rPr>
              <w:t>%</w:t>
            </w:r>
          </w:p>
        </w:tc>
      </w:tr>
      <w:tr w:rsidR="00F376DE" w:rsidRPr="00A03518" w:rsidTr="009466FD">
        <w:trPr>
          <w:trHeight w:val="341"/>
          <w:jc w:val="center"/>
        </w:trPr>
        <w:tc>
          <w:tcPr>
            <w:cnfStyle w:val="001000000000" w:firstRow="0" w:lastRow="0" w:firstColumn="1" w:lastColumn="0" w:oddVBand="0" w:evenVBand="0" w:oddHBand="0" w:evenHBand="0" w:firstRowFirstColumn="0" w:firstRowLastColumn="0" w:lastRowFirstColumn="0" w:lastRowLastColumn="0"/>
            <w:tcW w:w="2980" w:type="dxa"/>
            <w:noWrap/>
          </w:tcPr>
          <w:p w:rsidR="00F376DE" w:rsidRPr="00A03518" w:rsidRDefault="00F376DE" w:rsidP="009466FD">
            <w:pPr>
              <w:rPr>
                <w:rFonts w:ascii="Arial" w:eastAsia="Times New Roman" w:hAnsi="Arial" w:cs="Arial"/>
                <w:color w:val="FFFFFF"/>
                <w:sz w:val="20"/>
                <w:szCs w:val="20"/>
                <w:lang w:val="sq-AL"/>
              </w:rPr>
            </w:pPr>
            <w:r w:rsidRPr="00A03518">
              <w:rPr>
                <w:rFonts w:ascii="Calibri" w:eastAsia="Times New Roman" w:hAnsi="Calibri" w:cs="Arial"/>
                <w:color w:val="FFFFFF"/>
                <w:sz w:val="20"/>
                <w:szCs w:val="20"/>
                <w:lang w:val="sq-AL"/>
              </w:rPr>
              <w:t>Në % ndaj Shpenzimeve të Përgjithshme të Qeverisë</w:t>
            </w:r>
          </w:p>
        </w:tc>
        <w:tc>
          <w:tcPr>
            <w:tcW w:w="1186" w:type="dxa"/>
            <w:noWrap/>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4</w:t>
            </w:r>
            <w:r w:rsidRPr="00A03518">
              <w:rPr>
                <w:rFonts w:ascii="Calibri" w:eastAsia="Times New Roman" w:hAnsi="Calibri" w:cs="Arial"/>
                <w:sz w:val="20"/>
                <w:szCs w:val="20"/>
                <w:lang w:val="sq-AL"/>
              </w:rPr>
              <w:t>%</w:t>
            </w:r>
          </w:p>
        </w:tc>
        <w:tc>
          <w:tcPr>
            <w:tcW w:w="1198" w:type="dxa"/>
            <w:noWrap/>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3.72</w:t>
            </w:r>
            <w:r w:rsidRPr="00A03518">
              <w:rPr>
                <w:rFonts w:ascii="Calibri" w:eastAsia="Times New Roman" w:hAnsi="Calibri" w:cs="Arial"/>
                <w:sz w:val="20"/>
                <w:szCs w:val="20"/>
                <w:lang w:val="sq-AL"/>
              </w:rPr>
              <w:t>%</w:t>
            </w:r>
          </w:p>
        </w:tc>
        <w:tc>
          <w:tcPr>
            <w:tcW w:w="1198" w:type="dxa"/>
            <w:noWrap/>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3.57</w:t>
            </w:r>
            <w:r w:rsidRPr="00A03518">
              <w:rPr>
                <w:rFonts w:ascii="Calibri" w:eastAsia="Times New Roman" w:hAnsi="Calibri" w:cs="Arial"/>
                <w:sz w:val="20"/>
                <w:szCs w:val="20"/>
                <w:lang w:val="sq-AL"/>
              </w:rPr>
              <w:t>%</w:t>
            </w:r>
          </w:p>
        </w:tc>
        <w:tc>
          <w:tcPr>
            <w:tcW w:w="1198" w:type="dxa"/>
            <w:noWrap/>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3.39</w:t>
            </w:r>
            <w:r w:rsidRPr="00A03518">
              <w:rPr>
                <w:rFonts w:ascii="Calibri" w:eastAsia="Times New Roman" w:hAnsi="Calibri" w:cs="Arial"/>
                <w:sz w:val="20"/>
                <w:szCs w:val="20"/>
                <w:lang w:val="sq-AL"/>
              </w:rPr>
              <w:t>%</w:t>
            </w:r>
          </w:p>
        </w:tc>
      </w:tr>
      <w:tr w:rsidR="00F376DE" w:rsidRPr="00A03518" w:rsidTr="009466F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80" w:type="dxa"/>
            <w:noWrap/>
            <w:hideMark/>
          </w:tcPr>
          <w:p w:rsidR="00F376DE" w:rsidRPr="00A03518" w:rsidRDefault="00F376DE" w:rsidP="009466FD">
            <w:pPr>
              <w:rPr>
                <w:rFonts w:ascii="Calibri" w:eastAsia="Times New Roman" w:hAnsi="Calibri" w:cs="Arial"/>
                <w:color w:val="FFFFFF"/>
                <w:sz w:val="20"/>
                <w:szCs w:val="20"/>
                <w:lang w:val="sq-AL"/>
              </w:rPr>
            </w:pPr>
            <w:r w:rsidRPr="00A03518">
              <w:rPr>
                <w:rFonts w:ascii="Calibri" w:eastAsia="Times New Roman" w:hAnsi="Calibri" w:cs="Arial"/>
                <w:color w:val="FFFFFF"/>
                <w:sz w:val="20"/>
                <w:szCs w:val="20"/>
                <w:lang w:val="sq-AL"/>
              </w:rPr>
              <w:t>Në vlerë nominale (mln lekë)</w:t>
            </w:r>
          </w:p>
        </w:tc>
        <w:tc>
          <w:tcPr>
            <w:tcW w:w="1186" w:type="dxa"/>
            <w:noWrap/>
            <w:hideMark/>
          </w:tcPr>
          <w:p w:rsidR="00F376DE" w:rsidRPr="00A03518" w:rsidRDefault="00F376DE" w:rsidP="009466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20,775.3</w:t>
            </w:r>
          </w:p>
        </w:tc>
        <w:tc>
          <w:tcPr>
            <w:tcW w:w="1198" w:type="dxa"/>
            <w:noWrap/>
            <w:hideMark/>
          </w:tcPr>
          <w:p w:rsidR="00F376DE" w:rsidRPr="008B3955" w:rsidRDefault="00F376DE" w:rsidP="009466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20.414,4</w:t>
            </w:r>
          </w:p>
        </w:tc>
        <w:tc>
          <w:tcPr>
            <w:tcW w:w="1198" w:type="dxa"/>
            <w:noWrap/>
            <w:hideMark/>
          </w:tcPr>
          <w:p w:rsidR="00F376DE" w:rsidRPr="008B3955" w:rsidRDefault="00F376DE" w:rsidP="009466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20.618,6</w:t>
            </w:r>
          </w:p>
        </w:tc>
        <w:tc>
          <w:tcPr>
            <w:tcW w:w="1198" w:type="dxa"/>
            <w:noWrap/>
            <w:hideMark/>
          </w:tcPr>
          <w:p w:rsidR="00F376DE" w:rsidRPr="008B3955" w:rsidRDefault="00F376DE" w:rsidP="009466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20.695</w:t>
            </w:r>
          </w:p>
        </w:tc>
      </w:tr>
      <w:tr w:rsidR="00F376DE" w:rsidRPr="00A03518" w:rsidTr="009466FD">
        <w:trPr>
          <w:trHeight w:val="494"/>
          <w:jc w:val="center"/>
        </w:trPr>
        <w:tc>
          <w:tcPr>
            <w:cnfStyle w:val="001000000000" w:firstRow="0" w:lastRow="0" w:firstColumn="1" w:lastColumn="0" w:oddVBand="0" w:evenVBand="0" w:oddHBand="0" w:evenHBand="0" w:firstRowFirstColumn="0" w:firstRowLastColumn="0" w:lastRowFirstColumn="0" w:lastRowLastColumn="0"/>
            <w:tcW w:w="2980" w:type="dxa"/>
            <w:noWrap/>
          </w:tcPr>
          <w:p w:rsidR="00F376DE" w:rsidRPr="00A03518" w:rsidRDefault="00F376DE" w:rsidP="009466FD">
            <w:pPr>
              <w:rPr>
                <w:rFonts w:ascii="Calibri" w:eastAsia="Times New Roman" w:hAnsi="Calibri" w:cs="Arial"/>
                <w:i/>
                <w:color w:val="FFFFFF"/>
                <w:sz w:val="20"/>
                <w:szCs w:val="20"/>
                <w:lang w:val="sq-AL"/>
              </w:rPr>
            </w:pPr>
            <w:r w:rsidRPr="00A03518">
              <w:rPr>
                <w:rFonts w:ascii="Calibri" w:eastAsia="Times New Roman" w:hAnsi="Calibri" w:cs="Arial"/>
                <w:i/>
                <w:color w:val="FFFFFF"/>
                <w:sz w:val="18"/>
                <w:szCs w:val="20"/>
                <w:lang w:val="sq-AL"/>
              </w:rPr>
              <w:t>Nga të cilat- për Policinë e Shtetit</w:t>
            </w:r>
          </w:p>
        </w:tc>
        <w:tc>
          <w:tcPr>
            <w:tcW w:w="1186" w:type="dxa"/>
            <w:noWrap/>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16,681.8</w:t>
            </w:r>
          </w:p>
        </w:tc>
        <w:tc>
          <w:tcPr>
            <w:tcW w:w="1198" w:type="dxa"/>
            <w:noWrap/>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16,371.6</w:t>
            </w:r>
          </w:p>
        </w:tc>
        <w:tc>
          <w:tcPr>
            <w:tcW w:w="1198" w:type="dxa"/>
            <w:noWrap/>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16</w:t>
            </w:r>
            <w:r w:rsidRPr="00A03518">
              <w:rPr>
                <w:rFonts w:ascii="Calibri" w:eastAsia="Times New Roman" w:hAnsi="Calibri" w:cs="Arial"/>
                <w:sz w:val="20"/>
                <w:szCs w:val="20"/>
                <w:lang w:val="sq-AL"/>
              </w:rPr>
              <w:t>,</w:t>
            </w:r>
            <w:r>
              <w:rPr>
                <w:rFonts w:ascii="Calibri" w:eastAsia="Times New Roman" w:hAnsi="Calibri" w:cs="Arial"/>
                <w:sz w:val="20"/>
                <w:szCs w:val="20"/>
                <w:lang w:val="sq-AL"/>
              </w:rPr>
              <w:t>541</w:t>
            </w:r>
            <w:r w:rsidRPr="00A03518">
              <w:rPr>
                <w:rFonts w:ascii="Calibri" w:eastAsia="Times New Roman" w:hAnsi="Calibri" w:cs="Arial"/>
                <w:sz w:val="20"/>
                <w:szCs w:val="20"/>
                <w:lang w:val="sq-AL"/>
              </w:rPr>
              <w:t>.</w:t>
            </w:r>
            <w:r>
              <w:rPr>
                <w:rFonts w:ascii="Calibri" w:eastAsia="Times New Roman" w:hAnsi="Calibri" w:cs="Arial"/>
                <w:sz w:val="20"/>
                <w:szCs w:val="20"/>
                <w:lang w:val="sq-AL"/>
              </w:rPr>
              <w:t>7</w:t>
            </w:r>
          </w:p>
        </w:tc>
        <w:tc>
          <w:tcPr>
            <w:tcW w:w="1198" w:type="dxa"/>
            <w:noWrap/>
          </w:tcPr>
          <w:p w:rsidR="00F376DE" w:rsidRPr="00A03518" w:rsidRDefault="00F376DE" w:rsidP="009466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sidRPr="00A03518">
              <w:rPr>
                <w:rFonts w:ascii="Calibri" w:eastAsia="Times New Roman" w:hAnsi="Calibri" w:cs="Arial"/>
                <w:sz w:val="20"/>
                <w:szCs w:val="20"/>
                <w:lang w:val="sq-AL"/>
              </w:rPr>
              <w:t>1</w:t>
            </w:r>
            <w:r>
              <w:rPr>
                <w:rFonts w:ascii="Calibri" w:eastAsia="Times New Roman" w:hAnsi="Calibri" w:cs="Arial"/>
                <w:sz w:val="20"/>
                <w:szCs w:val="20"/>
                <w:lang w:val="sq-AL"/>
              </w:rPr>
              <w:t>6,571</w:t>
            </w:r>
          </w:p>
        </w:tc>
      </w:tr>
    </w:tbl>
    <w:p w:rsidR="00F376DE" w:rsidRPr="00A03518" w:rsidRDefault="00F376DE" w:rsidP="00F376DE">
      <w:pPr>
        <w:spacing w:after="200" w:line="276" w:lineRule="auto"/>
        <w:contextualSpacing/>
        <w:jc w:val="both"/>
        <w:rPr>
          <w:rFonts w:ascii="Cambria" w:eastAsia="Calibri" w:hAnsi="Cambria" w:cs="Times New Roman"/>
          <w:sz w:val="20"/>
          <w:szCs w:val="20"/>
          <w:lang w:val="sq-AL"/>
        </w:rPr>
      </w:pPr>
    </w:p>
    <w:p w:rsidR="00F376DE" w:rsidRPr="00A03518" w:rsidRDefault="00F376DE" w:rsidP="00F376DE">
      <w:pPr>
        <w:spacing w:after="200" w:line="276" w:lineRule="auto"/>
        <w:jc w:val="both"/>
        <w:rPr>
          <w:rFonts w:ascii="Calibri Light" w:eastAsia="Calibri" w:hAnsi="Calibri Light" w:cs="Times New Roman"/>
          <w:lang w:val="sq-AL"/>
        </w:rPr>
      </w:pPr>
    </w:p>
    <w:p w:rsidR="00F376DE" w:rsidRPr="00A03518" w:rsidRDefault="00F376DE" w:rsidP="00F376DE">
      <w:pPr>
        <w:pStyle w:val="Heading3"/>
        <w:rPr>
          <w:rFonts w:ascii="Cambria" w:hAnsi="Cambria"/>
          <w:b/>
          <w:color w:val="auto"/>
          <w:lang w:val="sq-AL"/>
        </w:rPr>
      </w:pPr>
      <w:r w:rsidRPr="00A03518">
        <w:rPr>
          <w:rFonts w:ascii="Cambria" w:hAnsi="Cambria"/>
          <w:b/>
          <w:color w:val="auto"/>
          <w:lang w:val="sq-AL"/>
        </w:rPr>
        <w:t>Pri</w:t>
      </w:r>
      <w:r>
        <w:rPr>
          <w:rFonts w:ascii="Cambria" w:hAnsi="Cambria"/>
          <w:b/>
          <w:color w:val="auto"/>
          <w:lang w:val="sq-AL"/>
        </w:rPr>
        <w:t>oritetet për periudhën 2020-2022</w:t>
      </w:r>
    </w:p>
    <w:p w:rsidR="00F376DE" w:rsidRPr="00A03518" w:rsidRDefault="00F376DE" w:rsidP="00F376DE">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Ministria e Brendshme synon mbrojtjen e të drejtave dhe lirive të njeriut, si dhe garantimin e sigurisë së jetës, shëndetit dhe pronës së qytetarit, të cilat janë dhe prioritete për veprimtarinë e Policisë së Shtetit, e cila do të ketë si togfjalësh kyç në veprimtarinë e saj, ‘kontrollin e territorit’ dhe ‘policimin në komunitet’, të realizuara në praktikë përmes riorganizimit të sistemit të prezencës së policisë në territor, në funksion të një kontrolli më efektiv të tij dhe transformimin rrënjësor të marrëdhënieve dhe shërbimit ndaj komunitetit.</w:t>
      </w:r>
      <w:r w:rsidRPr="00A03518">
        <w:rPr>
          <w:rFonts w:ascii="Calibri" w:eastAsia="Calibri" w:hAnsi="Calibri" w:cs="Times New Roman"/>
        </w:rPr>
        <w:t xml:space="preserve"> </w:t>
      </w:r>
      <w:r w:rsidRPr="00A03518">
        <w:rPr>
          <w:rFonts w:ascii="Cambria" w:eastAsia="Calibri" w:hAnsi="Cambria" w:cs="Times New Roman"/>
          <w:lang w:val="sq-AL"/>
        </w:rPr>
        <w:t xml:space="preserve">Gjithashtu, synon sigurimin e rendit publik, pronës publike e private, rritjen e parametrave të sigurisë rrugore, krijimin e një mjedisi të sigurt për komunitetin, nëpërmjet shërbimeve profesionale, në kohë dhe me cilësi dhe policimit me standardet me të larta të përformancës.                                                                                                                                                                            </w:t>
      </w:r>
    </w:p>
    <w:p w:rsidR="00F376DE" w:rsidRDefault="00F376DE" w:rsidP="00F376DE">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Ministria e Brendshme synon të kontribuojë në përmirësimin e vazhdueshëm të Sigurisë së Personaliteteve Vendas dhe të Huaj, të Objekteve të Rëndësisë së Veçantë nëpërmjet rritjes së kapaciteteve menaxhuese dhe përputhjes me standartet europiane në fushën e sigurisë. Gjithashtu, Ministria e Brendshme synon konsolidimin e mëtejshëm të një sistemi bashkëkohor të dixhitalizuar të regjistrit kombëtar të gjendjes civile (RKGJC), të sistemit të regjistrit kombëtar të adresave (RKA) dhe sistemit të personalizimit dhe shpërndarjes së letërnjoftimit elektronik dhe pasaportës biometrike.</w:t>
      </w:r>
    </w:p>
    <w:p w:rsidR="00F376DE" w:rsidRPr="00A03518" w:rsidRDefault="00F376DE" w:rsidP="00F376DE">
      <w:pPr>
        <w:spacing w:after="200" w:line="276" w:lineRule="auto"/>
        <w:jc w:val="both"/>
        <w:rPr>
          <w:rFonts w:ascii="Cambria" w:eastAsia="Calibri" w:hAnsi="Cambria" w:cs="Times New Roman"/>
          <w:lang w:val="sq-AL"/>
        </w:rPr>
      </w:pPr>
    </w:p>
    <w:p w:rsidR="00F376DE" w:rsidRPr="00A03518" w:rsidRDefault="00F376DE" w:rsidP="00F376DE">
      <w:pPr>
        <w:spacing w:after="200" w:line="276" w:lineRule="auto"/>
        <w:contextualSpacing/>
        <w:jc w:val="both"/>
        <w:rPr>
          <w:rFonts w:ascii="Cambria" w:eastAsia="Calibri" w:hAnsi="Cambria" w:cs="Times New Roman"/>
          <w:sz w:val="20"/>
          <w:szCs w:val="20"/>
          <w:lang w:val="sq-AL"/>
        </w:rPr>
      </w:pPr>
      <w:r w:rsidRPr="00A03518">
        <w:rPr>
          <w:rFonts w:ascii="Cambria" w:eastAsia="Calibri" w:hAnsi="Cambria" w:cs="Times New Roman"/>
          <w:b/>
          <w:sz w:val="20"/>
          <w:szCs w:val="20"/>
          <w:lang w:val="sq-AL"/>
        </w:rPr>
        <w:t>Tabela 14</w:t>
      </w:r>
      <w:r w:rsidRPr="00A03518">
        <w:rPr>
          <w:rFonts w:ascii="Cambria" w:eastAsia="Calibri" w:hAnsi="Cambria" w:cs="Times New Roman"/>
          <w:sz w:val="20"/>
          <w:szCs w:val="20"/>
          <w:lang w:val="sq-AL"/>
        </w:rPr>
        <w:t>:</w:t>
      </w:r>
      <w:r w:rsidRPr="00A03518">
        <w:rPr>
          <w:rFonts w:ascii="Cambria" w:eastAsia="Times New Roman" w:hAnsi="Cambria" w:cs="Arial"/>
          <w:sz w:val="20"/>
          <w:szCs w:val="20"/>
          <w:lang w:val="sq-AL"/>
        </w:rPr>
        <w:t xml:space="preserve"> Shpenzimet për Ministrinë e Brendshme </w:t>
      </w:r>
      <w:r w:rsidRPr="00277146">
        <w:rPr>
          <w:rFonts w:ascii="Cambria" w:eastAsia="Times New Roman" w:hAnsi="Cambria" w:cs="Arial"/>
          <w:sz w:val="20"/>
          <w:szCs w:val="20"/>
          <w:lang w:val="sq-AL"/>
        </w:rPr>
        <w:t>sipas programeve buxhetore dhe sipas artikujve ekonomikë</w:t>
      </w:r>
    </w:p>
    <w:p w:rsidR="00F376DE" w:rsidRPr="00A03518" w:rsidRDefault="00F376DE" w:rsidP="00F376DE">
      <w:pPr>
        <w:spacing w:after="200" w:line="276" w:lineRule="auto"/>
        <w:jc w:val="both"/>
        <w:rPr>
          <w:rFonts w:ascii="Cambria" w:eastAsia="Calibri" w:hAnsi="Cambria" w:cs="Times New Roman"/>
          <w:lang w:val="sq-AL"/>
        </w:rPr>
      </w:pPr>
      <w:r w:rsidRPr="005A3722">
        <w:rPr>
          <w:noProof/>
          <w:lang w:val="en-GB" w:eastAsia="en-GB"/>
        </w:rPr>
        <w:lastRenderedPageBreak/>
        <w:drawing>
          <wp:inline distT="0" distB="0" distL="0" distR="0" wp14:anchorId="158BFABB" wp14:editId="361EA33D">
            <wp:extent cx="5943600" cy="4836795"/>
            <wp:effectExtent l="0" t="0" r="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4836795"/>
                    </a:xfrm>
                    <a:prstGeom prst="rect">
                      <a:avLst/>
                    </a:prstGeom>
                  </pic:spPr>
                </pic:pic>
              </a:graphicData>
            </a:graphic>
          </wp:inline>
        </w:drawing>
      </w:r>
    </w:p>
    <w:p w:rsidR="00F376DE" w:rsidRPr="00A03518" w:rsidRDefault="00F376DE" w:rsidP="00F376DE">
      <w:pPr>
        <w:spacing w:line="264" w:lineRule="auto"/>
        <w:rPr>
          <w:rFonts w:ascii="Cambria" w:eastAsia="MS Gothic" w:hAnsi="Cambria" w:cs="Times New Roman"/>
          <w:b/>
          <w:bCs/>
          <w:color w:val="0070C0"/>
          <w:lang w:val="en-GB"/>
        </w:rPr>
      </w:pPr>
    </w:p>
    <w:p w:rsidR="00F376DE" w:rsidRPr="00AF7F2B" w:rsidRDefault="00F376DE" w:rsidP="00F376DE">
      <w:pPr>
        <w:pStyle w:val="Heading3"/>
        <w:rPr>
          <w:rFonts w:ascii="Cambria" w:eastAsia="Calibri" w:hAnsi="Cambria" w:cs="Times New Roman"/>
          <w:b/>
          <w:color w:val="auto"/>
          <w:sz w:val="22"/>
          <w:lang w:val="sq-AL"/>
        </w:rPr>
      </w:pPr>
      <w:r w:rsidRPr="00AF7F2B">
        <w:rPr>
          <w:rFonts w:ascii="Cambria" w:eastAsia="Calibri" w:hAnsi="Cambria" w:cs="Times New Roman"/>
          <w:b/>
          <w:color w:val="auto"/>
          <w:sz w:val="22"/>
          <w:lang w:val="sq-AL"/>
        </w:rPr>
        <w:t>Përmbledhje e Treguesve Kyç të Performancës</w:t>
      </w:r>
    </w:p>
    <w:p w:rsidR="00F376DE" w:rsidRPr="00A03518" w:rsidRDefault="00F376DE" w:rsidP="00F376DE">
      <w:pPr>
        <w:spacing w:after="200" w:line="276" w:lineRule="auto"/>
        <w:jc w:val="both"/>
        <w:rPr>
          <w:rFonts w:ascii="Cambria" w:eastAsia="Calibri" w:hAnsi="Cambria" w:cs="Times New Roman"/>
          <w:lang w:val="sq-AL"/>
        </w:rPr>
      </w:pPr>
    </w:p>
    <w:p w:rsidR="00F376DE" w:rsidRPr="00A03518" w:rsidRDefault="00F376DE" w:rsidP="00F376DE">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Përgjatë 3 viteve të PBA 20</w:t>
      </w:r>
      <w:r>
        <w:rPr>
          <w:rFonts w:ascii="Cambria" w:eastAsia="Calibri" w:hAnsi="Cambria" w:cs="Times New Roman"/>
          <w:lang w:val="sq-AL"/>
        </w:rPr>
        <w:t>20-2022</w:t>
      </w:r>
      <w:r w:rsidRPr="00A03518">
        <w:rPr>
          <w:rFonts w:ascii="Cambria" w:eastAsia="Calibri" w:hAnsi="Cambria" w:cs="Times New Roman"/>
          <w:lang w:val="sq-AL"/>
        </w:rPr>
        <w:t>, Ministria e Brendshme do të përmbushë objektivat e saj përmes:</w:t>
      </w:r>
    </w:p>
    <w:p w:rsidR="00F376DE" w:rsidRPr="00781AC6" w:rsidRDefault="00F376DE" w:rsidP="00570F53">
      <w:pPr>
        <w:numPr>
          <w:ilvl w:val="0"/>
          <w:numId w:val="20"/>
        </w:numPr>
        <w:spacing w:after="0" w:line="240" w:lineRule="auto"/>
        <w:jc w:val="both"/>
        <w:rPr>
          <w:rFonts w:ascii="Cambria" w:eastAsia="Calibri" w:hAnsi="Cambria" w:cs="Times New Roman"/>
          <w:lang w:val="sq-AL"/>
        </w:rPr>
      </w:pPr>
      <w:r w:rsidRPr="00781AC6">
        <w:rPr>
          <w:rFonts w:ascii="Cambria" w:eastAsia="Calibri" w:hAnsi="Cambria" w:cs="Times New Roman"/>
          <w:lang w:val="sq-AL"/>
        </w:rPr>
        <w:t xml:space="preserve">Rritjes së numrit të hetimeve proaktive në luftën kundër krimit të organizuar, trafiqeve, korrupsionit dhe terrorizmit; </w:t>
      </w:r>
    </w:p>
    <w:p w:rsidR="00F376DE" w:rsidRPr="00FF4F2F" w:rsidRDefault="00F376DE" w:rsidP="00570F53">
      <w:pPr>
        <w:numPr>
          <w:ilvl w:val="0"/>
          <w:numId w:val="20"/>
        </w:numPr>
        <w:spacing w:after="0" w:line="240" w:lineRule="auto"/>
        <w:jc w:val="both"/>
        <w:rPr>
          <w:rFonts w:ascii="Cambria" w:eastAsia="Calibri" w:hAnsi="Cambria" w:cs="Times New Roman"/>
          <w:lang w:val="sq-AL"/>
        </w:rPr>
      </w:pPr>
      <w:r w:rsidRPr="00A03518">
        <w:rPr>
          <w:rFonts w:ascii="Cambria" w:eastAsia="Calibri" w:hAnsi="Cambria" w:cs="Times New Roman"/>
          <w:lang w:val="sq-AL"/>
        </w:rPr>
        <w:t xml:space="preserve">Përmirësimit rrënjësisht të sistemit të kontrollit rrugor, duke synuar krijimin e një kulture të re në qarkullimin e mjeteve dhe të qytetarëve dhe sidomos në menaxhimin e sigurisë rrugore. </w:t>
      </w:r>
      <w:r>
        <w:rPr>
          <w:rFonts w:ascii="Cambria" w:eastAsia="Calibri" w:hAnsi="Cambria" w:cs="Times New Roman"/>
          <w:lang w:val="sq-AL"/>
        </w:rPr>
        <w:t>S</w:t>
      </w:r>
      <w:r w:rsidRPr="00A03518">
        <w:rPr>
          <w:rFonts w:ascii="Cambria" w:eastAsia="Calibri" w:hAnsi="Cambria" w:cs="Times New Roman"/>
          <w:lang w:val="sq-AL"/>
        </w:rPr>
        <w:t>ynohet ulja e numrit të aksiden</w:t>
      </w:r>
      <w:r>
        <w:rPr>
          <w:rFonts w:ascii="Cambria" w:eastAsia="Calibri" w:hAnsi="Cambria" w:cs="Times New Roman"/>
          <w:lang w:val="sq-AL"/>
        </w:rPr>
        <w:t>teve në rrugë në masën 1% çdo vit</w:t>
      </w:r>
      <w:r w:rsidRPr="00A03518">
        <w:rPr>
          <w:rFonts w:ascii="Cambria" w:eastAsia="Calibri" w:hAnsi="Cambria" w:cs="Times New Roman"/>
          <w:lang w:val="sq-AL"/>
        </w:rPr>
        <w:t xml:space="preserve"> nga </w:t>
      </w:r>
      <w:r>
        <w:rPr>
          <w:rFonts w:ascii="Cambria" w:eastAsia="Calibri" w:hAnsi="Cambria" w:cs="Times New Roman"/>
          <w:lang w:val="sq-AL"/>
        </w:rPr>
        <w:t>1 936 raste në vitin 2019</w:t>
      </w:r>
      <w:r w:rsidRPr="00A03518">
        <w:rPr>
          <w:rFonts w:ascii="Cambria" w:eastAsia="Calibri" w:hAnsi="Cambria" w:cs="Times New Roman"/>
          <w:lang w:val="sq-AL"/>
        </w:rPr>
        <w:t xml:space="preserve">; </w:t>
      </w:r>
    </w:p>
    <w:p w:rsidR="00F376DE" w:rsidRPr="00A03518" w:rsidRDefault="00F376DE" w:rsidP="00570F53">
      <w:pPr>
        <w:numPr>
          <w:ilvl w:val="0"/>
          <w:numId w:val="20"/>
        </w:numPr>
        <w:spacing w:after="0" w:line="240" w:lineRule="auto"/>
        <w:jc w:val="both"/>
        <w:rPr>
          <w:rFonts w:ascii="Cambria" w:eastAsia="Calibri" w:hAnsi="Cambria" w:cs="Times New Roman"/>
          <w:lang w:val="sq-AL"/>
        </w:rPr>
      </w:pPr>
      <w:r w:rsidRPr="00A03518">
        <w:rPr>
          <w:rFonts w:ascii="Cambria" w:eastAsia="Calibri" w:hAnsi="Cambria" w:cs="Times New Roman"/>
          <w:lang w:val="sq-AL"/>
        </w:rPr>
        <w:t>Rritjes së nivelit të sigurisë publike duke forcuar kontrollin e territo</w:t>
      </w:r>
      <w:r>
        <w:rPr>
          <w:rFonts w:ascii="Cambria" w:eastAsia="Calibri" w:hAnsi="Cambria" w:cs="Times New Roman"/>
          <w:lang w:val="sq-AL"/>
        </w:rPr>
        <w:t xml:space="preserve">rit dhe policimin në komunitet </w:t>
      </w:r>
      <w:r w:rsidRPr="00FF4F2F">
        <w:rPr>
          <w:rFonts w:ascii="Cambria" w:eastAsia="Calibri" w:hAnsi="Cambria" w:cs="Times New Roman"/>
          <w:lang w:val="sq-AL"/>
        </w:rPr>
        <w:t>p</w:t>
      </w:r>
      <w:r>
        <w:rPr>
          <w:rFonts w:ascii="Cambria" w:eastAsia="Calibri" w:hAnsi="Cambria" w:cs="Times New Roman"/>
          <w:lang w:eastAsia="ja-JP"/>
        </w:rPr>
        <w:t xml:space="preserve">ërmes </w:t>
      </w:r>
      <w:r w:rsidRPr="00FF4F2F">
        <w:rPr>
          <w:rFonts w:ascii="Cambria" w:eastAsia="Calibri" w:hAnsi="Cambria" w:cs="Times New Roman"/>
          <w:lang w:val="sq-AL"/>
        </w:rPr>
        <w:t>rritjes</w:t>
      </w:r>
      <w:r w:rsidRPr="00A03518">
        <w:rPr>
          <w:rFonts w:ascii="Cambria" w:eastAsia="Calibri" w:hAnsi="Cambria" w:cs="Times New Roman"/>
          <w:lang w:val="sq-AL"/>
        </w:rPr>
        <w:t xml:space="preserve"> së numrit të shërbimeve të patrullimit si dhe reduktimit të kohës së reagimit të shërbimeve policore (nga 2</w:t>
      </w:r>
      <w:r>
        <w:rPr>
          <w:rFonts w:ascii="Cambria" w:eastAsia="Calibri" w:hAnsi="Cambria" w:cs="Times New Roman"/>
          <w:lang w:val="sq-AL"/>
        </w:rPr>
        <w:t>0</w:t>
      </w:r>
      <w:r w:rsidRPr="00A03518">
        <w:rPr>
          <w:rFonts w:ascii="Cambria" w:eastAsia="Calibri" w:hAnsi="Cambria" w:cs="Times New Roman"/>
          <w:lang w:val="sq-AL"/>
        </w:rPr>
        <w:t xml:space="preserve"> minuta në vitin 201</w:t>
      </w:r>
      <w:r>
        <w:rPr>
          <w:rFonts w:ascii="Cambria" w:eastAsia="Calibri" w:hAnsi="Cambria" w:cs="Times New Roman"/>
          <w:lang w:val="sq-AL"/>
        </w:rPr>
        <w:t>9</w:t>
      </w:r>
      <w:r w:rsidRPr="00A03518">
        <w:rPr>
          <w:rFonts w:ascii="Cambria" w:eastAsia="Calibri" w:hAnsi="Cambria" w:cs="Times New Roman"/>
          <w:lang w:val="sq-AL"/>
        </w:rPr>
        <w:t xml:space="preserve"> në 1</w:t>
      </w:r>
      <w:r>
        <w:rPr>
          <w:rFonts w:ascii="Cambria" w:eastAsia="Calibri" w:hAnsi="Cambria" w:cs="Times New Roman"/>
          <w:lang w:val="sq-AL"/>
        </w:rPr>
        <w:t>3</w:t>
      </w:r>
      <w:r w:rsidRPr="00A03518">
        <w:rPr>
          <w:rFonts w:ascii="Cambria" w:eastAsia="Calibri" w:hAnsi="Cambria" w:cs="Times New Roman"/>
          <w:lang w:val="sq-AL"/>
        </w:rPr>
        <w:t xml:space="preserve"> minuta në vitin 202</w:t>
      </w:r>
      <w:r>
        <w:rPr>
          <w:rFonts w:ascii="Cambria" w:eastAsia="Calibri" w:hAnsi="Cambria" w:cs="Times New Roman"/>
          <w:lang w:val="sq-AL"/>
        </w:rPr>
        <w:t>2</w:t>
      </w:r>
      <w:r w:rsidRPr="00A03518">
        <w:rPr>
          <w:rFonts w:ascii="Cambria" w:eastAsia="Calibri" w:hAnsi="Cambria" w:cs="Times New Roman"/>
          <w:lang w:val="sq-AL"/>
        </w:rPr>
        <w:t xml:space="preserve">).  </w:t>
      </w:r>
    </w:p>
    <w:p w:rsidR="00F376DE" w:rsidRDefault="00F376DE" w:rsidP="00570F53">
      <w:pPr>
        <w:numPr>
          <w:ilvl w:val="0"/>
          <w:numId w:val="20"/>
        </w:numPr>
        <w:spacing w:after="0" w:line="240" w:lineRule="auto"/>
        <w:jc w:val="both"/>
        <w:rPr>
          <w:rFonts w:ascii="Cambria" w:eastAsia="Calibri" w:hAnsi="Cambria" w:cs="Times New Roman"/>
          <w:lang w:val="sq-AL"/>
        </w:rPr>
      </w:pPr>
      <w:r w:rsidRPr="00A03518">
        <w:rPr>
          <w:rFonts w:ascii="Cambria" w:eastAsia="Calibri" w:hAnsi="Cambria" w:cs="Times New Roman"/>
          <w:lang w:val="sq-AL"/>
        </w:rPr>
        <w:t xml:space="preserve">Reduktimit të trafiqeve, krimit ndërkufitar dhe rasteve të imigrimit të paligjshëm kryesisht nëpërmjet reduktimit të kohës së procedimit (nga </w:t>
      </w:r>
      <w:r>
        <w:rPr>
          <w:rFonts w:ascii="Cambria" w:eastAsia="Calibri" w:hAnsi="Cambria" w:cs="Times New Roman"/>
          <w:lang w:val="sq-AL"/>
        </w:rPr>
        <w:t>26</w:t>
      </w:r>
      <w:r w:rsidRPr="00A03518">
        <w:rPr>
          <w:rFonts w:ascii="Cambria" w:eastAsia="Calibri" w:hAnsi="Cambria" w:cs="Times New Roman"/>
          <w:lang w:val="sq-AL"/>
        </w:rPr>
        <w:t xml:space="preserve"> minuta në vitin 201</w:t>
      </w:r>
      <w:r>
        <w:rPr>
          <w:rFonts w:ascii="Cambria" w:eastAsia="Calibri" w:hAnsi="Cambria" w:cs="Times New Roman"/>
          <w:lang w:val="sq-AL"/>
        </w:rPr>
        <w:t>9</w:t>
      </w:r>
      <w:r w:rsidRPr="00A03518">
        <w:rPr>
          <w:rFonts w:ascii="Cambria" w:eastAsia="Calibri" w:hAnsi="Cambria" w:cs="Times New Roman"/>
          <w:lang w:val="sq-AL"/>
        </w:rPr>
        <w:t xml:space="preserve"> në 15 minuta në vitin 202</w:t>
      </w:r>
      <w:r>
        <w:rPr>
          <w:rFonts w:ascii="Cambria" w:eastAsia="Calibri" w:hAnsi="Cambria" w:cs="Times New Roman"/>
          <w:lang w:val="sq-AL"/>
        </w:rPr>
        <w:t>2</w:t>
      </w:r>
      <w:r w:rsidRPr="00A03518">
        <w:rPr>
          <w:rFonts w:ascii="Cambria" w:eastAsia="Calibri" w:hAnsi="Cambria" w:cs="Times New Roman"/>
          <w:lang w:val="sq-AL"/>
        </w:rPr>
        <w:t>).</w:t>
      </w:r>
    </w:p>
    <w:p w:rsidR="00F376DE" w:rsidRPr="0050654F" w:rsidRDefault="00F376DE" w:rsidP="00570F53">
      <w:pPr>
        <w:numPr>
          <w:ilvl w:val="0"/>
          <w:numId w:val="20"/>
        </w:numPr>
        <w:spacing w:after="0" w:line="240" w:lineRule="auto"/>
        <w:jc w:val="both"/>
        <w:rPr>
          <w:rFonts w:ascii="Cambria" w:eastAsia="Calibri" w:hAnsi="Cambria" w:cs="Times New Roman"/>
          <w:lang w:val="sq-AL"/>
        </w:rPr>
      </w:pPr>
      <w:r>
        <w:rPr>
          <w:rFonts w:ascii="Cambria" w:eastAsia="Calibri" w:hAnsi="Cambria" w:cs="Times New Roman"/>
          <w:lang w:val="sq-AL"/>
        </w:rPr>
        <w:lastRenderedPageBreak/>
        <w:t>Reduktimit të kohës së reagimit ndaj krimeve të dhunës në familje (18</w:t>
      </w:r>
      <w:r w:rsidRPr="00A03518">
        <w:rPr>
          <w:rFonts w:ascii="Cambria" w:eastAsia="Calibri" w:hAnsi="Cambria" w:cs="Times New Roman"/>
          <w:lang w:val="sq-AL"/>
        </w:rPr>
        <w:t xml:space="preserve"> minuta në vitin 201</w:t>
      </w:r>
      <w:r>
        <w:rPr>
          <w:rFonts w:ascii="Cambria" w:eastAsia="Calibri" w:hAnsi="Cambria" w:cs="Times New Roman"/>
          <w:lang w:val="sq-AL"/>
        </w:rPr>
        <w:t>9</w:t>
      </w:r>
      <w:r w:rsidRPr="00A03518">
        <w:rPr>
          <w:rFonts w:ascii="Cambria" w:eastAsia="Calibri" w:hAnsi="Cambria" w:cs="Times New Roman"/>
          <w:lang w:val="sq-AL"/>
        </w:rPr>
        <w:t xml:space="preserve"> në 1</w:t>
      </w:r>
      <w:r>
        <w:rPr>
          <w:rFonts w:ascii="Cambria" w:eastAsia="Calibri" w:hAnsi="Cambria" w:cs="Times New Roman"/>
          <w:lang w:val="sq-AL"/>
        </w:rPr>
        <w:t>4</w:t>
      </w:r>
      <w:r w:rsidRPr="00A03518">
        <w:rPr>
          <w:rFonts w:ascii="Cambria" w:eastAsia="Calibri" w:hAnsi="Cambria" w:cs="Times New Roman"/>
          <w:lang w:val="sq-AL"/>
        </w:rPr>
        <w:t xml:space="preserve"> minuta në vitin 202</w:t>
      </w:r>
      <w:r>
        <w:rPr>
          <w:rFonts w:ascii="Cambria" w:eastAsia="Calibri" w:hAnsi="Cambria" w:cs="Times New Roman"/>
          <w:lang w:val="sq-AL"/>
        </w:rPr>
        <w:t>2</w:t>
      </w:r>
      <w:r w:rsidRPr="00A03518">
        <w:rPr>
          <w:rFonts w:ascii="Cambria" w:eastAsia="Calibri" w:hAnsi="Cambria" w:cs="Times New Roman"/>
          <w:lang w:val="sq-AL"/>
        </w:rPr>
        <w:t>).</w:t>
      </w:r>
    </w:p>
    <w:p w:rsidR="00F376DE" w:rsidRDefault="00F376DE" w:rsidP="00570F53">
      <w:pPr>
        <w:numPr>
          <w:ilvl w:val="0"/>
          <w:numId w:val="20"/>
        </w:numPr>
        <w:spacing w:after="0" w:line="240" w:lineRule="auto"/>
        <w:jc w:val="both"/>
        <w:rPr>
          <w:rFonts w:ascii="Cambria" w:eastAsia="Calibri" w:hAnsi="Cambria" w:cs="Times New Roman"/>
          <w:lang w:val="sq-AL"/>
        </w:rPr>
      </w:pPr>
      <w:r w:rsidRPr="00A03518">
        <w:rPr>
          <w:rFonts w:ascii="Cambria" w:eastAsia="Calibri" w:hAnsi="Cambria" w:cs="Times New Roman"/>
          <w:lang w:val="sq-AL"/>
        </w:rPr>
        <w:t>Të kontribuojë në përmirësimin e vazhdueshëm të Siguris</w:t>
      </w:r>
      <w:r w:rsidR="00FA0246">
        <w:rPr>
          <w:rFonts w:ascii="Cambria" w:eastAsia="Calibri" w:hAnsi="Cambria" w:cs="Times New Roman"/>
          <w:lang w:val="sq-AL"/>
        </w:rPr>
        <w:t>ë</w:t>
      </w:r>
      <w:r w:rsidRPr="00A03518">
        <w:rPr>
          <w:rFonts w:ascii="Cambria" w:eastAsia="Calibri" w:hAnsi="Cambria" w:cs="Times New Roman"/>
          <w:lang w:val="sq-AL"/>
        </w:rPr>
        <w:t xml:space="preserve"> së Personaliteteve Vendas dhe të Huaj në përputhje me standar</w:t>
      </w:r>
      <w:r>
        <w:rPr>
          <w:rFonts w:ascii="Cambria" w:eastAsia="Calibri" w:hAnsi="Cambria" w:cs="Times New Roman"/>
          <w:lang w:val="sq-AL"/>
        </w:rPr>
        <w:t>d</w:t>
      </w:r>
      <w:r w:rsidRPr="00A03518">
        <w:rPr>
          <w:rFonts w:ascii="Cambria" w:eastAsia="Calibri" w:hAnsi="Cambria" w:cs="Times New Roman"/>
          <w:lang w:val="sq-AL"/>
        </w:rPr>
        <w:t xml:space="preserve">et europiane ( nga </w:t>
      </w:r>
      <w:r>
        <w:rPr>
          <w:rFonts w:ascii="Cambria" w:eastAsia="Calibri" w:hAnsi="Cambria" w:cs="Times New Roman"/>
          <w:lang w:val="sq-AL"/>
        </w:rPr>
        <w:t>33</w:t>
      </w:r>
      <w:r w:rsidRPr="00A03518">
        <w:rPr>
          <w:rFonts w:ascii="Cambria" w:eastAsia="Calibri" w:hAnsi="Cambria" w:cs="Times New Roman"/>
          <w:lang w:val="sq-AL"/>
        </w:rPr>
        <w:t>% në vitin 201</w:t>
      </w:r>
      <w:r>
        <w:rPr>
          <w:rFonts w:ascii="Cambria" w:eastAsia="Calibri" w:hAnsi="Cambria" w:cs="Times New Roman"/>
          <w:lang w:val="sq-AL"/>
        </w:rPr>
        <w:t>9</w:t>
      </w:r>
      <w:r w:rsidRPr="00A03518">
        <w:rPr>
          <w:rFonts w:ascii="Cambria" w:eastAsia="Calibri" w:hAnsi="Cambria" w:cs="Times New Roman"/>
          <w:lang w:val="sq-AL"/>
        </w:rPr>
        <w:t xml:space="preserve"> në </w:t>
      </w:r>
      <w:r>
        <w:rPr>
          <w:rFonts w:ascii="Cambria" w:eastAsia="Calibri" w:hAnsi="Cambria" w:cs="Times New Roman"/>
          <w:lang w:val="sq-AL"/>
        </w:rPr>
        <w:t>45</w:t>
      </w:r>
      <w:r w:rsidRPr="00A03518">
        <w:rPr>
          <w:rFonts w:ascii="Cambria" w:eastAsia="Calibri" w:hAnsi="Cambria" w:cs="Times New Roman"/>
          <w:lang w:val="sq-AL"/>
        </w:rPr>
        <w:t>% në vitin 202</w:t>
      </w:r>
      <w:r>
        <w:rPr>
          <w:rFonts w:ascii="Cambria" w:eastAsia="Calibri" w:hAnsi="Cambria" w:cs="Times New Roman"/>
          <w:lang w:val="sq-AL"/>
        </w:rPr>
        <w:t>2).</w:t>
      </w:r>
    </w:p>
    <w:p w:rsidR="00A03518" w:rsidRPr="00F376DE" w:rsidRDefault="00F376DE" w:rsidP="00570F53">
      <w:pPr>
        <w:numPr>
          <w:ilvl w:val="0"/>
          <w:numId w:val="20"/>
        </w:numPr>
        <w:spacing w:after="0" w:line="240" w:lineRule="auto"/>
        <w:jc w:val="both"/>
        <w:rPr>
          <w:rFonts w:ascii="Cambria" w:eastAsia="Calibri" w:hAnsi="Cambria" w:cs="Times New Roman"/>
          <w:lang w:val="sq-AL"/>
        </w:rPr>
      </w:pPr>
      <w:r w:rsidRPr="00F376DE">
        <w:rPr>
          <w:rFonts w:ascii="Cambria" w:eastAsia="Calibri" w:hAnsi="Cambria" w:cs="Times New Roman"/>
          <w:lang w:val="sq-AL"/>
        </w:rPr>
        <w:t>Përdorimit në mënyrë efektive të përditësimit të ngjarjeve në regjistrin civil, në autorizimin dhe çertifikimin e aplikimeve për lëshimin e dokumenteve të identitetit. Synohet reduktimi i kohës për trajtimin e kërkesës nga sistemi i RKGJ-së (nga 1.5 orë në vitin 2019 në jo më shumë se 0.5 orë në vitin 2022).</w:t>
      </w:r>
    </w:p>
    <w:p w:rsidR="00C04AB3" w:rsidRPr="00405A65" w:rsidRDefault="00C04AB3" w:rsidP="00AD24E4">
      <w:pPr>
        <w:pStyle w:val="Heading2"/>
        <w:rPr>
          <w:rFonts w:ascii="Cambria" w:eastAsia="Calibri" w:hAnsi="Cambria"/>
          <w:i w:val="0"/>
          <w:sz w:val="24"/>
        </w:rPr>
      </w:pPr>
      <w:bookmarkStart w:id="149" w:name="_Toc13653986"/>
      <w:r w:rsidRPr="00405A65">
        <w:rPr>
          <w:rFonts w:ascii="Cambria" w:eastAsia="Calibri" w:hAnsi="Cambria"/>
          <w:i w:val="0"/>
          <w:sz w:val="24"/>
        </w:rPr>
        <w:t>MINISTRIA E MBROJTJES</w:t>
      </w:r>
      <w:bookmarkEnd w:id="149"/>
    </w:p>
    <w:p w:rsidR="00C91043" w:rsidRPr="00AF7F2B" w:rsidRDefault="00C91043" w:rsidP="00C91043">
      <w:pPr>
        <w:spacing w:after="200" w:line="276" w:lineRule="auto"/>
        <w:jc w:val="both"/>
        <w:rPr>
          <w:rFonts w:ascii="Cambria" w:eastAsia="Calibri" w:hAnsi="Cambria" w:cs="Times New Roman"/>
          <w:sz w:val="24"/>
          <w:szCs w:val="24"/>
          <w:lang w:val="sq-AL"/>
        </w:rPr>
      </w:pPr>
      <w:r w:rsidRPr="00AF7F2B">
        <w:rPr>
          <w:rFonts w:ascii="Cambria" w:eastAsia="Calibri" w:hAnsi="Cambria" w:cs="Times New Roman"/>
          <w:sz w:val="24"/>
          <w:szCs w:val="24"/>
          <w:lang w:val="sq-AL"/>
        </w:rPr>
        <w:t xml:space="preserve">Ministria e Mbrojtjes ka për mision ushtrimin e funksioneve dhe kompetencave të veta në përputhje me Kushtetutën, Strategjinë e Sigurisë Kombëtare, Politikën e Mbrojtjes, Strategjinë Ushtarake, ligjet e tjera të Republikës së Shqipërisë për hartimin dhe zbatimin e politikave shtetërore që sigurojnë mbrojtjen e vendit. Tavanet e paraqitura për PBA 2020-2022 paraqesin një nivel të përmirësuar mbështetjeje me burime financiare duke garantuar arritjen e kapaciteteve operacionale të deklaruara në kuadër të Aleancës së NATO-s në tre vitet e ardhshme. </w:t>
      </w:r>
    </w:p>
    <w:p w:rsidR="00C91043" w:rsidRPr="00AF7F2B" w:rsidRDefault="00C91043" w:rsidP="00C91043">
      <w:pPr>
        <w:spacing w:after="200" w:line="276" w:lineRule="auto"/>
        <w:jc w:val="both"/>
        <w:rPr>
          <w:rFonts w:ascii="Cambria" w:eastAsia="Calibri" w:hAnsi="Cambria" w:cs="Times New Roman"/>
          <w:sz w:val="24"/>
          <w:szCs w:val="24"/>
          <w:lang w:val="sq-AL"/>
        </w:rPr>
      </w:pPr>
      <w:r w:rsidRPr="00AF7F2B">
        <w:rPr>
          <w:rFonts w:ascii="Cambria" w:eastAsia="Calibri" w:hAnsi="Cambria" w:cs="Times New Roman"/>
          <w:sz w:val="24"/>
          <w:szCs w:val="24"/>
          <w:lang w:val="sq-AL"/>
        </w:rPr>
        <w:t>Shpenzimet për Ministrinë e Mbrojtjes në vlerë nominale, në përqindje ndaj PBB dhe në përqindje ndaj shpenzimeve të përgjithshme të qeverisë për periudhën 2020-2022, paraqiten në tabelën e mëposhtme:</w:t>
      </w:r>
    </w:p>
    <w:p w:rsidR="00C91043" w:rsidRPr="00AF7F2B" w:rsidRDefault="00C91043" w:rsidP="00C91043">
      <w:pPr>
        <w:spacing w:after="200" w:line="276" w:lineRule="auto"/>
        <w:contextualSpacing/>
        <w:jc w:val="both"/>
        <w:rPr>
          <w:rFonts w:ascii="Cambria" w:eastAsia="Calibri" w:hAnsi="Cambria" w:cs="Times New Roman"/>
          <w:sz w:val="24"/>
          <w:szCs w:val="24"/>
          <w:lang w:val="sq-AL"/>
        </w:rPr>
      </w:pPr>
      <w:r w:rsidRPr="00CD5661">
        <w:rPr>
          <w:rFonts w:ascii="Times New Roman" w:eastAsia="Calibri" w:hAnsi="Times New Roman" w:cs="Times New Roman"/>
          <w:b/>
          <w:sz w:val="24"/>
          <w:szCs w:val="24"/>
          <w:lang w:val="sq-AL"/>
        </w:rPr>
        <w:t>Tabela 15</w:t>
      </w:r>
      <w:r w:rsidRPr="00CD5661">
        <w:rPr>
          <w:rFonts w:ascii="Times New Roman" w:eastAsia="Calibri" w:hAnsi="Times New Roman" w:cs="Times New Roman"/>
          <w:sz w:val="24"/>
          <w:szCs w:val="24"/>
          <w:lang w:val="sq-AL"/>
        </w:rPr>
        <w:t xml:space="preserve">: </w:t>
      </w:r>
      <w:r w:rsidRPr="00AF7F2B">
        <w:rPr>
          <w:rFonts w:ascii="Cambria" w:eastAsia="Times New Roman" w:hAnsi="Cambria" w:cs="Times New Roman"/>
          <w:sz w:val="24"/>
          <w:szCs w:val="24"/>
          <w:lang w:val="sq-AL"/>
        </w:rPr>
        <w:t>Shpenzimet për Ministrinë e Mbrojtjes në vlerë nominale (në mln lek) dhe në % ndaj PBB 2020-2022</w:t>
      </w:r>
    </w:p>
    <w:p w:rsidR="00C91043" w:rsidRPr="00CD5661" w:rsidRDefault="00C91043" w:rsidP="00C91043">
      <w:pPr>
        <w:spacing w:after="200" w:line="276" w:lineRule="auto"/>
        <w:jc w:val="both"/>
        <w:rPr>
          <w:rFonts w:ascii="Times New Roman" w:eastAsia="Calibri" w:hAnsi="Times New Roman" w:cs="Times New Roman"/>
          <w:sz w:val="24"/>
          <w:szCs w:val="24"/>
          <w:lang w:val="sq-AL"/>
        </w:rPr>
      </w:pPr>
      <w:r w:rsidRPr="00E84136">
        <w:rPr>
          <w:noProof/>
          <w:lang w:val="en-GB" w:eastAsia="en-GB"/>
        </w:rPr>
        <w:drawing>
          <wp:inline distT="0" distB="0" distL="0" distR="0" wp14:anchorId="506923B1" wp14:editId="6C8B108B">
            <wp:extent cx="5943600" cy="1522589"/>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522589"/>
                    </a:xfrm>
                    <a:prstGeom prst="rect">
                      <a:avLst/>
                    </a:prstGeom>
                    <a:noFill/>
                    <a:ln>
                      <a:noFill/>
                    </a:ln>
                  </pic:spPr>
                </pic:pic>
              </a:graphicData>
            </a:graphic>
          </wp:inline>
        </w:drawing>
      </w:r>
    </w:p>
    <w:p w:rsidR="00FF4F2F" w:rsidRDefault="00A03518" w:rsidP="00FF4F2F">
      <w:pPr>
        <w:pStyle w:val="Heading3"/>
        <w:spacing w:line="240" w:lineRule="auto"/>
        <w:rPr>
          <w:rFonts w:ascii="Cambria" w:hAnsi="Cambria" w:cs="Times New Roman"/>
          <w:b/>
          <w:color w:val="auto"/>
          <w:lang w:val="sq-AL"/>
        </w:rPr>
      </w:pPr>
      <w:r w:rsidRPr="00FF4F2F">
        <w:rPr>
          <w:rFonts w:ascii="Cambria" w:hAnsi="Cambria" w:cs="Times New Roman"/>
          <w:b/>
          <w:color w:val="auto"/>
          <w:lang w:val="sq-AL"/>
        </w:rPr>
        <w:t>Prioritetet dhe treguesit e</w:t>
      </w:r>
      <w:r w:rsidR="00C91043">
        <w:rPr>
          <w:rFonts w:ascii="Cambria" w:hAnsi="Cambria" w:cs="Times New Roman"/>
          <w:b/>
          <w:color w:val="auto"/>
          <w:lang w:val="sq-AL"/>
        </w:rPr>
        <w:t xml:space="preserve"> performancës për periudhën 2020-2022</w:t>
      </w:r>
    </w:p>
    <w:p w:rsidR="00FF4F2F" w:rsidRPr="00FF4F2F" w:rsidRDefault="00FF4F2F" w:rsidP="00FF4F2F">
      <w:pPr>
        <w:spacing w:line="240" w:lineRule="auto"/>
        <w:rPr>
          <w:lang w:val="sq-AL"/>
        </w:rPr>
      </w:pPr>
    </w:p>
    <w:p w:rsidR="00C91043" w:rsidRPr="00AF7F2B" w:rsidRDefault="00C91043" w:rsidP="00C91043">
      <w:pPr>
        <w:spacing w:after="200" w:line="276" w:lineRule="auto"/>
        <w:jc w:val="both"/>
        <w:rPr>
          <w:rFonts w:ascii="Cambria" w:eastAsia="Calibri" w:hAnsi="Cambria" w:cstheme="minorHAnsi"/>
          <w:lang w:val="sq-AL"/>
        </w:rPr>
      </w:pPr>
      <w:r w:rsidRPr="00AF7F2B">
        <w:rPr>
          <w:rFonts w:ascii="Cambria" w:eastAsia="Calibri" w:hAnsi="Cambria" w:cstheme="minorHAnsi"/>
          <w:lang w:val="sq-AL"/>
        </w:rPr>
        <w:t>Ministria e Mbrojtjes synon të përmbushë reformat e nisura dhe realizimin e detyrave kushtetuese të Forcave të Armatosura (FA), angazhimeve ndërkombëtare në kuadër të NATO-s, angazhimeve të FA në kuadër rajonal dhe në aftësitë trajnuese të vetë FA.</w:t>
      </w:r>
    </w:p>
    <w:p w:rsidR="00C91043" w:rsidRPr="00AF7F2B" w:rsidRDefault="00C91043" w:rsidP="00C91043">
      <w:pPr>
        <w:spacing w:after="120" w:line="276" w:lineRule="auto"/>
        <w:jc w:val="both"/>
        <w:rPr>
          <w:rFonts w:ascii="Cambria" w:eastAsia="Calibri" w:hAnsi="Cambria" w:cstheme="minorHAnsi"/>
          <w:lang w:val="sq-AL"/>
        </w:rPr>
      </w:pPr>
      <w:r w:rsidRPr="00AF7F2B">
        <w:rPr>
          <w:rFonts w:ascii="Cambria" w:eastAsia="Calibri" w:hAnsi="Cambria" w:cstheme="minorHAnsi"/>
          <w:lang w:val="sq-AL"/>
        </w:rPr>
        <w:t>Me këtë buxhet, Ministria e Mbrojtjes synon:</w:t>
      </w:r>
    </w:p>
    <w:p w:rsidR="00C91043" w:rsidRPr="00AF7F2B" w:rsidRDefault="00C91043" w:rsidP="00C91043">
      <w:pPr>
        <w:numPr>
          <w:ilvl w:val="0"/>
          <w:numId w:val="22"/>
        </w:numPr>
        <w:spacing w:after="120" w:line="276" w:lineRule="auto"/>
        <w:jc w:val="both"/>
        <w:rPr>
          <w:rFonts w:ascii="Cambria" w:eastAsia="Calibri" w:hAnsi="Cambria" w:cstheme="minorHAnsi"/>
          <w:lang w:val="sq-AL"/>
        </w:rPr>
      </w:pPr>
      <w:r w:rsidRPr="00AF7F2B">
        <w:rPr>
          <w:rFonts w:ascii="Cambria" w:eastAsia="Calibri" w:hAnsi="Cambria" w:cstheme="minorHAnsi"/>
          <w:lang w:val="sq-AL"/>
        </w:rPr>
        <w:t>Modernizimin e kapaciteteve dhe infrastrukturës së FA duke:</w:t>
      </w:r>
    </w:p>
    <w:p w:rsidR="00C91043" w:rsidRPr="00AF7F2B" w:rsidRDefault="00C91043" w:rsidP="00C91043">
      <w:pPr>
        <w:numPr>
          <w:ilvl w:val="1"/>
          <w:numId w:val="23"/>
        </w:numPr>
        <w:spacing w:after="120" w:line="276" w:lineRule="auto"/>
        <w:jc w:val="both"/>
        <w:rPr>
          <w:rFonts w:ascii="Cambria" w:eastAsia="Calibri" w:hAnsi="Cambria" w:cstheme="minorHAnsi"/>
          <w:lang w:val="sq-AL"/>
        </w:rPr>
      </w:pPr>
      <w:r w:rsidRPr="00AF7F2B">
        <w:rPr>
          <w:rFonts w:ascii="Cambria" w:eastAsia="Calibri" w:hAnsi="Cambria" w:cstheme="minorHAnsi"/>
          <w:lang w:val="sq-AL"/>
        </w:rPr>
        <w:t>zhvilluar kapacitetet e FA në përputhje me Planin Afatgjatë të Zhvillimit;</w:t>
      </w:r>
    </w:p>
    <w:p w:rsidR="00C91043" w:rsidRPr="00AF7F2B" w:rsidRDefault="00C91043" w:rsidP="00C91043">
      <w:pPr>
        <w:numPr>
          <w:ilvl w:val="1"/>
          <w:numId w:val="23"/>
        </w:numPr>
        <w:spacing w:after="120" w:line="276" w:lineRule="auto"/>
        <w:jc w:val="both"/>
        <w:rPr>
          <w:rFonts w:ascii="Cambria" w:eastAsia="Calibri" w:hAnsi="Cambria" w:cstheme="minorHAnsi"/>
          <w:lang w:val="sq-AL"/>
        </w:rPr>
      </w:pPr>
      <w:r w:rsidRPr="00AF7F2B">
        <w:rPr>
          <w:rFonts w:ascii="Cambria" w:eastAsia="Calibri" w:hAnsi="Cambria" w:cstheme="minorHAnsi"/>
          <w:lang w:val="sq-AL"/>
        </w:rPr>
        <w:lastRenderedPageBreak/>
        <w:t xml:space="preserve">vijuar pajisjen e Forcave Tokësore me armatim të ri të ndërveprueshëm me aleatët në NATO; </w:t>
      </w:r>
    </w:p>
    <w:p w:rsidR="00C91043" w:rsidRPr="00AF7F2B" w:rsidRDefault="00C91043" w:rsidP="00C91043">
      <w:pPr>
        <w:numPr>
          <w:ilvl w:val="1"/>
          <w:numId w:val="23"/>
        </w:numPr>
        <w:spacing w:after="120" w:line="276" w:lineRule="auto"/>
        <w:jc w:val="both"/>
        <w:rPr>
          <w:rFonts w:ascii="Cambria" w:eastAsia="Calibri" w:hAnsi="Cambria" w:cstheme="minorHAnsi"/>
          <w:lang w:val="sq-AL"/>
        </w:rPr>
      </w:pPr>
      <w:r w:rsidRPr="00AF7F2B">
        <w:rPr>
          <w:rFonts w:ascii="Cambria" w:eastAsia="Calibri" w:hAnsi="Cambria" w:cstheme="minorHAnsi"/>
          <w:lang w:val="sq-AL"/>
        </w:rPr>
        <w:t>zgjeruar investimet në infrastrukturë për përmirësimin e mjediseve të punës dhe ushtarake;</w:t>
      </w:r>
    </w:p>
    <w:p w:rsidR="00C91043" w:rsidRPr="00AF7F2B" w:rsidRDefault="00C91043" w:rsidP="00C91043">
      <w:pPr>
        <w:numPr>
          <w:ilvl w:val="1"/>
          <w:numId w:val="23"/>
        </w:numPr>
        <w:spacing w:after="120" w:line="276" w:lineRule="auto"/>
        <w:jc w:val="both"/>
        <w:rPr>
          <w:rFonts w:ascii="Cambria" w:eastAsia="Calibri" w:hAnsi="Cambria" w:cstheme="minorHAnsi"/>
          <w:lang w:val="sq-AL"/>
        </w:rPr>
      </w:pPr>
      <w:r w:rsidRPr="00AF7F2B">
        <w:rPr>
          <w:rFonts w:ascii="Cambria" w:eastAsia="Calibri" w:hAnsi="Cambria" w:cstheme="minorHAnsi"/>
          <w:lang w:val="sq-AL"/>
        </w:rPr>
        <w:t xml:space="preserve">modernizuar pajisjet dhe sistemet kompjuterike. </w:t>
      </w:r>
    </w:p>
    <w:p w:rsidR="00C91043" w:rsidRPr="00AF7F2B" w:rsidRDefault="00C91043" w:rsidP="00C91043">
      <w:pPr>
        <w:numPr>
          <w:ilvl w:val="0"/>
          <w:numId w:val="21"/>
        </w:numPr>
        <w:spacing w:after="120" w:line="276" w:lineRule="auto"/>
        <w:jc w:val="both"/>
        <w:rPr>
          <w:rFonts w:ascii="Cambria" w:hAnsi="Cambria" w:cstheme="minorHAnsi"/>
          <w:lang w:val="sq-AL"/>
        </w:rPr>
      </w:pPr>
      <w:r w:rsidRPr="00AF7F2B">
        <w:rPr>
          <w:rFonts w:ascii="Cambria" w:hAnsi="Cambria" w:cstheme="minorHAnsi"/>
          <w:lang w:val="sq-AL"/>
        </w:rPr>
        <w:t>Vijimin e pjesëmarrjes në operacionet e NATO-s duke rritur nivelin e angazhimit të FA, në operacionet e Aleancës  dhe pjesëmarrjen në misionet e iniciativat e reja që NATO mund të ndërmarrë.</w:t>
      </w:r>
    </w:p>
    <w:p w:rsidR="00C91043" w:rsidRPr="00AF7F2B" w:rsidRDefault="00C91043" w:rsidP="00C91043">
      <w:pPr>
        <w:numPr>
          <w:ilvl w:val="0"/>
          <w:numId w:val="23"/>
        </w:numPr>
        <w:spacing w:after="120" w:line="276" w:lineRule="auto"/>
        <w:jc w:val="both"/>
        <w:rPr>
          <w:rFonts w:ascii="Cambria" w:eastAsia="Calibri" w:hAnsi="Cambria" w:cstheme="minorHAnsi"/>
          <w:lang w:val="sq-AL"/>
        </w:rPr>
      </w:pPr>
      <w:r w:rsidRPr="00AF7F2B">
        <w:rPr>
          <w:rFonts w:ascii="Cambria" w:eastAsia="Calibri" w:hAnsi="Cambria" w:cstheme="minorHAnsi"/>
          <w:lang w:val="sq-AL"/>
        </w:rPr>
        <w:t>Zhvillimin dhe mbajtja në gatishmëri të kapaciteteve të FA për operacione të mbrojtjes kombëtare dhe kolektive, operacione në përgjigje të krizave, si dhe kapacitetet për përballimin e Emergjencave Civile, dhënien e ndihmës vendeve të rajonit në rast emergjencash civile në kuadrin e NATO-s, OKB-se dhe BE-së.</w:t>
      </w:r>
    </w:p>
    <w:p w:rsidR="00C91043" w:rsidRPr="00AF7F2B" w:rsidRDefault="00C91043" w:rsidP="00C91043">
      <w:pPr>
        <w:numPr>
          <w:ilvl w:val="0"/>
          <w:numId w:val="21"/>
        </w:numPr>
        <w:spacing w:after="120" w:line="276" w:lineRule="auto"/>
        <w:jc w:val="both"/>
        <w:rPr>
          <w:rFonts w:ascii="Cambria" w:hAnsi="Cambria" w:cstheme="minorHAnsi"/>
          <w:lang w:val="sq-AL"/>
        </w:rPr>
      </w:pPr>
      <w:r w:rsidRPr="00AF7F2B">
        <w:rPr>
          <w:rFonts w:ascii="Cambria" w:hAnsi="Cambria" w:cstheme="minorHAnsi"/>
          <w:lang w:val="sq-AL"/>
        </w:rPr>
        <w:t xml:space="preserve">Lartësimin e figurës dhe integritetit të ushtarakut, nëpërmjet zhvillimit të politikave të nevojshme në fushën e personelit, promovimit në karrierë, trajtimit të ushtarakut, rritjes së transparencës, llogaridhënies, si dhe eliminimin e korrupsionit në Forcat e Armatosura. </w:t>
      </w:r>
    </w:p>
    <w:p w:rsidR="00A03518" w:rsidRPr="00AF7F2B" w:rsidRDefault="00A03518" w:rsidP="00C91043">
      <w:pPr>
        <w:spacing w:after="120" w:line="276" w:lineRule="auto"/>
        <w:jc w:val="both"/>
        <w:rPr>
          <w:rFonts w:ascii="Cambria" w:hAnsi="Cambria" w:cs="Times New Roman"/>
          <w:lang w:val="sq-AL"/>
        </w:rPr>
      </w:pPr>
      <w:r w:rsidRPr="00AF7F2B">
        <w:rPr>
          <w:rFonts w:ascii="Cambria" w:eastAsia="Calibri" w:hAnsi="Cambria" w:cs="Times New Roman"/>
          <w:b/>
          <w:lang w:val="sq-AL"/>
        </w:rPr>
        <w:t>Tabela 16</w:t>
      </w:r>
      <w:r w:rsidRPr="00AF7F2B">
        <w:rPr>
          <w:rFonts w:ascii="Cambria" w:eastAsia="Calibri" w:hAnsi="Cambria" w:cs="Times New Roman"/>
          <w:lang w:val="sq-AL"/>
        </w:rPr>
        <w:t xml:space="preserve">: </w:t>
      </w:r>
      <w:r w:rsidR="00C91043" w:rsidRPr="00AF7F2B">
        <w:rPr>
          <w:rFonts w:ascii="Cambria" w:eastAsia="Times New Roman" w:hAnsi="Cambria" w:cs="Times New Roman"/>
          <w:lang w:val="sq-AL"/>
        </w:rPr>
        <w:t>Shpenzimet për Ministrinë e Mbrojtjes për PBA 2020-2022</w:t>
      </w:r>
    </w:p>
    <w:p w:rsidR="00A03518" w:rsidRPr="00A03518" w:rsidRDefault="00143BFA" w:rsidP="00A03518">
      <w:pPr>
        <w:spacing w:after="120" w:line="276" w:lineRule="auto"/>
        <w:ind w:left="360"/>
        <w:jc w:val="both"/>
        <w:rPr>
          <w:rFonts w:ascii="Times New Roman" w:eastAsia="Calibri" w:hAnsi="Times New Roman" w:cs="Times New Roman"/>
          <w:sz w:val="24"/>
          <w:szCs w:val="24"/>
          <w:lang w:val="sq-AL"/>
        </w:rPr>
      </w:pPr>
      <w:r w:rsidRPr="0055161F">
        <w:rPr>
          <w:noProof/>
          <w:lang w:val="en-GB" w:eastAsia="en-GB"/>
        </w:rPr>
        <w:drawing>
          <wp:inline distT="0" distB="0" distL="0" distR="0" wp14:anchorId="5D8188AB" wp14:editId="77899777">
            <wp:extent cx="5943600" cy="42659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4265930"/>
                    </a:xfrm>
                    <a:prstGeom prst="rect">
                      <a:avLst/>
                    </a:prstGeom>
                    <a:noFill/>
                    <a:ln>
                      <a:noFill/>
                    </a:ln>
                  </pic:spPr>
                </pic:pic>
              </a:graphicData>
            </a:graphic>
          </wp:inline>
        </w:drawing>
      </w:r>
    </w:p>
    <w:p w:rsidR="00B86AF9" w:rsidRPr="00C91043" w:rsidRDefault="00A03518" w:rsidP="00C91043">
      <w:pPr>
        <w:pStyle w:val="Char"/>
        <w:spacing w:after="0" w:line="264" w:lineRule="auto"/>
        <w:rPr>
          <w:rFonts w:ascii="Cambria" w:hAnsi="Cambria"/>
          <w:sz w:val="18"/>
          <w:szCs w:val="24"/>
          <w:lang w:val="sq-AL"/>
        </w:rPr>
      </w:pPr>
      <w:r w:rsidRPr="00FF4F2F">
        <w:rPr>
          <w:rFonts w:ascii="Cambria" w:hAnsi="Cambria"/>
          <w:sz w:val="18"/>
          <w:szCs w:val="24"/>
          <w:lang w:val="sq-AL"/>
        </w:rPr>
        <w:t>*</w:t>
      </w:r>
      <w:r w:rsidR="00143BFA" w:rsidRPr="00143BFA">
        <w:rPr>
          <w:rFonts w:ascii="Times New Roman" w:hAnsi="Times New Roman"/>
          <w:sz w:val="24"/>
          <w:szCs w:val="24"/>
          <w:lang w:val="sq-AL"/>
        </w:rPr>
        <w:t xml:space="preserve"> </w:t>
      </w:r>
      <w:r w:rsidR="00143BFA" w:rsidRPr="00143BFA">
        <w:rPr>
          <w:rFonts w:ascii="Cambria" w:hAnsi="Cambria"/>
          <w:sz w:val="18"/>
          <w:szCs w:val="24"/>
          <w:lang w:val="sq-AL"/>
        </w:rPr>
        <w:t xml:space="preserve">Diferencat që rezultojnë mes tavanit të alokuar dhe atij të shpërndarë nga Ministria e Mbrojtjes në formatet e kërkesave buxhetore, rezultojnë nga mos-alokimi i fondit në zërin e shpenzimeve kapitale në programin “Mbështetja e Luftimit”. </w:t>
      </w:r>
      <w:r w:rsidR="00143BFA" w:rsidRPr="00143BFA">
        <w:rPr>
          <w:rFonts w:ascii="Cambria" w:hAnsi="Cambria"/>
          <w:sz w:val="18"/>
          <w:szCs w:val="24"/>
          <w:lang w:val="sq-AL"/>
        </w:rPr>
        <w:lastRenderedPageBreak/>
        <w:t>Gjithashtu, në vitin 2021 nga Ministria e Mbrojtjes, në Programin “Emergjencat Civile dhe Rezervat” është buxhetuar me 5 milionë lekë më shumë se tavani i miratuar.</w:t>
      </w:r>
    </w:p>
    <w:p w:rsidR="0076734E" w:rsidRPr="00405A65" w:rsidRDefault="0076734E" w:rsidP="002303E3">
      <w:pPr>
        <w:pStyle w:val="Heading2"/>
        <w:rPr>
          <w:rFonts w:ascii="Cambria" w:eastAsia="Calibri" w:hAnsi="Cambria"/>
          <w:i w:val="0"/>
          <w:sz w:val="24"/>
          <w:szCs w:val="24"/>
          <w:lang w:val="sq-AL"/>
        </w:rPr>
      </w:pPr>
      <w:bookmarkStart w:id="150" w:name="_Toc13653987"/>
      <w:r w:rsidRPr="00405A65">
        <w:rPr>
          <w:rFonts w:ascii="Cambria" w:eastAsia="Calibri" w:hAnsi="Cambria"/>
          <w:i w:val="0"/>
          <w:sz w:val="24"/>
          <w:szCs w:val="24"/>
          <w:lang w:val="sq-AL"/>
        </w:rPr>
        <w:t>MINISTRIA E TURIZMIT DHE MJEDISIT</w:t>
      </w:r>
      <w:bookmarkEnd w:id="150"/>
    </w:p>
    <w:p w:rsidR="001378EB" w:rsidRPr="001378EB" w:rsidRDefault="001378EB" w:rsidP="001378EB">
      <w:pPr>
        <w:spacing w:after="200" w:line="276" w:lineRule="auto"/>
        <w:jc w:val="both"/>
        <w:rPr>
          <w:rFonts w:ascii="Cambria" w:eastAsia="Arial" w:hAnsi="Cambria" w:cs="Arial"/>
          <w:lang w:val="sq-AL" w:eastAsia="en-GB"/>
        </w:rPr>
      </w:pPr>
      <w:r w:rsidRPr="001378EB">
        <w:rPr>
          <w:rFonts w:ascii="Cambria" w:eastAsia="Arial" w:hAnsi="Cambria" w:cs="Arial"/>
          <w:lang w:val="sq-AL" w:eastAsia="en-GB"/>
        </w:rPr>
        <w:t xml:space="preserve">Ministria e Turizmit dhe Mjedisit ka për mision hartimin dhe zbatimin e politikave që synojnë mbrojtjen e mjedisit, përdorimin e qëndrueshëm të burimeve natyrore, mbrojtjen e natyrës dhe të biodiversitetit, zhvillimin dhe menaxhimin e qëndrueshëm të pyjeve e kullotave, monitorimin e cilësisë së ujërave, si dhe hartimin dhe zbatimin e politikave për turizmin. </w:t>
      </w:r>
    </w:p>
    <w:p w:rsidR="001378EB" w:rsidRPr="001378EB" w:rsidRDefault="001378EB" w:rsidP="001378EB">
      <w:pPr>
        <w:spacing w:after="200" w:line="276" w:lineRule="auto"/>
        <w:jc w:val="both"/>
        <w:rPr>
          <w:rFonts w:ascii="Cambria" w:eastAsia="Arial" w:hAnsi="Cambria" w:cs="Arial"/>
          <w:lang w:val="sq-AL" w:eastAsia="en-GB"/>
        </w:rPr>
      </w:pPr>
      <w:r>
        <w:rPr>
          <w:rFonts w:ascii="Cambria" w:eastAsia="Arial" w:hAnsi="Cambria" w:cs="Arial"/>
          <w:lang w:val="sq-AL" w:eastAsia="en-GB"/>
        </w:rPr>
        <w:t>Për periudhën 2020-2022</w:t>
      </w:r>
      <w:r w:rsidRPr="001378EB">
        <w:rPr>
          <w:rFonts w:ascii="Cambria" w:eastAsia="Arial" w:hAnsi="Cambria" w:cs="Arial"/>
          <w:lang w:val="sq-AL" w:eastAsia="en-GB"/>
        </w:rPr>
        <w:t xml:space="preserve">, Ministria e Turizmit dhe Mjedisit do të përmbushë objektivat e synuar përmes fondeve buxhetore të alokuara sipas tabelës së mëposhtme. </w:t>
      </w:r>
    </w:p>
    <w:p w:rsidR="001378EB" w:rsidRPr="001378EB" w:rsidRDefault="001378EB" w:rsidP="001378EB">
      <w:pPr>
        <w:spacing w:after="200" w:line="276" w:lineRule="auto"/>
        <w:jc w:val="both"/>
        <w:rPr>
          <w:rFonts w:ascii="Cambria" w:eastAsia="Arial" w:hAnsi="Cambria" w:cs="Arial"/>
          <w:sz w:val="20"/>
          <w:szCs w:val="20"/>
          <w:lang w:val="sq-AL" w:eastAsia="en-GB"/>
        </w:rPr>
      </w:pPr>
      <w:r w:rsidRPr="001378EB">
        <w:rPr>
          <w:rFonts w:ascii="Cambria" w:eastAsia="Arial" w:hAnsi="Cambria" w:cs="Arial"/>
          <w:b/>
          <w:sz w:val="20"/>
          <w:szCs w:val="20"/>
          <w:lang w:val="sq-AL" w:eastAsia="en-GB"/>
        </w:rPr>
        <w:t>Tabela 17</w:t>
      </w:r>
      <w:r w:rsidRPr="001378EB">
        <w:rPr>
          <w:rFonts w:ascii="Cambria" w:eastAsia="Arial" w:hAnsi="Cambria" w:cs="Arial"/>
          <w:sz w:val="20"/>
          <w:szCs w:val="20"/>
          <w:lang w:val="sq-AL" w:eastAsia="en-GB"/>
        </w:rPr>
        <w:t xml:space="preserve">: </w:t>
      </w:r>
      <w:r w:rsidRPr="001378EB">
        <w:rPr>
          <w:rFonts w:ascii="Cambria" w:eastAsia="Calibri" w:hAnsi="Cambria" w:cs="Arial"/>
          <w:sz w:val="20"/>
          <w:szCs w:val="20"/>
          <w:lang w:val="sq-AL"/>
        </w:rPr>
        <w:t>Shpenzimet për Ministrinë e Tu</w:t>
      </w:r>
      <w:r>
        <w:rPr>
          <w:rFonts w:ascii="Cambria" w:eastAsia="Calibri" w:hAnsi="Cambria" w:cs="Arial"/>
          <w:sz w:val="20"/>
          <w:szCs w:val="20"/>
          <w:lang w:val="sq-AL"/>
        </w:rPr>
        <w:t>rizmit dhe Mjedisit për PBA 2020-2022</w:t>
      </w:r>
    </w:p>
    <w:tbl>
      <w:tblPr>
        <w:tblStyle w:val="GridTable5Dark-Accent13"/>
        <w:tblW w:w="9603" w:type="dxa"/>
        <w:tblLook w:val="04A0" w:firstRow="1" w:lastRow="0" w:firstColumn="1" w:lastColumn="0" w:noHBand="0" w:noVBand="1"/>
      </w:tblPr>
      <w:tblGrid>
        <w:gridCol w:w="3823"/>
        <w:gridCol w:w="1595"/>
        <w:gridCol w:w="1394"/>
        <w:gridCol w:w="1394"/>
        <w:gridCol w:w="1397"/>
      </w:tblGrid>
      <w:tr w:rsidR="001378EB" w:rsidRPr="001378EB" w:rsidTr="003B7710">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603" w:type="dxa"/>
            <w:gridSpan w:val="5"/>
            <w:hideMark/>
          </w:tcPr>
          <w:p w:rsidR="001378EB" w:rsidRPr="001378EB" w:rsidRDefault="001378EB" w:rsidP="001378EB">
            <w:pPr>
              <w:jc w:val="center"/>
              <w:rPr>
                <w:rFonts w:ascii="Arial" w:hAnsi="Arial" w:cs="Arial"/>
                <w:sz w:val="18"/>
                <w:szCs w:val="18"/>
                <w:lang w:val="sq-AL"/>
              </w:rPr>
            </w:pPr>
            <w:r w:rsidRPr="001378EB">
              <w:rPr>
                <w:rFonts w:ascii="Arial" w:hAnsi="Arial" w:cs="Arial"/>
                <w:sz w:val="18"/>
                <w:szCs w:val="18"/>
                <w:lang w:val="sq-AL"/>
              </w:rPr>
              <w:t xml:space="preserve">Shpenzimet për Ministrinë e Turizmit dhe Mjedisit </w:t>
            </w:r>
            <w:r>
              <w:rPr>
                <w:rFonts w:ascii="Arial" w:hAnsi="Arial" w:cs="Arial"/>
                <w:sz w:val="18"/>
                <w:szCs w:val="18"/>
                <w:lang w:val="sq-AL"/>
              </w:rPr>
              <w:t>për PBA 2020-2022</w:t>
            </w:r>
          </w:p>
        </w:tc>
      </w:tr>
      <w:tr w:rsidR="001378EB" w:rsidRPr="001378EB" w:rsidTr="003B771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rsidR="001378EB" w:rsidRPr="001378EB" w:rsidRDefault="001378EB" w:rsidP="001378EB">
            <w:pPr>
              <w:jc w:val="center"/>
              <w:rPr>
                <w:rFonts w:ascii="Arial" w:hAnsi="Arial" w:cs="Arial"/>
                <w:color w:val="000080"/>
                <w:sz w:val="18"/>
                <w:szCs w:val="18"/>
                <w:lang w:val="sq-AL"/>
              </w:rPr>
            </w:pPr>
          </w:p>
        </w:tc>
        <w:tc>
          <w:tcPr>
            <w:tcW w:w="5780" w:type="dxa"/>
            <w:gridSpan w:val="4"/>
            <w:noWrap/>
            <w:hideMark/>
          </w:tcPr>
          <w:p w:rsidR="001378EB" w:rsidRPr="00AF7F2B" w:rsidRDefault="001378EB" w:rsidP="001378E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2E74B5" w:themeColor="accent1" w:themeShade="BF"/>
                <w:sz w:val="18"/>
                <w:szCs w:val="18"/>
                <w:lang w:val="sq-AL"/>
              </w:rPr>
            </w:pPr>
            <w:r w:rsidRPr="00AF7F2B">
              <w:rPr>
                <w:rFonts w:ascii="Arial" w:hAnsi="Arial" w:cs="Arial"/>
                <w:b/>
                <w:bCs/>
                <w:color w:val="2E74B5" w:themeColor="accent1" w:themeShade="BF"/>
                <w:sz w:val="18"/>
                <w:szCs w:val="18"/>
                <w:lang w:val="sq-AL"/>
              </w:rPr>
              <w:t xml:space="preserve">Shpenzimet totale </w:t>
            </w:r>
          </w:p>
        </w:tc>
      </w:tr>
      <w:tr w:rsidR="001378EB" w:rsidRPr="001378EB" w:rsidTr="003B7710">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rsidR="001378EB" w:rsidRPr="001378EB" w:rsidRDefault="001378EB" w:rsidP="001378EB">
            <w:pPr>
              <w:rPr>
                <w:rFonts w:ascii="Arial" w:hAnsi="Arial" w:cs="Arial"/>
                <w:color w:val="000080"/>
                <w:sz w:val="18"/>
                <w:szCs w:val="18"/>
                <w:lang w:val="sq-AL"/>
              </w:rPr>
            </w:pPr>
          </w:p>
        </w:tc>
        <w:tc>
          <w:tcPr>
            <w:tcW w:w="1595" w:type="dxa"/>
            <w:noWrap/>
            <w:hideMark/>
          </w:tcPr>
          <w:p w:rsidR="001378EB" w:rsidRPr="00AF7F2B" w:rsidRDefault="001378EB" w:rsidP="001378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E74B5" w:themeColor="accent1" w:themeShade="BF"/>
                <w:sz w:val="18"/>
                <w:szCs w:val="18"/>
                <w:lang w:val="sq-AL"/>
              </w:rPr>
            </w:pPr>
            <w:r w:rsidRPr="00AF7F2B">
              <w:rPr>
                <w:rFonts w:ascii="Arial" w:hAnsi="Arial" w:cs="Arial"/>
                <w:b/>
                <w:bCs/>
                <w:color w:val="2E74B5" w:themeColor="accent1" w:themeShade="BF"/>
                <w:sz w:val="18"/>
                <w:szCs w:val="18"/>
                <w:lang w:val="sq-AL"/>
              </w:rPr>
              <w:t>Buxheti 2019</w:t>
            </w:r>
          </w:p>
        </w:tc>
        <w:tc>
          <w:tcPr>
            <w:tcW w:w="1394" w:type="dxa"/>
            <w:noWrap/>
            <w:hideMark/>
          </w:tcPr>
          <w:p w:rsidR="001378EB" w:rsidRPr="00AF7F2B" w:rsidRDefault="001378EB" w:rsidP="001378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E74B5" w:themeColor="accent1" w:themeShade="BF"/>
                <w:sz w:val="18"/>
                <w:szCs w:val="18"/>
                <w:lang w:val="sq-AL"/>
              </w:rPr>
            </w:pPr>
            <w:r w:rsidRPr="00AF7F2B">
              <w:rPr>
                <w:rFonts w:ascii="Arial" w:hAnsi="Arial" w:cs="Arial"/>
                <w:b/>
                <w:bCs/>
                <w:color w:val="2E74B5" w:themeColor="accent1" w:themeShade="BF"/>
                <w:sz w:val="18"/>
                <w:szCs w:val="18"/>
                <w:lang w:val="sq-AL"/>
              </w:rPr>
              <w:t>Buxheti 2020</w:t>
            </w:r>
          </w:p>
        </w:tc>
        <w:tc>
          <w:tcPr>
            <w:tcW w:w="1394" w:type="dxa"/>
            <w:noWrap/>
            <w:hideMark/>
          </w:tcPr>
          <w:p w:rsidR="001378EB" w:rsidRPr="00AF7F2B" w:rsidRDefault="001378EB" w:rsidP="001378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E74B5" w:themeColor="accent1" w:themeShade="BF"/>
                <w:sz w:val="18"/>
                <w:szCs w:val="18"/>
                <w:lang w:val="sq-AL"/>
              </w:rPr>
            </w:pPr>
            <w:r w:rsidRPr="00AF7F2B">
              <w:rPr>
                <w:rFonts w:ascii="Arial" w:hAnsi="Arial" w:cs="Arial"/>
                <w:b/>
                <w:bCs/>
                <w:color w:val="2E74B5" w:themeColor="accent1" w:themeShade="BF"/>
                <w:sz w:val="18"/>
                <w:szCs w:val="18"/>
                <w:lang w:val="sq-AL"/>
              </w:rPr>
              <w:t>Buxheti 2021</w:t>
            </w:r>
          </w:p>
        </w:tc>
        <w:tc>
          <w:tcPr>
            <w:tcW w:w="1397" w:type="dxa"/>
            <w:noWrap/>
            <w:hideMark/>
          </w:tcPr>
          <w:p w:rsidR="001378EB" w:rsidRPr="00AF7F2B" w:rsidRDefault="001378EB" w:rsidP="001378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E74B5" w:themeColor="accent1" w:themeShade="BF"/>
                <w:sz w:val="18"/>
                <w:szCs w:val="18"/>
                <w:lang w:val="sq-AL"/>
              </w:rPr>
            </w:pPr>
            <w:r w:rsidRPr="00AF7F2B">
              <w:rPr>
                <w:rFonts w:ascii="Arial" w:hAnsi="Arial" w:cs="Arial"/>
                <w:b/>
                <w:bCs/>
                <w:color w:val="2E74B5" w:themeColor="accent1" w:themeShade="BF"/>
                <w:sz w:val="18"/>
                <w:szCs w:val="18"/>
                <w:lang w:val="sq-AL"/>
              </w:rPr>
              <w:t>Buxheti 2022</w:t>
            </w:r>
          </w:p>
        </w:tc>
      </w:tr>
      <w:tr w:rsidR="001378EB" w:rsidRPr="001378EB" w:rsidTr="003B771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1378EB" w:rsidRPr="001378EB" w:rsidRDefault="001378EB" w:rsidP="001378EB">
            <w:pPr>
              <w:rPr>
                <w:rFonts w:ascii="Arial" w:hAnsi="Arial" w:cs="Arial"/>
                <w:sz w:val="18"/>
                <w:szCs w:val="18"/>
                <w:lang w:val="sq-AL"/>
              </w:rPr>
            </w:pPr>
            <w:r w:rsidRPr="001378EB">
              <w:rPr>
                <w:rFonts w:ascii="Arial" w:hAnsi="Arial" w:cs="Arial"/>
                <w:sz w:val="18"/>
                <w:szCs w:val="18"/>
                <w:lang w:val="sq-AL"/>
              </w:rPr>
              <w:t xml:space="preserve">në </w:t>
            </w:r>
            <w:r w:rsidRPr="001378EB">
              <w:rPr>
                <w:rFonts w:ascii="Arial" w:hAnsi="Arial" w:cs="Arial"/>
                <w:sz w:val="18"/>
                <w:szCs w:val="18"/>
                <w:lang w:val="it-IT"/>
              </w:rPr>
              <w:t>milion lekë</w:t>
            </w:r>
          </w:p>
        </w:tc>
        <w:tc>
          <w:tcPr>
            <w:tcW w:w="1595" w:type="dxa"/>
            <w:noWrap/>
            <w:hideMark/>
          </w:tcPr>
          <w:p w:rsidR="001378EB" w:rsidRPr="001378EB" w:rsidRDefault="001378EB" w:rsidP="001378EB">
            <w:pPr>
              <w:jc w:val="center"/>
              <w:cnfStyle w:val="000000100000" w:firstRow="0" w:lastRow="0" w:firstColumn="0" w:lastColumn="0" w:oddVBand="0" w:evenVBand="0" w:oddHBand="1" w:evenHBand="0" w:firstRowFirstColumn="0" w:firstRowLastColumn="0" w:lastRowFirstColumn="0" w:lastRowLastColumn="0"/>
              <w:rPr>
                <w:sz w:val="20"/>
              </w:rPr>
            </w:pPr>
            <w:r w:rsidRPr="001378EB">
              <w:rPr>
                <w:sz w:val="20"/>
              </w:rPr>
              <w:t>2,627</w:t>
            </w:r>
          </w:p>
        </w:tc>
        <w:tc>
          <w:tcPr>
            <w:tcW w:w="1394" w:type="dxa"/>
            <w:noWrap/>
            <w:hideMark/>
          </w:tcPr>
          <w:p w:rsidR="001378EB" w:rsidRPr="001378EB" w:rsidRDefault="001378EB" w:rsidP="001378EB">
            <w:pPr>
              <w:jc w:val="center"/>
              <w:cnfStyle w:val="000000100000" w:firstRow="0" w:lastRow="0" w:firstColumn="0" w:lastColumn="0" w:oddVBand="0" w:evenVBand="0" w:oddHBand="1" w:evenHBand="0" w:firstRowFirstColumn="0" w:firstRowLastColumn="0" w:lastRowFirstColumn="0" w:lastRowLastColumn="0"/>
              <w:rPr>
                <w:sz w:val="20"/>
              </w:rPr>
            </w:pPr>
            <w:r w:rsidRPr="001378EB">
              <w:rPr>
                <w:sz w:val="20"/>
              </w:rPr>
              <w:t>2,181</w:t>
            </w:r>
          </w:p>
        </w:tc>
        <w:tc>
          <w:tcPr>
            <w:tcW w:w="1394" w:type="dxa"/>
            <w:noWrap/>
            <w:hideMark/>
          </w:tcPr>
          <w:p w:rsidR="001378EB" w:rsidRPr="001378EB" w:rsidRDefault="001378EB" w:rsidP="001378EB">
            <w:pPr>
              <w:jc w:val="center"/>
              <w:cnfStyle w:val="000000100000" w:firstRow="0" w:lastRow="0" w:firstColumn="0" w:lastColumn="0" w:oddVBand="0" w:evenVBand="0" w:oddHBand="1" w:evenHBand="0" w:firstRowFirstColumn="0" w:firstRowLastColumn="0" w:lastRowFirstColumn="0" w:lastRowLastColumn="0"/>
              <w:rPr>
                <w:sz w:val="20"/>
              </w:rPr>
            </w:pPr>
            <w:r w:rsidRPr="001378EB">
              <w:rPr>
                <w:sz w:val="20"/>
              </w:rPr>
              <w:t>2,405</w:t>
            </w:r>
          </w:p>
        </w:tc>
        <w:tc>
          <w:tcPr>
            <w:tcW w:w="1397" w:type="dxa"/>
            <w:noWrap/>
            <w:hideMark/>
          </w:tcPr>
          <w:p w:rsidR="001378EB" w:rsidRPr="001378EB" w:rsidRDefault="001378EB" w:rsidP="001378EB">
            <w:pPr>
              <w:jc w:val="center"/>
              <w:cnfStyle w:val="000000100000" w:firstRow="0" w:lastRow="0" w:firstColumn="0" w:lastColumn="0" w:oddVBand="0" w:evenVBand="0" w:oddHBand="1" w:evenHBand="0" w:firstRowFirstColumn="0" w:firstRowLastColumn="0" w:lastRowFirstColumn="0" w:lastRowLastColumn="0"/>
              <w:rPr>
                <w:sz w:val="20"/>
              </w:rPr>
            </w:pPr>
            <w:r w:rsidRPr="001378EB">
              <w:rPr>
                <w:sz w:val="20"/>
              </w:rPr>
              <w:t>2,409</w:t>
            </w:r>
          </w:p>
        </w:tc>
      </w:tr>
      <w:tr w:rsidR="001378EB" w:rsidRPr="001378EB" w:rsidTr="003B7710">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1378EB" w:rsidRPr="001378EB" w:rsidRDefault="001378EB" w:rsidP="001378EB">
            <w:pPr>
              <w:rPr>
                <w:rFonts w:ascii="Arial" w:hAnsi="Arial" w:cs="Arial"/>
                <w:sz w:val="18"/>
                <w:szCs w:val="18"/>
                <w:lang w:val="sq-AL"/>
              </w:rPr>
            </w:pPr>
            <w:r w:rsidRPr="001378EB">
              <w:rPr>
                <w:rFonts w:ascii="Arial" w:hAnsi="Arial" w:cs="Arial"/>
                <w:sz w:val="18"/>
                <w:szCs w:val="18"/>
                <w:lang w:val="sq-AL"/>
              </w:rPr>
              <w:t>% ndaj PBB</w:t>
            </w:r>
          </w:p>
        </w:tc>
        <w:tc>
          <w:tcPr>
            <w:tcW w:w="1595" w:type="dxa"/>
            <w:noWrap/>
            <w:hideMark/>
          </w:tcPr>
          <w:p w:rsidR="001378EB" w:rsidRPr="001378EB" w:rsidRDefault="001378EB" w:rsidP="001378EB">
            <w:pPr>
              <w:jc w:val="center"/>
              <w:cnfStyle w:val="000000000000" w:firstRow="0" w:lastRow="0" w:firstColumn="0" w:lastColumn="0" w:oddVBand="0" w:evenVBand="0" w:oddHBand="0" w:evenHBand="0" w:firstRowFirstColumn="0" w:firstRowLastColumn="0" w:lastRowFirstColumn="0" w:lastRowLastColumn="0"/>
              <w:rPr>
                <w:sz w:val="20"/>
              </w:rPr>
            </w:pPr>
            <w:r w:rsidRPr="001378EB">
              <w:rPr>
                <w:sz w:val="20"/>
              </w:rPr>
              <w:t>0.15%</w:t>
            </w:r>
          </w:p>
        </w:tc>
        <w:tc>
          <w:tcPr>
            <w:tcW w:w="1394" w:type="dxa"/>
            <w:noWrap/>
            <w:hideMark/>
          </w:tcPr>
          <w:p w:rsidR="001378EB" w:rsidRPr="001378EB" w:rsidRDefault="001378EB" w:rsidP="001378EB">
            <w:pPr>
              <w:jc w:val="center"/>
              <w:cnfStyle w:val="000000000000" w:firstRow="0" w:lastRow="0" w:firstColumn="0" w:lastColumn="0" w:oddVBand="0" w:evenVBand="0" w:oddHBand="0" w:evenHBand="0" w:firstRowFirstColumn="0" w:firstRowLastColumn="0" w:lastRowFirstColumn="0" w:lastRowLastColumn="0"/>
              <w:rPr>
                <w:sz w:val="20"/>
              </w:rPr>
            </w:pPr>
            <w:r w:rsidRPr="001378EB">
              <w:rPr>
                <w:sz w:val="20"/>
              </w:rPr>
              <w:t>0.12%</w:t>
            </w:r>
          </w:p>
        </w:tc>
        <w:tc>
          <w:tcPr>
            <w:tcW w:w="1394" w:type="dxa"/>
            <w:noWrap/>
            <w:hideMark/>
          </w:tcPr>
          <w:p w:rsidR="001378EB" w:rsidRPr="001378EB" w:rsidRDefault="001378EB" w:rsidP="001378EB">
            <w:pPr>
              <w:jc w:val="center"/>
              <w:cnfStyle w:val="000000000000" w:firstRow="0" w:lastRow="0" w:firstColumn="0" w:lastColumn="0" w:oddVBand="0" w:evenVBand="0" w:oddHBand="0" w:evenHBand="0" w:firstRowFirstColumn="0" w:firstRowLastColumn="0" w:lastRowFirstColumn="0" w:lastRowLastColumn="0"/>
              <w:rPr>
                <w:sz w:val="20"/>
              </w:rPr>
            </w:pPr>
            <w:r w:rsidRPr="001378EB">
              <w:rPr>
                <w:sz w:val="20"/>
              </w:rPr>
              <w:t>0.12%</w:t>
            </w:r>
          </w:p>
        </w:tc>
        <w:tc>
          <w:tcPr>
            <w:tcW w:w="1397" w:type="dxa"/>
            <w:noWrap/>
            <w:hideMark/>
          </w:tcPr>
          <w:p w:rsidR="001378EB" w:rsidRPr="001378EB" w:rsidRDefault="001378EB" w:rsidP="001378EB">
            <w:pPr>
              <w:jc w:val="center"/>
              <w:cnfStyle w:val="000000000000" w:firstRow="0" w:lastRow="0" w:firstColumn="0" w:lastColumn="0" w:oddVBand="0" w:evenVBand="0" w:oddHBand="0" w:evenHBand="0" w:firstRowFirstColumn="0" w:firstRowLastColumn="0" w:lastRowFirstColumn="0" w:lastRowLastColumn="0"/>
              <w:rPr>
                <w:sz w:val="20"/>
              </w:rPr>
            </w:pPr>
            <w:r w:rsidRPr="001378EB">
              <w:rPr>
                <w:sz w:val="20"/>
              </w:rPr>
              <w:t>0.11%</w:t>
            </w:r>
          </w:p>
        </w:tc>
      </w:tr>
      <w:tr w:rsidR="001378EB" w:rsidRPr="001378EB" w:rsidTr="003B771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tcPr>
          <w:p w:rsidR="001378EB" w:rsidRPr="001378EB" w:rsidRDefault="001378EB" w:rsidP="001378EB">
            <w:pPr>
              <w:rPr>
                <w:rFonts w:ascii="Arial" w:hAnsi="Arial" w:cs="Arial"/>
                <w:sz w:val="18"/>
                <w:szCs w:val="18"/>
                <w:lang w:val="sq-AL"/>
              </w:rPr>
            </w:pPr>
            <w:r w:rsidRPr="001378EB">
              <w:rPr>
                <w:rFonts w:ascii="Arial" w:hAnsi="Arial" w:cs="Arial"/>
                <w:sz w:val="18"/>
                <w:szCs w:val="18"/>
                <w:lang w:val="sq-AL"/>
              </w:rPr>
              <w:t>% ndaj totalit të Shpenzimeve Buxhetore</w:t>
            </w:r>
          </w:p>
        </w:tc>
        <w:tc>
          <w:tcPr>
            <w:tcW w:w="1595" w:type="dxa"/>
            <w:noWrap/>
          </w:tcPr>
          <w:p w:rsidR="001378EB" w:rsidRPr="001378EB" w:rsidRDefault="001378EB" w:rsidP="001378EB">
            <w:pPr>
              <w:jc w:val="center"/>
              <w:cnfStyle w:val="000000100000" w:firstRow="0" w:lastRow="0" w:firstColumn="0" w:lastColumn="0" w:oddVBand="0" w:evenVBand="0" w:oddHBand="1" w:evenHBand="0" w:firstRowFirstColumn="0" w:firstRowLastColumn="0" w:lastRowFirstColumn="0" w:lastRowLastColumn="0"/>
              <w:rPr>
                <w:sz w:val="20"/>
              </w:rPr>
            </w:pPr>
            <w:r w:rsidRPr="001378EB">
              <w:rPr>
                <w:sz w:val="20"/>
              </w:rPr>
              <w:t>0.51%</w:t>
            </w:r>
          </w:p>
        </w:tc>
        <w:tc>
          <w:tcPr>
            <w:tcW w:w="1394" w:type="dxa"/>
            <w:noWrap/>
          </w:tcPr>
          <w:p w:rsidR="001378EB" w:rsidRPr="001378EB" w:rsidRDefault="001378EB" w:rsidP="001378EB">
            <w:pPr>
              <w:jc w:val="center"/>
              <w:cnfStyle w:val="000000100000" w:firstRow="0" w:lastRow="0" w:firstColumn="0" w:lastColumn="0" w:oddVBand="0" w:evenVBand="0" w:oddHBand="1" w:evenHBand="0" w:firstRowFirstColumn="0" w:firstRowLastColumn="0" w:lastRowFirstColumn="0" w:lastRowLastColumn="0"/>
              <w:rPr>
                <w:sz w:val="20"/>
              </w:rPr>
            </w:pPr>
            <w:r w:rsidRPr="001378EB">
              <w:rPr>
                <w:sz w:val="20"/>
              </w:rPr>
              <w:t>0.40%</w:t>
            </w:r>
          </w:p>
        </w:tc>
        <w:tc>
          <w:tcPr>
            <w:tcW w:w="1394" w:type="dxa"/>
            <w:noWrap/>
          </w:tcPr>
          <w:p w:rsidR="001378EB" w:rsidRPr="001378EB" w:rsidRDefault="001378EB" w:rsidP="001378EB">
            <w:pPr>
              <w:jc w:val="center"/>
              <w:cnfStyle w:val="000000100000" w:firstRow="0" w:lastRow="0" w:firstColumn="0" w:lastColumn="0" w:oddVBand="0" w:evenVBand="0" w:oddHBand="1" w:evenHBand="0" w:firstRowFirstColumn="0" w:firstRowLastColumn="0" w:lastRowFirstColumn="0" w:lastRowLastColumn="0"/>
              <w:rPr>
                <w:sz w:val="20"/>
              </w:rPr>
            </w:pPr>
            <w:r w:rsidRPr="001378EB">
              <w:rPr>
                <w:sz w:val="20"/>
              </w:rPr>
              <w:t>0.42%</w:t>
            </w:r>
          </w:p>
        </w:tc>
        <w:tc>
          <w:tcPr>
            <w:tcW w:w="1397" w:type="dxa"/>
            <w:noWrap/>
          </w:tcPr>
          <w:p w:rsidR="001378EB" w:rsidRPr="001378EB" w:rsidRDefault="001378EB" w:rsidP="001378EB">
            <w:pPr>
              <w:jc w:val="center"/>
              <w:cnfStyle w:val="000000100000" w:firstRow="0" w:lastRow="0" w:firstColumn="0" w:lastColumn="0" w:oddVBand="0" w:evenVBand="0" w:oddHBand="1" w:evenHBand="0" w:firstRowFirstColumn="0" w:firstRowLastColumn="0" w:lastRowFirstColumn="0" w:lastRowLastColumn="0"/>
              <w:rPr>
                <w:sz w:val="20"/>
              </w:rPr>
            </w:pPr>
            <w:r w:rsidRPr="001378EB">
              <w:rPr>
                <w:sz w:val="20"/>
              </w:rPr>
              <w:t>0.39%</w:t>
            </w:r>
          </w:p>
        </w:tc>
      </w:tr>
    </w:tbl>
    <w:p w:rsidR="001378EB" w:rsidRPr="001378EB" w:rsidRDefault="001378EB" w:rsidP="001378EB">
      <w:pPr>
        <w:spacing w:before="120" w:after="120" w:line="276" w:lineRule="auto"/>
        <w:jc w:val="both"/>
        <w:rPr>
          <w:rFonts w:ascii="Cambria" w:eastAsia="Arial" w:hAnsi="Cambria" w:cs="Arial"/>
          <w:lang w:val="sq-AL" w:eastAsia="en-GB"/>
        </w:rPr>
      </w:pPr>
    </w:p>
    <w:p w:rsidR="001378EB" w:rsidRPr="001378EB" w:rsidRDefault="001378EB" w:rsidP="001378EB">
      <w:pPr>
        <w:pStyle w:val="Heading3"/>
        <w:rPr>
          <w:rFonts w:ascii="Cambria" w:hAnsi="Cambria" w:cs="Times New Roman"/>
          <w:b/>
          <w:color w:val="000000" w:themeColor="text1"/>
          <w:lang w:val="sq-AL"/>
        </w:rPr>
      </w:pPr>
      <w:bookmarkStart w:id="151" w:name="_Toc527191571"/>
      <w:bookmarkStart w:id="152" w:name="_Toc527191603"/>
      <w:bookmarkStart w:id="153" w:name="_Toc527191729"/>
      <w:bookmarkEnd w:id="151"/>
      <w:bookmarkEnd w:id="152"/>
      <w:bookmarkEnd w:id="153"/>
      <w:r w:rsidRPr="00FF4F2F">
        <w:rPr>
          <w:rFonts w:ascii="Cambria" w:hAnsi="Cambria" w:cs="Times New Roman"/>
          <w:b/>
          <w:color w:val="000000" w:themeColor="text1"/>
          <w:lang w:val="sq-AL"/>
        </w:rPr>
        <w:t>Prioritetet e Ministrisë së Turizmit</w:t>
      </w:r>
      <w:r>
        <w:rPr>
          <w:rFonts w:ascii="Cambria" w:hAnsi="Cambria" w:cs="Times New Roman"/>
          <w:b/>
          <w:color w:val="000000" w:themeColor="text1"/>
          <w:lang w:val="sq-AL"/>
        </w:rPr>
        <w:t xml:space="preserve"> dhe Mjedisit për periudhën 2020-2022</w:t>
      </w:r>
    </w:p>
    <w:p w:rsidR="001378EB" w:rsidRPr="001378EB" w:rsidRDefault="001378EB" w:rsidP="001378EB">
      <w:pPr>
        <w:spacing w:before="120" w:after="120" w:line="276" w:lineRule="auto"/>
        <w:jc w:val="both"/>
        <w:rPr>
          <w:rFonts w:ascii="Cambria" w:eastAsia="Arial" w:hAnsi="Cambria" w:cs="Arial"/>
          <w:lang w:val="sq-AL" w:eastAsia="en-GB"/>
        </w:rPr>
      </w:pPr>
      <w:r w:rsidRPr="001378EB">
        <w:rPr>
          <w:rFonts w:ascii="Cambria" w:eastAsia="Arial" w:hAnsi="Cambria" w:cs="Arial"/>
          <w:lang w:val="sq-AL" w:eastAsia="en-GB"/>
        </w:rPr>
        <w:t xml:space="preserve">Në fushën e Turizmit, Ministria e Turizmit dhe Mjedisit ka për qëllim kthimin e Shqipërisë në një destinacion tërheqës turistik, cilësor dhe të qëndrueshëm, duke shfrytëzuar potenciale dhe burime lokale, duke u fokusuar në atë çka është unike në vendin tonë. Ndërsa për fushën e Mjedisit, synohet sigurimi dhe përmirësimi i cilësisë së mjedisit, në dobi të brezave të sotëm dhe të ardhshëm, si dhe sigurimin e kushteve për zhvillimin e qëndrueshëm të vendit. </w:t>
      </w:r>
    </w:p>
    <w:p w:rsidR="001378EB" w:rsidRPr="001378EB" w:rsidRDefault="001378EB" w:rsidP="001378EB">
      <w:pPr>
        <w:spacing w:before="120" w:after="120" w:line="276" w:lineRule="auto"/>
        <w:jc w:val="both"/>
        <w:rPr>
          <w:rFonts w:ascii="Cambria" w:eastAsia="Arial" w:hAnsi="Cambria" w:cs="Arial"/>
          <w:lang w:val="sq-AL" w:eastAsia="en-GB"/>
        </w:rPr>
      </w:pPr>
      <w:r w:rsidRPr="001378EB">
        <w:rPr>
          <w:rFonts w:ascii="Cambria" w:eastAsia="Arial" w:hAnsi="Cambria" w:cs="Arial"/>
          <w:lang w:val="sq-AL" w:eastAsia="en-GB"/>
        </w:rPr>
        <w:t xml:space="preserve">Prioritetet </w:t>
      </w:r>
      <w:r w:rsidRPr="001378EB">
        <w:rPr>
          <w:rFonts w:ascii="Cambria" w:hAnsi="Cambria" w:cs="Times New Roman"/>
          <w:color w:val="000000" w:themeColor="text1"/>
          <w:lang w:val="sq-AL"/>
        </w:rPr>
        <w:t>për periudhën 2020-2022:</w:t>
      </w:r>
    </w:p>
    <w:p w:rsidR="001378EB" w:rsidRPr="001378EB" w:rsidRDefault="001378EB" w:rsidP="001378EB">
      <w:pPr>
        <w:numPr>
          <w:ilvl w:val="0"/>
          <w:numId w:val="24"/>
        </w:numPr>
        <w:spacing w:after="0" w:line="240" w:lineRule="auto"/>
        <w:contextualSpacing/>
        <w:jc w:val="both"/>
        <w:rPr>
          <w:rFonts w:ascii="Cambria" w:eastAsia="SimSun" w:hAnsi="Cambria" w:cs="Arial"/>
          <w:lang w:val="sq-AL"/>
        </w:rPr>
      </w:pPr>
      <w:r w:rsidRPr="001378EB">
        <w:rPr>
          <w:rFonts w:ascii="Cambria" w:eastAsia="SimSun" w:hAnsi="Cambria" w:cs="Arial"/>
          <w:lang w:val="sq-AL"/>
        </w:rPr>
        <w:t>Diversifikimi i produktit turistik për të arritur një turizëm gjithëvjetor;</w:t>
      </w:r>
    </w:p>
    <w:p w:rsidR="001378EB" w:rsidRPr="001378EB" w:rsidRDefault="001378EB" w:rsidP="001378EB">
      <w:pPr>
        <w:numPr>
          <w:ilvl w:val="0"/>
          <w:numId w:val="24"/>
        </w:numPr>
        <w:spacing w:after="0" w:line="240" w:lineRule="auto"/>
        <w:contextualSpacing/>
        <w:jc w:val="both"/>
        <w:rPr>
          <w:rFonts w:ascii="Cambria" w:eastAsia="SimSun" w:hAnsi="Cambria" w:cs="Arial"/>
          <w:lang w:val="sq-AL"/>
        </w:rPr>
      </w:pPr>
      <w:r w:rsidRPr="001378EB">
        <w:rPr>
          <w:rFonts w:ascii="Cambria" w:eastAsia="SimSun" w:hAnsi="Cambria" w:cs="Arial"/>
          <w:lang w:val="sq-AL"/>
        </w:rPr>
        <w:t>Arritja e përmirësimeve të matshme të cilësisë së ajrit në vitin 2022 sipas përcaktimeve në strategjinë kombëtare të ajrit;</w:t>
      </w:r>
    </w:p>
    <w:p w:rsidR="001378EB" w:rsidRPr="001378EB" w:rsidRDefault="001378EB" w:rsidP="001378EB">
      <w:pPr>
        <w:numPr>
          <w:ilvl w:val="0"/>
          <w:numId w:val="24"/>
        </w:numPr>
        <w:spacing w:after="0" w:line="240" w:lineRule="auto"/>
        <w:contextualSpacing/>
        <w:jc w:val="both"/>
        <w:rPr>
          <w:rFonts w:ascii="Cambria" w:eastAsia="SimSun" w:hAnsi="Cambria" w:cs="Arial"/>
          <w:lang w:val="sq-AL"/>
        </w:rPr>
      </w:pPr>
      <w:r w:rsidRPr="001378EB">
        <w:rPr>
          <w:rFonts w:ascii="Cambria" w:eastAsia="SimSun" w:hAnsi="Cambria" w:cs="Arial"/>
          <w:lang w:val="sq-AL"/>
        </w:rPr>
        <w:t>Përmirësimi i performancës së menaxhimit të integruar të mbetjeve;</w:t>
      </w:r>
    </w:p>
    <w:p w:rsidR="001378EB" w:rsidRPr="001378EB" w:rsidRDefault="001378EB" w:rsidP="001378EB">
      <w:pPr>
        <w:numPr>
          <w:ilvl w:val="0"/>
          <w:numId w:val="24"/>
        </w:numPr>
        <w:spacing w:after="0" w:line="240" w:lineRule="auto"/>
        <w:contextualSpacing/>
        <w:jc w:val="both"/>
        <w:rPr>
          <w:rFonts w:ascii="Cambria" w:eastAsia="SimSun" w:hAnsi="Cambria" w:cs="Arial"/>
          <w:lang w:val="sq-AL"/>
        </w:rPr>
      </w:pPr>
      <w:r w:rsidRPr="001378EB">
        <w:rPr>
          <w:rFonts w:ascii="Cambria" w:eastAsia="SimSun" w:hAnsi="Cambria" w:cs="Arial"/>
          <w:lang w:val="sq-AL"/>
        </w:rPr>
        <w:t>Reduktimi i ndotjes nga shkarkimet industriale për lejet e tipit A dhe B dhe i rreziqeve nga aksidentet industriale sipas kërkesave të legjislacionit në fuqi;</w:t>
      </w:r>
    </w:p>
    <w:p w:rsidR="001378EB" w:rsidRPr="001378EB" w:rsidRDefault="001378EB" w:rsidP="001378EB">
      <w:pPr>
        <w:numPr>
          <w:ilvl w:val="0"/>
          <w:numId w:val="24"/>
        </w:numPr>
        <w:spacing w:after="0" w:line="240" w:lineRule="auto"/>
        <w:contextualSpacing/>
        <w:jc w:val="both"/>
        <w:rPr>
          <w:rFonts w:ascii="Cambria" w:eastAsia="SimSun" w:hAnsi="Cambria" w:cs="Arial"/>
          <w:lang w:val="sq-AL"/>
        </w:rPr>
      </w:pPr>
      <w:r w:rsidRPr="001378EB">
        <w:rPr>
          <w:rFonts w:ascii="Cambria" w:eastAsia="SimSun" w:hAnsi="Cambria" w:cs="Arial"/>
          <w:lang w:val="sq-AL"/>
        </w:rPr>
        <w:t>Forcimi i mbrojtjes së natyrës dhe biodiversitetit dhe forcimi i menaxhimit dhe ruajtjes së burimeve ujore;</w:t>
      </w:r>
    </w:p>
    <w:p w:rsidR="001378EB" w:rsidRPr="001378EB" w:rsidRDefault="001378EB" w:rsidP="001378EB">
      <w:pPr>
        <w:numPr>
          <w:ilvl w:val="0"/>
          <w:numId w:val="24"/>
        </w:numPr>
        <w:spacing w:after="0" w:line="240" w:lineRule="auto"/>
        <w:contextualSpacing/>
        <w:jc w:val="both"/>
        <w:rPr>
          <w:rFonts w:ascii="Cambria" w:eastAsia="SimSun" w:hAnsi="Cambria" w:cs="Arial"/>
          <w:lang w:val="sq-AL"/>
        </w:rPr>
      </w:pPr>
      <w:r w:rsidRPr="001378EB">
        <w:rPr>
          <w:rFonts w:ascii="Cambria" w:eastAsia="SimSun" w:hAnsi="Cambria" w:cs="Arial"/>
          <w:lang w:val="sq-AL"/>
        </w:rPr>
        <w:t xml:space="preserve">Përmirësimi i menaxhimit efektiv dhe sigurimi i vazhdueshëm i  mbrojtjes dhe administrimin e zonave të mbrojtura.  </w:t>
      </w:r>
    </w:p>
    <w:p w:rsidR="001378EB" w:rsidRPr="001378EB" w:rsidRDefault="001378EB" w:rsidP="001378EB">
      <w:pPr>
        <w:spacing w:after="0" w:line="240" w:lineRule="auto"/>
        <w:ind w:left="360"/>
        <w:contextualSpacing/>
        <w:jc w:val="both"/>
        <w:rPr>
          <w:rFonts w:ascii="Cambria" w:eastAsia="SimSun" w:hAnsi="Cambria" w:cs="Arial"/>
          <w:lang w:val="sq-AL"/>
        </w:rPr>
      </w:pPr>
    </w:p>
    <w:p w:rsidR="001378EB" w:rsidRPr="001378EB" w:rsidRDefault="001378EB" w:rsidP="001378EB">
      <w:pPr>
        <w:spacing w:after="200" w:line="276" w:lineRule="auto"/>
        <w:jc w:val="both"/>
        <w:rPr>
          <w:rFonts w:ascii="Cambria" w:eastAsia="Arial" w:hAnsi="Cambria" w:cs="Arial"/>
          <w:sz w:val="20"/>
          <w:szCs w:val="20"/>
          <w:lang w:val="sq-AL" w:eastAsia="en-GB"/>
        </w:rPr>
      </w:pPr>
      <w:r w:rsidRPr="001378EB">
        <w:rPr>
          <w:rFonts w:ascii="Cambria" w:eastAsia="SimSun" w:hAnsi="Cambria" w:cs="Arial"/>
          <w:b/>
          <w:sz w:val="20"/>
          <w:szCs w:val="20"/>
          <w:lang w:val="sq-AL"/>
        </w:rPr>
        <w:t>Tabela 18</w:t>
      </w:r>
      <w:r w:rsidRPr="001378EB">
        <w:rPr>
          <w:rFonts w:ascii="Cambria" w:eastAsia="SimSun" w:hAnsi="Cambria" w:cs="Arial"/>
          <w:sz w:val="20"/>
          <w:szCs w:val="20"/>
          <w:lang w:val="sq-AL"/>
        </w:rPr>
        <w:t xml:space="preserve">: Shpenzimet për Ministrinë e </w:t>
      </w:r>
      <w:r w:rsidRPr="001378EB">
        <w:rPr>
          <w:rFonts w:ascii="Cambria" w:eastAsia="Calibri" w:hAnsi="Cambria" w:cs="Arial"/>
          <w:sz w:val="20"/>
          <w:szCs w:val="20"/>
          <w:lang w:val="sq-AL"/>
        </w:rPr>
        <w:t>Turizmit dhe Mjedisit sipas programeve buxhetore dhe sipas artikujve ekonomikë</w:t>
      </w:r>
    </w:p>
    <w:p w:rsidR="001378EB" w:rsidRPr="001378EB" w:rsidRDefault="001378EB" w:rsidP="001378EB">
      <w:pPr>
        <w:spacing w:after="0" w:line="240" w:lineRule="auto"/>
        <w:ind w:left="360"/>
        <w:contextualSpacing/>
        <w:jc w:val="both"/>
        <w:rPr>
          <w:rFonts w:ascii="Calibri" w:eastAsia="Calibri" w:hAnsi="Calibri" w:cs="Times New Roman"/>
          <w:noProof/>
        </w:rPr>
      </w:pPr>
    </w:p>
    <w:p w:rsidR="001378EB" w:rsidRPr="001378EB" w:rsidRDefault="001378EB" w:rsidP="001378EB">
      <w:pPr>
        <w:spacing w:after="0" w:line="240" w:lineRule="auto"/>
        <w:ind w:left="-180"/>
        <w:contextualSpacing/>
        <w:jc w:val="both"/>
        <w:rPr>
          <w:rFonts w:ascii="Calibri" w:eastAsia="Calibri" w:hAnsi="Calibri" w:cs="Times New Roman"/>
          <w:noProof/>
        </w:rPr>
      </w:pPr>
      <w:r w:rsidRPr="001378EB">
        <w:rPr>
          <w:noProof/>
          <w:lang w:val="en-GB" w:eastAsia="en-GB"/>
        </w:rPr>
        <w:lastRenderedPageBreak/>
        <w:drawing>
          <wp:inline distT="0" distB="0" distL="0" distR="0" wp14:anchorId="3F6EFD34" wp14:editId="1FF47A67">
            <wp:extent cx="6318325" cy="3942080"/>
            <wp:effectExtent l="0" t="0" r="635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20679" cy="3943549"/>
                    </a:xfrm>
                    <a:prstGeom prst="rect">
                      <a:avLst/>
                    </a:prstGeom>
                    <a:noFill/>
                    <a:ln>
                      <a:noFill/>
                    </a:ln>
                  </pic:spPr>
                </pic:pic>
              </a:graphicData>
            </a:graphic>
          </wp:inline>
        </w:drawing>
      </w:r>
    </w:p>
    <w:p w:rsidR="001378EB" w:rsidRPr="001378EB" w:rsidRDefault="001378EB" w:rsidP="001378EB">
      <w:pPr>
        <w:spacing w:after="0" w:line="240" w:lineRule="auto"/>
        <w:ind w:left="-180"/>
        <w:contextualSpacing/>
        <w:jc w:val="both"/>
        <w:rPr>
          <w:rFonts w:ascii="Calibri" w:eastAsia="Calibri" w:hAnsi="Calibri" w:cs="Times New Roman"/>
          <w:noProof/>
        </w:rPr>
      </w:pPr>
    </w:p>
    <w:p w:rsidR="001378EB" w:rsidRPr="001378EB" w:rsidRDefault="001378EB" w:rsidP="001378EB">
      <w:pPr>
        <w:pStyle w:val="Heading3"/>
        <w:rPr>
          <w:rFonts w:ascii="Cambria" w:eastAsia="SimSun" w:hAnsi="Cambria" w:cs="Arial"/>
          <w:b/>
          <w:color w:val="000000" w:themeColor="text1"/>
          <w:lang w:val="sq-AL"/>
        </w:rPr>
      </w:pPr>
      <w:r w:rsidRPr="00034D99">
        <w:rPr>
          <w:rFonts w:ascii="Cambria" w:eastAsia="SimSun" w:hAnsi="Cambria" w:cs="Arial"/>
          <w:b/>
          <w:color w:val="000000" w:themeColor="text1"/>
          <w:lang w:val="sq-AL"/>
        </w:rPr>
        <w:t>Përmbledhje e Treguesve Kyç të Performancës</w:t>
      </w:r>
    </w:p>
    <w:p w:rsidR="001378EB" w:rsidRDefault="001378EB" w:rsidP="001378EB">
      <w:pPr>
        <w:spacing w:after="120" w:line="276" w:lineRule="auto"/>
        <w:jc w:val="both"/>
        <w:rPr>
          <w:rFonts w:ascii="Cambria" w:eastAsia="Arial" w:hAnsi="Cambria" w:cs="Arial"/>
          <w:lang w:val="sq-AL" w:eastAsia="en-GB"/>
        </w:rPr>
      </w:pPr>
    </w:p>
    <w:p w:rsidR="001378EB" w:rsidRPr="001378EB" w:rsidRDefault="001378EB" w:rsidP="001378EB">
      <w:pPr>
        <w:spacing w:after="120" w:line="276" w:lineRule="auto"/>
        <w:jc w:val="both"/>
        <w:rPr>
          <w:rFonts w:ascii="Cambria" w:eastAsia="Arial" w:hAnsi="Cambria" w:cs="Arial"/>
          <w:lang w:val="sq-AL" w:eastAsia="en-GB"/>
        </w:rPr>
      </w:pPr>
      <w:r w:rsidRPr="001378EB">
        <w:rPr>
          <w:rFonts w:ascii="Cambria" w:eastAsia="Arial" w:hAnsi="Cambria" w:cs="Arial"/>
          <w:lang w:val="sq-AL" w:eastAsia="en-GB"/>
        </w:rPr>
        <w:t xml:space="preserve">Programi “Zhvillimi i Turizmit” </w:t>
      </w:r>
      <w:r w:rsidRPr="001378EB">
        <w:rPr>
          <w:rFonts w:ascii="Cambria" w:eastAsia="Times New Roman" w:hAnsi="Cambria" w:cs="Arial"/>
          <w:lang w:val="sq-AL"/>
        </w:rPr>
        <w:t>synon q</w:t>
      </w:r>
      <w:r w:rsidRPr="001378EB">
        <w:rPr>
          <w:rFonts w:ascii="Cambria" w:eastAsia="Arial" w:hAnsi="Cambria" w:cs="Arial"/>
          <w:lang w:val="sq-AL" w:eastAsia="en-GB"/>
        </w:rPr>
        <w:t>ë të arrijë treguesit e mëposhtëm gjatë periudhës 2020-2022:</w:t>
      </w:r>
    </w:p>
    <w:p w:rsidR="001378EB" w:rsidRPr="001378EB" w:rsidRDefault="001378EB" w:rsidP="001378EB">
      <w:pPr>
        <w:numPr>
          <w:ilvl w:val="0"/>
          <w:numId w:val="7"/>
        </w:numPr>
        <w:spacing w:after="0" w:line="240" w:lineRule="auto"/>
        <w:contextualSpacing/>
        <w:jc w:val="both"/>
        <w:rPr>
          <w:rFonts w:ascii="Cambria" w:eastAsia="SimSun" w:hAnsi="Cambria" w:cs="Arial"/>
          <w:lang w:val="sq-AL"/>
        </w:rPr>
      </w:pPr>
      <w:r w:rsidRPr="001378EB">
        <w:rPr>
          <w:rFonts w:ascii="Cambria" w:eastAsia="SimSun" w:hAnsi="Cambria" w:cs="Arial"/>
          <w:lang w:val="sq-AL"/>
        </w:rPr>
        <w:t>Rritja e kontributit direkt që ka Turizmi në Produktin e Brendshëm Bruto (nga 9% që vlerësohet në vitin 2019);</w:t>
      </w:r>
    </w:p>
    <w:p w:rsidR="001378EB" w:rsidRPr="001378EB" w:rsidRDefault="001378EB" w:rsidP="001378EB">
      <w:pPr>
        <w:numPr>
          <w:ilvl w:val="0"/>
          <w:numId w:val="7"/>
        </w:numPr>
        <w:spacing w:after="0" w:line="240" w:lineRule="auto"/>
        <w:contextualSpacing/>
        <w:jc w:val="both"/>
        <w:rPr>
          <w:rFonts w:ascii="Cambria" w:eastAsia="SimSun" w:hAnsi="Cambria" w:cs="Arial"/>
          <w:lang w:val="sq-AL"/>
        </w:rPr>
      </w:pPr>
      <w:r w:rsidRPr="001378EB">
        <w:rPr>
          <w:rFonts w:ascii="Cambria" w:eastAsia="SimSun" w:hAnsi="Cambria" w:cs="Arial"/>
          <w:lang w:val="sq-AL"/>
        </w:rPr>
        <w:t>Rritja e përpjesës së punësimit në sektorin e Turizmit ndaj totalit të të punësuarve në vend (nga 9% që vlerësohet në vitin 2019);</w:t>
      </w:r>
    </w:p>
    <w:p w:rsidR="001378EB" w:rsidRPr="001378EB" w:rsidRDefault="001378EB" w:rsidP="001378EB">
      <w:pPr>
        <w:numPr>
          <w:ilvl w:val="0"/>
          <w:numId w:val="7"/>
        </w:numPr>
        <w:spacing w:after="0" w:line="240" w:lineRule="auto"/>
        <w:contextualSpacing/>
        <w:jc w:val="both"/>
        <w:rPr>
          <w:rFonts w:ascii="Cambria" w:eastAsia="SimSun" w:hAnsi="Cambria" w:cs="Arial"/>
          <w:lang w:val="sq-AL"/>
        </w:rPr>
      </w:pPr>
      <w:r w:rsidRPr="001378EB">
        <w:rPr>
          <w:rFonts w:ascii="Cambria" w:eastAsia="SimSun" w:hAnsi="Cambria" w:cs="Arial"/>
          <w:lang w:val="sq-AL"/>
        </w:rPr>
        <w:t>Rritja e përpjesës së turistëve jashtë sezonit ndaj totalit të turistëve që vijnë në Shqipëri (nga 52% që vlerësohet në vitin 2019);</w:t>
      </w:r>
    </w:p>
    <w:p w:rsidR="001378EB" w:rsidRPr="001378EB" w:rsidRDefault="001378EB" w:rsidP="001378EB">
      <w:pPr>
        <w:numPr>
          <w:ilvl w:val="0"/>
          <w:numId w:val="7"/>
        </w:numPr>
        <w:spacing w:after="0" w:line="240" w:lineRule="auto"/>
        <w:contextualSpacing/>
        <w:jc w:val="both"/>
        <w:rPr>
          <w:rFonts w:ascii="Cambria" w:eastAsia="SimSun" w:hAnsi="Cambria" w:cs="Arial"/>
          <w:lang w:val="sq-AL"/>
        </w:rPr>
      </w:pPr>
      <w:r w:rsidRPr="001378EB">
        <w:rPr>
          <w:rFonts w:ascii="Cambria" w:eastAsia="SimSun" w:hAnsi="Cambria" w:cs="Arial"/>
          <w:lang w:val="sq-AL"/>
        </w:rPr>
        <w:t>Ofrimi i incentivave për rritjen e numrit të bizneseve në sektorin e agriturizmit.</w:t>
      </w:r>
    </w:p>
    <w:p w:rsidR="001378EB" w:rsidRPr="001378EB" w:rsidRDefault="001378EB" w:rsidP="001378EB">
      <w:pPr>
        <w:spacing w:before="120" w:after="120" w:line="276" w:lineRule="auto"/>
        <w:jc w:val="both"/>
        <w:rPr>
          <w:rFonts w:ascii="Cambria" w:eastAsia="Arial" w:hAnsi="Cambria" w:cs="Arial"/>
          <w:lang w:val="sq-AL" w:eastAsia="en-GB"/>
        </w:rPr>
      </w:pPr>
      <w:r w:rsidRPr="001378EB">
        <w:rPr>
          <w:rFonts w:ascii="Cambria" w:eastAsia="Arial" w:hAnsi="Cambria" w:cs="Arial"/>
          <w:lang w:val="sq-AL" w:eastAsia="en-GB"/>
        </w:rPr>
        <w:t>Programi “</w:t>
      </w:r>
      <w:r w:rsidRPr="001378EB">
        <w:rPr>
          <w:rFonts w:ascii="Cambria" w:eastAsia="Times New Roman" w:hAnsi="Cambria" w:cs="Arial"/>
          <w:lang w:val="sq-AL"/>
        </w:rPr>
        <w:t>Programe për Mbrojtjen e Mjedisit</w:t>
      </w:r>
      <w:r w:rsidRPr="001378EB">
        <w:rPr>
          <w:rFonts w:ascii="Cambria" w:eastAsia="Arial" w:hAnsi="Cambria" w:cs="Arial"/>
          <w:lang w:val="sq-AL" w:eastAsia="en-GB"/>
        </w:rPr>
        <w:t xml:space="preserve">”, për periudhën 2020-2022, </w:t>
      </w:r>
      <w:r w:rsidRPr="001378EB">
        <w:rPr>
          <w:rFonts w:ascii="Cambria" w:eastAsia="Times New Roman" w:hAnsi="Cambria" w:cs="Arial"/>
          <w:lang w:val="sq-AL"/>
        </w:rPr>
        <w:t>synon</w:t>
      </w:r>
      <w:r w:rsidRPr="001378EB">
        <w:rPr>
          <w:rFonts w:ascii="Cambria" w:eastAsia="Arial" w:hAnsi="Cambria" w:cs="Arial"/>
          <w:lang w:val="sq-AL" w:eastAsia="en-GB"/>
        </w:rPr>
        <w:t>:</w:t>
      </w:r>
    </w:p>
    <w:p w:rsidR="001378EB" w:rsidRPr="001378EB" w:rsidRDefault="001378EB" w:rsidP="001378EB">
      <w:pPr>
        <w:numPr>
          <w:ilvl w:val="0"/>
          <w:numId w:val="8"/>
        </w:numPr>
        <w:spacing w:after="120" w:line="240" w:lineRule="auto"/>
        <w:contextualSpacing/>
        <w:jc w:val="both"/>
        <w:rPr>
          <w:rFonts w:ascii="Cambria" w:eastAsia="SimSun" w:hAnsi="Cambria" w:cs="Arial"/>
          <w:lang w:val="sq-AL"/>
        </w:rPr>
      </w:pPr>
      <w:r w:rsidRPr="001378EB">
        <w:rPr>
          <w:rFonts w:ascii="Cambria" w:eastAsia="SimSun" w:hAnsi="Cambria" w:cs="Arial"/>
          <w:lang w:val="sq-AL"/>
        </w:rPr>
        <w:t>Ulja e nivelit të ndotjes akustike me rreth 4% në vitin 2022, krahasuar me nivelin e parashikuar në fund të vitit 2019;</w:t>
      </w:r>
    </w:p>
    <w:p w:rsidR="001378EB" w:rsidRPr="001378EB" w:rsidRDefault="001378EB" w:rsidP="001378EB">
      <w:pPr>
        <w:numPr>
          <w:ilvl w:val="0"/>
          <w:numId w:val="8"/>
        </w:numPr>
        <w:spacing w:after="120" w:line="240" w:lineRule="auto"/>
        <w:contextualSpacing/>
        <w:jc w:val="both"/>
        <w:rPr>
          <w:rFonts w:ascii="Cambria" w:eastAsia="SimSun" w:hAnsi="Cambria" w:cs="Arial"/>
          <w:lang w:val="sq-AL"/>
        </w:rPr>
      </w:pPr>
      <w:r w:rsidRPr="001378EB">
        <w:rPr>
          <w:rFonts w:ascii="Cambria" w:eastAsia="SimSun" w:hAnsi="Cambria" w:cs="Arial"/>
          <w:lang w:val="sq-AL"/>
        </w:rPr>
        <w:t>Përqindja e mbetjeve që shkojnë në landfille sanitare kundrejt mbetjeve të hedhura në venddepozitime të hapura nga 47% që parashikohen në vitin 2019, në 605 për vitin 2022;</w:t>
      </w:r>
    </w:p>
    <w:p w:rsidR="001378EB" w:rsidRPr="001378EB" w:rsidRDefault="001378EB" w:rsidP="001378EB">
      <w:pPr>
        <w:numPr>
          <w:ilvl w:val="0"/>
          <w:numId w:val="8"/>
        </w:numPr>
        <w:spacing w:after="120" w:line="240" w:lineRule="auto"/>
        <w:contextualSpacing/>
        <w:jc w:val="both"/>
        <w:rPr>
          <w:rFonts w:ascii="Cambria" w:eastAsia="SimSun" w:hAnsi="Cambria" w:cs="Arial"/>
          <w:lang w:val="sq-AL"/>
        </w:rPr>
      </w:pPr>
      <w:r w:rsidRPr="001378EB">
        <w:rPr>
          <w:rFonts w:ascii="Cambria" w:eastAsia="SimSun" w:hAnsi="Cambria" w:cs="Arial"/>
          <w:lang w:val="sq-AL"/>
        </w:rPr>
        <w:t>Rritja e sip</w:t>
      </w:r>
      <w:r w:rsidR="00FA0246">
        <w:rPr>
          <w:rFonts w:ascii="Cambria" w:eastAsia="SimSun" w:hAnsi="Cambria" w:cs="Arial"/>
          <w:lang w:val="sq-AL"/>
        </w:rPr>
        <w:t>ë</w:t>
      </w:r>
      <w:r w:rsidRPr="001378EB">
        <w:rPr>
          <w:rFonts w:ascii="Cambria" w:eastAsia="SimSun" w:hAnsi="Cambria" w:cs="Arial"/>
          <w:lang w:val="sq-AL"/>
        </w:rPr>
        <w:t>rfaqes së Zonave t</w:t>
      </w:r>
      <w:r w:rsidR="00FA0246">
        <w:rPr>
          <w:rFonts w:ascii="Cambria" w:eastAsia="SimSun" w:hAnsi="Cambria" w:cs="Arial"/>
          <w:lang w:val="sq-AL"/>
        </w:rPr>
        <w:t>ë</w:t>
      </w:r>
      <w:r w:rsidRPr="001378EB">
        <w:rPr>
          <w:rFonts w:ascii="Cambria" w:eastAsia="SimSun" w:hAnsi="Cambria" w:cs="Arial"/>
          <w:lang w:val="sq-AL"/>
        </w:rPr>
        <w:t xml:space="preserve"> Mbrojtura nga 18.5% që parashikohet për vitin 2019 në 20% për vitin 2022;</w:t>
      </w:r>
    </w:p>
    <w:p w:rsidR="001378EB" w:rsidRPr="001378EB" w:rsidRDefault="001378EB" w:rsidP="001378EB">
      <w:pPr>
        <w:numPr>
          <w:ilvl w:val="0"/>
          <w:numId w:val="8"/>
        </w:numPr>
        <w:spacing w:after="120" w:line="240" w:lineRule="auto"/>
        <w:contextualSpacing/>
        <w:jc w:val="both"/>
        <w:rPr>
          <w:rFonts w:ascii="Cambria" w:eastAsia="SimSun" w:hAnsi="Cambria" w:cs="Arial"/>
          <w:lang w:val="sq-AL"/>
        </w:rPr>
      </w:pPr>
      <w:r w:rsidRPr="001378EB">
        <w:rPr>
          <w:rFonts w:ascii="Cambria" w:eastAsia="SimSun" w:hAnsi="Cambria" w:cs="Arial"/>
          <w:lang w:val="sq-AL"/>
        </w:rPr>
        <w:t>Niveli në përqindje i mbetjeve të ricikluara nga 40% që parashikohet për vitin 2019 në 59% për vitin 2022.</w:t>
      </w:r>
    </w:p>
    <w:p w:rsidR="001378EB" w:rsidRDefault="001378EB" w:rsidP="001378EB">
      <w:pPr>
        <w:rPr>
          <w:lang w:val="sq-AL" w:eastAsia="sq-AL"/>
        </w:rPr>
      </w:pPr>
    </w:p>
    <w:p w:rsidR="001378EB" w:rsidRPr="001378EB" w:rsidRDefault="001378EB" w:rsidP="001378EB">
      <w:pPr>
        <w:rPr>
          <w:lang w:val="sq-AL" w:eastAsia="sq-AL"/>
        </w:rPr>
      </w:pPr>
    </w:p>
    <w:p w:rsidR="00B260BA" w:rsidRPr="00B260BA" w:rsidRDefault="00B260BA" w:rsidP="00570F53">
      <w:pPr>
        <w:pStyle w:val="ListParagraph"/>
        <w:keepNext/>
        <w:numPr>
          <w:ilvl w:val="1"/>
          <w:numId w:val="2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154" w:name="_Toc518557935"/>
      <w:bookmarkStart w:id="155" w:name="_Toc518558009"/>
      <w:bookmarkStart w:id="156" w:name="_Toc518558034"/>
      <w:bookmarkStart w:id="157" w:name="_Toc518558065"/>
      <w:bookmarkStart w:id="158" w:name="_Toc518558096"/>
      <w:bookmarkStart w:id="159" w:name="_Toc518558354"/>
      <w:bookmarkStart w:id="160" w:name="_Toc518558376"/>
      <w:bookmarkStart w:id="161" w:name="_Toc518558897"/>
      <w:bookmarkStart w:id="162" w:name="_Toc518559020"/>
      <w:bookmarkStart w:id="163" w:name="_Toc518559250"/>
      <w:bookmarkStart w:id="164" w:name="_Toc518562265"/>
      <w:bookmarkStart w:id="165" w:name="_Toc527191572"/>
      <w:bookmarkStart w:id="166" w:name="_Toc527191604"/>
      <w:bookmarkStart w:id="167" w:name="_Toc527191730"/>
      <w:bookmarkStart w:id="168" w:name="_Toc527192133"/>
      <w:bookmarkStart w:id="169" w:name="_Toc527192183"/>
      <w:bookmarkStart w:id="170" w:name="_Toc527530928"/>
      <w:bookmarkStart w:id="171" w:name="_Toc354465"/>
      <w:bookmarkStart w:id="172" w:name="_Toc516546"/>
      <w:bookmarkStart w:id="173" w:name="_Toc12009302"/>
      <w:bookmarkStart w:id="174" w:name="_Toc12014090"/>
      <w:bookmarkStart w:id="175" w:name="_Toc12014161"/>
      <w:bookmarkStart w:id="176" w:name="_Toc12014394"/>
      <w:bookmarkStart w:id="177" w:name="_Toc12014424"/>
      <w:bookmarkStart w:id="178" w:name="_Toc12014544"/>
      <w:bookmarkStart w:id="179" w:name="_Toc12016561"/>
      <w:bookmarkStart w:id="180" w:name="_Toc12260723"/>
      <w:bookmarkStart w:id="181" w:name="_Toc12533840"/>
      <w:bookmarkStart w:id="182" w:name="_Toc12534353"/>
      <w:bookmarkStart w:id="183" w:name="_Toc12536778"/>
      <w:bookmarkStart w:id="184" w:name="_Toc12536809"/>
      <w:bookmarkStart w:id="185" w:name="_Toc12541866"/>
      <w:bookmarkStart w:id="186" w:name="_Toc12876755"/>
      <w:bookmarkStart w:id="187" w:name="_Toc12955095"/>
      <w:bookmarkStart w:id="188" w:name="_Toc12963513"/>
      <w:bookmarkStart w:id="189" w:name="_Toc12976989"/>
      <w:bookmarkStart w:id="190" w:name="_Toc13476488"/>
      <w:bookmarkStart w:id="191" w:name="_Toc13478532"/>
      <w:bookmarkStart w:id="192" w:name="_Toc13653944"/>
      <w:bookmarkStart w:id="193" w:name="_Toc13653988"/>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B260BA" w:rsidRPr="00B260BA" w:rsidRDefault="00B260BA" w:rsidP="00570F53">
      <w:pPr>
        <w:pStyle w:val="ListParagraph"/>
        <w:keepNext/>
        <w:numPr>
          <w:ilvl w:val="1"/>
          <w:numId w:val="2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194" w:name="_Toc518557936"/>
      <w:bookmarkStart w:id="195" w:name="_Toc518558010"/>
      <w:bookmarkStart w:id="196" w:name="_Toc518558035"/>
      <w:bookmarkStart w:id="197" w:name="_Toc518558066"/>
      <w:bookmarkStart w:id="198" w:name="_Toc518558097"/>
      <w:bookmarkStart w:id="199" w:name="_Toc518558355"/>
      <w:bookmarkStart w:id="200" w:name="_Toc518558377"/>
      <w:bookmarkStart w:id="201" w:name="_Toc518558898"/>
      <w:bookmarkStart w:id="202" w:name="_Toc518559021"/>
      <w:bookmarkStart w:id="203" w:name="_Toc518559251"/>
      <w:bookmarkStart w:id="204" w:name="_Toc518562266"/>
      <w:bookmarkStart w:id="205" w:name="_Toc527191573"/>
      <w:bookmarkStart w:id="206" w:name="_Toc527191605"/>
      <w:bookmarkStart w:id="207" w:name="_Toc527191731"/>
      <w:bookmarkStart w:id="208" w:name="_Toc527192134"/>
      <w:bookmarkStart w:id="209" w:name="_Toc527192184"/>
      <w:bookmarkStart w:id="210" w:name="_Toc527530929"/>
      <w:bookmarkStart w:id="211" w:name="_Toc354466"/>
      <w:bookmarkStart w:id="212" w:name="_Toc516547"/>
      <w:bookmarkStart w:id="213" w:name="_Toc12009303"/>
      <w:bookmarkStart w:id="214" w:name="_Toc12014091"/>
      <w:bookmarkStart w:id="215" w:name="_Toc12014162"/>
      <w:bookmarkStart w:id="216" w:name="_Toc12014395"/>
      <w:bookmarkStart w:id="217" w:name="_Toc12014425"/>
      <w:bookmarkStart w:id="218" w:name="_Toc12014545"/>
      <w:bookmarkStart w:id="219" w:name="_Toc12016562"/>
      <w:bookmarkStart w:id="220" w:name="_Toc12260724"/>
      <w:bookmarkStart w:id="221" w:name="_Toc12533841"/>
      <w:bookmarkStart w:id="222" w:name="_Toc12534354"/>
      <w:bookmarkStart w:id="223" w:name="_Toc12536779"/>
      <w:bookmarkStart w:id="224" w:name="_Toc12536810"/>
      <w:bookmarkStart w:id="225" w:name="_Toc12541867"/>
      <w:bookmarkStart w:id="226" w:name="_Toc12876756"/>
      <w:bookmarkStart w:id="227" w:name="_Toc12955096"/>
      <w:bookmarkStart w:id="228" w:name="_Toc12963514"/>
      <w:bookmarkStart w:id="229" w:name="_Toc12976990"/>
      <w:bookmarkStart w:id="230" w:name="_Toc13476489"/>
      <w:bookmarkStart w:id="231" w:name="_Toc13478533"/>
      <w:bookmarkStart w:id="232" w:name="_Toc13653945"/>
      <w:bookmarkStart w:id="233" w:name="_Toc13653989"/>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B260BA" w:rsidRPr="00B260BA" w:rsidRDefault="00B260BA" w:rsidP="00570F53">
      <w:pPr>
        <w:pStyle w:val="ListParagraph"/>
        <w:keepNext/>
        <w:numPr>
          <w:ilvl w:val="1"/>
          <w:numId w:val="2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234" w:name="_Toc518557937"/>
      <w:bookmarkStart w:id="235" w:name="_Toc518558011"/>
      <w:bookmarkStart w:id="236" w:name="_Toc518558036"/>
      <w:bookmarkStart w:id="237" w:name="_Toc518558067"/>
      <w:bookmarkStart w:id="238" w:name="_Toc518558098"/>
      <w:bookmarkStart w:id="239" w:name="_Toc518558356"/>
      <w:bookmarkStart w:id="240" w:name="_Toc518558378"/>
      <w:bookmarkStart w:id="241" w:name="_Toc518558899"/>
      <w:bookmarkStart w:id="242" w:name="_Toc518559022"/>
      <w:bookmarkStart w:id="243" w:name="_Toc518559252"/>
      <w:bookmarkStart w:id="244" w:name="_Toc518562267"/>
      <w:bookmarkStart w:id="245" w:name="_Toc527191574"/>
      <w:bookmarkStart w:id="246" w:name="_Toc527191606"/>
      <w:bookmarkStart w:id="247" w:name="_Toc527191732"/>
      <w:bookmarkStart w:id="248" w:name="_Toc527192135"/>
      <w:bookmarkStart w:id="249" w:name="_Toc527192185"/>
      <w:bookmarkStart w:id="250" w:name="_Toc527530930"/>
      <w:bookmarkStart w:id="251" w:name="_Toc354467"/>
      <w:bookmarkStart w:id="252" w:name="_Toc516548"/>
      <w:bookmarkStart w:id="253" w:name="_Toc12009304"/>
      <w:bookmarkStart w:id="254" w:name="_Toc12014092"/>
      <w:bookmarkStart w:id="255" w:name="_Toc12014163"/>
      <w:bookmarkStart w:id="256" w:name="_Toc12014396"/>
      <w:bookmarkStart w:id="257" w:name="_Toc12014426"/>
      <w:bookmarkStart w:id="258" w:name="_Toc12014546"/>
      <w:bookmarkStart w:id="259" w:name="_Toc12016563"/>
      <w:bookmarkStart w:id="260" w:name="_Toc12260725"/>
      <w:bookmarkStart w:id="261" w:name="_Toc12533842"/>
      <w:bookmarkStart w:id="262" w:name="_Toc12534355"/>
      <w:bookmarkStart w:id="263" w:name="_Toc12536780"/>
      <w:bookmarkStart w:id="264" w:name="_Toc12536811"/>
      <w:bookmarkStart w:id="265" w:name="_Toc12541868"/>
      <w:bookmarkStart w:id="266" w:name="_Toc12876757"/>
      <w:bookmarkStart w:id="267" w:name="_Toc12955097"/>
      <w:bookmarkStart w:id="268" w:name="_Toc12963515"/>
      <w:bookmarkStart w:id="269" w:name="_Toc12976991"/>
      <w:bookmarkStart w:id="270" w:name="_Toc13476490"/>
      <w:bookmarkStart w:id="271" w:name="_Toc13478534"/>
      <w:bookmarkStart w:id="272" w:name="_Toc13653946"/>
      <w:bookmarkStart w:id="273" w:name="_Toc13653990"/>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B260BA" w:rsidRPr="00B260BA" w:rsidRDefault="00B260BA" w:rsidP="00570F53">
      <w:pPr>
        <w:pStyle w:val="ListParagraph"/>
        <w:keepNext/>
        <w:numPr>
          <w:ilvl w:val="1"/>
          <w:numId w:val="2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274" w:name="_Toc518557938"/>
      <w:bookmarkStart w:id="275" w:name="_Toc518558012"/>
      <w:bookmarkStart w:id="276" w:name="_Toc518558037"/>
      <w:bookmarkStart w:id="277" w:name="_Toc518558068"/>
      <w:bookmarkStart w:id="278" w:name="_Toc518558099"/>
      <w:bookmarkStart w:id="279" w:name="_Toc518558357"/>
      <w:bookmarkStart w:id="280" w:name="_Toc518558379"/>
      <w:bookmarkStart w:id="281" w:name="_Toc518558900"/>
      <w:bookmarkStart w:id="282" w:name="_Toc518559023"/>
      <w:bookmarkStart w:id="283" w:name="_Toc518559253"/>
      <w:bookmarkStart w:id="284" w:name="_Toc518562268"/>
      <w:bookmarkStart w:id="285" w:name="_Toc527191575"/>
      <w:bookmarkStart w:id="286" w:name="_Toc527191607"/>
      <w:bookmarkStart w:id="287" w:name="_Toc527191733"/>
      <w:bookmarkStart w:id="288" w:name="_Toc527192136"/>
      <w:bookmarkStart w:id="289" w:name="_Toc527192186"/>
      <w:bookmarkStart w:id="290" w:name="_Toc527530931"/>
      <w:bookmarkStart w:id="291" w:name="_Toc354468"/>
      <w:bookmarkStart w:id="292" w:name="_Toc516549"/>
      <w:bookmarkStart w:id="293" w:name="_Toc12009305"/>
      <w:bookmarkStart w:id="294" w:name="_Toc12014093"/>
      <w:bookmarkStart w:id="295" w:name="_Toc12014164"/>
      <w:bookmarkStart w:id="296" w:name="_Toc12014397"/>
      <w:bookmarkStart w:id="297" w:name="_Toc12014427"/>
      <w:bookmarkStart w:id="298" w:name="_Toc12014547"/>
      <w:bookmarkStart w:id="299" w:name="_Toc12016564"/>
      <w:bookmarkStart w:id="300" w:name="_Toc12260726"/>
      <w:bookmarkStart w:id="301" w:name="_Toc12533843"/>
      <w:bookmarkStart w:id="302" w:name="_Toc12534356"/>
      <w:bookmarkStart w:id="303" w:name="_Toc12536781"/>
      <w:bookmarkStart w:id="304" w:name="_Toc12536812"/>
      <w:bookmarkStart w:id="305" w:name="_Toc12541869"/>
      <w:bookmarkStart w:id="306" w:name="_Toc12876758"/>
      <w:bookmarkStart w:id="307" w:name="_Toc12955098"/>
      <w:bookmarkStart w:id="308" w:name="_Toc12963516"/>
      <w:bookmarkStart w:id="309" w:name="_Toc12976992"/>
      <w:bookmarkStart w:id="310" w:name="_Toc13476491"/>
      <w:bookmarkStart w:id="311" w:name="_Toc13478535"/>
      <w:bookmarkStart w:id="312" w:name="_Toc13653947"/>
      <w:bookmarkStart w:id="313" w:name="_Toc13653991"/>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B260BA" w:rsidRPr="00B260BA" w:rsidRDefault="00B260BA" w:rsidP="00570F53">
      <w:pPr>
        <w:pStyle w:val="ListParagraph"/>
        <w:keepNext/>
        <w:numPr>
          <w:ilvl w:val="1"/>
          <w:numId w:val="2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314" w:name="_Toc518557939"/>
      <w:bookmarkStart w:id="315" w:name="_Toc518558013"/>
      <w:bookmarkStart w:id="316" w:name="_Toc518558038"/>
      <w:bookmarkStart w:id="317" w:name="_Toc518558069"/>
      <w:bookmarkStart w:id="318" w:name="_Toc518558100"/>
      <w:bookmarkStart w:id="319" w:name="_Toc518558358"/>
      <w:bookmarkStart w:id="320" w:name="_Toc518558380"/>
      <w:bookmarkStart w:id="321" w:name="_Toc518558901"/>
      <w:bookmarkStart w:id="322" w:name="_Toc518559024"/>
      <w:bookmarkStart w:id="323" w:name="_Toc518559254"/>
      <w:bookmarkStart w:id="324" w:name="_Toc518562269"/>
      <w:bookmarkStart w:id="325" w:name="_Toc527191576"/>
      <w:bookmarkStart w:id="326" w:name="_Toc527191608"/>
      <w:bookmarkStart w:id="327" w:name="_Toc527191734"/>
      <w:bookmarkStart w:id="328" w:name="_Toc527192137"/>
      <w:bookmarkStart w:id="329" w:name="_Toc527192187"/>
      <w:bookmarkStart w:id="330" w:name="_Toc527530932"/>
      <w:bookmarkStart w:id="331" w:name="_Toc354469"/>
      <w:bookmarkStart w:id="332" w:name="_Toc516550"/>
      <w:bookmarkStart w:id="333" w:name="_Toc12009306"/>
      <w:bookmarkStart w:id="334" w:name="_Toc12014094"/>
      <w:bookmarkStart w:id="335" w:name="_Toc12014165"/>
      <w:bookmarkStart w:id="336" w:name="_Toc12014398"/>
      <w:bookmarkStart w:id="337" w:name="_Toc12014428"/>
      <w:bookmarkStart w:id="338" w:name="_Toc12014548"/>
      <w:bookmarkStart w:id="339" w:name="_Toc12016565"/>
      <w:bookmarkStart w:id="340" w:name="_Toc12260727"/>
      <w:bookmarkStart w:id="341" w:name="_Toc12533844"/>
      <w:bookmarkStart w:id="342" w:name="_Toc12534357"/>
      <w:bookmarkStart w:id="343" w:name="_Toc12536782"/>
      <w:bookmarkStart w:id="344" w:name="_Toc12536813"/>
      <w:bookmarkStart w:id="345" w:name="_Toc12541870"/>
      <w:bookmarkStart w:id="346" w:name="_Toc12876759"/>
      <w:bookmarkStart w:id="347" w:name="_Toc12955099"/>
      <w:bookmarkStart w:id="348" w:name="_Toc12963517"/>
      <w:bookmarkStart w:id="349" w:name="_Toc12976993"/>
      <w:bookmarkStart w:id="350" w:name="_Toc13476492"/>
      <w:bookmarkStart w:id="351" w:name="_Toc13478536"/>
      <w:bookmarkStart w:id="352" w:name="_Toc13653948"/>
      <w:bookmarkStart w:id="353" w:name="_Toc13653992"/>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B260BA" w:rsidRPr="00B260BA" w:rsidRDefault="00B260BA" w:rsidP="00570F53">
      <w:pPr>
        <w:pStyle w:val="ListParagraph"/>
        <w:keepNext/>
        <w:numPr>
          <w:ilvl w:val="1"/>
          <w:numId w:val="2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354" w:name="_Toc518557940"/>
      <w:bookmarkStart w:id="355" w:name="_Toc518558014"/>
      <w:bookmarkStart w:id="356" w:name="_Toc518558039"/>
      <w:bookmarkStart w:id="357" w:name="_Toc518558070"/>
      <w:bookmarkStart w:id="358" w:name="_Toc518558101"/>
      <w:bookmarkStart w:id="359" w:name="_Toc518558359"/>
      <w:bookmarkStart w:id="360" w:name="_Toc518558381"/>
      <w:bookmarkStart w:id="361" w:name="_Toc518558902"/>
      <w:bookmarkStart w:id="362" w:name="_Toc518559025"/>
      <w:bookmarkStart w:id="363" w:name="_Toc518559255"/>
      <w:bookmarkStart w:id="364" w:name="_Toc518562270"/>
      <w:bookmarkStart w:id="365" w:name="_Toc527191577"/>
      <w:bookmarkStart w:id="366" w:name="_Toc527191609"/>
      <w:bookmarkStart w:id="367" w:name="_Toc527191735"/>
      <w:bookmarkStart w:id="368" w:name="_Toc527192138"/>
      <w:bookmarkStart w:id="369" w:name="_Toc527192188"/>
      <w:bookmarkStart w:id="370" w:name="_Toc527530933"/>
      <w:bookmarkStart w:id="371" w:name="_Toc354470"/>
      <w:bookmarkStart w:id="372" w:name="_Toc516551"/>
      <w:bookmarkStart w:id="373" w:name="_Toc12009307"/>
      <w:bookmarkStart w:id="374" w:name="_Toc12014095"/>
      <w:bookmarkStart w:id="375" w:name="_Toc12014166"/>
      <w:bookmarkStart w:id="376" w:name="_Toc12014399"/>
      <w:bookmarkStart w:id="377" w:name="_Toc12014429"/>
      <w:bookmarkStart w:id="378" w:name="_Toc12014549"/>
      <w:bookmarkStart w:id="379" w:name="_Toc12016566"/>
      <w:bookmarkStart w:id="380" w:name="_Toc12260728"/>
      <w:bookmarkStart w:id="381" w:name="_Toc12533845"/>
      <w:bookmarkStart w:id="382" w:name="_Toc12534358"/>
      <w:bookmarkStart w:id="383" w:name="_Toc12536783"/>
      <w:bookmarkStart w:id="384" w:name="_Toc12536814"/>
      <w:bookmarkStart w:id="385" w:name="_Toc12541871"/>
      <w:bookmarkStart w:id="386" w:name="_Toc12876760"/>
      <w:bookmarkStart w:id="387" w:name="_Toc12955100"/>
      <w:bookmarkStart w:id="388" w:name="_Toc12963518"/>
      <w:bookmarkStart w:id="389" w:name="_Toc12976994"/>
      <w:bookmarkStart w:id="390" w:name="_Toc13476493"/>
      <w:bookmarkStart w:id="391" w:name="_Toc13478537"/>
      <w:bookmarkStart w:id="392" w:name="_Toc13653949"/>
      <w:bookmarkStart w:id="393" w:name="_Toc1365399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B260BA" w:rsidRPr="00B260BA" w:rsidRDefault="00B260BA" w:rsidP="00570F53">
      <w:pPr>
        <w:pStyle w:val="ListParagraph"/>
        <w:keepNext/>
        <w:numPr>
          <w:ilvl w:val="1"/>
          <w:numId w:val="2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394" w:name="_Toc518557941"/>
      <w:bookmarkStart w:id="395" w:name="_Toc518558015"/>
      <w:bookmarkStart w:id="396" w:name="_Toc518558040"/>
      <w:bookmarkStart w:id="397" w:name="_Toc518558071"/>
      <w:bookmarkStart w:id="398" w:name="_Toc518558102"/>
      <w:bookmarkStart w:id="399" w:name="_Toc518558360"/>
      <w:bookmarkStart w:id="400" w:name="_Toc518558382"/>
      <w:bookmarkStart w:id="401" w:name="_Toc518558903"/>
      <w:bookmarkStart w:id="402" w:name="_Toc518559026"/>
      <w:bookmarkStart w:id="403" w:name="_Toc518559256"/>
      <w:bookmarkStart w:id="404" w:name="_Toc518562271"/>
      <w:bookmarkStart w:id="405" w:name="_Toc527191578"/>
      <w:bookmarkStart w:id="406" w:name="_Toc527191610"/>
      <w:bookmarkStart w:id="407" w:name="_Toc527191736"/>
      <w:bookmarkStart w:id="408" w:name="_Toc527192139"/>
      <w:bookmarkStart w:id="409" w:name="_Toc527192189"/>
      <w:bookmarkStart w:id="410" w:name="_Toc527530934"/>
      <w:bookmarkStart w:id="411" w:name="_Toc354471"/>
      <w:bookmarkStart w:id="412" w:name="_Toc516552"/>
      <w:bookmarkStart w:id="413" w:name="_Toc12009308"/>
      <w:bookmarkStart w:id="414" w:name="_Toc12014096"/>
      <w:bookmarkStart w:id="415" w:name="_Toc12014167"/>
      <w:bookmarkStart w:id="416" w:name="_Toc12014400"/>
      <w:bookmarkStart w:id="417" w:name="_Toc12014430"/>
      <w:bookmarkStart w:id="418" w:name="_Toc12014550"/>
      <w:bookmarkStart w:id="419" w:name="_Toc12016567"/>
      <w:bookmarkStart w:id="420" w:name="_Toc12260729"/>
      <w:bookmarkStart w:id="421" w:name="_Toc12533846"/>
      <w:bookmarkStart w:id="422" w:name="_Toc12534359"/>
      <w:bookmarkStart w:id="423" w:name="_Toc12536784"/>
      <w:bookmarkStart w:id="424" w:name="_Toc12536815"/>
      <w:bookmarkStart w:id="425" w:name="_Toc12541872"/>
      <w:bookmarkStart w:id="426" w:name="_Toc12876761"/>
      <w:bookmarkStart w:id="427" w:name="_Toc12955101"/>
      <w:bookmarkStart w:id="428" w:name="_Toc12963519"/>
      <w:bookmarkStart w:id="429" w:name="_Toc12976995"/>
      <w:bookmarkStart w:id="430" w:name="_Toc13476494"/>
      <w:bookmarkStart w:id="431" w:name="_Toc13478538"/>
      <w:bookmarkStart w:id="432" w:name="_Toc13653950"/>
      <w:bookmarkStart w:id="433" w:name="_Toc13653994"/>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76734E" w:rsidRPr="00405A65" w:rsidRDefault="0076734E" w:rsidP="00570F53">
      <w:pPr>
        <w:pStyle w:val="Heading2"/>
        <w:numPr>
          <w:ilvl w:val="1"/>
          <w:numId w:val="33"/>
        </w:numPr>
        <w:rPr>
          <w:rFonts w:ascii="Cambria" w:eastAsia="Calibri" w:hAnsi="Cambria"/>
          <w:i w:val="0"/>
          <w:sz w:val="24"/>
          <w:szCs w:val="24"/>
          <w:lang w:val="sq-AL"/>
        </w:rPr>
      </w:pPr>
      <w:bookmarkStart w:id="434" w:name="_Toc13653995"/>
      <w:r w:rsidRPr="00405A65">
        <w:rPr>
          <w:rFonts w:ascii="Cambria" w:eastAsia="Calibri" w:hAnsi="Cambria"/>
          <w:i w:val="0"/>
          <w:sz w:val="24"/>
          <w:szCs w:val="24"/>
          <w:lang w:val="sq-AL"/>
        </w:rPr>
        <w:t>MINISTRIA PËR EVROPËN DHE PUNËT E JASHTME</w:t>
      </w:r>
      <w:bookmarkEnd w:id="434"/>
      <w:r w:rsidRPr="00405A65">
        <w:rPr>
          <w:rFonts w:ascii="Cambria" w:eastAsia="Calibri" w:hAnsi="Cambria"/>
          <w:i w:val="0"/>
          <w:sz w:val="24"/>
          <w:szCs w:val="24"/>
          <w:lang w:val="sq-AL"/>
        </w:rPr>
        <w:t xml:space="preserve"> </w:t>
      </w:r>
    </w:p>
    <w:p w:rsidR="0023580B" w:rsidRDefault="0023580B" w:rsidP="0023580B">
      <w:pPr>
        <w:rPr>
          <w:highlight w:val="yellow"/>
          <w:lang w:val="sq-AL" w:eastAsia="sq-AL"/>
        </w:rPr>
      </w:pPr>
    </w:p>
    <w:p w:rsidR="00B82D59" w:rsidRPr="004F6BD8" w:rsidRDefault="00B82D59" w:rsidP="00B82D59">
      <w:pPr>
        <w:spacing w:after="200" w:line="276" w:lineRule="auto"/>
        <w:jc w:val="both"/>
        <w:rPr>
          <w:rFonts w:ascii="Cambria" w:eastAsia="Calibri" w:hAnsi="Cambria" w:cs="Times New Roman"/>
          <w:lang w:val="sq-AL"/>
        </w:rPr>
      </w:pPr>
      <w:r w:rsidRPr="004F6BD8">
        <w:rPr>
          <w:rFonts w:ascii="Cambria" w:eastAsia="Calibri" w:hAnsi="Cambria" w:cs="Times New Roman"/>
          <w:lang w:val="sq-AL"/>
        </w:rPr>
        <w:t>Ministria për Evropën dhe Punët e Jashtme formulon, përpunon dhe është zbatuesi kryesor i politikës së jashtme të shtetit shqiptar, në zbatim të programit të qeverisë. Ajo drejton dhe bashkërendon procesin e anëtarësimit të Republikës së Shqipërisë në Bashkimin Evropian. MEPJ në dialog dhe marrëdhënie me të gjithë partnerët ndërkombëtare, pasqyron të gjitha zhvillimet në Shqipëri, përfaqëson e mbron interesat kombëtare si dhe punon për interesat e shtetasve shqiptarë kudo që ata ndodhen, në të mirë të lirisë, sigurisë dhe mirëqënies së tyre.</w:t>
      </w:r>
    </w:p>
    <w:p w:rsidR="00B82D59" w:rsidRPr="004F6BD8" w:rsidRDefault="00B82D59" w:rsidP="00B82D59">
      <w:pPr>
        <w:spacing w:after="200" w:line="276" w:lineRule="auto"/>
        <w:jc w:val="both"/>
        <w:rPr>
          <w:rFonts w:ascii="Cambria" w:eastAsia="Calibri" w:hAnsi="Cambria" w:cs="Times New Roman"/>
          <w:lang w:val="sq-AL"/>
        </w:rPr>
      </w:pPr>
      <w:r w:rsidRPr="004F6BD8">
        <w:rPr>
          <w:rFonts w:ascii="Cambria" w:eastAsia="Calibri" w:hAnsi="Cambria" w:cs="Times New Roman"/>
          <w:lang w:val="sq-AL"/>
        </w:rPr>
        <w:t>Shpenzimet për Ministrinë për Evropën dhe Punët e Jashtme në vlerë nominale, në përqindje ndaj PBB dhe në përqindje ndaj shpenzimeve të përgjithshm</w:t>
      </w:r>
      <w:r>
        <w:rPr>
          <w:rFonts w:ascii="Cambria" w:eastAsia="Calibri" w:hAnsi="Cambria" w:cs="Times New Roman"/>
          <w:lang w:val="sq-AL"/>
        </w:rPr>
        <w:t>e të qeverisë për periudhën 2020-2022</w:t>
      </w:r>
      <w:r w:rsidRPr="004F6BD8">
        <w:rPr>
          <w:rFonts w:ascii="Cambria" w:eastAsia="Calibri" w:hAnsi="Cambria" w:cs="Times New Roman"/>
          <w:lang w:val="sq-AL"/>
        </w:rPr>
        <w:t>, paraqiten në tabelën e mëposhtme:</w:t>
      </w:r>
    </w:p>
    <w:p w:rsidR="00B82D59" w:rsidRPr="004F6BD8" w:rsidRDefault="00B82D59" w:rsidP="00B82D59">
      <w:pPr>
        <w:spacing w:after="200" w:line="276" w:lineRule="auto"/>
        <w:jc w:val="both"/>
        <w:rPr>
          <w:rFonts w:ascii="Cambria" w:eastAsia="Calibri" w:hAnsi="Cambria" w:cs="Times New Roman"/>
          <w:sz w:val="20"/>
          <w:szCs w:val="20"/>
          <w:lang w:val="sq-AL"/>
        </w:rPr>
      </w:pPr>
      <w:r w:rsidRPr="004F6BD8">
        <w:rPr>
          <w:rFonts w:ascii="Cambria" w:eastAsia="Calibri" w:hAnsi="Cambria" w:cs="Times New Roman"/>
          <w:b/>
          <w:sz w:val="20"/>
          <w:szCs w:val="20"/>
          <w:lang w:val="sq-AL"/>
        </w:rPr>
        <w:t>Tabela 19:</w:t>
      </w:r>
      <w:r w:rsidRPr="004F6BD8">
        <w:rPr>
          <w:rFonts w:ascii="Cambria" w:eastAsia="Calibri" w:hAnsi="Cambria" w:cs="Times New Roman"/>
          <w:sz w:val="20"/>
          <w:szCs w:val="20"/>
          <w:lang w:val="sq-AL"/>
        </w:rPr>
        <w:t xml:space="preserve"> </w:t>
      </w:r>
      <w:r w:rsidRPr="004F6BD8">
        <w:rPr>
          <w:rFonts w:ascii="Cambria" w:eastAsia="Times New Roman" w:hAnsi="Cambria" w:cs="Arial"/>
          <w:sz w:val="20"/>
          <w:szCs w:val="20"/>
          <w:lang w:val="sq-AL"/>
        </w:rPr>
        <w:t>Shpenzimet për Ministrinë për Evropën dh</w:t>
      </w:r>
      <w:r>
        <w:rPr>
          <w:rFonts w:ascii="Cambria" w:eastAsia="Times New Roman" w:hAnsi="Cambria" w:cs="Arial"/>
          <w:sz w:val="20"/>
          <w:szCs w:val="20"/>
          <w:lang w:val="sq-AL"/>
        </w:rPr>
        <w:t>e Punët e Jashtme për vitet 2020-2022</w:t>
      </w:r>
    </w:p>
    <w:p w:rsidR="00B82D59" w:rsidRPr="004F6BD8" w:rsidRDefault="00B82D59" w:rsidP="00B82D59">
      <w:pPr>
        <w:spacing w:line="276" w:lineRule="auto"/>
        <w:jc w:val="center"/>
        <w:rPr>
          <w:rFonts w:ascii="Calibri" w:eastAsia="Calibri" w:hAnsi="Calibri" w:cs="Times New Roman"/>
          <w:b/>
          <w:sz w:val="28"/>
          <w:lang w:val="sq-AL"/>
        </w:rPr>
      </w:pPr>
      <w:r w:rsidRPr="00AB767A">
        <w:rPr>
          <w:noProof/>
          <w:lang w:val="en-GB" w:eastAsia="en-GB"/>
        </w:rPr>
        <w:drawing>
          <wp:inline distT="0" distB="0" distL="0" distR="0" wp14:anchorId="010871FA" wp14:editId="3C092BE8">
            <wp:extent cx="5669280" cy="1670050"/>
            <wp:effectExtent l="0" t="0" r="762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69280" cy="1670050"/>
                    </a:xfrm>
                    <a:prstGeom prst="rect">
                      <a:avLst/>
                    </a:prstGeom>
                    <a:noFill/>
                    <a:ln>
                      <a:noFill/>
                    </a:ln>
                  </pic:spPr>
                </pic:pic>
              </a:graphicData>
            </a:graphic>
          </wp:inline>
        </w:drawing>
      </w:r>
    </w:p>
    <w:p w:rsidR="00B82D59" w:rsidRPr="004F6BD8" w:rsidRDefault="00B82D59" w:rsidP="00B82D59">
      <w:pPr>
        <w:keepNext/>
        <w:keepLines/>
        <w:numPr>
          <w:ilvl w:val="2"/>
          <w:numId w:val="27"/>
        </w:numPr>
        <w:spacing w:before="40" w:after="0"/>
        <w:outlineLvl w:val="2"/>
        <w:rPr>
          <w:rFonts w:ascii="Cambria" w:eastAsia="MS Gothic" w:hAnsi="Cambria" w:cs="Times New Roman"/>
          <w:b/>
          <w:lang w:val="sq-AL"/>
        </w:rPr>
      </w:pPr>
      <w:r>
        <w:rPr>
          <w:rFonts w:ascii="Cambria" w:eastAsia="MS Gothic" w:hAnsi="Cambria" w:cs="Times New Roman"/>
          <w:b/>
          <w:lang w:val="sq-AL"/>
        </w:rPr>
        <w:t>Prioritetet për periudhën 2020-2022</w:t>
      </w:r>
    </w:p>
    <w:p w:rsidR="00B82D59" w:rsidRPr="004F6BD8" w:rsidRDefault="00B82D59" w:rsidP="00B82D59">
      <w:pPr>
        <w:rPr>
          <w:rFonts w:ascii="Calibri" w:eastAsia="Calibri" w:hAnsi="Calibri" w:cs="Times New Roman"/>
          <w:lang w:val="sq-AL"/>
        </w:rPr>
      </w:pPr>
    </w:p>
    <w:p w:rsidR="00B82D59" w:rsidRPr="004F6BD8" w:rsidRDefault="00B82D59" w:rsidP="00B82D59">
      <w:pPr>
        <w:spacing w:line="276" w:lineRule="auto"/>
        <w:jc w:val="both"/>
        <w:rPr>
          <w:rFonts w:ascii="Cambria" w:eastAsia="Calibri" w:hAnsi="Cambria" w:cs="Times New Roman"/>
          <w:lang w:val="sq-AL"/>
        </w:rPr>
      </w:pPr>
      <w:r w:rsidRPr="004F6BD8">
        <w:rPr>
          <w:rFonts w:ascii="Cambria" w:eastAsia="Calibri" w:hAnsi="Cambria" w:cs="Times New Roman"/>
          <w:lang w:val="sq-AL"/>
        </w:rPr>
        <w:t xml:space="preserve">Orientimi i politikës së jashtme për tre vitet e </w:t>
      </w:r>
      <w:r>
        <w:rPr>
          <w:rFonts w:ascii="Cambria" w:eastAsia="Calibri" w:hAnsi="Cambria" w:cs="Times New Roman"/>
          <w:lang w:val="sq-AL"/>
        </w:rPr>
        <w:t>PBA-së 2020-2022</w:t>
      </w:r>
      <w:r w:rsidRPr="004F6BD8">
        <w:rPr>
          <w:rFonts w:ascii="Cambria" w:eastAsia="Calibri" w:hAnsi="Cambria" w:cs="Times New Roman"/>
          <w:lang w:val="sq-AL"/>
        </w:rPr>
        <w:t>, do të jetë drejt zgjerimit, intensifikimit, diversifikimit, thellimit dhe pasurimit të marrëdhënieve dypalëshe me vendet fqinje, partnerët strategjik në rajon, Evropën dhe vendet e tjera të botës.</w:t>
      </w:r>
    </w:p>
    <w:p w:rsidR="00B82D59" w:rsidRPr="004F6BD8" w:rsidRDefault="00B82D59" w:rsidP="00B82D59">
      <w:pPr>
        <w:spacing w:line="276" w:lineRule="auto"/>
        <w:jc w:val="both"/>
        <w:rPr>
          <w:rFonts w:ascii="Cambria" w:eastAsia="Calibri" w:hAnsi="Cambria" w:cs="Times New Roman"/>
          <w:lang w:val="sq-AL"/>
        </w:rPr>
      </w:pPr>
    </w:p>
    <w:p w:rsidR="00B82D59" w:rsidRPr="004F6BD8" w:rsidRDefault="00B82D59" w:rsidP="00B82D59">
      <w:pPr>
        <w:spacing w:line="276" w:lineRule="auto"/>
        <w:jc w:val="both"/>
        <w:rPr>
          <w:rFonts w:ascii="Cambria" w:eastAsia="Calibri" w:hAnsi="Cambria" w:cs="Times New Roman"/>
          <w:lang w:val="sq-AL"/>
        </w:rPr>
      </w:pPr>
    </w:p>
    <w:p w:rsidR="00B82D59" w:rsidRDefault="00B82D59" w:rsidP="00B82D59">
      <w:pPr>
        <w:spacing w:line="276" w:lineRule="auto"/>
        <w:jc w:val="both"/>
        <w:rPr>
          <w:rFonts w:ascii="Cambria" w:eastAsia="SimSun" w:hAnsi="Cambria" w:cs="Arial"/>
          <w:b/>
          <w:sz w:val="20"/>
          <w:szCs w:val="20"/>
          <w:lang w:val="sq-AL"/>
        </w:rPr>
      </w:pPr>
    </w:p>
    <w:p w:rsidR="00B82D59" w:rsidRDefault="00B82D59" w:rsidP="00B82D59">
      <w:pPr>
        <w:spacing w:line="276" w:lineRule="auto"/>
        <w:jc w:val="both"/>
        <w:rPr>
          <w:rFonts w:ascii="Cambria" w:eastAsia="SimSun" w:hAnsi="Cambria" w:cs="Arial"/>
          <w:b/>
          <w:sz w:val="20"/>
          <w:szCs w:val="20"/>
          <w:lang w:val="sq-AL"/>
        </w:rPr>
      </w:pPr>
    </w:p>
    <w:p w:rsidR="00B82D59" w:rsidRDefault="00B82D59" w:rsidP="00B82D59">
      <w:pPr>
        <w:spacing w:line="276" w:lineRule="auto"/>
        <w:jc w:val="both"/>
        <w:rPr>
          <w:rFonts w:ascii="Cambria" w:eastAsia="SimSun" w:hAnsi="Cambria" w:cs="Arial"/>
          <w:b/>
          <w:sz w:val="20"/>
          <w:szCs w:val="20"/>
          <w:lang w:val="sq-AL"/>
        </w:rPr>
      </w:pPr>
    </w:p>
    <w:p w:rsidR="00B82D59" w:rsidRDefault="00B82D59" w:rsidP="00B82D59">
      <w:pPr>
        <w:spacing w:line="276" w:lineRule="auto"/>
        <w:jc w:val="both"/>
        <w:rPr>
          <w:rFonts w:ascii="Cambria" w:eastAsia="SimSun" w:hAnsi="Cambria" w:cs="Arial"/>
          <w:b/>
          <w:sz w:val="20"/>
          <w:szCs w:val="20"/>
          <w:lang w:val="sq-AL"/>
        </w:rPr>
      </w:pPr>
    </w:p>
    <w:p w:rsidR="00405A65" w:rsidRDefault="00405A65" w:rsidP="00B82D59">
      <w:pPr>
        <w:spacing w:line="276" w:lineRule="auto"/>
        <w:jc w:val="both"/>
        <w:rPr>
          <w:rFonts w:ascii="Cambria" w:eastAsia="SimSun" w:hAnsi="Cambria" w:cs="Arial"/>
          <w:b/>
          <w:sz w:val="20"/>
          <w:szCs w:val="20"/>
          <w:lang w:val="sq-AL"/>
        </w:rPr>
      </w:pPr>
    </w:p>
    <w:p w:rsidR="00405A65" w:rsidRDefault="00405A65" w:rsidP="00B82D59">
      <w:pPr>
        <w:spacing w:line="276" w:lineRule="auto"/>
        <w:jc w:val="both"/>
        <w:rPr>
          <w:rFonts w:ascii="Cambria" w:eastAsia="SimSun" w:hAnsi="Cambria" w:cs="Arial"/>
          <w:b/>
          <w:sz w:val="20"/>
          <w:szCs w:val="20"/>
          <w:lang w:val="sq-AL"/>
        </w:rPr>
      </w:pPr>
    </w:p>
    <w:p w:rsidR="00B82D59" w:rsidRDefault="00B82D59" w:rsidP="00B82D59">
      <w:pPr>
        <w:spacing w:line="276" w:lineRule="auto"/>
        <w:jc w:val="both"/>
        <w:rPr>
          <w:rFonts w:ascii="Cambria" w:eastAsia="SimSun" w:hAnsi="Cambria" w:cs="Arial"/>
          <w:b/>
          <w:sz w:val="20"/>
          <w:szCs w:val="20"/>
          <w:lang w:val="sq-AL"/>
        </w:rPr>
      </w:pPr>
    </w:p>
    <w:p w:rsidR="00B82D59" w:rsidRPr="004F6BD8" w:rsidRDefault="00B82D59" w:rsidP="00B82D59">
      <w:pPr>
        <w:spacing w:line="276" w:lineRule="auto"/>
        <w:jc w:val="both"/>
        <w:rPr>
          <w:rFonts w:ascii="Cambria" w:eastAsia="Calibri" w:hAnsi="Cambria" w:cs="Times New Roman"/>
          <w:sz w:val="20"/>
          <w:szCs w:val="20"/>
          <w:lang w:val="sq-AL"/>
        </w:rPr>
      </w:pPr>
      <w:r w:rsidRPr="004F6BD8">
        <w:rPr>
          <w:rFonts w:ascii="Cambria" w:eastAsia="SimSun" w:hAnsi="Cambria" w:cs="Arial"/>
          <w:b/>
          <w:sz w:val="20"/>
          <w:szCs w:val="20"/>
          <w:lang w:val="sq-AL"/>
        </w:rPr>
        <w:lastRenderedPageBreak/>
        <w:t>Tabela 20</w:t>
      </w:r>
      <w:r w:rsidRPr="004F6BD8">
        <w:rPr>
          <w:rFonts w:ascii="Cambria" w:eastAsia="SimSun" w:hAnsi="Cambria" w:cs="Arial"/>
          <w:sz w:val="20"/>
          <w:szCs w:val="20"/>
          <w:lang w:val="sq-AL"/>
        </w:rPr>
        <w:t>: Përmbledhje e Kërkesave</w:t>
      </w:r>
      <w:r>
        <w:rPr>
          <w:rFonts w:ascii="Cambria" w:eastAsia="SimSun" w:hAnsi="Cambria" w:cs="Arial"/>
          <w:sz w:val="20"/>
          <w:szCs w:val="20"/>
          <w:lang w:val="sq-AL"/>
        </w:rPr>
        <w:t xml:space="preserve"> Buxhetore për vitet 2020-2022</w:t>
      </w:r>
      <w:r w:rsidRPr="004F6BD8">
        <w:rPr>
          <w:rFonts w:ascii="Cambria" w:eastAsia="SimSun" w:hAnsi="Cambria" w:cs="Arial"/>
          <w:sz w:val="20"/>
          <w:szCs w:val="20"/>
          <w:lang w:val="sq-AL"/>
        </w:rPr>
        <w:t xml:space="preserve"> për Ministrinë për Evropën dhe Punët e Jashtme</w:t>
      </w:r>
    </w:p>
    <w:p w:rsidR="00B82D59" w:rsidRDefault="00B82D59" w:rsidP="00B82D59">
      <w:pPr>
        <w:spacing w:line="276" w:lineRule="auto"/>
        <w:jc w:val="center"/>
        <w:rPr>
          <w:rFonts w:ascii="Cambria" w:eastAsia="Calibri" w:hAnsi="Cambria" w:cs="Times New Roman"/>
          <w:lang w:val="sq-AL"/>
        </w:rPr>
      </w:pPr>
      <w:r w:rsidRPr="00496571">
        <w:rPr>
          <w:noProof/>
          <w:lang w:val="en-GB" w:eastAsia="en-GB"/>
        </w:rPr>
        <w:drawing>
          <wp:inline distT="0" distB="0" distL="0" distR="0" wp14:anchorId="46E643F1" wp14:editId="0AC93FA2">
            <wp:extent cx="4769485" cy="329915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74493" cy="3302620"/>
                    </a:xfrm>
                    <a:prstGeom prst="rect">
                      <a:avLst/>
                    </a:prstGeom>
                    <a:noFill/>
                    <a:ln>
                      <a:noFill/>
                    </a:ln>
                  </pic:spPr>
                </pic:pic>
              </a:graphicData>
            </a:graphic>
          </wp:inline>
        </w:drawing>
      </w:r>
    </w:p>
    <w:p w:rsidR="00B82D59" w:rsidRPr="004F6BD8" w:rsidRDefault="00B82D59" w:rsidP="00B82D59">
      <w:pPr>
        <w:spacing w:line="276" w:lineRule="auto"/>
        <w:jc w:val="center"/>
        <w:rPr>
          <w:rFonts w:ascii="Cambria" w:eastAsia="Calibri" w:hAnsi="Cambria" w:cs="Times New Roman"/>
          <w:lang w:val="sq-AL"/>
        </w:rPr>
      </w:pPr>
    </w:p>
    <w:p w:rsidR="00B82D59" w:rsidRPr="004F6BD8" w:rsidRDefault="00B82D59" w:rsidP="00B82D59">
      <w:pPr>
        <w:keepNext/>
        <w:keepLines/>
        <w:numPr>
          <w:ilvl w:val="2"/>
          <w:numId w:val="27"/>
        </w:numPr>
        <w:spacing w:before="40" w:after="0"/>
        <w:outlineLvl w:val="2"/>
        <w:rPr>
          <w:rFonts w:ascii="Cambria" w:eastAsia="MS Gothic" w:hAnsi="Cambria" w:cs="Times New Roman"/>
          <w:b/>
          <w:lang w:val="sq-AL"/>
        </w:rPr>
      </w:pPr>
      <w:r w:rsidRPr="004F6BD8">
        <w:rPr>
          <w:rFonts w:ascii="Cambria" w:eastAsia="MS Gothic" w:hAnsi="Cambria" w:cs="Times New Roman"/>
          <w:b/>
          <w:lang w:val="sq-AL"/>
        </w:rPr>
        <w:t>Përmbledhje e Treguesve Kyç të Performancës</w:t>
      </w:r>
    </w:p>
    <w:p w:rsidR="00B82D59" w:rsidRPr="004F6BD8" w:rsidRDefault="00B82D59" w:rsidP="00B82D59">
      <w:pPr>
        <w:spacing w:line="276" w:lineRule="auto"/>
        <w:jc w:val="both"/>
        <w:rPr>
          <w:rFonts w:ascii="Cambria" w:eastAsia="Calibri" w:hAnsi="Cambria" w:cs="Times New Roman"/>
          <w:lang w:val="sq-AL"/>
        </w:rPr>
      </w:pPr>
    </w:p>
    <w:p w:rsidR="00B82D59" w:rsidRPr="004F6BD8" w:rsidRDefault="00B82D59" w:rsidP="00B82D59">
      <w:pPr>
        <w:spacing w:line="276" w:lineRule="auto"/>
        <w:jc w:val="both"/>
        <w:rPr>
          <w:rFonts w:ascii="Cambria" w:eastAsia="Calibri" w:hAnsi="Cambria" w:cs="Times New Roman"/>
          <w:lang w:val="sq-AL"/>
        </w:rPr>
      </w:pPr>
      <w:r w:rsidRPr="004F6BD8">
        <w:rPr>
          <w:rFonts w:ascii="Cambria" w:eastAsia="Calibri" w:hAnsi="Cambria" w:cs="Times New Roman"/>
          <w:lang w:val="sq-AL"/>
        </w:rPr>
        <w:t>Objektivat kryesorë që synohen të arrihen nga aktiviteti i Ministrisë për Evropën dh</w:t>
      </w:r>
      <w:r>
        <w:rPr>
          <w:rFonts w:ascii="Cambria" w:eastAsia="Calibri" w:hAnsi="Cambria" w:cs="Times New Roman"/>
          <w:lang w:val="sq-AL"/>
        </w:rPr>
        <w:t>e Punët e Jashtme për vitin 2020-2022</w:t>
      </w:r>
      <w:r w:rsidRPr="004F6BD8">
        <w:rPr>
          <w:rFonts w:ascii="Cambria" w:eastAsia="Calibri" w:hAnsi="Cambria" w:cs="Times New Roman"/>
          <w:lang w:val="sq-AL"/>
        </w:rPr>
        <w:t>, shoqëruar me rezultatet e synuar renditen më poshtë:</w:t>
      </w:r>
    </w:p>
    <w:p w:rsidR="00B82D59" w:rsidRPr="004F6BD8" w:rsidRDefault="00B82D59" w:rsidP="00B82D59">
      <w:pPr>
        <w:numPr>
          <w:ilvl w:val="0"/>
          <w:numId w:val="25"/>
        </w:numPr>
        <w:spacing w:after="0" w:line="276" w:lineRule="auto"/>
        <w:jc w:val="both"/>
        <w:rPr>
          <w:rFonts w:ascii="Cambria" w:eastAsia="Calibri" w:hAnsi="Cambria" w:cs="Times New Roman"/>
          <w:lang w:val="sq-AL"/>
        </w:rPr>
      </w:pPr>
      <w:r w:rsidRPr="004F6BD8">
        <w:rPr>
          <w:rFonts w:ascii="Cambria" w:eastAsia="Calibri" w:hAnsi="Cambria" w:cs="Times New Roman"/>
          <w:lang w:val="sq-AL"/>
        </w:rPr>
        <w:t>Hapja e negociatave për anëtarësimin në Bashkimin Europian.</w:t>
      </w:r>
    </w:p>
    <w:p w:rsidR="00B82D59" w:rsidRPr="004F6BD8" w:rsidRDefault="00B82D59" w:rsidP="00B82D59">
      <w:pPr>
        <w:numPr>
          <w:ilvl w:val="0"/>
          <w:numId w:val="25"/>
        </w:numPr>
        <w:spacing w:after="0" w:line="276" w:lineRule="auto"/>
        <w:jc w:val="both"/>
        <w:rPr>
          <w:rFonts w:ascii="Cambria" w:eastAsia="Calibri" w:hAnsi="Cambria" w:cs="Times New Roman"/>
          <w:lang w:val="sq-AL"/>
        </w:rPr>
      </w:pPr>
      <w:r w:rsidRPr="004F6BD8">
        <w:rPr>
          <w:rFonts w:ascii="Cambria" w:eastAsia="Calibri" w:hAnsi="Cambria" w:cs="Times New Roman"/>
          <w:lang w:val="sq-AL"/>
        </w:rPr>
        <w:t>Zhvillimi i mëtejshëm i marrëdhënieve me prioritet partneriteti strategjik.</w:t>
      </w:r>
    </w:p>
    <w:p w:rsidR="00B82D59" w:rsidRPr="004F6BD8" w:rsidRDefault="00B82D59" w:rsidP="00B82D59">
      <w:pPr>
        <w:numPr>
          <w:ilvl w:val="0"/>
          <w:numId w:val="25"/>
        </w:numPr>
        <w:spacing w:after="0" w:line="276" w:lineRule="auto"/>
        <w:jc w:val="both"/>
        <w:rPr>
          <w:rFonts w:ascii="Cambria" w:eastAsia="Calibri" w:hAnsi="Cambria" w:cs="Times New Roman"/>
          <w:lang w:val="sq-AL"/>
        </w:rPr>
      </w:pPr>
      <w:r w:rsidRPr="004F6BD8">
        <w:rPr>
          <w:rFonts w:ascii="Cambria" w:eastAsia="Calibri" w:hAnsi="Cambria" w:cs="Times New Roman"/>
          <w:lang w:val="sq-AL"/>
        </w:rPr>
        <w:t>Vazhdimi i angazhimeve për njohjen e mëtejshme ndërkombëtare të shtetit të Kosovës për pjesëmarrje dhe anëtarësimin e saj në organizatat rajonale dhe ndërkombëtare.</w:t>
      </w:r>
    </w:p>
    <w:p w:rsidR="00B82D59" w:rsidRPr="004F6BD8" w:rsidRDefault="00B82D59" w:rsidP="00B82D59">
      <w:pPr>
        <w:numPr>
          <w:ilvl w:val="0"/>
          <w:numId w:val="25"/>
        </w:numPr>
        <w:spacing w:after="0" w:line="276" w:lineRule="auto"/>
        <w:jc w:val="both"/>
        <w:rPr>
          <w:rFonts w:ascii="Cambria" w:eastAsia="Calibri" w:hAnsi="Cambria" w:cs="Times New Roman"/>
          <w:lang w:val="sq-AL"/>
        </w:rPr>
      </w:pPr>
      <w:r w:rsidRPr="004F6BD8">
        <w:rPr>
          <w:rFonts w:ascii="Cambria" w:eastAsia="Calibri" w:hAnsi="Cambria" w:cs="Times New Roman"/>
          <w:lang w:val="sq-AL"/>
        </w:rPr>
        <w:t>Funksionalizimi dhe mbështetja e punës së dy nismave rajonale me seli në Tiranë: Zyra Rajonale për Bashkëpunim Rinor dhe Fondi i Ballkanit Perendimor si dhe në tërësi pjesëmarrjes aktive në bashkëpunimet shumëpalëshe rajonale.</w:t>
      </w:r>
    </w:p>
    <w:p w:rsidR="00B82D59" w:rsidRPr="004F6BD8" w:rsidRDefault="00B82D59" w:rsidP="00B82D59">
      <w:pPr>
        <w:numPr>
          <w:ilvl w:val="0"/>
          <w:numId w:val="25"/>
        </w:numPr>
        <w:spacing w:after="0" w:line="276" w:lineRule="auto"/>
        <w:jc w:val="both"/>
        <w:rPr>
          <w:rFonts w:ascii="Cambria" w:eastAsia="Calibri" w:hAnsi="Cambria" w:cs="Times New Roman"/>
          <w:lang w:val="sq-AL"/>
        </w:rPr>
      </w:pPr>
      <w:r w:rsidRPr="004F6BD8">
        <w:rPr>
          <w:rFonts w:ascii="Cambria" w:eastAsia="Calibri" w:hAnsi="Cambria" w:cs="Times New Roman"/>
          <w:lang w:val="sq-AL"/>
        </w:rPr>
        <w:t xml:space="preserve">Kryesimi i disa nismave rajonale dhe organizatave ndërkombëtare. </w:t>
      </w:r>
    </w:p>
    <w:p w:rsidR="00B82D59" w:rsidRPr="004F6BD8" w:rsidRDefault="00B82D59" w:rsidP="00B82D59">
      <w:pPr>
        <w:numPr>
          <w:ilvl w:val="0"/>
          <w:numId w:val="25"/>
        </w:numPr>
        <w:spacing w:after="0" w:line="276" w:lineRule="auto"/>
        <w:jc w:val="both"/>
        <w:rPr>
          <w:rFonts w:ascii="Cambria" w:eastAsia="Calibri" w:hAnsi="Cambria" w:cs="Times New Roman"/>
          <w:lang w:val="sq-AL"/>
        </w:rPr>
      </w:pPr>
      <w:r w:rsidRPr="004F6BD8">
        <w:rPr>
          <w:rFonts w:ascii="Cambria" w:eastAsia="Calibri" w:hAnsi="Cambria" w:cs="Times New Roman"/>
          <w:lang w:val="sq-AL"/>
        </w:rPr>
        <w:t>Pjesëmarrje aktive dhe realizimi i kontributit të Republikës së Shqipërisë në kuadër të NATO-s.</w:t>
      </w:r>
    </w:p>
    <w:p w:rsidR="00B82D59" w:rsidRPr="004F6BD8" w:rsidRDefault="00B82D59" w:rsidP="00B82D59">
      <w:pPr>
        <w:numPr>
          <w:ilvl w:val="0"/>
          <w:numId w:val="25"/>
        </w:numPr>
        <w:spacing w:after="0" w:line="276" w:lineRule="auto"/>
        <w:jc w:val="both"/>
        <w:rPr>
          <w:rFonts w:ascii="Cambria" w:eastAsia="Calibri" w:hAnsi="Cambria" w:cs="Times New Roman"/>
          <w:lang w:val="sq-AL"/>
        </w:rPr>
      </w:pPr>
      <w:r w:rsidRPr="004F6BD8">
        <w:rPr>
          <w:rFonts w:ascii="Cambria" w:eastAsia="Calibri" w:hAnsi="Cambria" w:cs="Times New Roman"/>
          <w:lang w:val="sq-AL"/>
        </w:rPr>
        <w:t>Zbatimi i detyrimeve të anëtarësimit në organizata dhe forume shumëpalëshe.</w:t>
      </w:r>
    </w:p>
    <w:p w:rsidR="00B82D59" w:rsidRPr="004F6BD8" w:rsidRDefault="00B82D59" w:rsidP="00B82D59">
      <w:pPr>
        <w:numPr>
          <w:ilvl w:val="0"/>
          <w:numId w:val="25"/>
        </w:numPr>
        <w:spacing w:after="0" w:line="276" w:lineRule="auto"/>
        <w:jc w:val="both"/>
        <w:rPr>
          <w:rFonts w:ascii="Cambria" w:eastAsia="Calibri" w:hAnsi="Cambria" w:cs="Times New Roman"/>
          <w:lang w:val="sq-AL"/>
        </w:rPr>
      </w:pPr>
      <w:r w:rsidRPr="004F6BD8">
        <w:rPr>
          <w:rFonts w:ascii="Cambria" w:eastAsia="Calibri" w:hAnsi="Cambria" w:cs="Times New Roman"/>
          <w:lang w:val="sq-AL"/>
        </w:rPr>
        <w:t xml:space="preserve">Plotësimi i bazës ligjore të bashkëpunimit me vendet e tjera. </w:t>
      </w:r>
    </w:p>
    <w:p w:rsidR="00B82D59" w:rsidRDefault="00B82D59" w:rsidP="00B82D59">
      <w:pPr>
        <w:numPr>
          <w:ilvl w:val="0"/>
          <w:numId w:val="25"/>
        </w:numPr>
        <w:spacing w:after="0" w:line="276" w:lineRule="auto"/>
        <w:jc w:val="both"/>
        <w:rPr>
          <w:rFonts w:ascii="Cambria" w:eastAsia="Calibri" w:hAnsi="Cambria" w:cs="Times New Roman"/>
          <w:lang w:val="sq-AL"/>
        </w:rPr>
      </w:pPr>
      <w:r w:rsidRPr="004F6BD8">
        <w:rPr>
          <w:rFonts w:ascii="Cambria" w:eastAsia="Calibri" w:hAnsi="Cambria" w:cs="Times New Roman"/>
          <w:lang w:val="sq-AL"/>
        </w:rPr>
        <w:t>Forcimi dhe rritja e rolit të diplomacisë publike ekonomike dhe diasporës,në shërbim të interesave ekonomike të Shqipërisë, promovimit dhe potencialit për investime, tregti dhe bashkëpunim ekonomik, tregëtar ddhe kulturor me partneret tanë nd</w:t>
      </w:r>
      <w:r>
        <w:rPr>
          <w:rFonts w:ascii="Cambria" w:eastAsia="Calibri" w:hAnsi="Cambria" w:cs="Times New Roman"/>
          <w:lang w:val="sq-AL"/>
        </w:rPr>
        <w:t>ërkombëtarë dy dhe shumë palësh.</w:t>
      </w:r>
    </w:p>
    <w:p w:rsidR="0023580B" w:rsidRPr="00B82D59" w:rsidRDefault="00B82D59" w:rsidP="00B82D59">
      <w:pPr>
        <w:numPr>
          <w:ilvl w:val="0"/>
          <w:numId w:val="25"/>
        </w:numPr>
        <w:spacing w:after="0" w:line="276" w:lineRule="auto"/>
        <w:jc w:val="both"/>
        <w:rPr>
          <w:rFonts w:ascii="Cambria" w:eastAsia="Calibri" w:hAnsi="Cambria" w:cs="Times New Roman"/>
          <w:lang w:val="sq-AL"/>
        </w:rPr>
      </w:pPr>
      <w:r w:rsidRPr="00B82D59">
        <w:rPr>
          <w:rFonts w:ascii="Cambria" w:eastAsia="Calibri" w:hAnsi="Cambria" w:cs="Times New Roman"/>
          <w:lang w:val="sq-AL"/>
        </w:rPr>
        <w:lastRenderedPageBreak/>
        <w:t>Realizimi i shërbimit konsullor mbështetur në profesionalizëm, efiçencë, transparencë dhe përgjegjshmëri.</w:t>
      </w:r>
    </w:p>
    <w:p w:rsidR="0076734E" w:rsidRPr="00405A65" w:rsidRDefault="0076734E" w:rsidP="00F044CC">
      <w:pPr>
        <w:pStyle w:val="Heading2"/>
        <w:rPr>
          <w:rFonts w:ascii="Cambria" w:eastAsia="Calibri" w:hAnsi="Cambria"/>
          <w:i w:val="0"/>
          <w:sz w:val="24"/>
          <w:lang w:val="sq-AL"/>
        </w:rPr>
      </w:pPr>
      <w:bookmarkStart w:id="435" w:name="_Toc391045446"/>
      <w:bookmarkStart w:id="436" w:name="_Toc13653996"/>
      <w:r w:rsidRPr="00405A65">
        <w:rPr>
          <w:rFonts w:ascii="Cambria" w:eastAsia="Calibri" w:hAnsi="Cambria"/>
          <w:i w:val="0"/>
          <w:sz w:val="24"/>
          <w:lang w:val="sq-AL"/>
        </w:rPr>
        <w:t>MINISTRIA E KULTURËS</w:t>
      </w:r>
      <w:bookmarkEnd w:id="435"/>
      <w:bookmarkEnd w:id="436"/>
    </w:p>
    <w:p w:rsidR="00A231D0" w:rsidRPr="004F6BD8" w:rsidRDefault="00A231D0" w:rsidP="00A231D0">
      <w:pPr>
        <w:spacing w:after="200" w:line="276" w:lineRule="auto"/>
        <w:jc w:val="both"/>
        <w:rPr>
          <w:rFonts w:ascii="Cambria" w:eastAsia="Calibri" w:hAnsi="Cambria" w:cs="Times New Roman"/>
          <w:lang w:val="sq-AL"/>
        </w:rPr>
      </w:pPr>
      <w:r w:rsidRPr="004F6BD8">
        <w:rPr>
          <w:rFonts w:ascii="Cambria" w:eastAsia="Calibri" w:hAnsi="Cambria" w:cs="Times New Roman"/>
          <w:lang w:val="sq-AL"/>
        </w:rPr>
        <w:t xml:space="preserve">Ministria e Kulturës ka për mision të mbrojë, zhvillojë dhe promovojë politikat kombëtare të kulturës, të trashëgimisë kulturore dhe zhvillimit të artit në Shqipëri nëpërmjet rijetësimit të vlerave dhe trashëgimisë kulturore, nxitjes së investimeve, publike dhe private, mbrojtjes së trashëgimisë kulturore, dhe mbështetjes për artin. </w:t>
      </w:r>
    </w:p>
    <w:p w:rsidR="00A231D0" w:rsidRPr="004F6BD8" w:rsidRDefault="00A231D0" w:rsidP="00A231D0">
      <w:pPr>
        <w:spacing w:after="200" w:line="276" w:lineRule="auto"/>
        <w:jc w:val="both"/>
        <w:rPr>
          <w:rFonts w:ascii="Cambria" w:eastAsia="Calibri" w:hAnsi="Cambria" w:cs="Times New Roman"/>
          <w:lang w:val="sq-AL"/>
        </w:rPr>
      </w:pPr>
      <w:r>
        <w:rPr>
          <w:rFonts w:ascii="Cambria" w:eastAsia="Calibri" w:hAnsi="Cambria" w:cs="Times New Roman"/>
          <w:lang w:val="sq-AL"/>
        </w:rPr>
        <w:t>Për periudhën 2020-2022</w:t>
      </w:r>
      <w:r w:rsidRPr="004F6BD8">
        <w:rPr>
          <w:rFonts w:ascii="Cambria" w:eastAsia="Calibri" w:hAnsi="Cambria" w:cs="Times New Roman"/>
          <w:lang w:val="sq-AL"/>
        </w:rPr>
        <w:t xml:space="preserve">, shpenzimet buxhetore të Ministrisë së Kulturës për të përmbushur objektivat e synuar paraqiten sipas tabelës së mëposhtme. </w:t>
      </w:r>
    </w:p>
    <w:p w:rsidR="00A231D0" w:rsidRPr="004F6BD8" w:rsidRDefault="00A231D0" w:rsidP="00A231D0">
      <w:pPr>
        <w:spacing w:after="200" w:line="276" w:lineRule="auto"/>
        <w:jc w:val="both"/>
        <w:rPr>
          <w:rFonts w:ascii="Cambria" w:eastAsia="Calibri" w:hAnsi="Cambria" w:cs="Times New Roman"/>
          <w:sz w:val="20"/>
          <w:szCs w:val="20"/>
          <w:lang w:val="sq-AL"/>
        </w:rPr>
      </w:pPr>
      <w:r w:rsidRPr="004F6BD8">
        <w:rPr>
          <w:rFonts w:ascii="Cambria" w:eastAsia="Calibri" w:hAnsi="Cambria" w:cs="Times New Roman"/>
          <w:b/>
          <w:sz w:val="20"/>
          <w:szCs w:val="20"/>
          <w:lang w:val="sq-AL"/>
        </w:rPr>
        <w:t>Tabela 21</w:t>
      </w:r>
      <w:r w:rsidRPr="004F6BD8">
        <w:rPr>
          <w:rFonts w:ascii="Cambria" w:eastAsia="Calibri" w:hAnsi="Cambria" w:cs="Times New Roman"/>
          <w:sz w:val="20"/>
          <w:szCs w:val="20"/>
          <w:lang w:val="sq-AL"/>
        </w:rPr>
        <w:t>: Shpenzimet për Min</w:t>
      </w:r>
      <w:r>
        <w:rPr>
          <w:rFonts w:ascii="Cambria" w:eastAsia="Calibri" w:hAnsi="Cambria" w:cs="Times New Roman"/>
          <w:sz w:val="20"/>
          <w:szCs w:val="20"/>
          <w:lang w:val="sq-AL"/>
        </w:rPr>
        <w:t>istrinë e Kulturës pë vitet 2020-2022</w:t>
      </w:r>
    </w:p>
    <w:p w:rsidR="00A231D0" w:rsidRPr="004F6BD8" w:rsidRDefault="00A231D0" w:rsidP="00A231D0">
      <w:pPr>
        <w:spacing w:after="200" w:line="276" w:lineRule="auto"/>
        <w:jc w:val="center"/>
        <w:rPr>
          <w:rFonts w:ascii="Cambria" w:eastAsia="Calibri" w:hAnsi="Cambria" w:cs="Times New Roman"/>
          <w:b/>
          <w:lang w:val="sq-AL"/>
        </w:rPr>
      </w:pPr>
      <w:r w:rsidRPr="00687636">
        <w:rPr>
          <w:noProof/>
          <w:lang w:val="en-GB" w:eastAsia="en-GB"/>
        </w:rPr>
        <w:drawing>
          <wp:inline distT="0" distB="0" distL="0" distR="0" wp14:anchorId="659ADD7A" wp14:editId="012F70EF">
            <wp:extent cx="5669280" cy="201993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69280" cy="2019935"/>
                    </a:xfrm>
                    <a:prstGeom prst="rect">
                      <a:avLst/>
                    </a:prstGeom>
                    <a:noFill/>
                    <a:ln>
                      <a:noFill/>
                    </a:ln>
                  </pic:spPr>
                </pic:pic>
              </a:graphicData>
            </a:graphic>
          </wp:inline>
        </w:drawing>
      </w:r>
    </w:p>
    <w:p w:rsidR="00A231D0" w:rsidRPr="004F6BD8" w:rsidRDefault="00A231D0" w:rsidP="00A231D0">
      <w:pPr>
        <w:keepNext/>
        <w:keepLines/>
        <w:numPr>
          <w:ilvl w:val="2"/>
          <w:numId w:val="27"/>
        </w:numPr>
        <w:tabs>
          <w:tab w:val="num" w:pos="360"/>
        </w:tabs>
        <w:spacing w:before="40" w:after="0"/>
        <w:ind w:left="0" w:firstLine="0"/>
        <w:outlineLvl w:val="2"/>
        <w:rPr>
          <w:rFonts w:ascii="Cambria" w:eastAsia="Times New Roman" w:hAnsi="Cambria" w:cs="Times New Roman"/>
          <w:b/>
          <w:lang w:val="sq-AL"/>
        </w:rPr>
      </w:pPr>
      <w:r>
        <w:rPr>
          <w:rFonts w:ascii="Cambria" w:eastAsia="Times New Roman" w:hAnsi="Cambria" w:cs="Times New Roman"/>
          <w:b/>
          <w:lang w:val="sq-AL"/>
        </w:rPr>
        <w:t>Prioritetet për periudhën 2020-2022</w:t>
      </w:r>
    </w:p>
    <w:p w:rsidR="00A231D0" w:rsidRPr="004F6BD8" w:rsidRDefault="00A231D0" w:rsidP="00A231D0">
      <w:pPr>
        <w:keepNext/>
        <w:keepLines/>
        <w:spacing w:before="40" w:after="0"/>
        <w:outlineLvl w:val="2"/>
        <w:rPr>
          <w:rFonts w:ascii="Cambria" w:eastAsia="Times New Roman" w:hAnsi="Cambria" w:cs="Times New Roman"/>
          <w:b/>
          <w:lang w:val="sq-AL"/>
        </w:rPr>
      </w:pPr>
    </w:p>
    <w:p w:rsidR="00A231D0" w:rsidRPr="005238A0" w:rsidRDefault="00A231D0" w:rsidP="00A231D0">
      <w:pPr>
        <w:numPr>
          <w:ilvl w:val="0"/>
          <w:numId w:val="26"/>
        </w:numPr>
        <w:spacing w:after="0" w:line="240" w:lineRule="auto"/>
        <w:jc w:val="both"/>
        <w:rPr>
          <w:rFonts w:ascii="Cambria" w:eastAsia="Times New Roman" w:hAnsi="Cambria" w:cs="Times New Roman"/>
          <w:lang w:val="sq-AL"/>
        </w:rPr>
      </w:pPr>
      <w:r w:rsidRPr="005238A0">
        <w:rPr>
          <w:rFonts w:ascii="Cambria" w:eastAsia="Times New Roman" w:hAnsi="Cambria" w:cs="Times New Roman"/>
          <w:lang w:val="sq-AL"/>
        </w:rPr>
        <w:t xml:space="preserve">Programi Kombëtar “Edukimi përmes Artit” do të jetë vijimi i një reforme të thellë dhe të qëndrushëm në institucionet e artit dhe politikat kulturore duke vënë theksin në rëndësinë dhe rolin e edukimit përmes kulturës në kohezionin social, i provuar tashmë në vende të tjera. </w:t>
      </w:r>
    </w:p>
    <w:p w:rsidR="00A231D0" w:rsidRPr="004F6BD8" w:rsidRDefault="00A231D0" w:rsidP="00A231D0">
      <w:pPr>
        <w:numPr>
          <w:ilvl w:val="0"/>
          <w:numId w:val="26"/>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Përmirësimi i gjendjes fizike të monumenteve të kulturës përmes ndërhyrjeve të vazhdueshme në të gjithë vendin, përmirësimi i infrastrukturës në Muzetë Kombëtarë, Parqe Arkeologjikë si dhe përmirësimin i gjendjes fizike të monumenteve të kulturës përmes ndërhyrjeve të vazhdueshme në të gjithë vendin.</w:t>
      </w:r>
    </w:p>
    <w:p w:rsidR="00A231D0" w:rsidRPr="004F6BD8" w:rsidRDefault="00A231D0" w:rsidP="00A231D0">
      <w:pPr>
        <w:numPr>
          <w:ilvl w:val="0"/>
          <w:numId w:val="26"/>
        </w:numPr>
        <w:spacing w:after="0" w:line="240" w:lineRule="auto"/>
        <w:jc w:val="both"/>
        <w:rPr>
          <w:rFonts w:ascii="Cambria" w:eastAsia="Times New Roman" w:hAnsi="Cambria" w:cs="Times New Roman"/>
          <w:lang w:val="sq-AL"/>
        </w:rPr>
      </w:pPr>
      <w:r w:rsidRPr="004F6BD8">
        <w:rPr>
          <w:rFonts w:ascii="Cambria" w:eastAsia="Times New Roman" w:hAnsi="Cambria" w:cs="Times New Roman"/>
          <w:lang w:val="sq-AL"/>
        </w:rPr>
        <w:t>Edukimi përmes librit dhe veprimtarive bibliotekare, pasurimi i fondit bibliotekar në të gjithë rrjetin e bibliotekave në mbarë vendin, me qëllim rritjen dhe edukimin e lexuesit.</w:t>
      </w:r>
    </w:p>
    <w:p w:rsidR="00A231D0" w:rsidRPr="004F6BD8" w:rsidRDefault="00A231D0" w:rsidP="00A231D0">
      <w:pPr>
        <w:numPr>
          <w:ilvl w:val="0"/>
          <w:numId w:val="26"/>
        </w:numPr>
        <w:spacing w:after="0" w:line="240" w:lineRule="auto"/>
        <w:jc w:val="both"/>
        <w:rPr>
          <w:rFonts w:ascii="Cambria" w:eastAsia="Times New Roman" w:hAnsi="Cambria" w:cs="Times New Roman"/>
          <w:lang w:val="sq-AL"/>
        </w:rPr>
      </w:pPr>
      <w:r w:rsidRPr="004F6BD8">
        <w:rPr>
          <w:rFonts w:ascii="Cambria" w:eastAsia="Times New Roman" w:hAnsi="Cambria" w:cs="Times New Roman"/>
          <w:lang w:val="sq-AL"/>
        </w:rPr>
        <w:t>Rritja e aksesit të publikut në Muze, Monumentet e kulturës, ansambleve arkitektonike, qyteteve muze, qendra historike, zonave dhe parqeve arkeologjike në funksion  të turizmit kulturor.</w:t>
      </w:r>
    </w:p>
    <w:p w:rsidR="00A231D0" w:rsidRPr="005238A0" w:rsidRDefault="00A231D0" w:rsidP="00A231D0">
      <w:pPr>
        <w:numPr>
          <w:ilvl w:val="0"/>
          <w:numId w:val="26"/>
        </w:numPr>
        <w:spacing w:after="0" w:line="240" w:lineRule="auto"/>
        <w:contextualSpacing/>
        <w:jc w:val="both"/>
        <w:rPr>
          <w:rFonts w:ascii="Cambria" w:eastAsia="Times New Roman" w:hAnsi="Cambria" w:cs="Times New Roman"/>
          <w:lang w:val="sq-AL"/>
        </w:rPr>
      </w:pPr>
      <w:r w:rsidRPr="005238A0">
        <w:rPr>
          <w:rFonts w:ascii="Cambria" w:eastAsia="Times New Roman" w:hAnsi="Cambria" w:cs="Times New Roman"/>
          <w:lang w:val="sq-AL"/>
        </w:rPr>
        <w:t>Realizimi i një rrjet aktivitetesh që synojnë të forcojnë dhe konsolidojnë vlerat artistike dhe zhvillimit të diplomacisë kulturore në nivele të larta ndërkombëtare, nëpërmejt promovimit e Artit Shqiptar në Arenën Ndërkombëtare (Creative Europe, Traduki, Kalendari Shqipëri-Kosove, Kalendarin artistik me Maqedoninë, Bienalja e Venecias e Artit, Panairet Ndërkombëtare të Librit, etj).</w:t>
      </w:r>
    </w:p>
    <w:p w:rsidR="00A231D0" w:rsidRPr="005238A0" w:rsidRDefault="00A231D0" w:rsidP="00A231D0">
      <w:pPr>
        <w:numPr>
          <w:ilvl w:val="0"/>
          <w:numId w:val="26"/>
        </w:numPr>
        <w:spacing w:after="0" w:line="240" w:lineRule="auto"/>
        <w:contextualSpacing/>
        <w:jc w:val="both"/>
        <w:rPr>
          <w:rFonts w:ascii="Cambria" w:eastAsia="Times New Roman" w:hAnsi="Cambria" w:cs="Times New Roman"/>
          <w:lang w:val="sq-AL"/>
        </w:rPr>
      </w:pPr>
      <w:r w:rsidRPr="005238A0">
        <w:rPr>
          <w:rFonts w:ascii="Cambria" w:eastAsia="Times New Roman" w:hAnsi="Cambria" w:cs="Times New Roman"/>
          <w:lang w:val="sq-AL"/>
        </w:rPr>
        <w:t>Realizimi i një kalendar aktivitetesh të dedikuara Turizmit Kulturor dhe veçanërisht vijës Bregdetare, për të ofruar dhe mundësuar një paketë të plotë vlerash dhe traditash.</w:t>
      </w:r>
    </w:p>
    <w:p w:rsidR="00A231D0" w:rsidRPr="004F6BD8" w:rsidRDefault="00A231D0" w:rsidP="00A231D0">
      <w:pPr>
        <w:numPr>
          <w:ilvl w:val="0"/>
          <w:numId w:val="26"/>
        </w:numPr>
        <w:spacing w:after="0" w:line="240" w:lineRule="auto"/>
        <w:jc w:val="both"/>
        <w:rPr>
          <w:rFonts w:ascii="Cambria" w:eastAsia="Times New Roman" w:hAnsi="Cambria" w:cs="Times New Roman"/>
          <w:lang w:val="sq-AL"/>
        </w:rPr>
      </w:pPr>
      <w:r w:rsidRPr="004F6BD8">
        <w:rPr>
          <w:rFonts w:ascii="Cambria" w:eastAsia="Times New Roman" w:hAnsi="Cambria" w:cs="Times New Roman"/>
          <w:lang w:val="sq-AL"/>
        </w:rPr>
        <w:lastRenderedPageBreak/>
        <w:t xml:space="preserve">Mbështetja e arteve pamore përmes organizimit të ekspozitave kombëtare dhe ndërkombëtare të arteve pamore; kinematografisë; </w:t>
      </w:r>
    </w:p>
    <w:p w:rsidR="00A231D0" w:rsidRPr="004F6BD8" w:rsidRDefault="00A231D0" w:rsidP="00A231D0">
      <w:pPr>
        <w:spacing w:after="0" w:line="240" w:lineRule="auto"/>
        <w:jc w:val="both"/>
        <w:rPr>
          <w:rFonts w:ascii="Cambria" w:eastAsia="Times New Roman" w:hAnsi="Cambria" w:cs="Times New Roman"/>
          <w:lang w:val="sq-AL"/>
        </w:rPr>
      </w:pPr>
    </w:p>
    <w:p w:rsidR="00A231D0" w:rsidRPr="004F6BD8" w:rsidRDefault="00A231D0" w:rsidP="00A231D0">
      <w:pPr>
        <w:keepNext/>
        <w:spacing w:after="200" w:line="240" w:lineRule="auto"/>
        <w:rPr>
          <w:rFonts w:ascii="Cambria" w:eastAsia="Times New Roman" w:hAnsi="Cambria" w:cs="Times New Roman"/>
          <w:b/>
          <w:bCs/>
          <w:color w:val="4F81BD"/>
          <w:sz w:val="20"/>
          <w:szCs w:val="20"/>
          <w:lang w:val="sq-AL"/>
        </w:rPr>
      </w:pPr>
      <w:r w:rsidRPr="004F6BD8">
        <w:rPr>
          <w:rFonts w:ascii="Cambria" w:eastAsia="Times New Roman" w:hAnsi="Cambria" w:cs="Times New Roman"/>
          <w:b/>
          <w:bCs/>
          <w:sz w:val="20"/>
          <w:szCs w:val="20"/>
          <w:lang w:val="sq-AL"/>
        </w:rPr>
        <w:t xml:space="preserve">Tabela 22: </w:t>
      </w:r>
      <w:r w:rsidRPr="004F6BD8">
        <w:rPr>
          <w:rFonts w:ascii="Cambria" w:eastAsia="Times New Roman" w:hAnsi="Cambria" w:cs="Times New Roman"/>
          <w:bCs/>
          <w:sz w:val="20"/>
          <w:szCs w:val="20"/>
          <w:lang w:val="sq-AL"/>
        </w:rPr>
        <w:t>Shpenzimet për Ministrinë e Kulturës sipas programeve buxhetore dhe sipas artikujve ekonomikë</w:t>
      </w:r>
    </w:p>
    <w:p w:rsidR="00A231D0" w:rsidRPr="004F6BD8" w:rsidRDefault="00A231D0" w:rsidP="00DD7795">
      <w:pPr>
        <w:spacing w:after="0" w:line="240" w:lineRule="auto"/>
        <w:jc w:val="center"/>
        <w:rPr>
          <w:rFonts w:ascii="Times New Roman" w:eastAsia="Times New Roman" w:hAnsi="Times New Roman" w:cs="Times New Roman"/>
          <w:sz w:val="24"/>
          <w:szCs w:val="24"/>
          <w:lang w:val="sq-AL"/>
        </w:rPr>
      </w:pPr>
      <w:r w:rsidRPr="005238A0">
        <w:rPr>
          <w:noProof/>
          <w:lang w:val="en-GB" w:eastAsia="en-GB"/>
        </w:rPr>
        <w:drawing>
          <wp:inline distT="0" distB="0" distL="0" distR="0" wp14:anchorId="140C2B9C" wp14:editId="31F1CEA6">
            <wp:extent cx="5669280" cy="4007485"/>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69280" cy="4007485"/>
                    </a:xfrm>
                    <a:prstGeom prst="rect">
                      <a:avLst/>
                    </a:prstGeom>
                    <a:noFill/>
                    <a:ln>
                      <a:noFill/>
                    </a:ln>
                  </pic:spPr>
                </pic:pic>
              </a:graphicData>
            </a:graphic>
          </wp:inline>
        </w:drawing>
      </w:r>
    </w:p>
    <w:p w:rsidR="00A231D0" w:rsidRPr="004F6BD8" w:rsidRDefault="00A231D0" w:rsidP="00A231D0">
      <w:pPr>
        <w:spacing w:after="0" w:line="264" w:lineRule="auto"/>
        <w:jc w:val="center"/>
        <w:rPr>
          <w:rFonts w:ascii="Cambria" w:eastAsia="MS Gothic" w:hAnsi="Cambria" w:cs="Times New Roman"/>
          <w:b/>
          <w:bCs/>
          <w:lang w:val="en-GB"/>
        </w:rPr>
      </w:pPr>
    </w:p>
    <w:p w:rsidR="00A231D0" w:rsidRPr="007E4D69" w:rsidRDefault="00A231D0" w:rsidP="00A231D0">
      <w:pPr>
        <w:keepNext/>
        <w:keepLines/>
        <w:spacing w:before="40" w:after="0"/>
        <w:outlineLvl w:val="2"/>
        <w:rPr>
          <w:rFonts w:ascii="Cambria" w:eastAsia="Times New Roman" w:hAnsi="Cambria" w:cs="Times New Roman"/>
          <w:color w:val="243F60"/>
          <w:sz w:val="24"/>
          <w:szCs w:val="24"/>
          <w:lang w:val="sq-AL"/>
        </w:rPr>
      </w:pPr>
    </w:p>
    <w:p w:rsidR="00A231D0" w:rsidRPr="004F6BD8" w:rsidRDefault="00A231D0" w:rsidP="00A231D0">
      <w:pPr>
        <w:keepNext/>
        <w:keepLines/>
        <w:numPr>
          <w:ilvl w:val="2"/>
          <w:numId w:val="27"/>
        </w:numPr>
        <w:tabs>
          <w:tab w:val="num" w:pos="360"/>
        </w:tabs>
        <w:spacing w:before="40" w:after="0"/>
        <w:ind w:left="0" w:firstLine="0"/>
        <w:outlineLvl w:val="2"/>
        <w:rPr>
          <w:rFonts w:ascii="Cambria" w:eastAsia="Times New Roman" w:hAnsi="Cambria" w:cs="Times New Roman"/>
          <w:color w:val="243F60"/>
          <w:sz w:val="24"/>
          <w:szCs w:val="24"/>
          <w:lang w:val="sq-AL"/>
        </w:rPr>
      </w:pPr>
      <w:r w:rsidRPr="004F6BD8">
        <w:rPr>
          <w:rFonts w:ascii="Cambria" w:eastAsia="Times New Roman" w:hAnsi="Cambria" w:cs="Times New Roman"/>
          <w:b/>
          <w:lang w:val="sq-AL"/>
        </w:rPr>
        <w:t>Përmbledhje e Treguesve Kyç të Performancës</w:t>
      </w:r>
    </w:p>
    <w:p w:rsidR="00A231D0" w:rsidRPr="004F6BD8" w:rsidRDefault="00A231D0" w:rsidP="00A231D0">
      <w:pPr>
        <w:spacing w:after="0" w:line="240" w:lineRule="auto"/>
        <w:jc w:val="both"/>
        <w:rPr>
          <w:rFonts w:ascii="Calibri" w:eastAsia="Times New Roman" w:hAnsi="Calibri" w:cs="Times New Roman"/>
          <w:lang w:val="sq-AL"/>
        </w:rPr>
      </w:pPr>
    </w:p>
    <w:p w:rsidR="00A231D0" w:rsidRDefault="00A231D0" w:rsidP="00A231D0">
      <w:pPr>
        <w:spacing w:after="0" w:line="240" w:lineRule="auto"/>
        <w:jc w:val="both"/>
        <w:rPr>
          <w:rFonts w:ascii="Cambria" w:eastAsia="Times New Roman" w:hAnsi="Cambria" w:cs="Times New Roman"/>
          <w:b/>
          <w:lang w:val="sq-AL"/>
        </w:rPr>
      </w:pPr>
      <w:r w:rsidRPr="004F6BD8">
        <w:rPr>
          <w:rFonts w:ascii="Cambria" w:eastAsia="Times New Roman" w:hAnsi="Cambria" w:cs="Times New Roman"/>
          <w:b/>
          <w:lang w:val="sq-AL"/>
        </w:rPr>
        <w:t>Programi “Trashëgimia kulturore”</w:t>
      </w:r>
    </w:p>
    <w:p w:rsidR="00A231D0" w:rsidRPr="004F6BD8" w:rsidRDefault="00A231D0" w:rsidP="00A231D0">
      <w:pPr>
        <w:spacing w:after="0" w:line="240" w:lineRule="auto"/>
        <w:jc w:val="both"/>
        <w:rPr>
          <w:rFonts w:ascii="Cambria" w:eastAsia="Times New Roman" w:hAnsi="Cambria" w:cs="Times New Roman"/>
          <w:b/>
          <w:lang w:val="sq-AL"/>
        </w:rPr>
      </w:pPr>
      <w:r w:rsidRPr="004F6BD8">
        <w:rPr>
          <w:rFonts w:ascii="Cambria" w:eastAsia="Times New Roman" w:hAnsi="Cambria" w:cs="Times New Roman"/>
          <w:b/>
          <w:lang w:val="sq-AL"/>
        </w:rPr>
        <w:t xml:space="preserve"> </w:t>
      </w:r>
    </w:p>
    <w:p w:rsidR="00A231D0" w:rsidRPr="00860DCA" w:rsidRDefault="00A231D0" w:rsidP="00A231D0">
      <w:pPr>
        <w:numPr>
          <w:ilvl w:val="0"/>
          <w:numId w:val="7"/>
        </w:numPr>
        <w:spacing w:after="0" w:line="240" w:lineRule="auto"/>
        <w:contextualSpacing/>
        <w:jc w:val="both"/>
        <w:rPr>
          <w:rFonts w:ascii="Cambria" w:eastAsia="Times New Roman" w:hAnsi="Cambria" w:cs="Times New Roman"/>
          <w:lang w:val="sq-AL"/>
        </w:rPr>
      </w:pPr>
      <w:r w:rsidRPr="00860DCA">
        <w:rPr>
          <w:rFonts w:ascii="Cambria" w:eastAsia="Times New Roman" w:hAnsi="Cambria" w:cs="Times New Roman"/>
          <w:lang w:val="sq-AL"/>
        </w:rPr>
        <w:t xml:space="preserve">Restaurimi dhe mirëmbajtja e trashëgimisë arkitektonike dhe peisazhit, duke përfshirë restaurimin e disa linjave muzeale, si edhe përshtatjen me standarde bashkëkohore. Rritja e numrit të objekteve të trashëgimisë arkitektonike dhe peisazhit të restauruara dhe mirëmbajtura nga 140 në vitin 2019 në 150 në vitin 2022.  </w:t>
      </w:r>
    </w:p>
    <w:p w:rsidR="00A231D0" w:rsidRPr="00860DCA" w:rsidRDefault="00A231D0" w:rsidP="00A231D0">
      <w:pPr>
        <w:numPr>
          <w:ilvl w:val="0"/>
          <w:numId w:val="7"/>
        </w:numPr>
        <w:spacing w:after="0" w:line="240" w:lineRule="auto"/>
        <w:contextualSpacing/>
        <w:jc w:val="both"/>
        <w:rPr>
          <w:rFonts w:ascii="Cambria" w:eastAsia="Times New Roman" w:hAnsi="Cambria" w:cs="Times New Roman"/>
          <w:lang w:val="sq-AL"/>
        </w:rPr>
      </w:pPr>
      <w:r w:rsidRPr="00860DCA">
        <w:rPr>
          <w:rFonts w:ascii="Cambria" w:eastAsia="Times New Roman" w:hAnsi="Cambria" w:cs="Times New Roman"/>
          <w:lang w:val="sq-AL"/>
        </w:rPr>
        <w:t>Rritja e aksesit t</w:t>
      </w:r>
      <w:r w:rsidR="00FA0246">
        <w:rPr>
          <w:rFonts w:ascii="Cambria" w:eastAsia="Times New Roman" w:hAnsi="Cambria" w:cs="Times New Roman"/>
          <w:lang w:val="sq-AL"/>
        </w:rPr>
        <w:t>ë</w:t>
      </w:r>
      <w:r w:rsidRPr="00860DCA">
        <w:rPr>
          <w:rFonts w:ascii="Cambria" w:eastAsia="Times New Roman" w:hAnsi="Cambria" w:cs="Times New Roman"/>
          <w:lang w:val="sq-AL"/>
        </w:rPr>
        <w:t xml:space="preserve"> publikut në Muze, Monumentet e kulturës dhe Parqe Arkeologjike në funksion  të turizmit kulturor (nr. Vizitore) me 10% në vit, nga 1.1 milion vizitorë në 2018-ën në 1.34 milion turistë në 2022;  </w:t>
      </w:r>
    </w:p>
    <w:p w:rsidR="00A231D0" w:rsidRDefault="00A231D0" w:rsidP="00A231D0">
      <w:pPr>
        <w:numPr>
          <w:ilvl w:val="0"/>
          <w:numId w:val="7"/>
        </w:numPr>
        <w:spacing w:after="0" w:line="240" w:lineRule="auto"/>
        <w:contextualSpacing/>
        <w:jc w:val="both"/>
        <w:rPr>
          <w:rFonts w:ascii="Cambria" w:eastAsia="Times New Roman" w:hAnsi="Cambria" w:cs="Times New Roman"/>
          <w:lang w:val="sq-AL"/>
        </w:rPr>
      </w:pPr>
      <w:r>
        <w:rPr>
          <w:rFonts w:ascii="Cambria" w:eastAsia="Times New Roman" w:hAnsi="Cambria" w:cs="Times New Roman"/>
          <w:lang w:val="sq-AL"/>
        </w:rPr>
        <w:t>Rritja e n</w:t>
      </w:r>
      <w:r w:rsidRPr="007531A6">
        <w:rPr>
          <w:rFonts w:ascii="Cambria" w:eastAsia="Times New Roman" w:hAnsi="Cambria" w:cs="Times New Roman"/>
          <w:lang w:val="sq-AL"/>
        </w:rPr>
        <w:t>umri</w:t>
      </w:r>
      <w:r>
        <w:rPr>
          <w:rFonts w:ascii="Cambria" w:eastAsia="Times New Roman" w:hAnsi="Cambria" w:cs="Times New Roman"/>
          <w:lang w:val="sq-AL"/>
        </w:rPr>
        <w:t>t të</w:t>
      </w:r>
      <w:r w:rsidRPr="007531A6">
        <w:rPr>
          <w:rFonts w:ascii="Cambria" w:eastAsia="Times New Roman" w:hAnsi="Cambria" w:cs="Times New Roman"/>
          <w:lang w:val="sq-AL"/>
        </w:rPr>
        <w:t xml:space="preserve"> nxënësve të shkollave 9-vjeçare dhe të mes</w:t>
      </w:r>
      <w:r>
        <w:rPr>
          <w:rFonts w:ascii="Cambria" w:eastAsia="Times New Roman" w:hAnsi="Cambria" w:cs="Times New Roman"/>
          <w:lang w:val="sq-AL"/>
        </w:rPr>
        <w:t>me të përfshirë në aktivitete të fushës së trashëgimisë</w:t>
      </w:r>
      <w:r w:rsidRPr="007531A6">
        <w:rPr>
          <w:rFonts w:ascii="Cambria" w:eastAsia="Times New Roman" w:hAnsi="Cambria" w:cs="Times New Roman"/>
          <w:lang w:val="sq-AL"/>
        </w:rPr>
        <w:t xml:space="preserve"> kulturore</w:t>
      </w:r>
      <w:r>
        <w:rPr>
          <w:rFonts w:ascii="Cambria" w:eastAsia="Times New Roman" w:hAnsi="Cambria" w:cs="Times New Roman"/>
          <w:lang w:val="sq-AL"/>
        </w:rPr>
        <w:t>,</w:t>
      </w:r>
      <w:r w:rsidRPr="004F6BD8">
        <w:rPr>
          <w:rFonts w:ascii="Cambria" w:eastAsia="Times New Roman" w:hAnsi="Cambria" w:cs="Times New Roman"/>
          <w:lang w:val="sq-AL"/>
        </w:rPr>
        <w:t xml:space="preserve"> nga </w:t>
      </w:r>
      <w:r>
        <w:rPr>
          <w:rFonts w:ascii="Cambria" w:eastAsia="Times New Roman" w:hAnsi="Cambria" w:cs="Times New Roman"/>
          <w:lang w:val="sq-AL"/>
        </w:rPr>
        <w:t xml:space="preserve">14 mijë nxënës </w:t>
      </w:r>
      <w:r w:rsidRPr="004F6BD8">
        <w:rPr>
          <w:rFonts w:ascii="Cambria" w:eastAsia="Times New Roman" w:hAnsi="Cambria" w:cs="Times New Roman"/>
          <w:lang w:val="sq-AL"/>
        </w:rPr>
        <w:t xml:space="preserve">në </w:t>
      </w:r>
      <w:r>
        <w:rPr>
          <w:rFonts w:ascii="Cambria" w:eastAsia="Times New Roman" w:hAnsi="Cambria" w:cs="Times New Roman"/>
          <w:lang w:val="sq-AL"/>
        </w:rPr>
        <w:t>vitin 2019 në 14,5 mijë nxënës në 2020</w:t>
      </w:r>
      <w:r w:rsidRPr="004F6BD8">
        <w:rPr>
          <w:rFonts w:ascii="Cambria" w:eastAsia="Times New Roman" w:hAnsi="Cambria" w:cs="Times New Roman"/>
          <w:lang w:val="sq-AL"/>
        </w:rPr>
        <w:t xml:space="preserve"> dhe </w:t>
      </w:r>
      <w:r>
        <w:rPr>
          <w:rFonts w:ascii="Cambria" w:eastAsia="Times New Roman" w:hAnsi="Cambria" w:cs="Times New Roman"/>
          <w:lang w:val="sq-AL"/>
        </w:rPr>
        <w:t>15 mijë</w:t>
      </w:r>
      <w:r w:rsidRPr="004F6BD8">
        <w:rPr>
          <w:rFonts w:ascii="Cambria" w:eastAsia="Times New Roman" w:hAnsi="Cambria" w:cs="Times New Roman"/>
          <w:lang w:val="sq-AL"/>
        </w:rPr>
        <w:t xml:space="preserve"> –</w:t>
      </w:r>
      <w:r>
        <w:rPr>
          <w:rFonts w:ascii="Cambria" w:eastAsia="Times New Roman" w:hAnsi="Cambria" w:cs="Times New Roman"/>
          <w:lang w:val="sq-AL"/>
        </w:rPr>
        <w:t>15.5 mijë përkatësisht në vitet 2021 – 2022</w:t>
      </w:r>
      <w:r w:rsidRPr="004F6BD8">
        <w:rPr>
          <w:rFonts w:ascii="Cambria" w:eastAsia="Times New Roman" w:hAnsi="Cambria" w:cs="Times New Roman"/>
          <w:lang w:val="sq-AL"/>
        </w:rPr>
        <w:t>;</w:t>
      </w:r>
    </w:p>
    <w:p w:rsidR="00A231D0" w:rsidRPr="004F6BD8" w:rsidRDefault="00A231D0" w:rsidP="00A231D0">
      <w:pPr>
        <w:numPr>
          <w:ilvl w:val="0"/>
          <w:numId w:val="7"/>
        </w:numPr>
        <w:spacing w:after="0" w:line="240" w:lineRule="auto"/>
        <w:contextualSpacing/>
        <w:jc w:val="both"/>
        <w:rPr>
          <w:rFonts w:ascii="Cambria" w:eastAsia="Times New Roman" w:hAnsi="Cambria" w:cs="Times New Roman"/>
          <w:lang w:val="sq-AL"/>
        </w:rPr>
      </w:pPr>
      <w:r>
        <w:rPr>
          <w:rFonts w:ascii="Cambria" w:eastAsia="Times New Roman" w:hAnsi="Cambria" w:cs="Times New Roman"/>
          <w:lang w:val="sq-AL"/>
        </w:rPr>
        <w:t>Rritja e n</w:t>
      </w:r>
      <w:r w:rsidRPr="007531A6">
        <w:rPr>
          <w:rFonts w:ascii="Cambria" w:eastAsia="Times New Roman" w:hAnsi="Cambria" w:cs="Times New Roman"/>
          <w:lang w:val="sq-AL"/>
        </w:rPr>
        <w:t>umri</w:t>
      </w:r>
      <w:r>
        <w:rPr>
          <w:rFonts w:ascii="Cambria" w:eastAsia="Times New Roman" w:hAnsi="Cambria" w:cs="Times New Roman"/>
          <w:lang w:val="sq-AL"/>
        </w:rPr>
        <w:t>t të</w:t>
      </w:r>
      <w:r w:rsidRPr="007531A6">
        <w:rPr>
          <w:rFonts w:ascii="Cambria" w:eastAsia="Times New Roman" w:hAnsi="Cambria" w:cs="Times New Roman"/>
          <w:lang w:val="sq-AL"/>
        </w:rPr>
        <w:t xml:space="preserve"> vizitorëve në muzetë Kombëtarë</w:t>
      </w:r>
      <w:r>
        <w:rPr>
          <w:rFonts w:ascii="Cambria" w:eastAsia="Times New Roman" w:hAnsi="Cambria" w:cs="Times New Roman"/>
          <w:lang w:val="sq-AL"/>
        </w:rPr>
        <w:t xml:space="preserve"> nga 300 mijë në vitin 2019, në 400 mijë në vitin 2022</w:t>
      </w:r>
      <w:r w:rsidRPr="007531A6">
        <w:rPr>
          <w:rFonts w:ascii="Cambria" w:eastAsia="Times New Roman" w:hAnsi="Cambria" w:cs="Times New Roman"/>
          <w:lang w:val="sq-AL"/>
        </w:rPr>
        <w:t>;</w:t>
      </w:r>
    </w:p>
    <w:p w:rsidR="00A231D0" w:rsidRPr="004F6BD8" w:rsidRDefault="00A231D0" w:rsidP="00A231D0">
      <w:pPr>
        <w:numPr>
          <w:ilvl w:val="0"/>
          <w:numId w:val="7"/>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 xml:space="preserve">Mbështetja e aktiviteteve të fushës së trashëgimisë kulturore organizuar nga organizata jopublike (projekte me thirrje) dhe vijimi i mbështetjes financiare për projektet në fushën e </w:t>
      </w:r>
      <w:r w:rsidRPr="004F6BD8">
        <w:rPr>
          <w:rFonts w:ascii="Cambria" w:eastAsia="Times New Roman" w:hAnsi="Cambria" w:cs="Times New Roman"/>
          <w:lang w:val="sq-AL"/>
        </w:rPr>
        <w:lastRenderedPageBreak/>
        <w:t xml:space="preserve">artizanatit, kulinarisë dhe dukurive të tjera të trashëgimisë jomateriale, </w:t>
      </w:r>
      <w:r>
        <w:rPr>
          <w:rFonts w:ascii="Cambria" w:eastAsia="Times New Roman" w:hAnsi="Cambria" w:cs="Times New Roman"/>
          <w:lang w:val="sq-AL"/>
        </w:rPr>
        <w:t>veçanërisht për gratë artizane nga 70 aktivitete që mbështeten aktualisht në 85 aktivitete në vitin 2022.</w:t>
      </w:r>
    </w:p>
    <w:p w:rsidR="00A231D0" w:rsidRPr="004F6BD8" w:rsidRDefault="00A231D0" w:rsidP="00A231D0">
      <w:pPr>
        <w:spacing w:after="0" w:line="240" w:lineRule="auto"/>
        <w:jc w:val="both"/>
        <w:rPr>
          <w:rFonts w:ascii="Cambria" w:eastAsia="Times New Roman" w:hAnsi="Cambria" w:cs="Times New Roman"/>
          <w:lang w:val="sq-AL"/>
        </w:rPr>
      </w:pPr>
    </w:p>
    <w:p w:rsidR="00A231D0" w:rsidRPr="004F6BD8" w:rsidRDefault="00A231D0" w:rsidP="00A231D0">
      <w:pPr>
        <w:spacing w:after="0" w:line="240" w:lineRule="auto"/>
        <w:jc w:val="both"/>
        <w:rPr>
          <w:rFonts w:ascii="Cambria" w:eastAsia="Times New Roman" w:hAnsi="Cambria" w:cs="Times New Roman"/>
          <w:b/>
          <w:lang w:val="sq-AL"/>
        </w:rPr>
      </w:pPr>
    </w:p>
    <w:p w:rsidR="00A231D0" w:rsidRDefault="00A231D0" w:rsidP="00A231D0">
      <w:pPr>
        <w:spacing w:after="0" w:line="240" w:lineRule="auto"/>
        <w:jc w:val="both"/>
        <w:rPr>
          <w:rFonts w:ascii="Cambria" w:eastAsia="Times New Roman" w:hAnsi="Cambria" w:cs="Times New Roman"/>
          <w:b/>
          <w:lang w:val="sq-AL"/>
        </w:rPr>
      </w:pPr>
      <w:r w:rsidRPr="00405A65">
        <w:rPr>
          <w:rFonts w:ascii="Cambria" w:eastAsia="Times New Roman" w:hAnsi="Cambria" w:cs="Times New Roman"/>
          <w:b/>
          <w:lang w:val="sq-AL"/>
        </w:rPr>
        <w:t>Programi “Arti dhe Kultura”</w:t>
      </w:r>
    </w:p>
    <w:p w:rsidR="00A231D0" w:rsidRPr="004F6BD8" w:rsidRDefault="00A231D0" w:rsidP="00A231D0">
      <w:pPr>
        <w:spacing w:after="0" w:line="240" w:lineRule="auto"/>
        <w:jc w:val="both"/>
        <w:rPr>
          <w:rFonts w:ascii="Cambria" w:eastAsia="Times New Roman" w:hAnsi="Cambria" w:cs="Times New Roman"/>
          <w:b/>
          <w:lang w:val="sq-AL"/>
        </w:rPr>
      </w:pPr>
    </w:p>
    <w:p w:rsidR="00A231D0" w:rsidRPr="004F6BD8" w:rsidRDefault="00A231D0" w:rsidP="00A231D0">
      <w:pPr>
        <w:numPr>
          <w:ilvl w:val="0"/>
          <w:numId w:val="7"/>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 xml:space="preserve">Rritja e aksesit në kulturë, e cila parashikon një rritje të vazhdueshme të numrit dhe cilësisë së aktiviteteve në të gjitha zhanret. Rrjet aktivitetesh që synojnë në konsolidimin e vlerave artistike, promovimin e Artit Shqiptar në arenën ndërkombëtare, mbështetja e aktiviteteve kulturore në mbarë vendin nëpërmjet thirrjeve për aplikime në fushën e artit dhe kulturës librit dhe përkthimit. </w:t>
      </w:r>
    </w:p>
    <w:p w:rsidR="00A231D0" w:rsidRPr="004F6BD8" w:rsidRDefault="00A231D0" w:rsidP="00A231D0">
      <w:pPr>
        <w:numPr>
          <w:ilvl w:val="0"/>
          <w:numId w:val="7"/>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 xml:space="preserve">Prioritet do të jetë integrimi, angazhimi dhe promovimi i të rinjve më të evidentuar të kësaj fushe. </w:t>
      </w:r>
    </w:p>
    <w:p w:rsidR="00A231D0" w:rsidRPr="004F6BD8" w:rsidRDefault="00A231D0" w:rsidP="00A231D0">
      <w:pPr>
        <w:numPr>
          <w:ilvl w:val="0"/>
          <w:numId w:val="7"/>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Mbështetja e skenës së pavarur për të mundësuar edukimin përmes kulturës si dhe përfaqësimin e produktit artistik në arenën elitare ndërkombëtare.</w:t>
      </w:r>
    </w:p>
    <w:p w:rsidR="00A231D0" w:rsidRPr="004F6BD8" w:rsidRDefault="00A231D0" w:rsidP="00A231D0">
      <w:pPr>
        <w:spacing w:after="0" w:line="240" w:lineRule="auto"/>
        <w:contextualSpacing/>
        <w:jc w:val="both"/>
        <w:rPr>
          <w:rFonts w:ascii="Cambria" w:eastAsia="Times New Roman" w:hAnsi="Cambria" w:cs="Times New Roman"/>
          <w:lang w:val="sq-AL"/>
        </w:rPr>
      </w:pPr>
    </w:p>
    <w:p w:rsidR="00A231D0" w:rsidRPr="004F6BD8" w:rsidRDefault="00A231D0" w:rsidP="00A231D0">
      <w:pPr>
        <w:spacing w:after="0" w:line="240" w:lineRule="auto"/>
        <w:ind w:left="720"/>
        <w:contextualSpacing/>
        <w:jc w:val="both"/>
        <w:rPr>
          <w:rFonts w:ascii="Cambria" w:eastAsia="Times New Roman" w:hAnsi="Cambria" w:cs="Times New Roman"/>
          <w:lang w:val="sq-AL"/>
        </w:rPr>
      </w:pPr>
    </w:p>
    <w:p w:rsidR="00A231D0" w:rsidRPr="004F6BD8" w:rsidRDefault="00A231D0" w:rsidP="00A231D0">
      <w:pPr>
        <w:spacing w:after="0" w:line="240" w:lineRule="auto"/>
        <w:contextualSpacing/>
        <w:jc w:val="both"/>
        <w:rPr>
          <w:rFonts w:ascii="Cambria" w:eastAsia="Times New Roman" w:hAnsi="Cambria" w:cs="Times New Roman"/>
          <w:b/>
          <w:lang w:val="sq-AL"/>
        </w:rPr>
      </w:pPr>
      <w:r w:rsidRPr="004F6BD8">
        <w:rPr>
          <w:rFonts w:ascii="Cambria" w:eastAsia="Times New Roman" w:hAnsi="Cambria" w:cs="Times New Roman"/>
          <w:b/>
          <w:lang w:val="sq-AL"/>
        </w:rPr>
        <w:t>Investimet Publike në se</w:t>
      </w:r>
      <w:r>
        <w:rPr>
          <w:rFonts w:ascii="Cambria" w:eastAsia="Times New Roman" w:hAnsi="Cambria" w:cs="Times New Roman"/>
          <w:b/>
          <w:lang w:val="sq-AL"/>
        </w:rPr>
        <w:t>ktorin e kulturës për vitet 2020-2022</w:t>
      </w:r>
      <w:r w:rsidRPr="004F6BD8">
        <w:rPr>
          <w:rFonts w:ascii="Cambria" w:eastAsia="Times New Roman" w:hAnsi="Cambria" w:cs="Times New Roman"/>
          <w:b/>
          <w:lang w:val="sq-AL"/>
        </w:rPr>
        <w:t>:</w:t>
      </w:r>
    </w:p>
    <w:p w:rsidR="00A231D0" w:rsidRPr="004F6BD8" w:rsidRDefault="00A231D0" w:rsidP="00A231D0">
      <w:pPr>
        <w:spacing w:after="0" w:line="240" w:lineRule="auto"/>
        <w:contextualSpacing/>
        <w:jc w:val="both"/>
        <w:rPr>
          <w:rFonts w:ascii="Cambria" w:eastAsia="Times New Roman" w:hAnsi="Cambria" w:cs="Times New Roman"/>
          <w:b/>
          <w:lang w:val="sq-AL"/>
        </w:rPr>
      </w:pPr>
    </w:p>
    <w:p w:rsidR="00A231D0" w:rsidRDefault="00A231D0" w:rsidP="00A231D0">
      <w:pPr>
        <w:numPr>
          <w:ilvl w:val="0"/>
          <w:numId w:val="10"/>
        </w:numPr>
        <w:spacing w:after="200" w:line="276" w:lineRule="auto"/>
        <w:contextualSpacing/>
        <w:jc w:val="both"/>
        <w:rPr>
          <w:rFonts w:ascii="Cambria" w:eastAsia="Times New Roman" w:hAnsi="Cambria" w:cs="Times New Roman"/>
          <w:lang w:val="sq-AL"/>
        </w:rPr>
      </w:pPr>
      <w:r w:rsidRPr="003D22CC">
        <w:rPr>
          <w:rFonts w:ascii="Cambria" w:eastAsia="Times New Roman" w:hAnsi="Cambria" w:cs="Times New Roman"/>
          <w:lang w:val="sq-AL"/>
        </w:rPr>
        <w:t>Restaurimi, rikonstruksioni, riformulimi i linjës muzeore në Muzeun Historik.</w:t>
      </w:r>
    </w:p>
    <w:p w:rsidR="00A231D0" w:rsidRPr="003D22CC" w:rsidRDefault="00A231D0" w:rsidP="00A231D0">
      <w:pPr>
        <w:numPr>
          <w:ilvl w:val="0"/>
          <w:numId w:val="10"/>
        </w:numPr>
        <w:spacing w:after="200" w:line="276" w:lineRule="auto"/>
        <w:contextualSpacing/>
        <w:jc w:val="both"/>
        <w:rPr>
          <w:rFonts w:ascii="Cambria" w:eastAsia="Times New Roman" w:hAnsi="Cambria" w:cs="Times New Roman"/>
          <w:lang w:val="sq-AL"/>
        </w:rPr>
      </w:pPr>
      <w:r w:rsidRPr="003D22CC">
        <w:rPr>
          <w:rFonts w:ascii="Cambria" w:eastAsia="Times New Roman" w:hAnsi="Cambria" w:cs="Times New Roman"/>
          <w:lang w:val="sq-AL"/>
        </w:rPr>
        <w:t>Restaurimi, Rikonstruksio</w:t>
      </w:r>
      <w:r>
        <w:rPr>
          <w:rFonts w:ascii="Cambria" w:eastAsia="Times New Roman" w:hAnsi="Cambria" w:cs="Times New Roman"/>
          <w:lang w:val="sq-AL"/>
        </w:rPr>
        <w:t>ni dhe Rehabitimi i hap</w:t>
      </w:r>
      <w:r w:rsidR="00FA0246">
        <w:rPr>
          <w:rFonts w:ascii="Cambria" w:eastAsia="Times New Roman" w:hAnsi="Cambria" w:cs="Times New Roman"/>
          <w:lang w:val="sq-AL"/>
        </w:rPr>
        <w:t>ë</w:t>
      </w:r>
      <w:r>
        <w:rPr>
          <w:rFonts w:ascii="Cambria" w:eastAsia="Times New Roman" w:hAnsi="Cambria" w:cs="Times New Roman"/>
          <w:lang w:val="sq-AL"/>
        </w:rPr>
        <w:t>sirave në Muzeun e Arteve të B</w:t>
      </w:r>
      <w:r w:rsidRPr="003D22CC">
        <w:rPr>
          <w:rFonts w:ascii="Cambria" w:eastAsia="Times New Roman" w:hAnsi="Cambria" w:cs="Times New Roman"/>
          <w:lang w:val="sq-AL"/>
        </w:rPr>
        <w:t>uk</w:t>
      </w:r>
      <w:r>
        <w:rPr>
          <w:rFonts w:ascii="Cambria" w:eastAsia="Times New Roman" w:hAnsi="Cambria" w:cs="Times New Roman"/>
          <w:lang w:val="sq-AL"/>
        </w:rPr>
        <w:t>ura (Galeria Kombë</w:t>
      </w:r>
      <w:r w:rsidRPr="003D22CC">
        <w:rPr>
          <w:rFonts w:ascii="Cambria" w:eastAsia="Times New Roman" w:hAnsi="Cambria" w:cs="Times New Roman"/>
          <w:lang w:val="sq-AL"/>
        </w:rPr>
        <w:t>tare e Arteve)</w:t>
      </w:r>
      <w:r>
        <w:rPr>
          <w:rFonts w:ascii="Cambria" w:eastAsia="Times New Roman" w:hAnsi="Cambria" w:cs="Times New Roman"/>
          <w:lang w:val="sq-AL"/>
        </w:rPr>
        <w:t>.</w:t>
      </w:r>
    </w:p>
    <w:p w:rsidR="00A231D0" w:rsidRPr="004F6BD8" w:rsidRDefault="00A231D0" w:rsidP="00A231D0">
      <w:pPr>
        <w:numPr>
          <w:ilvl w:val="0"/>
          <w:numId w:val="10"/>
        </w:numPr>
        <w:spacing w:after="200" w:line="276" w:lineRule="auto"/>
        <w:contextualSpacing/>
        <w:jc w:val="both"/>
        <w:rPr>
          <w:rFonts w:ascii="Cambria" w:eastAsia="Times New Roman" w:hAnsi="Cambria" w:cs="Times New Roman"/>
          <w:lang w:val="sq-AL"/>
        </w:rPr>
      </w:pPr>
      <w:r>
        <w:rPr>
          <w:rFonts w:ascii="Cambria" w:eastAsia="Times New Roman" w:hAnsi="Cambria" w:cs="Times New Roman"/>
          <w:lang w:val="sq-AL"/>
        </w:rPr>
        <w:t>Finalizimi i rikonstruksionit të godinës së</w:t>
      </w:r>
      <w:r w:rsidRPr="004F6BD8">
        <w:rPr>
          <w:rFonts w:ascii="Cambria" w:eastAsia="Times New Roman" w:hAnsi="Cambria" w:cs="Times New Roman"/>
          <w:lang w:val="sq-AL"/>
        </w:rPr>
        <w:t xml:space="preserve"> Teatrit të </w:t>
      </w:r>
      <w:r>
        <w:rPr>
          <w:rFonts w:ascii="Cambria" w:eastAsia="Times New Roman" w:hAnsi="Cambria" w:cs="Times New Roman"/>
          <w:lang w:val="sq-AL"/>
        </w:rPr>
        <w:t>Operas dhe Baletit.</w:t>
      </w:r>
    </w:p>
    <w:p w:rsidR="00A231D0" w:rsidRPr="003D22CC" w:rsidRDefault="00A231D0" w:rsidP="00A231D0">
      <w:pPr>
        <w:numPr>
          <w:ilvl w:val="0"/>
          <w:numId w:val="10"/>
        </w:numPr>
        <w:contextualSpacing/>
        <w:jc w:val="both"/>
        <w:rPr>
          <w:rFonts w:ascii="Calibri" w:eastAsia="Calibri" w:hAnsi="Calibri" w:cs="Times New Roman"/>
          <w:lang w:val="sq-AL"/>
        </w:rPr>
      </w:pPr>
      <w:r w:rsidRPr="004F6BD8">
        <w:rPr>
          <w:rFonts w:ascii="Cambria" w:eastAsia="Times New Roman" w:hAnsi="Cambria" w:cs="Times New Roman"/>
          <w:lang w:val="sq-AL"/>
        </w:rPr>
        <w:t>Parku i Artit, projekt në bashkëpunim me Rajonin e Puljas dhe që konsiston në rikualifikimin e hapësirës së parkut të Kinostudios, duke restauruar dhe përdorur instalacione artistike dhe arkitekturore të skulpturave të oborrit të GKA, në përputhje me gjelbërimin e hapësirën e Kinostudios për të krijuar një hapësirë të re urbane të dedikuar për art, ekspozita, koncerte.</w:t>
      </w:r>
    </w:p>
    <w:p w:rsidR="004E5DAE" w:rsidRPr="00A231D0" w:rsidRDefault="00A231D0" w:rsidP="00894DEB">
      <w:pPr>
        <w:numPr>
          <w:ilvl w:val="0"/>
          <w:numId w:val="10"/>
        </w:numPr>
        <w:contextualSpacing/>
        <w:jc w:val="both"/>
        <w:rPr>
          <w:rFonts w:ascii="Cambria" w:eastAsia="Times New Roman" w:hAnsi="Cambria" w:cs="Times New Roman"/>
          <w:lang w:val="sq-AL"/>
        </w:rPr>
      </w:pPr>
      <w:r w:rsidRPr="003D22CC">
        <w:rPr>
          <w:rFonts w:ascii="Cambria" w:eastAsia="Times New Roman" w:hAnsi="Cambria" w:cs="Times New Roman"/>
          <w:lang w:val="sq-AL"/>
        </w:rPr>
        <w:t>Projekti “HAMLET” ku Ministria e Kulturës është për herë të parë Partner Lider, do të mbështesë disa fshatra dhe qyteza për të shfrytëzuar potencialin e tyre turistik, duke rritur promovimin dhe vizibilitetin e pasurive të tyre kulturore.</w:t>
      </w:r>
    </w:p>
    <w:p w:rsidR="004E5DAE" w:rsidRDefault="004E5DAE" w:rsidP="00894DEB">
      <w:pPr>
        <w:pStyle w:val="Default"/>
        <w:jc w:val="both"/>
        <w:rPr>
          <w:rFonts w:ascii="Cambria" w:hAnsi="Cambria" w:cs="Times New Roman"/>
          <w:color w:val="auto"/>
          <w:sz w:val="22"/>
          <w:szCs w:val="22"/>
        </w:rPr>
      </w:pPr>
    </w:p>
    <w:p w:rsidR="004E5DAE" w:rsidRPr="00405A65" w:rsidRDefault="004E5DAE" w:rsidP="00570F53">
      <w:pPr>
        <w:keepNext/>
        <w:numPr>
          <w:ilvl w:val="1"/>
          <w:numId w:val="27"/>
        </w:numPr>
        <w:spacing w:before="240" w:after="60" w:line="240" w:lineRule="auto"/>
        <w:outlineLvl w:val="1"/>
        <w:rPr>
          <w:rFonts w:ascii="Cambria" w:eastAsia="Calibri" w:hAnsi="Cambria" w:cs="Arial"/>
          <w:b/>
          <w:bCs/>
          <w:iCs/>
          <w:noProof/>
          <w:sz w:val="24"/>
          <w:szCs w:val="24"/>
          <w:lang w:val="sq-AL" w:eastAsia="sq-AL"/>
        </w:rPr>
      </w:pPr>
      <w:bookmarkStart w:id="437" w:name="_Toc518562263"/>
      <w:bookmarkStart w:id="438" w:name="_Toc13653997"/>
      <w:r w:rsidRPr="00405A65">
        <w:rPr>
          <w:rFonts w:ascii="Cambria" w:eastAsia="Calibri" w:hAnsi="Cambria" w:cs="Arial"/>
          <w:b/>
          <w:bCs/>
          <w:iCs/>
          <w:noProof/>
          <w:sz w:val="24"/>
          <w:szCs w:val="24"/>
          <w:lang w:val="sq-AL" w:eastAsia="sq-AL"/>
        </w:rPr>
        <w:t>MINISTRIA E FINANCAVE DHE EKONOMISË</w:t>
      </w:r>
      <w:bookmarkEnd w:id="437"/>
      <w:bookmarkEnd w:id="438"/>
    </w:p>
    <w:p w:rsidR="004E5DAE" w:rsidRPr="004E5DAE" w:rsidRDefault="004E5DAE" w:rsidP="004E5DAE">
      <w:pPr>
        <w:jc w:val="both"/>
        <w:rPr>
          <w:rFonts w:ascii="Cambria" w:eastAsiaTheme="minorHAnsi" w:hAnsi="Cambria"/>
          <w:lang w:val="sq-AL"/>
        </w:rPr>
      </w:pPr>
      <w:r w:rsidRPr="004E5DAE">
        <w:rPr>
          <w:rFonts w:ascii="Cambria" w:eastAsiaTheme="minorHAnsi" w:hAnsi="Cambria"/>
          <w:lang w:val="sq-AL"/>
        </w:rPr>
        <w:t>Misioni i Ministrisë së Financave dhe Ekonomisë është arritja  e  stabilitetit  ekonomik  nëpërmjet  drejtimit  me  efiçencë,  efektivitet  dhe  transparencë  të  financave  publike.  Ajo  përgatit  dhe  zbaton  politikat e qeverisë në sferën ekonomike, për bashkërendimin e ndihmës së huaj, të tregtisë, strehimit dhe të  sipërmarrjes  për  ndërtimin  e  një  modeli  të  ri ekonomik,  me  synim  rritjen  ekonomike,  të  lartë  e  të  qëndrueshme  në  Shqipëri.  Kjo  ministri  harton  dhe  zbaton  politika  të integruara  ekonomike  në  sektorët  parësorë të ekonomisë, konvergjimit ekonomiko-social të rajoneve të vendit, përmirësimit të klimës e të shërbimeve për biznesin dhe sipërmarrjen. Ajo  ka  si  mision,  gjithashtu,  garantimin  e  të  drejtave  kushtetuese  për  arsim dhe  formim  profesional,  punësim të sigurt e të denjë, sigurim shoqëror dhe strehim.</w:t>
      </w:r>
    </w:p>
    <w:p w:rsidR="004E5DAE" w:rsidRPr="004E5DAE" w:rsidRDefault="001641AA" w:rsidP="004E5DAE">
      <w:pPr>
        <w:jc w:val="both"/>
        <w:rPr>
          <w:rFonts w:ascii="Cambria" w:eastAsiaTheme="minorHAnsi" w:hAnsi="Cambria"/>
          <w:lang w:val="sq-AL"/>
        </w:rPr>
      </w:pPr>
      <w:r>
        <w:rPr>
          <w:rFonts w:ascii="Cambria" w:eastAsiaTheme="minorHAnsi" w:hAnsi="Cambria"/>
          <w:lang w:val="sq-AL"/>
        </w:rPr>
        <w:t>Për periudhën 2020-2022</w:t>
      </w:r>
      <w:r w:rsidR="004E5DAE" w:rsidRPr="004E5DAE">
        <w:rPr>
          <w:rFonts w:ascii="Cambria" w:eastAsiaTheme="minorHAnsi" w:hAnsi="Cambria"/>
          <w:lang w:val="sq-AL"/>
        </w:rPr>
        <w:t xml:space="preserve">, Ministria e Financave dhe Ekonomisë do të përmbushë objektivat e synuar përmes fondeve buxhetore të alokuara sipas tabelës së mëposhtme: </w:t>
      </w:r>
    </w:p>
    <w:p w:rsidR="004E5DAE" w:rsidRPr="004E5DAE" w:rsidRDefault="004E5DAE" w:rsidP="004E5DAE">
      <w:pPr>
        <w:jc w:val="both"/>
        <w:rPr>
          <w:rFonts w:ascii="Cambria" w:eastAsiaTheme="minorHAnsi" w:hAnsi="Cambria"/>
          <w:sz w:val="20"/>
          <w:lang w:val="sq-AL"/>
        </w:rPr>
      </w:pPr>
      <w:r w:rsidRPr="004E5DAE">
        <w:rPr>
          <w:rFonts w:ascii="Cambria" w:eastAsiaTheme="minorHAnsi" w:hAnsi="Cambria"/>
          <w:b/>
          <w:sz w:val="20"/>
          <w:lang w:val="sq-AL"/>
        </w:rPr>
        <w:t>Tabela 17</w:t>
      </w:r>
      <w:r w:rsidRPr="004E5DAE">
        <w:rPr>
          <w:rFonts w:ascii="Cambria" w:eastAsiaTheme="minorHAnsi" w:hAnsi="Cambria"/>
          <w:sz w:val="20"/>
          <w:lang w:val="sq-AL"/>
        </w:rPr>
        <w:t xml:space="preserve">: </w:t>
      </w:r>
      <w:r w:rsidRPr="004E5DAE">
        <w:rPr>
          <w:rFonts w:ascii="Cambria" w:eastAsia="Times New Roman" w:hAnsi="Cambria" w:cs="Arial"/>
          <w:sz w:val="20"/>
          <w:lang w:val="sq-AL"/>
        </w:rPr>
        <w:t>Shpenzimet për Ministrinë e Fina</w:t>
      </w:r>
      <w:r w:rsidR="001641AA">
        <w:rPr>
          <w:rFonts w:ascii="Cambria" w:eastAsia="Times New Roman" w:hAnsi="Cambria" w:cs="Arial"/>
          <w:sz w:val="20"/>
          <w:lang w:val="sq-AL"/>
        </w:rPr>
        <w:t>ncave dhe Ekonomisë për PBA 2020-2022</w:t>
      </w:r>
    </w:p>
    <w:tbl>
      <w:tblPr>
        <w:tblStyle w:val="GridTable5Dark-Accent15"/>
        <w:tblW w:w="9120" w:type="dxa"/>
        <w:tblLook w:val="04A0" w:firstRow="1" w:lastRow="0" w:firstColumn="1" w:lastColumn="0" w:noHBand="0" w:noVBand="1"/>
      </w:tblPr>
      <w:tblGrid>
        <w:gridCol w:w="4340"/>
        <w:gridCol w:w="1186"/>
        <w:gridCol w:w="1198"/>
        <w:gridCol w:w="1198"/>
        <w:gridCol w:w="1198"/>
      </w:tblGrid>
      <w:tr w:rsidR="004E5DAE" w:rsidRPr="004E5DAE" w:rsidTr="00304C97">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120" w:type="dxa"/>
            <w:gridSpan w:val="5"/>
            <w:hideMark/>
          </w:tcPr>
          <w:p w:rsidR="004E5DAE" w:rsidRPr="004E5DAE" w:rsidRDefault="004E5DAE" w:rsidP="004E5DAE">
            <w:pPr>
              <w:jc w:val="center"/>
              <w:rPr>
                <w:rFonts w:ascii="Cambria" w:eastAsia="Times New Roman" w:hAnsi="Cambria" w:cs="Arial"/>
                <w:b w:val="0"/>
                <w:lang w:val="sq-AL"/>
              </w:rPr>
            </w:pPr>
            <w:r w:rsidRPr="004E5DAE">
              <w:rPr>
                <w:rFonts w:ascii="Cambria" w:eastAsia="Times New Roman" w:hAnsi="Cambria" w:cs="Arial"/>
                <w:b w:val="0"/>
                <w:lang w:val="sq-AL"/>
              </w:rPr>
              <w:lastRenderedPageBreak/>
              <w:t>Shpenzimet për Ministrinë e Fina</w:t>
            </w:r>
            <w:r w:rsidR="001641AA">
              <w:rPr>
                <w:rFonts w:ascii="Cambria" w:eastAsia="Times New Roman" w:hAnsi="Cambria" w:cs="Arial"/>
                <w:b w:val="0"/>
                <w:lang w:val="sq-AL"/>
              </w:rPr>
              <w:t>ncave dhe Ekonomisë për PBA 2020-2022</w:t>
            </w:r>
          </w:p>
        </w:tc>
      </w:tr>
      <w:tr w:rsidR="004E5DAE" w:rsidRPr="004E5DAE" w:rsidTr="00304C9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340" w:type="dxa"/>
            <w:vMerge w:val="restart"/>
            <w:hideMark/>
          </w:tcPr>
          <w:p w:rsidR="004E5DAE" w:rsidRPr="004E5DAE" w:rsidRDefault="004E5DAE" w:rsidP="004E5DAE">
            <w:pPr>
              <w:jc w:val="center"/>
              <w:rPr>
                <w:rFonts w:ascii="Cambria" w:eastAsia="Times New Roman" w:hAnsi="Cambria" w:cs="Arial"/>
                <w:color w:val="2E74B5" w:themeColor="accent1" w:themeShade="BF"/>
                <w:lang w:val="sq-AL"/>
              </w:rPr>
            </w:pPr>
          </w:p>
        </w:tc>
        <w:tc>
          <w:tcPr>
            <w:tcW w:w="4780" w:type="dxa"/>
            <w:gridSpan w:val="4"/>
            <w:noWrap/>
            <w:hideMark/>
          </w:tcPr>
          <w:p w:rsidR="004E5DAE" w:rsidRPr="004E5DAE" w:rsidRDefault="004E5DAE"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themeColor="accent1" w:themeShade="BF"/>
                <w:lang w:val="sq-AL"/>
              </w:rPr>
            </w:pPr>
            <w:r w:rsidRPr="004E5DAE">
              <w:rPr>
                <w:rFonts w:ascii="Cambria" w:eastAsia="Times New Roman" w:hAnsi="Cambria" w:cs="Arial"/>
                <w:b/>
                <w:bCs/>
                <w:color w:val="2E74B5" w:themeColor="accent1" w:themeShade="BF"/>
                <w:lang w:val="sq-AL"/>
              </w:rPr>
              <w:t xml:space="preserve">Shpenzimet totale </w:t>
            </w:r>
          </w:p>
        </w:tc>
      </w:tr>
      <w:tr w:rsidR="004E5DAE" w:rsidRPr="004E5DAE" w:rsidTr="00304C97">
        <w:trPr>
          <w:trHeight w:val="402"/>
        </w:trPr>
        <w:tc>
          <w:tcPr>
            <w:cnfStyle w:val="001000000000" w:firstRow="0" w:lastRow="0" w:firstColumn="1" w:lastColumn="0" w:oddVBand="0" w:evenVBand="0" w:oddHBand="0" w:evenHBand="0" w:firstRowFirstColumn="0" w:firstRowLastColumn="0" w:lastRowFirstColumn="0" w:lastRowLastColumn="0"/>
            <w:tcW w:w="4340" w:type="dxa"/>
            <w:vMerge/>
            <w:hideMark/>
          </w:tcPr>
          <w:p w:rsidR="004E5DAE" w:rsidRPr="004E5DAE" w:rsidRDefault="004E5DAE" w:rsidP="004E5DAE">
            <w:pPr>
              <w:rPr>
                <w:rFonts w:ascii="Cambria" w:eastAsia="Times New Roman" w:hAnsi="Cambria" w:cs="Arial"/>
                <w:b w:val="0"/>
                <w:color w:val="000080"/>
                <w:sz w:val="20"/>
                <w:szCs w:val="20"/>
                <w:lang w:val="sq-AL"/>
              </w:rPr>
            </w:pPr>
          </w:p>
        </w:tc>
        <w:tc>
          <w:tcPr>
            <w:tcW w:w="1186" w:type="dxa"/>
            <w:noWrap/>
            <w:hideMark/>
          </w:tcPr>
          <w:p w:rsidR="004E5DAE" w:rsidRPr="00DD7795" w:rsidRDefault="001641AA"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themeColor="accent1" w:themeShade="BF"/>
                <w:lang w:val="sq-AL"/>
              </w:rPr>
            </w:pPr>
            <w:r w:rsidRPr="00DD7795">
              <w:rPr>
                <w:rFonts w:ascii="Cambria" w:eastAsia="Times New Roman" w:hAnsi="Cambria" w:cs="Arial"/>
                <w:b/>
                <w:bCs/>
                <w:color w:val="2E74B5" w:themeColor="accent1" w:themeShade="BF"/>
                <w:lang w:val="sq-AL"/>
              </w:rPr>
              <w:t>Buxheti 2019</w:t>
            </w:r>
          </w:p>
        </w:tc>
        <w:tc>
          <w:tcPr>
            <w:tcW w:w="1198" w:type="dxa"/>
            <w:noWrap/>
            <w:hideMark/>
          </w:tcPr>
          <w:p w:rsidR="004E5DAE" w:rsidRPr="00DD7795" w:rsidRDefault="001641AA"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themeColor="accent1" w:themeShade="BF"/>
                <w:lang w:val="sq-AL"/>
              </w:rPr>
            </w:pPr>
            <w:r w:rsidRPr="00DD7795">
              <w:rPr>
                <w:rFonts w:ascii="Cambria" w:eastAsia="Times New Roman" w:hAnsi="Cambria" w:cs="Arial"/>
                <w:b/>
                <w:bCs/>
                <w:color w:val="2E74B5" w:themeColor="accent1" w:themeShade="BF"/>
                <w:lang w:val="sq-AL"/>
              </w:rPr>
              <w:t>Buxheti 2020</w:t>
            </w:r>
          </w:p>
        </w:tc>
        <w:tc>
          <w:tcPr>
            <w:tcW w:w="1198" w:type="dxa"/>
            <w:noWrap/>
            <w:hideMark/>
          </w:tcPr>
          <w:p w:rsidR="004E5DAE" w:rsidRPr="00DD7795" w:rsidRDefault="001641AA"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themeColor="accent1" w:themeShade="BF"/>
                <w:lang w:val="sq-AL"/>
              </w:rPr>
            </w:pPr>
            <w:r w:rsidRPr="00DD7795">
              <w:rPr>
                <w:rFonts w:ascii="Cambria" w:eastAsia="Times New Roman" w:hAnsi="Cambria" w:cs="Arial"/>
                <w:b/>
                <w:bCs/>
                <w:color w:val="2E74B5" w:themeColor="accent1" w:themeShade="BF"/>
                <w:lang w:val="sq-AL"/>
              </w:rPr>
              <w:t>Buxheti 2021</w:t>
            </w:r>
          </w:p>
        </w:tc>
        <w:tc>
          <w:tcPr>
            <w:tcW w:w="1198" w:type="dxa"/>
            <w:noWrap/>
            <w:hideMark/>
          </w:tcPr>
          <w:p w:rsidR="004E5DAE" w:rsidRPr="00DD7795" w:rsidRDefault="001641AA"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themeColor="accent1" w:themeShade="BF"/>
                <w:lang w:val="sq-AL"/>
              </w:rPr>
            </w:pPr>
            <w:r w:rsidRPr="00DD7795">
              <w:rPr>
                <w:rFonts w:ascii="Cambria" w:eastAsia="Times New Roman" w:hAnsi="Cambria" w:cs="Arial"/>
                <w:b/>
                <w:bCs/>
                <w:color w:val="2E74B5" w:themeColor="accent1" w:themeShade="BF"/>
                <w:lang w:val="sq-AL"/>
              </w:rPr>
              <w:t>Buxheti 2022</w:t>
            </w:r>
          </w:p>
        </w:tc>
      </w:tr>
      <w:tr w:rsidR="004E5DAE" w:rsidRPr="004E5DAE" w:rsidTr="00304C9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340" w:type="dxa"/>
            <w:noWrap/>
          </w:tcPr>
          <w:p w:rsidR="004E5DAE" w:rsidRPr="004E5DAE" w:rsidRDefault="004E5DAE" w:rsidP="004E5DAE">
            <w:pPr>
              <w:rPr>
                <w:rFonts w:ascii="Cambria" w:eastAsia="Times New Roman" w:hAnsi="Cambria" w:cs="Arial"/>
                <w:sz w:val="20"/>
                <w:szCs w:val="20"/>
                <w:lang w:val="sq-AL"/>
              </w:rPr>
            </w:pPr>
            <w:r w:rsidRPr="004E5DAE">
              <w:rPr>
                <w:rFonts w:ascii="Cambria" w:eastAsia="Times New Roman" w:hAnsi="Cambria" w:cs="Arial"/>
                <w:b w:val="0"/>
                <w:sz w:val="20"/>
                <w:szCs w:val="20"/>
                <w:lang w:val="sq-AL"/>
              </w:rPr>
              <w:t>në milion lek</w:t>
            </w:r>
          </w:p>
        </w:tc>
        <w:tc>
          <w:tcPr>
            <w:tcW w:w="1186" w:type="dxa"/>
            <w:noWrap/>
          </w:tcPr>
          <w:p w:rsidR="004E5DAE" w:rsidRPr="004E5DAE" w:rsidRDefault="001641AA"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 xml:space="preserve"> 58,031</w:t>
            </w:r>
          </w:p>
        </w:tc>
        <w:tc>
          <w:tcPr>
            <w:tcW w:w="1198" w:type="dxa"/>
            <w:noWrap/>
          </w:tcPr>
          <w:p w:rsidR="004E5DAE" w:rsidRPr="004E5DAE" w:rsidRDefault="001641AA"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 xml:space="preserve"> 58,987</w:t>
            </w:r>
            <w:r w:rsidR="004E5DAE" w:rsidRPr="004E5DAE">
              <w:rPr>
                <w:rFonts w:ascii="Cambria" w:eastAsia="Times New Roman" w:hAnsi="Cambria" w:cs="Arial"/>
                <w:sz w:val="20"/>
                <w:szCs w:val="20"/>
                <w:lang w:val="sq-AL"/>
              </w:rPr>
              <w:t xml:space="preserve"> </w:t>
            </w:r>
          </w:p>
        </w:tc>
        <w:tc>
          <w:tcPr>
            <w:tcW w:w="1198" w:type="dxa"/>
            <w:noWrap/>
          </w:tcPr>
          <w:p w:rsidR="004E5DAE" w:rsidRPr="004E5DAE" w:rsidRDefault="004E5DAE"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4E5DAE">
              <w:rPr>
                <w:rFonts w:ascii="Cambria" w:eastAsia="Times New Roman" w:hAnsi="Cambria" w:cs="Arial"/>
                <w:sz w:val="20"/>
                <w:szCs w:val="20"/>
                <w:lang w:val="sq-AL"/>
              </w:rPr>
              <w:t xml:space="preserve"> </w:t>
            </w:r>
            <w:r w:rsidR="001641AA">
              <w:rPr>
                <w:rFonts w:ascii="Cambria" w:eastAsia="Times New Roman" w:hAnsi="Cambria" w:cs="Arial"/>
                <w:sz w:val="20"/>
                <w:szCs w:val="20"/>
                <w:lang w:val="sq-AL"/>
              </w:rPr>
              <w:t>60,154</w:t>
            </w:r>
            <w:r w:rsidRPr="004E5DAE">
              <w:rPr>
                <w:rFonts w:ascii="Cambria" w:eastAsia="Times New Roman" w:hAnsi="Cambria" w:cs="Arial"/>
                <w:sz w:val="20"/>
                <w:szCs w:val="20"/>
                <w:lang w:val="sq-AL"/>
              </w:rPr>
              <w:t xml:space="preserve"> </w:t>
            </w:r>
          </w:p>
        </w:tc>
        <w:tc>
          <w:tcPr>
            <w:tcW w:w="1198" w:type="dxa"/>
            <w:noWrap/>
          </w:tcPr>
          <w:p w:rsidR="004E5DAE" w:rsidRPr="004E5DAE" w:rsidRDefault="004E5DAE"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4E5DAE">
              <w:rPr>
                <w:rFonts w:ascii="Cambria" w:eastAsia="Times New Roman" w:hAnsi="Cambria" w:cs="Arial"/>
                <w:sz w:val="20"/>
                <w:szCs w:val="20"/>
                <w:lang w:val="sq-AL"/>
              </w:rPr>
              <w:t xml:space="preserve"> </w:t>
            </w:r>
            <w:r w:rsidR="001641AA">
              <w:rPr>
                <w:rFonts w:ascii="Cambria" w:eastAsia="Times New Roman" w:hAnsi="Cambria" w:cs="Arial"/>
                <w:sz w:val="20"/>
                <w:szCs w:val="20"/>
                <w:lang w:val="sq-AL"/>
              </w:rPr>
              <w:t>63,082</w:t>
            </w:r>
            <w:r w:rsidRPr="004E5DAE">
              <w:rPr>
                <w:rFonts w:ascii="Cambria" w:eastAsia="Times New Roman" w:hAnsi="Cambria" w:cs="Arial"/>
                <w:sz w:val="20"/>
                <w:szCs w:val="20"/>
                <w:lang w:val="sq-AL"/>
              </w:rPr>
              <w:t xml:space="preserve"> </w:t>
            </w:r>
          </w:p>
        </w:tc>
      </w:tr>
      <w:tr w:rsidR="004E5DAE" w:rsidRPr="004E5DAE" w:rsidTr="00304C97">
        <w:trPr>
          <w:trHeight w:val="402"/>
        </w:trPr>
        <w:tc>
          <w:tcPr>
            <w:cnfStyle w:val="001000000000" w:firstRow="0" w:lastRow="0" w:firstColumn="1" w:lastColumn="0" w:oddVBand="0" w:evenVBand="0" w:oddHBand="0" w:evenHBand="0" w:firstRowFirstColumn="0" w:firstRowLastColumn="0" w:lastRowFirstColumn="0" w:lastRowLastColumn="0"/>
            <w:tcW w:w="4340" w:type="dxa"/>
            <w:noWrap/>
            <w:hideMark/>
          </w:tcPr>
          <w:p w:rsidR="004E5DAE" w:rsidRPr="004E5DAE" w:rsidRDefault="004E5DAE" w:rsidP="004E5DAE">
            <w:pPr>
              <w:rPr>
                <w:rFonts w:ascii="Cambria" w:eastAsia="Times New Roman" w:hAnsi="Cambria" w:cs="Arial"/>
                <w:b w:val="0"/>
                <w:sz w:val="20"/>
                <w:szCs w:val="20"/>
                <w:lang w:val="sq-AL"/>
              </w:rPr>
            </w:pPr>
            <w:r w:rsidRPr="004E5DAE">
              <w:rPr>
                <w:rFonts w:ascii="Cambria" w:eastAsia="Times New Roman" w:hAnsi="Cambria" w:cs="Arial"/>
                <w:b w:val="0"/>
                <w:sz w:val="20"/>
                <w:szCs w:val="20"/>
                <w:lang w:val="sq-AL"/>
              </w:rPr>
              <w:t>% ndaj PBB</w:t>
            </w:r>
          </w:p>
        </w:tc>
        <w:tc>
          <w:tcPr>
            <w:tcW w:w="1186" w:type="dxa"/>
            <w:noWrap/>
            <w:hideMark/>
          </w:tcPr>
          <w:p w:rsidR="004E5DAE" w:rsidRPr="004E5DAE" w:rsidRDefault="001641AA"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3.31</w:t>
            </w:r>
            <w:r w:rsidR="004E5DAE" w:rsidRPr="004E5DAE">
              <w:rPr>
                <w:rFonts w:ascii="Cambria" w:eastAsia="Times New Roman" w:hAnsi="Cambria" w:cs="Arial"/>
                <w:sz w:val="20"/>
                <w:szCs w:val="20"/>
                <w:lang w:val="sq-AL"/>
              </w:rPr>
              <w:t>%</w:t>
            </w:r>
          </w:p>
        </w:tc>
        <w:tc>
          <w:tcPr>
            <w:tcW w:w="1198" w:type="dxa"/>
            <w:noWrap/>
            <w:hideMark/>
          </w:tcPr>
          <w:p w:rsidR="004E5DAE" w:rsidRPr="004E5DAE" w:rsidRDefault="001641AA"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3.16</w:t>
            </w:r>
            <w:r w:rsidR="004E5DAE" w:rsidRPr="004E5DAE">
              <w:rPr>
                <w:rFonts w:ascii="Cambria" w:eastAsia="Times New Roman" w:hAnsi="Cambria" w:cs="Arial"/>
                <w:sz w:val="20"/>
                <w:szCs w:val="20"/>
                <w:lang w:val="sq-AL"/>
              </w:rPr>
              <w:t>%</w:t>
            </w:r>
          </w:p>
        </w:tc>
        <w:tc>
          <w:tcPr>
            <w:tcW w:w="1198" w:type="dxa"/>
            <w:noWrap/>
            <w:hideMark/>
          </w:tcPr>
          <w:p w:rsidR="004E5DAE" w:rsidRPr="004E5DAE" w:rsidRDefault="001641AA"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3.01</w:t>
            </w:r>
            <w:r w:rsidR="004E5DAE" w:rsidRPr="004E5DAE">
              <w:rPr>
                <w:rFonts w:ascii="Cambria" w:eastAsia="Times New Roman" w:hAnsi="Cambria" w:cs="Arial"/>
                <w:sz w:val="20"/>
                <w:szCs w:val="20"/>
                <w:lang w:val="sq-AL"/>
              </w:rPr>
              <w:t>%</w:t>
            </w:r>
          </w:p>
        </w:tc>
        <w:tc>
          <w:tcPr>
            <w:tcW w:w="1198" w:type="dxa"/>
            <w:noWrap/>
            <w:hideMark/>
          </w:tcPr>
          <w:p w:rsidR="004E5DAE" w:rsidRPr="004E5DAE" w:rsidRDefault="001641AA"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3.98</w:t>
            </w:r>
            <w:r w:rsidR="004E5DAE" w:rsidRPr="004E5DAE">
              <w:rPr>
                <w:rFonts w:ascii="Cambria" w:eastAsia="Times New Roman" w:hAnsi="Cambria" w:cs="Arial"/>
                <w:sz w:val="20"/>
                <w:szCs w:val="20"/>
                <w:lang w:val="sq-AL"/>
              </w:rPr>
              <w:t>%</w:t>
            </w:r>
          </w:p>
        </w:tc>
      </w:tr>
      <w:tr w:rsidR="004E5DAE" w:rsidRPr="004E5DAE" w:rsidTr="00304C9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340" w:type="dxa"/>
            <w:noWrap/>
          </w:tcPr>
          <w:p w:rsidR="004E5DAE" w:rsidRPr="004E5DAE" w:rsidRDefault="004E5DAE" w:rsidP="004E5DAE">
            <w:pPr>
              <w:rPr>
                <w:rFonts w:ascii="Cambria" w:eastAsia="Times New Roman" w:hAnsi="Cambria" w:cs="Arial"/>
                <w:b w:val="0"/>
                <w:sz w:val="20"/>
                <w:szCs w:val="20"/>
                <w:lang w:val="sq-AL"/>
              </w:rPr>
            </w:pPr>
            <w:r w:rsidRPr="004E5DAE">
              <w:rPr>
                <w:rFonts w:ascii="Cambria" w:eastAsia="Times New Roman" w:hAnsi="Cambria" w:cs="Arial"/>
                <w:b w:val="0"/>
                <w:sz w:val="20"/>
                <w:szCs w:val="20"/>
                <w:lang w:val="sq-AL"/>
              </w:rPr>
              <w:t>% ndaj totalit të Shpenzimeve Buxhetore</w:t>
            </w:r>
          </w:p>
        </w:tc>
        <w:tc>
          <w:tcPr>
            <w:tcW w:w="1186" w:type="dxa"/>
            <w:noWrap/>
          </w:tcPr>
          <w:p w:rsidR="004E5DAE" w:rsidRPr="004E5DAE" w:rsidRDefault="001641AA"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11.16</w:t>
            </w:r>
            <w:r w:rsidR="004E5DAE" w:rsidRPr="004E5DAE">
              <w:rPr>
                <w:rFonts w:ascii="Cambria" w:eastAsia="Times New Roman" w:hAnsi="Cambria" w:cs="Arial"/>
                <w:sz w:val="20"/>
                <w:szCs w:val="20"/>
                <w:lang w:val="sq-AL"/>
              </w:rPr>
              <w:t>%</w:t>
            </w:r>
          </w:p>
        </w:tc>
        <w:tc>
          <w:tcPr>
            <w:tcW w:w="1198" w:type="dxa"/>
            <w:noWrap/>
          </w:tcPr>
          <w:p w:rsidR="004E5DAE" w:rsidRPr="004E5DAE" w:rsidRDefault="001641AA"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10.75</w:t>
            </w:r>
            <w:r w:rsidR="004E5DAE" w:rsidRPr="004E5DAE">
              <w:rPr>
                <w:rFonts w:ascii="Cambria" w:eastAsia="Times New Roman" w:hAnsi="Cambria" w:cs="Arial"/>
                <w:sz w:val="20"/>
                <w:szCs w:val="20"/>
                <w:lang w:val="sq-AL"/>
              </w:rPr>
              <w:t>%</w:t>
            </w:r>
          </w:p>
        </w:tc>
        <w:tc>
          <w:tcPr>
            <w:tcW w:w="1198" w:type="dxa"/>
            <w:noWrap/>
          </w:tcPr>
          <w:p w:rsidR="004E5DAE" w:rsidRPr="004E5DAE" w:rsidRDefault="001641AA"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10.4</w:t>
            </w:r>
            <w:r w:rsidR="004E5DAE" w:rsidRPr="004E5DAE">
              <w:rPr>
                <w:rFonts w:ascii="Cambria" w:eastAsia="Times New Roman" w:hAnsi="Cambria" w:cs="Arial"/>
                <w:sz w:val="20"/>
                <w:szCs w:val="20"/>
                <w:lang w:val="sq-AL"/>
              </w:rPr>
              <w:t>%</w:t>
            </w:r>
          </w:p>
        </w:tc>
        <w:tc>
          <w:tcPr>
            <w:tcW w:w="1198" w:type="dxa"/>
            <w:noWrap/>
          </w:tcPr>
          <w:p w:rsidR="004E5DAE" w:rsidRPr="004E5DAE" w:rsidRDefault="001641AA"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10.33</w:t>
            </w:r>
            <w:r w:rsidR="004E5DAE" w:rsidRPr="004E5DAE">
              <w:rPr>
                <w:rFonts w:ascii="Cambria" w:eastAsia="Times New Roman" w:hAnsi="Cambria" w:cs="Arial"/>
                <w:sz w:val="20"/>
                <w:szCs w:val="20"/>
                <w:lang w:val="sq-AL"/>
              </w:rPr>
              <w:t>%</w:t>
            </w:r>
          </w:p>
        </w:tc>
      </w:tr>
    </w:tbl>
    <w:p w:rsidR="004E5DAE" w:rsidRPr="004E5DAE" w:rsidRDefault="004E5DAE" w:rsidP="004E5DAE">
      <w:pPr>
        <w:rPr>
          <w:rFonts w:ascii="Cambria" w:eastAsiaTheme="minorHAnsi" w:hAnsi="Cambria"/>
        </w:rPr>
      </w:pPr>
    </w:p>
    <w:p w:rsidR="004E5DAE" w:rsidRPr="004E5DAE" w:rsidRDefault="00111D17" w:rsidP="004E5DAE">
      <w:pPr>
        <w:pStyle w:val="Heading3"/>
        <w:rPr>
          <w:rFonts w:ascii="Cambria" w:hAnsi="Cambria"/>
          <w:b/>
          <w:color w:val="auto"/>
        </w:rPr>
      </w:pPr>
      <w:r>
        <w:rPr>
          <w:rFonts w:ascii="Cambria" w:hAnsi="Cambria"/>
          <w:b/>
          <w:color w:val="auto"/>
          <w:sz w:val="22"/>
        </w:rPr>
        <w:t>Prioritetet për periudhën 2020-2022</w:t>
      </w:r>
    </w:p>
    <w:p w:rsidR="004E5DAE" w:rsidRPr="004E5DAE" w:rsidRDefault="004E5DAE" w:rsidP="004E5DAE">
      <w:pPr>
        <w:spacing w:after="0" w:line="264" w:lineRule="auto"/>
        <w:rPr>
          <w:rFonts w:ascii="Cambria" w:eastAsia="Times New Roman" w:hAnsi="Cambria" w:cs="Times New Roman"/>
          <w:b/>
          <w:color w:val="0070C0"/>
          <w:sz w:val="28"/>
          <w:szCs w:val="28"/>
          <w:lang w:eastAsia="sr-Latn-CS"/>
        </w:rPr>
      </w:pPr>
    </w:p>
    <w:p w:rsidR="004E5DAE" w:rsidRPr="004E5DAE" w:rsidRDefault="004E5DAE" w:rsidP="00570F53">
      <w:pPr>
        <w:numPr>
          <w:ilvl w:val="0"/>
          <w:numId w:val="19"/>
        </w:numPr>
        <w:spacing w:after="200" w:line="276" w:lineRule="auto"/>
        <w:contextualSpacing/>
        <w:jc w:val="both"/>
        <w:rPr>
          <w:rFonts w:ascii="Cambria" w:eastAsiaTheme="minorHAnsi" w:hAnsi="Cambria"/>
          <w:lang w:val="sq-AL"/>
        </w:rPr>
      </w:pPr>
      <w:r w:rsidRPr="004E5DAE">
        <w:rPr>
          <w:rFonts w:ascii="Cambria" w:eastAsiaTheme="minorHAnsi" w:hAnsi="Cambria"/>
          <w:lang w:val="sq-AL"/>
        </w:rPr>
        <w:t>Mirëplanifikim i shpenzimeve dhe mir</w:t>
      </w:r>
      <w:r w:rsidR="00FA0246">
        <w:rPr>
          <w:rFonts w:ascii="Cambria" w:eastAsiaTheme="minorHAnsi" w:hAnsi="Cambria"/>
          <w:lang w:val="sq-AL"/>
        </w:rPr>
        <w:t>ë</w:t>
      </w:r>
      <w:r w:rsidRPr="004E5DAE">
        <w:rPr>
          <w:rFonts w:ascii="Cambria" w:eastAsiaTheme="minorHAnsi" w:hAnsi="Cambria"/>
          <w:lang w:val="sq-AL"/>
        </w:rPr>
        <w:t>administrim i të ardhurave me qëllim mbështetjen e një rritje ekonomike të shpejtë dhe të qëndrueshme;</w:t>
      </w:r>
    </w:p>
    <w:p w:rsidR="004E5DAE" w:rsidRPr="004E5DAE" w:rsidRDefault="004E5DAE" w:rsidP="00570F53">
      <w:pPr>
        <w:numPr>
          <w:ilvl w:val="0"/>
          <w:numId w:val="19"/>
        </w:numPr>
        <w:spacing w:after="200" w:line="276" w:lineRule="auto"/>
        <w:contextualSpacing/>
        <w:jc w:val="both"/>
        <w:rPr>
          <w:rFonts w:ascii="Cambria" w:eastAsiaTheme="minorHAnsi" w:hAnsi="Cambria"/>
          <w:lang w:val="sq-AL"/>
        </w:rPr>
      </w:pPr>
      <w:r w:rsidRPr="004E5DAE">
        <w:rPr>
          <w:rFonts w:ascii="Cambria" w:eastAsiaTheme="minorHAnsi" w:hAnsi="Cambria"/>
          <w:lang w:val="sq-AL"/>
        </w:rPr>
        <w:t xml:space="preserve">Mbështetja e investimeve të drejtpërdrejta në Republikën e Shqipërisë nëpërmjet identifikimit e promovimit të mundësive për investime, duke i ofruar shërbime dhe mbështetje investitorëve ekzistues ose potencialë; </w:t>
      </w:r>
    </w:p>
    <w:p w:rsidR="004E5DAE" w:rsidRPr="004E5DAE" w:rsidRDefault="004E5DAE" w:rsidP="00570F53">
      <w:pPr>
        <w:numPr>
          <w:ilvl w:val="0"/>
          <w:numId w:val="19"/>
        </w:numPr>
        <w:spacing w:after="200" w:line="276" w:lineRule="auto"/>
        <w:contextualSpacing/>
        <w:jc w:val="both"/>
        <w:rPr>
          <w:rFonts w:ascii="Cambria" w:eastAsiaTheme="minorHAnsi" w:hAnsi="Cambria"/>
          <w:lang w:val="sq-AL"/>
        </w:rPr>
      </w:pPr>
      <w:r w:rsidRPr="004E5DAE">
        <w:rPr>
          <w:rFonts w:ascii="Cambria" w:eastAsiaTheme="minorHAnsi" w:hAnsi="Cambria"/>
          <w:lang w:val="sq-AL"/>
        </w:rPr>
        <w:t>Nxitja e eksporteve dhe rritjes së konkurrueshm</w:t>
      </w:r>
      <w:r w:rsidR="00FA0246">
        <w:rPr>
          <w:rFonts w:ascii="Cambria" w:eastAsiaTheme="minorHAnsi" w:hAnsi="Cambria"/>
          <w:lang w:val="sq-AL"/>
        </w:rPr>
        <w:t>ë</w:t>
      </w:r>
      <w:r w:rsidRPr="004E5DAE">
        <w:rPr>
          <w:rFonts w:ascii="Cambria" w:eastAsiaTheme="minorHAnsi" w:hAnsi="Cambria"/>
          <w:lang w:val="sq-AL"/>
        </w:rPr>
        <w:t>ris</w:t>
      </w:r>
      <w:r w:rsidR="00FA0246">
        <w:rPr>
          <w:rFonts w:ascii="Cambria" w:eastAsiaTheme="minorHAnsi" w:hAnsi="Cambria"/>
          <w:lang w:val="sq-AL"/>
        </w:rPr>
        <w:t>ë</w:t>
      </w:r>
      <w:r w:rsidRPr="004E5DAE">
        <w:rPr>
          <w:rFonts w:ascii="Cambria" w:eastAsiaTheme="minorHAnsi" w:hAnsi="Cambria"/>
          <w:lang w:val="sq-AL"/>
        </w:rPr>
        <w:t xml:space="preserve"> së SME-ve nëpërmjet promovimit të eksporteve, ofrimit të shërbimeve mbështetëse dhe mbështetjes financiare me anë të granteve;</w:t>
      </w:r>
    </w:p>
    <w:p w:rsidR="004E5DAE" w:rsidRPr="004E5DAE" w:rsidRDefault="004E5DAE" w:rsidP="00570F53">
      <w:pPr>
        <w:numPr>
          <w:ilvl w:val="0"/>
          <w:numId w:val="19"/>
        </w:numPr>
        <w:spacing w:after="200" w:line="276" w:lineRule="auto"/>
        <w:contextualSpacing/>
        <w:jc w:val="both"/>
        <w:rPr>
          <w:rFonts w:ascii="Cambria" w:eastAsiaTheme="minorHAnsi" w:hAnsi="Cambria"/>
          <w:lang w:val="sq-AL"/>
        </w:rPr>
      </w:pPr>
      <w:r w:rsidRPr="004E5DAE">
        <w:rPr>
          <w:rFonts w:ascii="Cambria" w:eastAsiaTheme="minorHAnsi" w:hAnsi="Cambria"/>
          <w:lang w:val="sq-AL"/>
        </w:rPr>
        <w:t>Rritja e pjesëmarrjes së punëkërkuesve t</w:t>
      </w:r>
      <w:r w:rsidR="00FA0246">
        <w:rPr>
          <w:rFonts w:ascii="Cambria" w:eastAsiaTheme="minorHAnsi" w:hAnsi="Cambria"/>
          <w:lang w:val="sq-AL"/>
        </w:rPr>
        <w:t>ë</w:t>
      </w:r>
      <w:r w:rsidRPr="004E5DAE">
        <w:rPr>
          <w:rFonts w:ascii="Cambria" w:eastAsiaTheme="minorHAnsi" w:hAnsi="Cambria"/>
          <w:lang w:val="sq-AL"/>
        </w:rPr>
        <w:t xml:space="preserve"> papun</w:t>
      </w:r>
      <w:r w:rsidR="00FA0246">
        <w:rPr>
          <w:rFonts w:ascii="Cambria" w:eastAsiaTheme="minorHAnsi" w:hAnsi="Cambria"/>
          <w:lang w:val="sq-AL"/>
        </w:rPr>
        <w:t>ë</w:t>
      </w:r>
      <w:r w:rsidRPr="004E5DAE">
        <w:rPr>
          <w:rFonts w:ascii="Cambria" w:eastAsiaTheme="minorHAnsi" w:hAnsi="Cambria"/>
          <w:lang w:val="sq-AL"/>
        </w:rPr>
        <w:t xml:space="preserve"> nga grupet e ve</w:t>
      </w:r>
      <w:r w:rsidR="00DD7795">
        <w:rPr>
          <w:rFonts w:ascii="Cambria" w:eastAsiaTheme="minorHAnsi" w:hAnsi="Cambria"/>
          <w:lang w:val="sq-AL"/>
        </w:rPr>
        <w:t>ç</w:t>
      </w:r>
      <w:r w:rsidRPr="004E5DAE">
        <w:rPr>
          <w:rFonts w:ascii="Cambria" w:eastAsiaTheme="minorHAnsi" w:hAnsi="Cambria"/>
          <w:lang w:val="sq-AL"/>
        </w:rPr>
        <w:t>anta me mbi 50% t</w:t>
      </w:r>
      <w:r w:rsidR="00FA0246">
        <w:rPr>
          <w:rFonts w:ascii="Cambria" w:eastAsiaTheme="minorHAnsi" w:hAnsi="Cambria"/>
          <w:lang w:val="sq-AL"/>
        </w:rPr>
        <w:t>ë</w:t>
      </w:r>
      <w:r w:rsidRPr="004E5DAE">
        <w:rPr>
          <w:rFonts w:ascii="Cambria" w:eastAsiaTheme="minorHAnsi" w:hAnsi="Cambria"/>
          <w:lang w:val="sq-AL"/>
        </w:rPr>
        <w:t xml:space="preserve"> totalit t</w:t>
      </w:r>
      <w:r w:rsidR="00FA0246">
        <w:rPr>
          <w:rFonts w:ascii="Cambria" w:eastAsiaTheme="minorHAnsi" w:hAnsi="Cambria"/>
          <w:lang w:val="sq-AL"/>
        </w:rPr>
        <w:t>ë</w:t>
      </w:r>
      <w:r w:rsidRPr="004E5DAE">
        <w:rPr>
          <w:rFonts w:ascii="Cambria" w:eastAsiaTheme="minorHAnsi" w:hAnsi="Cambria"/>
          <w:lang w:val="sq-AL"/>
        </w:rPr>
        <w:t xml:space="preserve"> p</w:t>
      </w:r>
      <w:r w:rsidR="00FA0246">
        <w:rPr>
          <w:rFonts w:ascii="Cambria" w:eastAsiaTheme="minorHAnsi" w:hAnsi="Cambria"/>
          <w:lang w:val="sq-AL"/>
        </w:rPr>
        <w:t>ë</w:t>
      </w:r>
      <w:r w:rsidRPr="004E5DAE">
        <w:rPr>
          <w:rFonts w:ascii="Cambria" w:eastAsiaTheme="minorHAnsi" w:hAnsi="Cambria"/>
          <w:lang w:val="sq-AL"/>
        </w:rPr>
        <w:t>rfitues</w:t>
      </w:r>
      <w:r w:rsidR="00FA0246">
        <w:rPr>
          <w:rFonts w:ascii="Cambria" w:eastAsiaTheme="minorHAnsi" w:hAnsi="Cambria"/>
          <w:lang w:val="sq-AL"/>
        </w:rPr>
        <w:t>ë</w:t>
      </w:r>
      <w:r w:rsidRPr="004E5DAE">
        <w:rPr>
          <w:rFonts w:ascii="Cambria" w:eastAsiaTheme="minorHAnsi" w:hAnsi="Cambria"/>
          <w:lang w:val="sq-AL"/>
        </w:rPr>
        <w:t>ve nga programet e nxitjes së punësimit (femrat, të rinjtë 16-30 vjeç, emigrantët e kthyer me probleme ekonomike, të papunët afatgjatë, romët, personat me aftësi të kufizuar, jetimët, gra kryefamiljare) si dhe integrimin në këto programe të punëkërkuesve të papunë që trajtohen me ndihmë ekonomike dhe pagesë papunësie;</w:t>
      </w:r>
    </w:p>
    <w:p w:rsidR="004E5DAE" w:rsidRPr="004E5DAE" w:rsidRDefault="004E5DAE" w:rsidP="00570F53">
      <w:pPr>
        <w:numPr>
          <w:ilvl w:val="0"/>
          <w:numId w:val="19"/>
        </w:numPr>
        <w:spacing w:after="200" w:line="276" w:lineRule="auto"/>
        <w:contextualSpacing/>
        <w:jc w:val="both"/>
        <w:rPr>
          <w:rFonts w:ascii="Cambria" w:eastAsiaTheme="minorHAnsi" w:hAnsi="Cambria"/>
          <w:lang w:val="sq-AL"/>
        </w:rPr>
      </w:pPr>
      <w:r w:rsidRPr="004E5DAE">
        <w:rPr>
          <w:rFonts w:ascii="Cambria" w:eastAsiaTheme="minorHAnsi" w:hAnsi="Cambria"/>
          <w:lang w:val="sq-AL"/>
        </w:rPr>
        <w:t>Ofrimi i formimit profesional cilësor për të rinjtë dhe të rriturit, në përputhje me kërkesat e tregut t</w:t>
      </w:r>
      <w:r w:rsidR="00FA0246">
        <w:rPr>
          <w:rFonts w:ascii="Cambria" w:eastAsiaTheme="minorHAnsi" w:hAnsi="Cambria"/>
          <w:lang w:val="sq-AL"/>
        </w:rPr>
        <w:t>ë</w:t>
      </w:r>
      <w:r w:rsidRPr="004E5DAE">
        <w:rPr>
          <w:rFonts w:ascii="Cambria" w:eastAsiaTheme="minorHAnsi" w:hAnsi="Cambria"/>
          <w:lang w:val="sq-AL"/>
        </w:rPr>
        <w:t xml:space="preserve"> pun</w:t>
      </w:r>
      <w:r w:rsidR="00FA0246">
        <w:rPr>
          <w:rFonts w:ascii="Cambria" w:eastAsiaTheme="minorHAnsi" w:hAnsi="Cambria"/>
          <w:lang w:val="sq-AL"/>
        </w:rPr>
        <w:t>ë</w:t>
      </w:r>
      <w:r w:rsidRPr="004E5DAE">
        <w:rPr>
          <w:rFonts w:ascii="Cambria" w:eastAsiaTheme="minorHAnsi" w:hAnsi="Cambria"/>
          <w:lang w:val="sq-AL"/>
        </w:rPr>
        <w:t>s, rritja e mund</w:t>
      </w:r>
      <w:r w:rsidR="00FA0246">
        <w:rPr>
          <w:rFonts w:ascii="Cambria" w:eastAsiaTheme="minorHAnsi" w:hAnsi="Cambria"/>
          <w:lang w:val="sq-AL"/>
        </w:rPr>
        <w:t>ë</w:t>
      </w:r>
      <w:r w:rsidRPr="004E5DAE">
        <w:rPr>
          <w:rFonts w:ascii="Cambria" w:eastAsiaTheme="minorHAnsi" w:hAnsi="Cambria"/>
          <w:lang w:val="sq-AL"/>
        </w:rPr>
        <w:t>sis</w:t>
      </w:r>
      <w:r w:rsidR="00FA0246">
        <w:rPr>
          <w:rFonts w:ascii="Cambria" w:eastAsiaTheme="minorHAnsi" w:hAnsi="Cambria"/>
          <w:lang w:val="sq-AL"/>
        </w:rPr>
        <w:t>ë</w:t>
      </w:r>
      <w:r w:rsidRPr="004E5DAE">
        <w:rPr>
          <w:rFonts w:ascii="Cambria" w:eastAsiaTheme="minorHAnsi" w:hAnsi="Cambria"/>
          <w:lang w:val="sq-AL"/>
        </w:rPr>
        <w:t xml:space="preserve"> p</w:t>
      </w:r>
      <w:r w:rsidR="00FA0246">
        <w:rPr>
          <w:rFonts w:ascii="Cambria" w:eastAsiaTheme="minorHAnsi" w:hAnsi="Cambria"/>
          <w:lang w:val="sq-AL"/>
        </w:rPr>
        <w:t>ë</w:t>
      </w:r>
      <w:r w:rsidRPr="004E5DAE">
        <w:rPr>
          <w:rFonts w:ascii="Cambria" w:eastAsiaTheme="minorHAnsi" w:hAnsi="Cambria"/>
          <w:lang w:val="sq-AL"/>
        </w:rPr>
        <w:t>r t</w:t>
      </w:r>
      <w:r w:rsidR="00FA0246">
        <w:rPr>
          <w:rFonts w:ascii="Cambria" w:eastAsiaTheme="minorHAnsi" w:hAnsi="Cambria"/>
          <w:lang w:val="sq-AL"/>
        </w:rPr>
        <w:t>ë</w:t>
      </w:r>
      <w:r w:rsidRPr="004E5DAE">
        <w:rPr>
          <w:rFonts w:ascii="Cambria" w:eastAsiaTheme="minorHAnsi" w:hAnsi="Cambria"/>
          <w:lang w:val="sq-AL"/>
        </w:rPr>
        <w:t xml:space="preserve"> nx</w:t>
      </w:r>
      <w:r w:rsidR="00FA0246">
        <w:rPr>
          <w:rFonts w:ascii="Cambria" w:eastAsiaTheme="minorHAnsi" w:hAnsi="Cambria"/>
          <w:lang w:val="sq-AL"/>
        </w:rPr>
        <w:t>ë</w:t>
      </w:r>
      <w:r w:rsidRPr="004E5DAE">
        <w:rPr>
          <w:rFonts w:ascii="Cambria" w:eastAsiaTheme="minorHAnsi" w:hAnsi="Cambria"/>
          <w:lang w:val="sq-AL"/>
        </w:rPr>
        <w:t>nit gjat</w:t>
      </w:r>
      <w:r w:rsidR="00FA0246">
        <w:rPr>
          <w:rFonts w:ascii="Cambria" w:eastAsiaTheme="minorHAnsi" w:hAnsi="Cambria"/>
          <w:lang w:val="sq-AL"/>
        </w:rPr>
        <w:t>ë</w:t>
      </w:r>
      <w:r w:rsidRPr="004E5DAE">
        <w:rPr>
          <w:rFonts w:ascii="Cambria" w:eastAsiaTheme="minorHAnsi" w:hAnsi="Cambria"/>
          <w:lang w:val="sq-AL"/>
        </w:rPr>
        <w:t xml:space="preserve"> gjith</w:t>
      </w:r>
      <w:r w:rsidR="00FA0246">
        <w:rPr>
          <w:rFonts w:ascii="Cambria" w:eastAsiaTheme="minorHAnsi" w:hAnsi="Cambria"/>
          <w:lang w:val="sq-AL"/>
        </w:rPr>
        <w:t>ë</w:t>
      </w:r>
      <w:r w:rsidRPr="004E5DAE">
        <w:rPr>
          <w:rFonts w:ascii="Cambria" w:eastAsiaTheme="minorHAnsi" w:hAnsi="Cambria"/>
          <w:lang w:val="sq-AL"/>
        </w:rPr>
        <w:t xml:space="preserve"> jet</w:t>
      </w:r>
      <w:r w:rsidR="00FA0246">
        <w:rPr>
          <w:rFonts w:ascii="Cambria" w:eastAsiaTheme="minorHAnsi" w:hAnsi="Cambria"/>
          <w:lang w:val="sq-AL"/>
        </w:rPr>
        <w:t>ë</w:t>
      </w:r>
      <w:r w:rsidRPr="004E5DAE">
        <w:rPr>
          <w:rFonts w:ascii="Cambria" w:eastAsiaTheme="minorHAnsi" w:hAnsi="Cambria"/>
          <w:lang w:val="sq-AL"/>
        </w:rPr>
        <w:t>s si për burrat dhe për gratë dhe përshtatja me mundësit</w:t>
      </w:r>
      <w:r w:rsidR="00FA0246">
        <w:rPr>
          <w:rFonts w:ascii="Cambria" w:eastAsiaTheme="minorHAnsi" w:hAnsi="Cambria"/>
          <w:lang w:val="sq-AL"/>
        </w:rPr>
        <w:t>ë</w:t>
      </w:r>
      <w:r w:rsidRPr="004E5DAE">
        <w:rPr>
          <w:rFonts w:ascii="Cambria" w:eastAsiaTheme="minorHAnsi" w:hAnsi="Cambria"/>
          <w:lang w:val="sq-AL"/>
        </w:rPr>
        <w:t xml:space="preserve"> e punësimit të ofruara nga tregu i punës;</w:t>
      </w:r>
    </w:p>
    <w:p w:rsidR="004E5DAE" w:rsidRPr="004E5DAE" w:rsidRDefault="004E5DAE" w:rsidP="00570F53">
      <w:pPr>
        <w:numPr>
          <w:ilvl w:val="0"/>
          <w:numId w:val="19"/>
        </w:numPr>
        <w:spacing w:after="200" w:line="276" w:lineRule="auto"/>
        <w:contextualSpacing/>
        <w:jc w:val="both"/>
        <w:rPr>
          <w:rFonts w:ascii="Cambria" w:eastAsiaTheme="minorHAnsi" w:hAnsi="Cambria"/>
          <w:lang w:val="sq-AL"/>
        </w:rPr>
      </w:pPr>
      <w:r w:rsidRPr="004E5DAE">
        <w:rPr>
          <w:rFonts w:ascii="Cambria" w:eastAsiaTheme="minorHAnsi" w:hAnsi="Cambria"/>
          <w:lang w:val="sq-AL"/>
        </w:rPr>
        <w:t>Rritja e aksesit në Arsimin e Mesëm Profesio</w:t>
      </w:r>
      <w:r w:rsidR="008B2968">
        <w:rPr>
          <w:rFonts w:ascii="Cambria" w:eastAsiaTheme="minorHAnsi" w:hAnsi="Cambria"/>
          <w:lang w:val="sq-AL"/>
        </w:rPr>
        <w:t>nal duke synuar që në vitin 2022</w:t>
      </w:r>
      <w:r w:rsidRPr="004E5DAE">
        <w:rPr>
          <w:rFonts w:ascii="Cambria" w:eastAsiaTheme="minorHAnsi" w:hAnsi="Cambria"/>
          <w:lang w:val="sq-AL"/>
        </w:rPr>
        <w:t xml:space="preserve"> të tërhiqen 20.1% e nxënësve që ndjekin ciklin e Arsimit e Mesëm, nga 19.5% q</w:t>
      </w:r>
      <w:r w:rsidR="008B2968">
        <w:rPr>
          <w:rFonts w:ascii="Cambria" w:eastAsiaTheme="minorHAnsi" w:hAnsi="Cambria"/>
          <w:lang w:val="sq-AL"/>
        </w:rPr>
        <w:t>ë parashikohet të arrijë në 2019</w:t>
      </w:r>
      <w:r w:rsidRPr="004E5DAE">
        <w:rPr>
          <w:rFonts w:ascii="Cambria" w:eastAsiaTheme="minorHAnsi" w:hAnsi="Cambria"/>
          <w:lang w:val="sq-AL"/>
        </w:rPr>
        <w:t>;</w:t>
      </w:r>
    </w:p>
    <w:p w:rsidR="004E5DAE" w:rsidRDefault="004E5DAE" w:rsidP="00570F53">
      <w:pPr>
        <w:numPr>
          <w:ilvl w:val="0"/>
          <w:numId w:val="19"/>
        </w:numPr>
        <w:spacing w:after="200" w:line="276" w:lineRule="auto"/>
        <w:contextualSpacing/>
        <w:jc w:val="both"/>
        <w:rPr>
          <w:rFonts w:ascii="Cambria" w:eastAsiaTheme="minorHAnsi" w:hAnsi="Cambria"/>
          <w:lang w:val="sq-AL"/>
        </w:rPr>
      </w:pPr>
      <w:r w:rsidRPr="004E5DAE">
        <w:rPr>
          <w:rFonts w:ascii="Cambria" w:eastAsiaTheme="minorHAnsi" w:hAnsi="Cambria"/>
          <w:lang w:val="sq-AL"/>
        </w:rPr>
        <w:t>Mundësimi i strehimit për rreth 42% të familjeve të pastreha të</w:t>
      </w:r>
      <w:r w:rsidR="00445EE9">
        <w:rPr>
          <w:rFonts w:ascii="Cambria" w:eastAsiaTheme="minorHAnsi" w:hAnsi="Cambria"/>
          <w:lang w:val="sq-AL"/>
        </w:rPr>
        <w:t xml:space="preserve"> regjistruara deri në vitin 2022, krahasuar me 9</w:t>
      </w:r>
      <w:r w:rsidRPr="004E5DAE">
        <w:rPr>
          <w:rFonts w:ascii="Cambria" w:eastAsiaTheme="minorHAnsi" w:hAnsi="Cambria"/>
          <w:lang w:val="sq-AL"/>
        </w:rPr>
        <w:t>% që parashikohet të stre</w:t>
      </w:r>
      <w:r w:rsidR="00445EE9">
        <w:rPr>
          <w:rFonts w:ascii="Cambria" w:eastAsiaTheme="minorHAnsi" w:hAnsi="Cambria"/>
          <w:lang w:val="sq-AL"/>
        </w:rPr>
        <w:t>hohen deri në fund të vitit 2019</w:t>
      </w:r>
      <w:r w:rsidRPr="004E5DAE">
        <w:rPr>
          <w:rFonts w:ascii="Cambria" w:eastAsiaTheme="minorHAnsi" w:hAnsi="Cambria"/>
          <w:lang w:val="sq-AL"/>
        </w:rPr>
        <w:t xml:space="preserve">.  </w:t>
      </w:r>
    </w:p>
    <w:p w:rsidR="004E5DAE" w:rsidRDefault="004E5DAE" w:rsidP="004E5DAE">
      <w:pPr>
        <w:spacing w:after="200" w:line="276" w:lineRule="auto"/>
        <w:contextualSpacing/>
        <w:jc w:val="both"/>
        <w:rPr>
          <w:rFonts w:ascii="Cambria" w:eastAsiaTheme="minorHAnsi" w:hAnsi="Cambria"/>
          <w:lang w:val="sq-AL"/>
        </w:rPr>
      </w:pPr>
    </w:p>
    <w:p w:rsidR="004E5DAE" w:rsidRDefault="004E5DAE" w:rsidP="004E5DAE">
      <w:pPr>
        <w:spacing w:after="200" w:line="276" w:lineRule="auto"/>
        <w:contextualSpacing/>
        <w:jc w:val="both"/>
        <w:rPr>
          <w:rFonts w:ascii="Cambria" w:eastAsiaTheme="minorHAnsi" w:hAnsi="Cambria"/>
          <w:lang w:val="sq-AL"/>
        </w:rPr>
      </w:pPr>
    </w:p>
    <w:p w:rsidR="004E5DAE" w:rsidRDefault="004E5DAE" w:rsidP="004E5DAE">
      <w:pPr>
        <w:spacing w:after="200" w:line="276" w:lineRule="auto"/>
        <w:contextualSpacing/>
        <w:jc w:val="both"/>
        <w:rPr>
          <w:rFonts w:ascii="Cambria" w:eastAsiaTheme="minorHAnsi" w:hAnsi="Cambria"/>
          <w:lang w:val="sq-AL"/>
        </w:rPr>
      </w:pPr>
    </w:p>
    <w:p w:rsidR="004E5DAE" w:rsidRPr="004E5DAE" w:rsidRDefault="004E5DAE" w:rsidP="004E5DAE">
      <w:pPr>
        <w:contextualSpacing/>
        <w:jc w:val="both"/>
        <w:rPr>
          <w:rFonts w:ascii="Cambria" w:eastAsiaTheme="minorHAnsi" w:hAnsi="Cambria"/>
          <w:b/>
          <w:sz w:val="20"/>
          <w:lang w:val="sq-AL"/>
        </w:rPr>
      </w:pPr>
    </w:p>
    <w:p w:rsidR="004E5DAE" w:rsidRPr="004E5DAE" w:rsidRDefault="004E5DAE" w:rsidP="004E5DAE">
      <w:pPr>
        <w:contextualSpacing/>
        <w:jc w:val="both"/>
        <w:rPr>
          <w:rFonts w:ascii="Cambria" w:eastAsiaTheme="minorHAnsi" w:hAnsi="Cambria"/>
          <w:sz w:val="20"/>
          <w:lang w:val="sq-AL"/>
        </w:rPr>
      </w:pPr>
      <w:r w:rsidRPr="004E5DAE">
        <w:rPr>
          <w:rFonts w:ascii="Cambria" w:eastAsiaTheme="minorHAnsi" w:hAnsi="Cambria"/>
          <w:b/>
          <w:sz w:val="20"/>
          <w:lang w:val="sq-AL"/>
        </w:rPr>
        <w:t>Tabela 19</w:t>
      </w:r>
      <w:r w:rsidRPr="004E5DAE">
        <w:rPr>
          <w:rFonts w:ascii="Cambria" w:eastAsiaTheme="minorHAnsi" w:hAnsi="Cambria"/>
          <w:sz w:val="20"/>
          <w:lang w:val="sq-AL"/>
        </w:rPr>
        <w:t xml:space="preserve">: </w:t>
      </w:r>
      <w:r w:rsidRPr="004E5DAE">
        <w:rPr>
          <w:rFonts w:ascii="Cambria" w:eastAsia="Times New Roman" w:hAnsi="Cambria" w:cs="Arial"/>
          <w:sz w:val="20"/>
          <w:lang w:val="sq-AL"/>
        </w:rPr>
        <w:t>Shpenzimet për Ministrinë e Fina</w:t>
      </w:r>
      <w:r w:rsidR="009466FD">
        <w:rPr>
          <w:rFonts w:ascii="Cambria" w:eastAsia="Times New Roman" w:hAnsi="Cambria" w:cs="Arial"/>
          <w:sz w:val="20"/>
          <w:lang w:val="sq-AL"/>
        </w:rPr>
        <w:t>ncave dhe Ekonomisë për PBA 2020-2022</w:t>
      </w:r>
    </w:p>
    <w:p w:rsidR="004E5DAE" w:rsidRPr="009466FD" w:rsidRDefault="009466FD" w:rsidP="004E5DAE">
      <w:pPr>
        <w:spacing w:line="264" w:lineRule="auto"/>
        <w:rPr>
          <w:rFonts w:ascii="Cambria" w:eastAsia="MS Gothic" w:hAnsi="Cambria"/>
          <w:b/>
          <w:bCs/>
          <w:color w:val="0070C0"/>
          <w:lang w:val="en-GB"/>
        </w:rPr>
      </w:pPr>
      <w:r w:rsidRPr="009466FD">
        <w:rPr>
          <w:noProof/>
          <w:lang w:val="en-GB" w:eastAsia="en-GB"/>
        </w:rPr>
        <w:lastRenderedPageBreak/>
        <w:drawing>
          <wp:inline distT="0" distB="0" distL="0" distR="0" wp14:anchorId="24918684" wp14:editId="7DE24DBA">
            <wp:extent cx="6090699" cy="4054910"/>
            <wp:effectExtent l="0" t="0" r="5715"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96311" cy="4058646"/>
                    </a:xfrm>
                    <a:prstGeom prst="rect">
                      <a:avLst/>
                    </a:prstGeom>
                    <a:noFill/>
                    <a:ln>
                      <a:noFill/>
                    </a:ln>
                  </pic:spPr>
                </pic:pic>
              </a:graphicData>
            </a:graphic>
          </wp:inline>
        </w:drawing>
      </w:r>
    </w:p>
    <w:p w:rsidR="004E5DAE" w:rsidRPr="004E5DAE" w:rsidRDefault="004E5DAE" w:rsidP="004E5DAE">
      <w:pPr>
        <w:pStyle w:val="Heading3"/>
        <w:rPr>
          <w:rFonts w:ascii="Cambria" w:eastAsia="Calibri" w:hAnsi="Cambria"/>
          <w:b/>
          <w:color w:val="auto"/>
          <w:sz w:val="22"/>
          <w:szCs w:val="28"/>
          <w:lang w:val="it-IT"/>
        </w:rPr>
      </w:pPr>
      <w:r w:rsidRPr="004E5DAE">
        <w:rPr>
          <w:rFonts w:ascii="Cambria" w:eastAsia="Calibri" w:hAnsi="Cambria"/>
          <w:b/>
          <w:color w:val="auto"/>
          <w:sz w:val="22"/>
          <w:szCs w:val="28"/>
          <w:lang w:val="it-IT"/>
        </w:rPr>
        <w:t>Përmbledhje e Treguesve Kyç të Performancës</w:t>
      </w:r>
    </w:p>
    <w:p w:rsidR="00DD7795" w:rsidRDefault="00DD7795" w:rsidP="004E5DAE">
      <w:pPr>
        <w:spacing w:after="120"/>
        <w:jc w:val="both"/>
        <w:rPr>
          <w:rFonts w:ascii="Cambria" w:eastAsiaTheme="minorHAnsi" w:hAnsi="Cambria"/>
          <w:lang w:val="sq-AL"/>
        </w:rPr>
      </w:pPr>
    </w:p>
    <w:p w:rsidR="004E5DAE" w:rsidRPr="004E5DAE" w:rsidRDefault="004E5DAE" w:rsidP="004E5DAE">
      <w:pPr>
        <w:spacing w:after="120"/>
        <w:jc w:val="both"/>
        <w:rPr>
          <w:rFonts w:ascii="Cambria" w:eastAsiaTheme="minorHAnsi" w:hAnsi="Cambria"/>
          <w:lang w:val="sq-AL"/>
        </w:rPr>
      </w:pPr>
      <w:r w:rsidRPr="004E5DAE">
        <w:rPr>
          <w:rFonts w:ascii="Cambria" w:eastAsiaTheme="minorHAnsi" w:hAnsi="Cambria"/>
          <w:lang w:val="sq-AL"/>
        </w:rPr>
        <w:t>Programi “</w:t>
      </w:r>
      <w:r w:rsidRPr="00DD7795">
        <w:rPr>
          <w:rFonts w:ascii="Cambria" w:eastAsiaTheme="minorHAnsi" w:hAnsi="Cambria"/>
          <w:i/>
          <w:lang w:val="sq-AL"/>
        </w:rPr>
        <w:t>Menaxhimi i Shpenzimeve Publike</w:t>
      </w:r>
      <w:r w:rsidRPr="004E5DAE">
        <w:rPr>
          <w:rFonts w:ascii="Cambria" w:eastAsiaTheme="minorHAnsi" w:hAnsi="Cambria"/>
          <w:lang w:val="sq-AL"/>
        </w:rPr>
        <w:t>” synon të arrijë treguesit e mëposhtëm të performancës:</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 xml:space="preserve">Të ardhurat tatimore </w:t>
      </w:r>
      <w:r w:rsidR="00DA2E56">
        <w:rPr>
          <w:rFonts w:ascii="Cambria" w:eastAsiaTheme="minorHAnsi" w:hAnsi="Cambria"/>
          <w:lang w:val="sq-AL"/>
        </w:rPr>
        <w:t>parashikohen të kapin nivelin 27.8</w:t>
      </w:r>
      <w:r w:rsidRPr="004E5DAE">
        <w:rPr>
          <w:rFonts w:ascii="Cambria" w:eastAsiaTheme="minorHAnsi" w:hAnsi="Cambria"/>
          <w:lang w:val="sq-AL"/>
        </w:rPr>
        <w:t>% të P</w:t>
      </w:r>
      <w:r w:rsidR="00DA2E56">
        <w:rPr>
          <w:rFonts w:ascii="Cambria" w:eastAsiaTheme="minorHAnsi" w:hAnsi="Cambria"/>
          <w:lang w:val="sq-AL"/>
        </w:rPr>
        <w:t>BB në vitin 2022, aq sa është</w:t>
      </w:r>
      <w:r w:rsidRPr="004E5DAE">
        <w:rPr>
          <w:rFonts w:ascii="Cambria" w:eastAsiaTheme="minorHAnsi" w:hAnsi="Cambria"/>
          <w:lang w:val="sq-AL"/>
        </w:rPr>
        <w:t xml:space="preserve"> </w:t>
      </w:r>
      <w:r w:rsidR="00DA2E56">
        <w:rPr>
          <w:rFonts w:ascii="Cambria" w:eastAsiaTheme="minorHAnsi" w:hAnsi="Cambria"/>
          <w:lang w:val="sq-AL"/>
        </w:rPr>
        <w:t>parashikuar për vitin 2019</w:t>
      </w:r>
      <w:r w:rsidRPr="004E5DAE">
        <w:rPr>
          <w:rFonts w:ascii="Cambria" w:eastAsiaTheme="minorHAnsi" w:hAnsi="Cambria"/>
          <w:lang w:val="sq-AL"/>
        </w:rPr>
        <w:t xml:space="preserve">; </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Niveli i Borxhit Publik parashikohet të ul</w:t>
      </w:r>
      <w:r w:rsidR="00DA2E56">
        <w:rPr>
          <w:rFonts w:ascii="Cambria" w:eastAsiaTheme="minorHAnsi" w:hAnsi="Cambria"/>
          <w:lang w:val="sq-AL"/>
        </w:rPr>
        <w:t>et në 59.9% të PBB në vitin 2022</w:t>
      </w:r>
      <w:r w:rsidRPr="004E5DAE">
        <w:rPr>
          <w:rFonts w:ascii="Cambria" w:eastAsiaTheme="minorHAnsi" w:hAnsi="Cambria"/>
          <w:lang w:val="sq-AL"/>
        </w:rPr>
        <w:t xml:space="preserve">, nga niveli 68.7% i </w:t>
      </w:r>
      <w:r w:rsidR="00DA2E56">
        <w:rPr>
          <w:rFonts w:ascii="Cambria" w:eastAsiaTheme="minorHAnsi" w:hAnsi="Cambria"/>
          <w:lang w:val="sq-AL"/>
        </w:rPr>
        <w:t>PBB i parashikuar për vitin 2019</w:t>
      </w:r>
      <w:r w:rsidRPr="004E5DAE">
        <w:rPr>
          <w:rFonts w:ascii="Cambria" w:eastAsiaTheme="minorHAnsi" w:hAnsi="Cambria"/>
          <w:lang w:val="sq-AL"/>
        </w:rPr>
        <w:t>;</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 xml:space="preserve">Përmirësim të dukshëm në renditjen e Shqipërisë tek Indeksi i Hapjes së Buxhetit (Open Budget Index), nga 50 pikë prej 100 (maksimumi) në vitin 2017, në të paktën 58 pikë </w:t>
      </w:r>
      <w:r w:rsidR="00DA2E56">
        <w:rPr>
          <w:rFonts w:ascii="Cambria" w:eastAsiaTheme="minorHAnsi" w:hAnsi="Cambria"/>
          <w:lang w:val="sq-AL"/>
        </w:rPr>
        <w:t>n</w:t>
      </w:r>
      <w:r w:rsidR="00DD7795">
        <w:rPr>
          <w:rFonts w:ascii="Cambria" w:eastAsiaTheme="minorHAnsi" w:hAnsi="Cambria"/>
          <w:lang w:val="sq-AL"/>
        </w:rPr>
        <w:t>d</w:t>
      </w:r>
      <w:r w:rsidR="00DA2E56">
        <w:rPr>
          <w:rFonts w:ascii="Cambria" w:eastAsiaTheme="minorHAnsi" w:hAnsi="Cambria"/>
          <w:lang w:val="sq-AL"/>
        </w:rPr>
        <w:t>aj 100 (maksimumi) në vitin 2022</w:t>
      </w:r>
      <w:r w:rsidRPr="004E5DAE">
        <w:rPr>
          <w:rFonts w:ascii="Cambria" w:eastAsiaTheme="minorHAnsi" w:hAnsi="Cambria"/>
          <w:lang w:val="sq-AL"/>
        </w:rPr>
        <w:t>;</w:t>
      </w:r>
    </w:p>
    <w:p w:rsidR="004E5DAE" w:rsidRPr="004E5DAE" w:rsidRDefault="00DA2E56" w:rsidP="004E5DAE">
      <w:pPr>
        <w:spacing w:before="120" w:after="120"/>
        <w:jc w:val="both"/>
        <w:rPr>
          <w:rFonts w:ascii="Cambria" w:eastAsiaTheme="minorHAnsi" w:hAnsi="Cambria"/>
          <w:lang w:val="sq-AL"/>
        </w:rPr>
      </w:pPr>
      <w:r>
        <w:rPr>
          <w:rFonts w:ascii="Cambria" w:eastAsiaTheme="minorHAnsi" w:hAnsi="Cambria"/>
          <w:lang w:val="sq-AL"/>
        </w:rPr>
        <w:t>Gjatë periudhës 2020-2022</w:t>
      </w:r>
      <w:r w:rsidR="004E5DAE" w:rsidRPr="004E5DAE">
        <w:rPr>
          <w:rFonts w:ascii="Cambria" w:eastAsiaTheme="minorHAnsi" w:hAnsi="Cambria"/>
          <w:lang w:val="sq-AL"/>
        </w:rPr>
        <w:t>, nëpërmjet programit “Tregu i Punës” synohet të punësohen në total 7,260 të papunë nga grupet e veçanta, të përfshihen në programet e nxitjes së punësimit të praktikave profesionale rreth 2,250 të rinj të sapodiplomuar në Arsimin e Lartë; të punësohen në total rreth 900 gra kryefamiljare me fëmijë në ngarkim dhe vajza nëna; si dhe të tra</w:t>
      </w:r>
      <w:r w:rsidR="00DD7795">
        <w:rPr>
          <w:rFonts w:ascii="Cambria" w:eastAsiaTheme="minorHAnsi" w:hAnsi="Cambria"/>
          <w:lang w:val="sq-AL"/>
        </w:rPr>
        <w:t>j</w:t>
      </w:r>
      <w:r w:rsidR="004E5DAE" w:rsidRPr="004E5DAE">
        <w:rPr>
          <w:rFonts w:ascii="Cambria" w:eastAsiaTheme="minorHAnsi" w:hAnsi="Cambria"/>
          <w:lang w:val="sq-AL"/>
        </w:rPr>
        <w:t>nohen nëpërmjet programeve të nxitjes së punësimit rreth 5,100 të papunë të trajtuar më parë me ndihmë ekonomike.</w:t>
      </w:r>
    </w:p>
    <w:p w:rsidR="004E5DAE" w:rsidRPr="004E5DAE" w:rsidRDefault="004E5DAE" w:rsidP="004E5DAE">
      <w:pPr>
        <w:spacing w:before="120" w:after="120"/>
        <w:jc w:val="both"/>
        <w:rPr>
          <w:rFonts w:ascii="Cambria" w:eastAsiaTheme="minorHAnsi" w:hAnsi="Cambria"/>
          <w:lang w:val="sq-AL"/>
        </w:rPr>
      </w:pPr>
      <w:r w:rsidRPr="004E5DAE">
        <w:rPr>
          <w:rFonts w:ascii="Cambria" w:eastAsiaTheme="minorHAnsi" w:hAnsi="Cambria"/>
          <w:lang w:val="sq-AL"/>
        </w:rPr>
        <w:t xml:space="preserve">Programi “Arsimi i Mesëm </w:t>
      </w:r>
      <w:r w:rsidR="00DA2E56">
        <w:rPr>
          <w:rFonts w:ascii="Cambria" w:eastAsiaTheme="minorHAnsi" w:hAnsi="Cambria"/>
          <w:lang w:val="sq-AL"/>
        </w:rPr>
        <w:t>Profesional”, për periudhën 2020-2022</w:t>
      </w:r>
      <w:r w:rsidRPr="004E5DAE">
        <w:rPr>
          <w:rFonts w:ascii="Cambria" w:eastAsiaTheme="minorHAnsi" w:hAnsi="Cambria"/>
          <w:lang w:val="sq-AL"/>
        </w:rPr>
        <w:t xml:space="preserve">, synon: </w:t>
      </w:r>
    </w:p>
    <w:p w:rsidR="004E5DAE" w:rsidRPr="004E5DAE" w:rsidRDefault="004E5DAE" w:rsidP="004E5DAE">
      <w:pPr>
        <w:numPr>
          <w:ilvl w:val="0"/>
          <w:numId w:val="7"/>
        </w:numPr>
        <w:spacing w:after="0" w:line="240" w:lineRule="auto"/>
        <w:contextualSpacing/>
        <w:rPr>
          <w:rFonts w:ascii="Cambria" w:eastAsiaTheme="minorHAnsi" w:hAnsi="Cambria"/>
          <w:lang w:val="sq-AL"/>
        </w:rPr>
      </w:pPr>
      <w:r w:rsidRPr="004E5DAE">
        <w:rPr>
          <w:rFonts w:ascii="Cambria" w:eastAsiaTheme="minorHAnsi" w:hAnsi="Cambria"/>
          <w:lang w:val="sq-AL"/>
        </w:rPr>
        <w:t>Rritjen e numrit të të punësuarve pas diplomimit në shkollat e mesme profesionale në 46% të totalit që</w:t>
      </w:r>
      <w:r w:rsidR="00293EDC">
        <w:rPr>
          <w:rFonts w:ascii="Cambria" w:eastAsiaTheme="minorHAnsi" w:hAnsi="Cambria"/>
          <w:lang w:val="sq-AL"/>
        </w:rPr>
        <w:t xml:space="preserve"> mbarojnë studimet në vitin 2022</w:t>
      </w:r>
      <w:r w:rsidRPr="004E5DAE">
        <w:rPr>
          <w:rFonts w:ascii="Cambria" w:eastAsiaTheme="minorHAnsi" w:hAnsi="Cambria"/>
          <w:lang w:val="sq-AL"/>
        </w:rPr>
        <w:t>,</w:t>
      </w:r>
      <w:r w:rsidR="00293EDC">
        <w:rPr>
          <w:rFonts w:ascii="Cambria" w:eastAsiaTheme="minorHAnsi" w:hAnsi="Cambria"/>
          <w:lang w:val="sq-AL"/>
        </w:rPr>
        <w:t xml:space="preserve"> krahasuaër me 42% në vitin 2019</w:t>
      </w:r>
      <w:r w:rsidRPr="004E5DAE">
        <w:rPr>
          <w:rFonts w:ascii="Cambria" w:eastAsiaTheme="minorHAnsi" w:hAnsi="Cambria"/>
          <w:lang w:val="sq-AL"/>
        </w:rPr>
        <w:t>;</w:t>
      </w:r>
    </w:p>
    <w:p w:rsidR="004E5DAE" w:rsidRPr="004E5DAE" w:rsidRDefault="004E5DAE" w:rsidP="004E5DAE">
      <w:pPr>
        <w:numPr>
          <w:ilvl w:val="0"/>
          <w:numId w:val="7"/>
        </w:numPr>
        <w:spacing w:after="0" w:line="240" w:lineRule="auto"/>
        <w:contextualSpacing/>
        <w:rPr>
          <w:rFonts w:ascii="Cambria" w:eastAsiaTheme="minorHAnsi" w:hAnsi="Cambria"/>
          <w:lang w:val="sq-AL"/>
        </w:rPr>
      </w:pPr>
      <w:r w:rsidRPr="004E5DAE">
        <w:rPr>
          <w:rFonts w:ascii="Cambria" w:eastAsiaTheme="minorHAnsi" w:hAnsi="Cambria"/>
          <w:lang w:val="sq-AL"/>
        </w:rPr>
        <w:t>Rritjen e numrit të të diplomuarve në shkollat e mesme profes</w:t>
      </w:r>
      <w:r w:rsidR="00293EDC">
        <w:rPr>
          <w:rFonts w:ascii="Cambria" w:eastAsiaTheme="minorHAnsi" w:hAnsi="Cambria"/>
          <w:lang w:val="sq-AL"/>
        </w:rPr>
        <w:t>ionale, nga 3.300 nxënës në 2019, në 3.600 nxënës në vitin 2022</w:t>
      </w:r>
      <w:r w:rsidRPr="004E5DAE">
        <w:rPr>
          <w:rFonts w:ascii="Cambria" w:eastAsiaTheme="minorHAnsi" w:hAnsi="Cambria"/>
          <w:lang w:val="sq-AL"/>
        </w:rPr>
        <w:t>;</w:t>
      </w:r>
    </w:p>
    <w:p w:rsidR="004E5DAE" w:rsidRPr="004E5DAE" w:rsidRDefault="004E5DAE" w:rsidP="004E5DAE">
      <w:pPr>
        <w:numPr>
          <w:ilvl w:val="0"/>
          <w:numId w:val="7"/>
        </w:numPr>
        <w:spacing w:after="0" w:line="240" w:lineRule="auto"/>
        <w:contextualSpacing/>
        <w:rPr>
          <w:rFonts w:ascii="Cambria" w:eastAsiaTheme="minorHAnsi" w:hAnsi="Cambria"/>
          <w:lang w:val="sq-AL"/>
        </w:rPr>
      </w:pPr>
      <w:r w:rsidRPr="004E5DAE">
        <w:rPr>
          <w:rFonts w:ascii="Cambria" w:eastAsiaTheme="minorHAnsi" w:hAnsi="Cambria"/>
          <w:lang w:val="sq-AL"/>
        </w:rPr>
        <w:lastRenderedPageBreak/>
        <w:t>Rritjen e numrit të nxënësve që vijnë nga zonat rurale të cilët ndjekin studimet në shkollat e mesme profesionale,</w:t>
      </w:r>
      <w:r w:rsidR="00293EDC">
        <w:rPr>
          <w:rFonts w:ascii="Cambria" w:eastAsiaTheme="minorHAnsi" w:hAnsi="Cambria"/>
          <w:lang w:val="sq-AL"/>
        </w:rPr>
        <w:t xml:space="preserve"> nga 40% e totalit në vitin 2019 në 55% e totalit në vitin 2022</w:t>
      </w:r>
      <w:r w:rsidRPr="004E5DAE">
        <w:rPr>
          <w:rFonts w:ascii="Cambria" w:eastAsiaTheme="minorHAnsi" w:hAnsi="Cambria"/>
          <w:lang w:val="sq-AL"/>
        </w:rPr>
        <w:t>;</w:t>
      </w:r>
    </w:p>
    <w:p w:rsidR="004E5DAE" w:rsidRPr="004E5DAE" w:rsidRDefault="004E5DAE" w:rsidP="004E5DAE">
      <w:pPr>
        <w:numPr>
          <w:ilvl w:val="0"/>
          <w:numId w:val="7"/>
        </w:numPr>
        <w:spacing w:after="0" w:line="240" w:lineRule="auto"/>
        <w:contextualSpacing/>
        <w:rPr>
          <w:rFonts w:ascii="Cambria" w:eastAsiaTheme="minorHAnsi" w:hAnsi="Cambria"/>
          <w:lang w:val="sq-AL"/>
        </w:rPr>
      </w:pPr>
      <w:r w:rsidRPr="004E5DAE">
        <w:rPr>
          <w:rFonts w:ascii="Cambria" w:eastAsiaTheme="minorHAnsi" w:hAnsi="Cambria"/>
          <w:lang w:val="sq-AL"/>
        </w:rPr>
        <w:t>Rritjen e numrit të nxënësve me aftësi të kufizuar që ndjekin studimet në shkollat e mesme profesionale nga 90 nx</w:t>
      </w:r>
      <w:r w:rsidR="00293EDC">
        <w:rPr>
          <w:rFonts w:ascii="Cambria" w:eastAsiaTheme="minorHAnsi" w:hAnsi="Cambria"/>
          <w:lang w:val="sq-AL"/>
        </w:rPr>
        <w:t>ënës në vitin 2019 në 120 nxënës në vitin 2022</w:t>
      </w:r>
      <w:r w:rsidRPr="004E5DAE">
        <w:rPr>
          <w:rFonts w:ascii="Cambria" w:eastAsiaTheme="minorHAnsi" w:hAnsi="Cambria"/>
          <w:lang w:val="sq-AL"/>
        </w:rPr>
        <w:t>.</w:t>
      </w:r>
    </w:p>
    <w:p w:rsidR="004E5DAE" w:rsidRPr="004E5DAE" w:rsidRDefault="004E5DAE" w:rsidP="004E5DAE">
      <w:pPr>
        <w:rPr>
          <w:rFonts w:ascii="Cambria" w:eastAsiaTheme="minorHAnsi" w:hAnsi="Cambria"/>
          <w:lang w:val="sq-AL"/>
        </w:rPr>
      </w:pPr>
    </w:p>
    <w:p w:rsidR="004E5DAE" w:rsidRPr="004E5DAE" w:rsidRDefault="00293EDC" w:rsidP="004E5DAE">
      <w:pPr>
        <w:rPr>
          <w:rFonts w:ascii="Cambria" w:eastAsiaTheme="minorHAnsi" w:hAnsi="Cambria"/>
          <w:lang w:val="sq-AL"/>
        </w:rPr>
      </w:pPr>
      <w:r>
        <w:rPr>
          <w:rFonts w:ascii="Cambria" w:eastAsiaTheme="minorHAnsi" w:hAnsi="Cambria"/>
          <w:lang w:val="sq-AL"/>
        </w:rPr>
        <w:t>Gjatë periudhës 2020-2022</w:t>
      </w:r>
      <w:r w:rsidR="004E5DAE" w:rsidRPr="004E5DAE">
        <w:rPr>
          <w:rFonts w:ascii="Cambria" w:eastAsiaTheme="minorHAnsi" w:hAnsi="Cambria"/>
          <w:lang w:val="sq-AL"/>
        </w:rPr>
        <w:t>, programi “Mbështetje për Zhvillim Ekonomik</w:t>
      </w:r>
      <w:r w:rsidR="00DD7795">
        <w:rPr>
          <w:rFonts w:ascii="Cambria" w:eastAsiaTheme="minorHAnsi" w:hAnsi="Cambria"/>
          <w:lang w:val="sq-AL"/>
        </w:rPr>
        <w:t>”</w:t>
      </w:r>
      <w:r w:rsidR="004E5DAE" w:rsidRPr="004E5DAE">
        <w:rPr>
          <w:rFonts w:ascii="Cambria" w:eastAsiaTheme="minorHAnsi" w:hAnsi="Cambria"/>
          <w:lang w:val="sq-AL"/>
        </w:rPr>
        <w:t xml:space="preserve"> synon:</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Promovimin e Shqip</w:t>
      </w:r>
      <w:r w:rsidR="00FA0246">
        <w:rPr>
          <w:rFonts w:ascii="Cambria" w:eastAsiaTheme="minorHAnsi" w:hAnsi="Cambria"/>
          <w:lang w:val="sq-AL"/>
        </w:rPr>
        <w:t>ë</w:t>
      </w:r>
      <w:r w:rsidRPr="004E5DAE">
        <w:rPr>
          <w:rFonts w:ascii="Cambria" w:eastAsiaTheme="minorHAnsi" w:hAnsi="Cambria"/>
          <w:lang w:val="sq-AL"/>
        </w:rPr>
        <w:t>risë si destinacion investimesh nëpërmjet organizimit dhe pjesëmarrjeve në panaire nd</w:t>
      </w:r>
      <w:r w:rsidR="00FA0246">
        <w:rPr>
          <w:rFonts w:ascii="Cambria" w:eastAsiaTheme="minorHAnsi" w:hAnsi="Cambria"/>
          <w:lang w:val="sq-AL"/>
        </w:rPr>
        <w:t>ë</w:t>
      </w:r>
      <w:r w:rsidRPr="004E5DAE">
        <w:rPr>
          <w:rFonts w:ascii="Cambria" w:eastAsiaTheme="minorHAnsi" w:hAnsi="Cambria"/>
          <w:lang w:val="sq-AL"/>
        </w:rPr>
        <w:t>rkombëtare dhe road sho</w:t>
      </w:r>
      <w:r w:rsidR="00FA0246">
        <w:rPr>
          <w:rFonts w:ascii="Cambria" w:eastAsiaTheme="minorHAnsi" w:hAnsi="Cambria"/>
          <w:lang w:val="sq-AL"/>
        </w:rPr>
        <w:t>ë</w:t>
      </w:r>
      <w:r w:rsidRPr="004E5DAE">
        <w:rPr>
          <w:rFonts w:ascii="Cambria" w:eastAsiaTheme="minorHAnsi" w:hAnsi="Cambria"/>
          <w:lang w:val="sq-AL"/>
        </w:rPr>
        <w:t xml:space="preserve"> promovuese, vizita ne kompani (after care) si dhe monitorim efektiv investimesh strategjike; </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Zgjerimin e numrit të bizneseve të profileve të ndryshme që përfitojnë mbështetje financiare nga buxheti i shtetit (255 biznese t</w:t>
      </w:r>
      <w:r w:rsidR="00293EDC">
        <w:rPr>
          <w:rFonts w:ascii="Cambria" w:eastAsiaTheme="minorHAnsi" w:hAnsi="Cambria"/>
          <w:lang w:val="sq-AL"/>
        </w:rPr>
        <w:t>ë mbështetura për periudhën 2020</w:t>
      </w:r>
      <w:r w:rsidRPr="004E5DAE">
        <w:rPr>
          <w:rFonts w:ascii="Cambria" w:eastAsiaTheme="minorHAnsi" w:hAnsi="Cambria"/>
          <w:lang w:val="sq-AL"/>
        </w:rPr>
        <w:t>-</w:t>
      </w:r>
      <w:r w:rsidR="00293EDC">
        <w:rPr>
          <w:rFonts w:ascii="Cambria" w:eastAsiaTheme="minorHAnsi" w:hAnsi="Cambria"/>
          <w:lang w:val="sq-AL"/>
        </w:rPr>
        <w:t>2022</w:t>
      </w:r>
      <w:r w:rsidRPr="004E5DAE">
        <w:rPr>
          <w:rFonts w:ascii="Cambria" w:eastAsiaTheme="minorHAnsi" w:hAnsi="Cambria"/>
          <w:lang w:val="sq-AL"/>
        </w:rPr>
        <w:t>) me qëllim që të rritet konkurueshmëria e tyre si në tregun e brendshëm dhe në atë të jashtëm.</w:t>
      </w:r>
    </w:p>
    <w:p w:rsidR="004E5DAE" w:rsidRPr="004E5DAE" w:rsidRDefault="004E5DAE" w:rsidP="004E5DAE">
      <w:pPr>
        <w:jc w:val="both"/>
        <w:rPr>
          <w:rFonts w:ascii="Cambria" w:eastAsiaTheme="minorHAnsi" w:hAnsi="Cambria"/>
          <w:lang w:val="sq-AL"/>
        </w:rPr>
      </w:pPr>
    </w:p>
    <w:p w:rsidR="004E5DAE" w:rsidRPr="004E5DAE" w:rsidRDefault="004E5DAE" w:rsidP="004E5DAE">
      <w:pPr>
        <w:jc w:val="both"/>
        <w:rPr>
          <w:rFonts w:ascii="Cambria" w:eastAsiaTheme="minorHAnsi" w:hAnsi="Cambria"/>
          <w:lang w:val="sq-AL"/>
        </w:rPr>
      </w:pPr>
      <w:r w:rsidRPr="004E5DAE">
        <w:rPr>
          <w:rFonts w:ascii="Cambria" w:eastAsiaTheme="minorHAnsi" w:hAnsi="Cambria"/>
          <w:lang w:val="sq-AL"/>
        </w:rPr>
        <w:t>Program</w:t>
      </w:r>
      <w:r w:rsidR="00293EDC">
        <w:rPr>
          <w:rFonts w:ascii="Cambria" w:eastAsiaTheme="minorHAnsi" w:hAnsi="Cambria"/>
          <w:lang w:val="sq-AL"/>
        </w:rPr>
        <w:t>i “Strehimi”, për periudhën 2020-2022</w:t>
      </w:r>
      <w:r w:rsidRPr="004E5DAE">
        <w:rPr>
          <w:rFonts w:ascii="Cambria" w:eastAsiaTheme="minorHAnsi" w:hAnsi="Cambria"/>
          <w:lang w:val="sq-AL"/>
        </w:rPr>
        <w:t>, synon që:</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Të mbështesë për herë të parë rreth 3280 familje të pastreha  nëpërmjet skemës së kredive të subvencionuara ng</w:t>
      </w:r>
      <w:r w:rsidR="00293EDC">
        <w:rPr>
          <w:rFonts w:ascii="Cambria" w:eastAsiaTheme="minorHAnsi" w:hAnsi="Cambria"/>
          <w:lang w:val="sq-AL"/>
        </w:rPr>
        <w:t>a shteti përgjatë periudhës 2020-2022</w:t>
      </w:r>
      <w:r w:rsidRPr="004E5DAE">
        <w:rPr>
          <w:rFonts w:ascii="Cambria" w:eastAsiaTheme="minorHAnsi" w:hAnsi="Cambria"/>
          <w:lang w:val="sq-AL"/>
        </w:rPr>
        <w:t>;</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Të rrisë numrin e familjeve të pastreha që përfitojnë bonus qiraje nga 381 përfit</w:t>
      </w:r>
      <w:r w:rsidR="00293EDC">
        <w:rPr>
          <w:rFonts w:ascii="Cambria" w:eastAsiaTheme="minorHAnsi" w:hAnsi="Cambria"/>
          <w:lang w:val="sq-AL"/>
        </w:rPr>
        <w:t>ues të parashikuar në vitin 2019 në 1009 përfitues në vitin 2022</w:t>
      </w:r>
      <w:r w:rsidRPr="004E5DAE">
        <w:rPr>
          <w:rFonts w:ascii="Cambria" w:eastAsiaTheme="minorHAnsi" w:hAnsi="Cambria"/>
          <w:lang w:val="sq-AL"/>
        </w:rPr>
        <w:t>;</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Të rrisë numrin e familjeve që i përmirësohen kushtet e banimit me rreth 1318</w:t>
      </w:r>
      <w:r w:rsidR="00293EDC">
        <w:rPr>
          <w:rFonts w:ascii="Cambria" w:eastAsiaTheme="minorHAnsi" w:hAnsi="Cambria"/>
          <w:lang w:val="sq-AL"/>
        </w:rPr>
        <w:t xml:space="preserve"> familje përgjatë periudhës 2020-2022</w:t>
      </w:r>
      <w:r w:rsidRPr="004E5DAE">
        <w:rPr>
          <w:rFonts w:ascii="Cambria" w:eastAsiaTheme="minorHAnsi" w:hAnsi="Cambria"/>
          <w:lang w:val="sq-AL"/>
        </w:rPr>
        <w:t>;</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Të rrisë numrin e familjeve që përfitojnë banesa sociale me qira ne objekte të adaptuara me rreth 260</w:t>
      </w:r>
      <w:r w:rsidR="00293EDC">
        <w:rPr>
          <w:rFonts w:ascii="Cambria" w:eastAsiaTheme="minorHAnsi" w:hAnsi="Cambria"/>
          <w:lang w:val="sq-AL"/>
        </w:rPr>
        <w:t xml:space="preserve"> familje përgjatë periudhës 2020-2022</w:t>
      </w:r>
      <w:r w:rsidRPr="004E5DAE">
        <w:rPr>
          <w:rFonts w:ascii="Cambria" w:eastAsiaTheme="minorHAnsi" w:hAnsi="Cambria"/>
          <w:lang w:val="sq-AL"/>
        </w:rPr>
        <w:t>;</w:t>
      </w:r>
    </w:p>
    <w:p w:rsidR="004E5DAE" w:rsidRPr="004E5DAE" w:rsidRDefault="004E5DAE" w:rsidP="004E5DAE">
      <w:pPr>
        <w:spacing w:after="0" w:line="240" w:lineRule="auto"/>
        <w:ind w:left="774"/>
        <w:contextualSpacing/>
        <w:jc w:val="both"/>
        <w:rPr>
          <w:rFonts w:ascii="Cambria" w:eastAsiaTheme="minorHAnsi" w:hAnsi="Cambria"/>
          <w:lang w:val="sq-AL"/>
        </w:rPr>
      </w:pPr>
    </w:p>
    <w:p w:rsidR="004E5DAE" w:rsidRPr="004E5DAE" w:rsidRDefault="00293EDC" w:rsidP="004E5DAE">
      <w:pPr>
        <w:spacing w:before="120" w:after="120"/>
        <w:jc w:val="both"/>
        <w:rPr>
          <w:rFonts w:ascii="Cambria" w:eastAsiaTheme="minorHAnsi" w:hAnsi="Cambria"/>
          <w:lang w:val="sq-AL"/>
        </w:rPr>
      </w:pPr>
      <w:r>
        <w:rPr>
          <w:rFonts w:ascii="Cambria" w:eastAsiaTheme="minorHAnsi" w:hAnsi="Cambria"/>
          <w:lang w:val="sq-AL"/>
        </w:rPr>
        <w:t>Gjatë periudhës 2020-2022</w:t>
      </w:r>
      <w:r w:rsidR="004E5DAE" w:rsidRPr="004E5DAE">
        <w:rPr>
          <w:rFonts w:ascii="Cambria" w:eastAsiaTheme="minorHAnsi" w:hAnsi="Cambria"/>
          <w:lang w:val="sq-AL"/>
        </w:rPr>
        <w:t xml:space="preserve">, programi “Menaxhimi i të Ardhurave Tatimore” synon: </w:t>
      </w:r>
    </w:p>
    <w:p w:rsidR="004E5DAE" w:rsidRPr="004E5DAE" w:rsidRDefault="00370A20" w:rsidP="00DD7795">
      <w:pPr>
        <w:numPr>
          <w:ilvl w:val="0"/>
          <w:numId w:val="7"/>
        </w:numPr>
        <w:spacing w:after="0" w:line="240" w:lineRule="auto"/>
        <w:contextualSpacing/>
        <w:jc w:val="both"/>
        <w:rPr>
          <w:rFonts w:ascii="Cambria" w:eastAsiaTheme="minorHAnsi" w:hAnsi="Cambria"/>
          <w:lang w:val="sq-AL"/>
        </w:rPr>
      </w:pPr>
      <w:r>
        <w:rPr>
          <w:rFonts w:ascii="Cambria" w:eastAsiaTheme="minorHAnsi" w:hAnsi="Cambria"/>
          <w:lang w:val="sq-AL"/>
        </w:rPr>
        <w:t>Rritjen me rreth 8</w:t>
      </w:r>
      <w:r w:rsidR="004E5DAE" w:rsidRPr="004E5DAE">
        <w:rPr>
          <w:rFonts w:ascii="Cambria" w:eastAsiaTheme="minorHAnsi" w:hAnsi="Cambria"/>
          <w:lang w:val="sq-AL"/>
        </w:rPr>
        <w:t>% në vit mbledhja e të ardhurave tatimore dhe jo</w:t>
      </w:r>
      <w:r>
        <w:rPr>
          <w:rFonts w:ascii="Cambria" w:eastAsiaTheme="minorHAnsi" w:hAnsi="Cambria"/>
          <w:lang w:val="sq-AL"/>
        </w:rPr>
        <w:t>tatimore përgjatë periudhës 2020-2022</w:t>
      </w:r>
      <w:r w:rsidR="004E5DAE" w:rsidRPr="004E5DAE">
        <w:rPr>
          <w:rFonts w:ascii="Cambria" w:eastAsiaTheme="minorHAnsi" w:hAnsi="Cambria"/>
          <w:lang w:val="sq-AL"/>
        </w:rPr>
        <w:t>;</w:t>
      </w:r>
    </w:p>
    <w:p w:rsidR="004E5DAE" w:rsidRPr="004E5DAE" w:rsidRDefault="004E5DAE" w:rsidP="00DD7795">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Rritjen e raportit të zbulueshmërisë nga kontrollet e kryera nga administrata tatimore tek bizneset;</w:t>
      </w:r>
    </w:p>
    <w:p w:rsidR="004E5DAE" w:rsidRDefault="004E5DAE" w:rsidP="00DD7795">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 xml:space="preserve">Zgjerimin e kontrollit të verifikimit në terren nëpërmjet strukturave të hetimit tatimor, nga </w:t>
      </w:r>
      <w:r w:rsidR="0096336E">
        <w:rPr>
          <w:rFonts w:ascii="Cambria" w:eastAsiaTheme="minorHAnsi" w:hAnsi="Cambria"/>
          <w:lang w:val="sq-AL"/>
        </w:rPr>
        <w:t>60 mijë inspektime në vitin 2020 në 65 mijë në vitin 2022</w:t>
      </w:r>
      <w:r w:rsidRPr="004E5DAE">
        <w:rPr>
          <w:rFonts w:ascii="Cambria" w:eastAsiaTheme="minorHAnsi" w:hAnsi="Cambria"/>
          <w:lang w:val="sq-AL"/>
        </w:rPr>
        <w:t>.</w:t>
      </w:r>
    </w:p>
    <w:p w:rsidR="00370A20" w:rsidRPr="004E5DAE" w:rsidRDefault="00370A20" w:rsidP="00DD7795">
      <w:pPr>
        <w:numPr>
          <w:ilvl w:val="0"/>
          <w:numId w:val="7"/>
        </w:numPr>
        <w:spacing w:after="0" w:line="240" w:lineRule="auto"/>
        <w:contextualSpacing/>
        <w:jc w:val="both"/>
        <w:rPr>
          <w:rFonts w:ascii="Cambria" w:eastAsiaTheme="minorHAnsi" w:hAnsi="Cambria"/>
          <w:lang w:val="sq-AL"/>
        </w:rPr>
      </w:pPr>
      <w:r>
        <w:rPr>
          <w:rFonts w:ascii="Cambria" w:eastAsiaTheme="minorHAnsi" w:hAnsi="Cambria"/>
          <w:lang w:val="sq-AL"/>
        </w:rPr>
        <w:t>Nd</w:t>
      </w:r>
      <w:r w:rsidR="00622057">
        <w:rPr>
          <w:rFonts w:ascii="Cambria" w:eastAsiaTheme="minorHAnsi" w:hAnsi="Cambria"/>
          <w:lang w:val="sq-AL"/>
        </w:rPr>
        <w:t>ë</w:t>
      </w:r>
      <w:r>
        <w:rPr>
          <w:rFonts w:ascii="Cambria" w:eastAsiaTheme="minorHAnsi" w:hAnsi="Cambria"/>
          <w:lang w:val="sq-AL"/>
        </w:rPr>
        <w:t>rgjegj</w:t>
      </w:r>
      <w:r w:rsidR="00622057">
        <w:rPr>
          <w:rFonts w:ascii="Cambria" w:eastAsiaTheme="minorHAnsi" w:hAnsi="Cambria"/>
          <w:lang w:val="sq-AL"/>
        </w:rPr>
        <w:t>ë</w:t>
      </w:r>
      <w:r w:rsidR="00DD7795">
        <w:rPr>
          <w:rFonts w:ascii="Cambria" w:eastAsiaTheme="minorHAnsi" w:hAnsi="Cambria"/>
          <w:lang w:val="sq-AL"/>
        </w:rPr>
        <w:t>simi i bi</w:t>
      </w:r>
      <w:r>
        <w:rPr>
          <w:rFonts w:ascii="Cambria" w:eastAsiaTheme="minorHAnsi" w:hAnsi="Cambria"/>
          <w:lang w:val="sq-AL"/>
        </w:rPr>
        <w:t>zneseve ndaj fushatave t</w:t>
      </w:r>
      <w:r w:rsidR="00622057">
        <w:rPr>
          <w:rFonts w:ascii="Cambria" w:eastAsiaTheme="minorHAnsi" w:hAnsi="Cambria"/>
          <w:lang w:val="sq-AL"/>
        </w:rPr>
        <w:t>ë</w:t>
      </w:r>
      <w:r>
        <w:rPr>
          <w:rFonts w:ascii="Cambria" w:eastAsiaTheme="minorHAnsi" w:hAnsi="Cambria"/>
          <w:lang w:val="sq-AL"/>
        </w:rPr>
        <w:t xml:space="preserve"> shumta p</w:t>
      </w:r>
      <w:r w:rsidR="00622057">
        <w:rPr>
          <w:rFonts w:ascii="Cambria" w:eastAsiaTheme="minorHAnsi" w:hAnsi="Cambria"/>
          <w:lang w:val="sq-AL"/>
        </w:rPr>
        <w:t>ë</w:t>
      </w:r>
      <w:r>
        <w:rPr>
          <w:rFonts w:ascii="Cambria" w:eastAsiaTheme="minorHAnsi" w:hAnsi="Cambria"/>
          <w:lang w:val="sq-AL"/>
        </w:rPr>
        <w:t>r luft</w:t>
      </w:r>
      <w:r w:rsidR="00622057">
        <w:rPr>
          <w:rFonts w:ascii="Cambria" w:eastAsiaTheme="minorHAnsi" w:hAnsi="Cambria"/>
          <w:lang w:val="sq-AL"/>
        </w:rPr>
        <w:t>ë</w:t>
      </w:r>
      <w:r>
        <w:rPr>
          <w:rFonts w:ascii="Cambria" w:eastAsiaTheme="minorHAnsi" w:hAnsi="Cambria"/>
          <w:lang w:val="sq-AL"/>
        </w:rPr>
        <w:t>n kund</w:t>
      </w:r>
      <w:r w:rsidR="00622057">
        <w:rPr>
          <w:rFonts w:ascii="Cambria" w:eastAsiaTheme="minorHAnsi" w:hAnsi="Cambria"/>
          <w:lang w:val="sq-AL"/>
        </w:rPr>
        <w:t>ë</w:t>
      </w:r>
      <w:r>
        <w:rPr>
          <w:rFonts w:ascii="Cambria" w:eastAsiaTheme="minorHAnsi" w:hAnsi="Cambria"/>
          <w:lang w:val="sq-AL"/>
        </w:rPr>
        <w:t>r informalitetit, duke tentuar ul</w:t>
      </w:r>
      <w:r w:rsidR="00DD7795">
        <w:rPr>
          <w:rFonts w:ascii="Cambria" w:eastAsiaTheme="minorHAnsi" w:hAnsi="Cambria"/>
          <w:lang w:val="sq-AL"/>
        </w:rPr>
        <w:t>jen</w:t>
      </w:r>
      <w:r>
        <w:rPr>
          <w:rFonts w:ascii="Cambria" w:eastAsiaTheme="minorHAnsi" w:hAnsi="Cambria"/>
          <w:lang w:val="sq-AL"/>
        </w:rPr>
        <w:t xml:space="preserve"> n</w:t>
      </w:r>
      <w:r w:rsidR="00622057">
        <w:rPr>
          <w:rFonts w:ascii="Cambria" w:eastAsiaTheme="minorHAnsi" w:hAnsi="Cambria"/>
          <w:lang w:val="sq-AL"/>
        </w:rPr>
        <w:t>ë</w:t>
      </w:r>
      <w:r>
        <w:rPr>
          <w:rFonts w:ascii="Cambria" w:eastAsiaTheme="minorHAnsi" w:hAnsi="Cambria"/>
          <w:lang w:val="sq-AL"/>
        </w:rPr>
        <w:t xml:space="preserve"> 180 raste t</w:t>
      </w:r>
      <w:r w:rsidR="00622057">
        <w:rPr>
          <w:rFonts w:ascii="Cambria" w:eastAsiaTheme="minorHAnsi" w:hAnsi="Cambria"/>
          <w:lang w:val="sq-AL"/>
        </w:rPr>
        <w:t>ë</w:t>
      </w:r>
      <w:r>
        <w:rPr>
          <w:rFonts w:ascii="Cambria" w:eastAsiaTheme="minorHAnsi" w:hAnsi="Cambria"/>
          <w:lang w:val="sq-AL"/>
        </w:rPr>
        <w:t xml:space="preserve"> evazi</w:t>
      </w:r>
      <w:r w:rsidR="00DD7795">
        <w:rPr>
          <w:rFonts w:ascii="Cambria" w:eastAsiaTheme="minorHAnsi" w:hAnsi="Cambria"/>
          <w:lang w:val="sq-AL"/>
        </w:rPr>
        <w:t>o</w:t>
      </w:r>
      <w:r>
        <w:rPr>
          <w:rFonts w:ascii="Cambria" w:eastAsiaTheme="minorHAnsi" w:hAnsi="Cambria"/>
          <w:lang w:val="sq-AL"/>
        </w:rPr>
        <w:t>nit fiskal t</w:t>
      </w:r>
      <w:r w:rsidR="00622057">
        <w:rPr>
          <w:rFonts w:ascii="Cambria" w:eastAsiaTheme="minorHAnsi" w:hAnsi="Cambria"/>
          <w:lang w:val="sq-AL"/>
        </w:rPr>
        <w:t>ë</w:t>
      </w:r>
      <w:r>
        <w:rPr>
          <w:rFonts w:ascii="Cambria" w:eastAsiaTheme="minorHAnsi" w:hAnsi="Cambria"/>
          <w:lang w:val="sq-AL"/>
        </w:rPr>
        <w:t xml:space="preserve"> p</w:t>
      </w:r>
      <w:r w:rsidR="00622057">
        <w:rPr>
          <w:rFonts w:ascii="Cambria" w:eastAsiaTheme="minorHAnsi" w:hAnsi="Cambria"/>
          <w:lang w:val="sq-AL"/>
        </w:rPr>
        <w:t>ë</w:t>
      </w:r>
      <w:r>
        <w:rPr>
          <w:rFonts w:ascii="Cambria" w:eastAsiaTheme="minorHAnsi" w:hAnsi="Cambria"/>
          <w:lang w:val="sq-AL"/>
        </w:rPr>
        <w:t>rcjella n</w:t>
      </w:r>
      <w:r w:rsidR="00622057">
        <w:rPr>
          <w:rFonts w:ascii="Cambria" w:eastAsiaTheme="minorHAnsi" w:hAnsi="Cambria"/>
          <w:lang w:val="sq-AL"/>
        </w:rPr>
        <w:t>ë</w:t>
      </w:r>
      <w:r>
        <w:rPr>
          <w:rFonts w:ascii="Cambria" w:eastAsiaTheme="minorHAnsi" w:hAnsi="Cambria"/>
          <w:lang w:val="sq-AL"/>
        </w:rPr>
        <w:t xml:space="preserve"> Prokurori n</w:t>
      </w:r>
      <w:r w:rsidR="00622057">
        <w:rPr>
          <w:rFonts w:ascii="Cambria" w:eastAsiaTheme="minorHAnsi" w:hAnsi="Cambria"/>
          <w:lang w:val="sq-AL"/>
        </w:rPr>
        <w:t>ë</w:t>
      </w:r>
      <w:r>
        <w:rPr>
          <w:rFonts w:ascii="Cambria" w:eastAsiaTheme="minorHAnsi" w:hAnsi="Cambria"/>
          <w:lang w:val="sq-AL"/>
        </w:rPr>
        <w:t xml:space="preserve"> 2022 nga 260 t</w:t>
      </w:r>
      <w:r w:rsidR="00622057">
        <w:rPr>
          <w:rFonts w:ascii="Cambria" w:eastAsiaTheme="minorHAnsi" w:hAnsi="Cambria"/>
          <w:lang w:val="sq-AL"/>
        </w:rPr>
        <w:t>ë</w:t>
      </w:r>
      <w:r>
        <w:rPr>
          <w:rFonts w:ascii="Cambria" w:eastAsiaTheme="minorHAnsi" w:hAnsi="Cambria"/>
          <w:lang w:val="sq-AL"/>
        </w:rPr>
        <w:t xml:space="preserve"> tilla t</w:t>
      </w:r>
      <w:r w:rsidR="00622057">
        <w:rPr>
          <w:rFonts w:ascii="Cambria" w:eastAsiaTheme="minorHAnsi" w:hAnsi="Cambria"/>
          <w:lang w:val="sq-AL"/>
        </w:rPr>
        <w:t>ë</w:t>
      </w:r>
      <w:r>
        <w:rPr>
          <w:rFonts w:ascii="Cambria" w:eastAsiaTheme="minorHAnsi" w:hAnsi="Cambria"/>
          <w:lang w:val="sq-AL"/>
        </w:rPr>
        <w:t xml:space="preserve"> parashikuara p</w:t>
      </w:r>
      <w:r w:rsidR="00622057">
        <w:rPr>
          <w:rFonts w:ascii="Cambria" w:eastAsiaTheme="minorHAnsi" w:hAnsi="Cambria"/>
          <w:lang w:val="sq-AL"/>
        </w:rPr>
        <w:t>ë</w:t>
      </w:r>
      <w:r>
        <w:rPr>
          <w:rFonts w:ascii="Cambria" w:eastAsiaTheme="minorHAnsi" w:hAnsi="Cambria"/>
          <w:lang w:val="sq-AL"/>
        </w:rPr>
        <w:t>r 2019</w:t>
      </w:r>
    </w:p>
    <w:p w:rsidR="004E5DAE" w:rsidRPr="004E5DAE" w:rsidRDefault="004E5DAE" w:rsidP="004E5DAE">
      <w:pPr>
        <w:spacing w:before="120" w:after="120"/>
        <w:jc w:val="both"/>
        <w:rPr>
          <w:rFonts w:ascii="Cambria" w:eastAsiaTheme="minorHAnsi" w:hAnsi="Cambria"/>
          <w:lang w:val="sq-AL"/>
        </w:rPr>
      </w:pPr>
      <w:r w:rsidRPr="004E5DAE">
        <w:rPr>
          <w:rFonts w:ascii="Cambria" w:eastAsiaTheme="minorHAnsi" w:hAnsi="Cambria"/>
          <w:lang w:val="sq-AL"/>
        </w:rPr>
        <w:t>Programi “Menaxhimi i të Ardhurave Do</w:t>
      </w:r>
      <w:r w:rsidR="00C8547E">
        <w:rPr>
          <w:rFonts w:ascii="Cambria" w:eastAsiaTheme="minorHAnsi" w:hAnsi="Cambria"/>
          <w:lang w:val="sq-AL"/>
        </w:rPr>
        <w:t>ganore”, përgjatë periudhës 2020-2022</w:t>
      </w:r>
      <w:r w:rsidRPr="004E5DAE">
        <w:rPr>
          <w:rFonts w:ascii="Cambria" w:eastAsiaTheme="minorHAnsi" w:hAnsi="Cambria"/>
          <w:lang w:val="sq-AL"/>
        </w:rPr>
        <w:t xml:space="preserve">, synon: </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Rritjen e numrit të deklaratave doganore të procesuara n</w:t>
      </w:r>
      <w:r w:rsidR="00C8547E">
        <w:rPr>
          <w:rFonts w:ascii="Cambria" w:eastAsiaTheme="minorHAnsi" w:hAnsi="Cambria"/>
          <w:lang w:val="sq-AL"/>
        </w:rPr>
        <w:t>ë kanalin Blu (në import) nga 12</w:t>
      </w:r>
      <w:r w:rsidRPr="004E5DAE">
        <w:rPr>
          <w:rFonts w:ascii="Cambria" w:eastAsiaTheme="minorHAnsi" w:hAnsi="Cambria"/>
          <w:lang w:val="sq-AL"/>
        </w:rPr>
        <w:t xml:space="preserve">% e totalit të deklaratave </w:t>
      </w:r>
      <w:r w:rsidR="00C8547E">
        <w:rPr>
          <w:rFonts w:ascii="Cambria" w:eastAsiaTheme="minorHAnsi" w:hAnsi="Cambria"/>
          <w:lang w:val="sq-AL"/>
        </w:rPr>
        <w:t>doganore të parashikuara në 2019</w:t>
      </w:r>
      <w:r w:rsidRPr="004E5DAE">
        <w:rPr>
          <w:rFonts w:ascii="Cambria" w:eastAsiaTheme="minorHAnsi" w:hAnsi="Cambria"/>
          <w:lang w:val="sq-AL"/>
        </w:rPr>
        <w:t>,</w:t>
      </w:r>
      <w:r w:rsidR="00C8547E">
        <w:rPr>
          <w:rFonts w:ascii="Cambria" w:eastAsiaTheme="minorHAnsi" w:hAnsi="Cambria"/>
          <w:lang w:val="sq-AL"/>
        </w:rPr>
        <w:t xml:space="preserve"> në 17% të parashikuara për 2022</w:t>
      </w:r>
      <w:r w:rsidRPr="004E5DAE">
        <w:rPr>
          <w:rFonts w:ascii="Cambria" w:eastAsiaTheme="minorHAnsi" w:hAnsi="Cambria"/>
          <w:lang w:val="sq-AL"/>
        </w:rPr>
        <w:t>;</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Rritjen e numrit të deklaratave doganore të procesuara në k</w:t>
      </w:r>
      <w:r w:rsidR="00C8547E">
        <w:rPr>
          <w:rFonts w:ascii="Cambria" w:eastAsiaTheme="minorHAnsi" w:hAnsi="Cambria"/>
          <w:lang w:val="sq-AL"/>
        </w:rPr>
        <w:t>analin Jeshil (në eksport) nga 10</w:t>
      </w:r>
      <w:r w:rsidRPr="004E5DAE">
        <w:rPr>
          <w:rFonts w:ascii="Cambria" w:eastAsiaTheme="minorHAnsi" w:hAnsi="Cambria"/>
          <w:lang w:val="sq-AL"/>
        </w:rPr>
        <w:t>% e totalit të deklaratave doganore për</w:t>
      </w:r>
      <w:r w:rsidR="00C8547E">
        <w:rPr>
          <w:rFonts w:ascii="Cambria" w:eastAsiaTheme="minorHAnsi" w:hAnsi="Cambria"/>
          <w:lang w:val="sq-AL"/>
        </w:rPr>
        <w:t xml:space="preserve"> eksport të parashikuara në 2019 në 14% të parashikuara për 2022</w:t>
      </w:r>
      <w:r w:rsidRPr="004E5DAE">
        <w:rPr>
          <w:rFonts w:ascii="Cambria" w:eastAsiaTheme="minorHAnsi" w:hAnsi="Cambria"/>
          <w:lang w:val="sq-AL"/>
        </w:rPr>
        <w:t>;</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 xml:space="preserve">Shkurtimin e kohës mesatare së shpenzuar për 1 zhdoganim </w:t>
      </w:r>
      <w:r w:rsidR="00C8547E">
        <w:rPr>
          <w:rFonts w:ascii="Cambria" w:eastAsiaTheme="minorHAnsi" w:hAnsi="Cambria"/>
          <w:lang w:val="sq-AL"/>
        </w:rPr>
        <w:t>me rreth 6% më pak në vitin 2022 krahasuar me vitin 2019</w:t>
      </w:r>
      <w:r w:rsidRPr="004E5DAE">
        <w:rPr>
          <w:rFonts w:ascii="Cambria" w:eastAsiaTheme="minorHAnsi" w:hAnsi="Cambria"/>
          <w:lang w:val="sq-AL"/>
        </w:rPr>
        <w:t xml:space="preserve">; </w:t>
      </w:r>
    </w:p>
    <w:p w:rsidR="004E5DAE" w:rsidRPr="004E5DAE" w:rsidRDefault="00C8547E" w:rsidP="004E5DAE">
      <w:pPr>
        <w:spacing w:before="120" w:after="120"/>
        <w:jc w:val="both"/>
        <w:rPr>
          <w:rFonts w:ascii="Cambria" w:eastAsiaTheme="minorHAnsi" w:hAnsi="Cambria"/>
          <w:lang w:val="sq-AL"/>
        </w:rPr>
      </w:pPr>
      <w:r>
        <w:rPr>
          <w:rFonts w:ascii="Cambria" w:eastAsiaTheme="minorHAnsi" w:hAnsi="Cambria"/>
          <w:lang w:val="sq-AL"/>
        </w:rPr>
        <w:t>Gjatë periudhës 2020-2022</w:t>
      </w:r>
      <w:r w:rsidR="004E5DAE" w:rsidRPr="004E5DAE">
        <w:rPr>
          <w:rFonts w:ascii="Cambria" w:eastAsiaTheme="minorHAnsi" w:hAnsi="Cambria"/>
          <w:lang w:val="sq-AL"/>
        </w:rPr>
        <w:t xml:space="preserve">, programi “Sigurimi Shoqëror” synon: </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lastRenderedPageBreak/>
        <w:t>Rritjen e raportit të të ardhurave nga kontributet e sigurimeve shoqërore ndaj mbështetjes buxhetore për skemën e sigurimeve s</w:t>
      </w:r>
      <w:r w:rsidR="00C8547E">
        <w:rPr>
          <w:rFonts w:ascii="Cambria" w:eastAsiaTheme="minorHAnsi" w:hAnsi="Cambria"/>
          <w:lang w:val="sq-AL"/>
        </w:rPr>
        <w:t>hoqërore nga 61:39 në vitin 2019 në 62:38 në vitin 2022</w:t>
      </w:r>
      <w:r w:rsidRPr="004E5DAE">
        <w:rPr>
          <w:rFonts w:ascii="Cambria" w:eastAsiaTheme="minorHAnsi" w:hAnsi="Cambria"/>
          <w:lang w:val="sq-AL"/>
        </w:rPr>
        <w:t xml:space="preserve">; </w:t>
      </w:r>
    </w:p>
    <w:p w:rsidR="004E5DAE" w:rsidRPr="004E5DAE" w:rsidRDefault="004E5DAE" w:rsidP="004E5DAE">
      <w:pPr>
        <w:numPr>
          <w:ilvl w:val="0"/>
          <w:numId w:val="7"/>
        </w:numPr>
        <w:spacing w:after="0" w:line="240" w:lineRule="auto"/>
        <w:contextualSpacing/>
        <w:jc w:val="both"/>
        <w:rPr>
          <w:rFonts w:ascii="Cambria" w:eastAsiaTheme="minorHAnsi" w:hAnsi="Cambria"/>
          <w:lang w:val="sq-AL"/>
        </w:rPr>
      </w:pPr>
      <w:r w:rsidRPr="004E5DAE">
        <w:rPr>
          <w:rFonts w:ascii="Cambria" w:eastAsiaTheme="minorHAnsi" w:hAnsi="Cambria"/>
          <w:lang w:val="sq-AL"/>
        </w:rPr>
        <w:t>Përmirësimi i raportit të punësuar (kontribues) për pensionist (përfitues) nga 1.21 të punës</w:t>
      </w:r>
      <w:r w:rsidR="00C8547E">
        <w:rPr>
          <w:rFonts w:ascii="Cambria" w:eastAsiaTheme="minorHAnsi" w:hAnsi="Cambria"/>
          <w:lang w:val="sq-AL"/>
        </w:rPr>
        <w:t>uar për pensionist në vitin 2019</w:t>
      </w:r>
      <w:r w:rsidRPr="004E5DAE">
        <w:rPr>
          <w:rFonts w:ascii="Cambria" w:eastAsiaTheme="minorHAnsi" w:hAnsi="Cambria"/>
          <w:lang w:val="sq-AL"/>
        </w:rPr>
        <w:t xml:space="preserve"> në 1.26 të punës</w:t>
      </w:r>
      <w:r w:rsidR="00C8547E">
        <w:rPr>
          <w:rFonts w:ascii="Cambria" w:eastAsiaTheme="minorHAnsi" w:hAnsi="Cambria"/>
          <w:lang w:val="sq-AL"/>
        </w:rPr>
        <w:t>uar për pensionist në vitin 2022</w:t>
      </w:r>
      <w:r w:rsidRPr="004E5DAE">
        <w:rPr>
          <w:rFonts w:ascii="Cambria" w:eastAsiaTheme="minorHAnsi" w:hAnsi="Cambria"/>
          <w:lang w:val="sq-AL"/>
        </w:rPr>
        <w:t>.</w:t>
      </w:r>
    </w:p>
    <w:p w:rsidR="004E5DAE" w:rsidRDefault="004E5DAE" w:rsidP="00894DEB">
      <w:pPr>
        <w:pStyle w:val="Default"/>
        <w:jc w:val="both"/>
        <w:rPr>
          <w:rFonts w:ascii="Cambria" w:hAnsi="Cambria" w:cs="Times New Roman"/>
          <w:color w:val="auto"/>
          <w:sz w:val="22"/>
          <w:szCs w:val="22"/>
        </w:rPr>
      </w:pPr>
    </w:p>
    <w:p w:rsidR="00D9433C" w:rsidRPr="006457C4" w:rsidRDefault="00D9433C" w:rsidP="00D9433C">
      <w:pPr>
        <w:pStyle w:val="Heading1"/>
        <w:rPr>
          <w:rFonts w:ascii="Cambria" w:hAnsi="Cambria"/>
          <w:b/>
          <w:color w:val="auto"/>
          <w:sz w:val="36"/>
          <w:lang w:eastAsia="sq-AL"/>
        </w:rPr>
      </w:pPr>
      <w:bookmarkStart w:id="439" w:name="_Toc13653998"/>
      <w:r w:rsidRPr="006457C4">
        <w:rPr>
          <w:rFonts w:ascii="Cambria" w:hAnsi="Cambria"/>
          <w:b/>
          <w:color w:val="auto"/>
          <w:sz w:val="36"/>
        </w:rPr>
        <w:t>Anekse</w:t>
      </w:r>
      <w:bookmarkEnd w:id="439"/>
    </w:p>
    <w:p w:rsidR="00D9433C" w:rsidRPr="00D9433C" w:rsidRDefault="00D9433C" w:rsidP="00D9433C">
      <w:pPr>
        <w:jc w:val="both"/>
        <w:rPr>
          <w:rFonts w:ascii="Cambria" w:hAnsi="Cambria"/>
          <w:lang w:eastAsia="sq-AL"/>
        </w:rPr>
      </w:pPr>
      <w:r w:rsidRPr="00D9433C">
        <w:rPr>
          <w:rFonts w:ascii="Cambria" w:hAnsi="Cambria"/>
          <w:lang w:eastAsia="sq-AL"/>
        </w:rPr>
        <w:t>Bashk</w:t>
      </w:r>
      <w:r>
        <w:rPr>
          <w:rFonts w:ascii="Cambria" w:hAnsi="Cambria"/>
          <w:lang w:eastAsia="sq-AL"/>
        </w:rPr>
        <w:t>ë</w:t>
      </w:r>
      <w:r w:rsidRPr="00D9433C">
        <w:rPr>
          <w:rFonts w:ascii="Cambria" w:hAnsi="Cambria"/>
          <w:lang w:eastAsia="sq-AL"/>
        </w:rPr>
        <w:t>lidhur k</w:t>
      </w:r>
      <w:r>
        <w:rPr>
          <w:rFonts w:ascii="Cambria" w:hAnsi="Cambria"/>
          <w:lang w:eastAsia="sq-AL"/>
        </w:rPr>
        <w:t>ë</w:t>
      </w:r>
      <w:r w:rsidRPr="00D9433C">
        <w:rPr>
          <w:rFonts w:ascii="Cambria" w:hAnsi="Cambria"/>
          <w:lang w:eastAsia="sq-AL"/>
        </w:rPr>
        <w:t>tij materiali gjendet informacioni i detajuar mbi k</w:t>
      </w:r>
      <w:r>
        <w:rPr>
          <w:rFonts w:ascii="Cambria" w:hAnsi="Cambria"/>
          <w:lang w:eastAsia="sq-AL"/>
        </w:rPr>
        <w:t>ë</w:t>
      </w:r>
      <w:r w:rsidRPr="00D9433C">
        <w:rPr>
          <w:rFonts w:ascii="Cambria" w:hAnsi="Cambria"/>
          <w:lang w:eastAsia="sq-AL"/>
        </w:rPr>
        <w:t>rkesat buxhetore t</w:t>
      </w:r>
      <w:r>
        <w:rPr>
          <w:rFonts w:ascii="Cambria" w:hAnsi="Cambria"/>
          <w:lang w:eastAsia="sq-AL"/>
        </w:rPr>
        <w:t>ë</w:t>
      </w:r>
      <w:r w:rsidRPr="00D9433C">
        <w:rPr>
          <w:rFonts w:ascii="Cambria" w:hAnsi="Cambria"/>
          <w:lang w:eastAsia="sq-AL"/>
        </w:rPr>
        <w:t xml:space="preserve"> ministrive t</w:t>
      </w:r>
      <w:r>
        <w:rPr>
          <w:rFonts w:ascii="Cambria" w:hAnsi="Cambria"/>
          <w:lang w:eastAsia="sq-AL"/>
        </w:rPr>
        <w:t>ë</w:t>
      </w:r>
      <w:r w:rsidRPr="00D9433C">
        <w:rPr>
          <w:rFonts w:ascii="Cambria" w:hAnsi="Cambria"/>
          <w:lang w:eastAsia="sq-AL"/>
        </w:rPr>
        <w:t xml:space="preserve"> linj</w:t>
      </w:r>
      <w:r>
        <w:rPr>
          <w:rFonts w:ascii="Cambria" w:hAnsi="Cambria"/>
          <w:lang w:eastAsia="sq-AL"/>
        </w:rPr>
        <w:t>ë</w:t>
      </w:r>
      <w:r w:rsidRPr="00D9433C">
        <w:rPr>
          <w:rFonts w:ascii="Cambria" w:hAnsi="Cambria"/>
          <w:lang w:eastAsia="sq-AL"/>
        </w:rPr>
        <w:t>s dhe institucioneve qendrore i strukturuar sipas kat</w:t>
      </w:r>
      <w:r>
        <w:rPr>
          <w:rFonts w:ascii="Cambria" w:hAnsi="Cambria"/>
          <w:lang w:eastAsia="sq-AL"/>
        </w:rPr>
        <w:t>ë</w:t>
      </w:r>
      <w:r w:rsidRPr="00D9433C">
        <w:rPr>
          <w:rFonts w:ascii="Cambria" w:hAnsi="Cambria"/>
          <w:lang w:eastAsia="sq-AL"/>
        </w:rPr>
        <w:t>r anekseve m</w:t>
      </w:r>
      <w:r>
        <w:rPr>
          <w:rFonts w:ascii="Cambria" w:hAnsi="Cambria"/>
          <w:lang w:eastAsia="sq-AL"/>
        </w:rPr>
        <w:t>ë</w:t>
      </w:r>
      <w:r w:rsidRPr="00D9433C">
        <w:rPr>
          <w:rFonts w:ascii="Cambria" w:hAnsi="Cambria"/>
          <w:lang w:eastAsia="sq-AL"/>
        </w:rPr>
        <w:t>posht</w:t>
      </w:r>
      <w:r>
        <w:rPr>
          <w:rFonts w:ascii="Cambria" w:hAnsi="Cambria"/>
          <w:lang w:eastAsia="sq-AL"/>
        </w:rPr>
        <w:t>ë</w:t>
      </w:r>
      <w:r w:rsidRPr="00D9433C">
        <w:rPr>
          <w:rFonts w:ascii="Cambria" w:hAnsi="Cambria"/>
          <w:lang w:eastAsia="sq-AL"/>
        </w:rPr>
        <w:t>:</w:t>
      </w:r>
    </w:p>
    <w:p w:rsidR="004F6BD8" w:rsidRDefault="004F6BD8" w:rsidP="00570F53">
      <w:pPr>
        <w:numPr>
          <w:ilvl w:val="0"/>
          <w:numId w:val="30"/>
        </w:numPr>
        <w:jc w:val="both"/>
        <w:rPr>
          <w:rFonts w:ascii="Cambria" w:hAnsi="Cambria"/>
          <w:lang w:eastAsia="sq-AL"/>
        </w:rPr>
      </w:pPr>
      <w:r w:rsidRPr="00D9433C">
        <w:rPr>
          <w:rFonts w:ascii="Cambria" w:hAnsi="Cambria"/>
          <w:b/>
          <w:i/>
          <w:lang w:eastAsia="sq-AL"/>
        </w:rPr>
        <w:t>Aneksi numër 1</w:t>
      </w:r>
      <w:r w:rsidRPr="00D9433C">
        <w:rPr>
          <w:rFonts w:ascii="Cambria" w:hAnsi="Cambria"/>
          <w:lang w:eastAsia="sq-AL"/>
        </w:rPr>
        <w:t xml:space="preserve"> </w:t>
      </w:r>
      <w:r w:rsidR="001E6241">
        <w:rPr>
          <w:rFonts w:ascii="Cambria" w:hAnsi="Cambria"/>
          <w:lang w:eastAsia="sq-AL"/>
        </w:rPr>
        <w:tab/>
      </w:r>
      <w:r w:rsidR="00295F45">
        <w:rPr>
          <w:rFonts w:ascii="Cambria" w:hAnsi="Cambria"/>
          <w:lang w:eastAsia="sq-AL"/>
        </w:rPr>
        <w:t>“Kërkesat buxhetore 2020-2022</w:t>
      </w:r>
      <w:r w:rsidRPr="00D9433C">
        <w:rPr>
          <w:rFonts w:ascii="Cambria" w:hAnsi="Cambria"/>
          <w:lang w:eastAsia="sq-AL"/>
        </w:rPr>
        <w:t xml:space="preserve"> për çdo njësi të qeverisjes qendrore”, në të cilin paraqitet në mënyrë të përmbledhur informacioni i siguruar nga ministritë e linjës dhe institucionet qendrore lidhur me Kër</w:t>
      </w:r>
      <w:r w:rsidR="00295F45">
        <w:rPr>
          <w:rFonts w:ascii="Cambria" w:hAnsi="Cambria"/>
          <w:lang w:eastAsia="sq-AL"/>
        </w:rPr>
        <w:t>kesat Buxhetore Afatmesme 2020</w:t>
      </w:r>
      <w:r w:rsidRPr="00D9433C">
        <w:rPr>
          <w:rFonts w:ascii="Cambria" w:hAnsi="Cambria"/>
          <w:lang w:eastAsia="sq-AL"/>
        </w:rPr>
        <w:t>–202</w:t>
      </w:r>
      <w:r w:rsidR="00295F45">
        <w:rPr>
          <w:rFonts w:ascii="Cambria" w:hAnsi="Cambria"/>
          <w:lang w:eastAsia="sq-AL"/>
        </w:rPr>
        <w:t>2</w:t>
      </w:r>
      <w:r>
        <w:rPr>
          <w:rFonts w:ascii="Cambria" w:hAnsi="Cambria"/>
          <w:lang w:eastAsia="sq-AL"/>
        </w:rPr>
        <w:t>, të paraqitura në përputhje me tavanet përfundimtare</w:t>
      </w:r>
      <w:r w:rsidRPr="00D9433C">
        <w:rPr>
          <w:rFonts w:ascii="Cambria" w:hAnsi="Cambria"/>
          <w:lang w:eastAsia="sq-AL"/>
        </w:rPr>
        <w:t xml:space="preserve"> </w:t>
      </w:r>
      <w:r>
        <w:rPr>
          <w:rFonts w:ascii="Cambria" w:hAnsi="Cambria"/>
          <w:lang w:eastAsia="sq-AL"/>
        </w:rPr>
        <w:t>në nivel qëllimi</w:t>
      </w:r>
      <w:r w:rsidRPr="00D9433C">
        <w:rPr>
          <w:rFonts w:ascii="Cambria" w:hAnsi="Cambria"/>
          <w:lang w:eastAsia="sq-AL"/>
        </w:rPr>
        <w:t xml:space="preserve"> </w:t>
      </w:r>
      <w:r>
        <w:rPr>
          <w:rFonts w:ascii="Cambria" w:hAnsi="Cambria"/>
          <w:lang w:eastAsia="sq-AL"/>
        </w:rPr>
        <w:t>të</w:t>
      </w:r>
      <w:r w:rsidRPr="00D9433C">
        <w:rPr>
          <w:rFonts w:ascii="Cambria" w:hAnsi="Cambria"/>
          <w:lang w:eastAsia="sq-AL"/>
        </w:rPr>
        <w:t xml:space="preserve"> politikës, objektiva</w:t>
      </w:r>
      <w:r>
        <w:rPr>
          <w:rFonts w:ascii="Cambria" w:hAnsi="Cambria"/>
          <w:lang w:eastAsia="sq-AL"/>
        </w:rPr>
        <w:t>ve</w:t>
      </w:r>
      <w:r w:rsidRPr="00D9433C">
        <w:rPr>
          <w:rFonts w:ascii="Cambria" w:hAnsi="Cambria"/>
          <w:lang w:eastAsia="sq-AL"/>
        </w:rPr>
        <w:t xml:space="preserve"> dhe produkte</w:t>
      </w:r>
      <w:r>
        <w:rPr>
          <w:rFonts w:ascii="Cambria" w:hAnsi="Cambria"/>
          <w:lang w:eastAsia="sq-AL"/>
        </w:rPr>
        <w:t>ve</w:t>
      </w:r>
      <w:r w:rsidRPr="00D9433C">
        <w:rPr>
          <w:rFonts w:ascii="Cambria" w:hAnsi="Cambria"/>
          <w:lang w:eastAsia="sq-AL"/>
        </w:rPr>
        <w:t xml:space="preserve"> për secilin prej p</w:t>
      </w:r>
      <w:r w:rsidR="00295F45">
        <w:rPr>
          <w:rFonts w:ascii="Cambria" w:hAnsi="Cambria"/>
          <w:lang w:eastAsia="sq-AL"/>
        </w:rPr>
        <w:t>rogrameve të tyre për vitet 2020, 2021 dhe 2022</w:t>
      </w:r>
      <w:r w:rsidRPr="00D9433C">
        <w:rPr>
          <w:rFonts w:ascii="Cambria" w:hAnsi="Cambria"/>
          <w:lang w:eastAsia="sq-AL"/>
        </w:rPr>
        <w:t xml:space="preserve">. </w:t>
      </w:r>
    </w:p>
    <w:p w:rsidR="001E6241" w:rsidRPr="00D9433C" w:rsidRDefault="001E6241" w:rsidP="001E6241">
      <w:pPr>
        <w:numPr>
          <w:ilvl w:val="0"/>
          <w:numId w:val="30"/>
        </w:numPr>
        <w:jc w:val="both"/>
        <w:rPr>
          <w:rFonts w:ascii="Cambria" w:hAnsi="Cambria"/>
          <w:lang w:eastAsia="sq-AL"/>
        </w:rPr>
      </w:pPr>
      <w:r w:rsidRPr="00D9433C">
        <w:rPr>
          <w:rFonts w:ascii="Cambria" w:hAnsi="Cambria"/>
          <w:b/>
          <w:i/>
          <w:lang w:eastAsia="sq-AL"/>
        </w:rPr>
        <w:t>Aneksi numër 2</w:t>
      </w:r>
      <w:r>
        <w:rPr>
          <w:rFonts w:ascii="Cambria" w:hAnsi="Cambria"/>
          <w:lang w:eastAsia="sq-AL"/>
        </w:rPr>
        <w:t xml:space="preserve"> </w:t>
      </w:r>
      <w:r>
        <w:rPr>
          <w:rFonts w:ascii="Cambria" w:hAnsi="Cambria"/>
          <w:lang w:eastAsia="sq-AL"/>
        </w:rPr>
        <w:tab/>
        <w:t>“Kërkesat shtesë për vitin 2020-2022 të Ministrive të linjës”;</w:t>
      </w:r>
    </w:p>
    <w:p w:rsidR="001E6241" w:rsidRDefault="006457C4" w:rsidP="001E6241">
      <w:pPr>
        <w:numPr>
          <w:ilvl w:val="0"/>
          <w:numId w:val="30"/>
        </w:numPr>
        <w:jc w:val="both"/>
        <w:rPr>
          <w:rFonts w:ascii="Cambria" w:hAnsi="Cambria"/>
          <w:lang w:eastAsia="sq-AL"/>
        </w:rPr>
      </w:pPr>
      <w:r>
        <w:rPr>
          <w:rFonts w:ascii="Cambria" w:hAnsi="Cambria"/>
          <w:b/>
          <w:i/>
          <w:lang w:eastAsia="sq-AL"/>
        </w:rPr>
        <w:t>Aneksi numër 3</w:t>
      </w:r>
      <w:r w:rsidR="001E6241">
        <w:rPr>
          <w:rFonts w:ascii="Cambria" w:hAnsi="Cambria"/>
          <w:b/>
          <w:i/>
          <w:lang w:eastAsia="sq-AL"/>
        </w:rPr>
        <w:tab/>
      </w:r>
      <w:r w:rsidR="001E6241" w:rsidRPr="00D9433C">
        <w:rPr>
          <w:rFonts w:ascii="Cambria" w:hAnsi="Cambria"/>
          <w:b/>
          <w:i/>
          <w:lang w:eastAsia="sq-AL"/>
        </w:rPr>
        <w:t xml:space="preserve"> </w:t>
      </w:r>
      <w:r w:rsidR="001E6241" w:rsidRPr="00D9433C">
        <w:rPr>
          <w:rFonts w:ascii="Cambria" w:hAnsi="Cambria"/>
          <w:lang w:eastAsia="sq-AL"/>
        </w:rPr>
        <w:t>“B</w:t>
      </w:r>
      <w:r w:rsidR="001E6241">
        <w:rPr>
          <w:rFonts w:ascii="Cambria" w:hAnsi="Cambria"/>
          <w:lang w:eastAsia="sq-AL"/>
        </w:rPr>
        <w:t>uxhetimi i Përgjigjshëm Gjinor”;</w:t>
      </w:r>
    </w:p>
    <w:p w:rsidR="00DD7795" w:rsidRDefault="00DD7795" w:rsidP="001E6241">
      <w:pPr>
        <w:numPr>
          <w:ilvl w:val="0"/>
          <w:numId w:val="30"/>
        </w:numPr>
        <w:jc w:val="both"/>
        <w:rPr>
          <w:rFonts w:ascii="Cambria" w:hAnsi="Cambria"/>
          <w:lang w:eastAsia="sq-AL"/>
        </w:rPr>
      </w:pPr>
      <w:r>
        <w:rPr>
          <w:rFonts w:ascii="Cambria" w:hAnsi="Cambria"/>
          <w:b/>
          <w:i/>
          <w:lang w:eastAsia="sq-AL"/>
        </w:rPr>
        <w:t>Aneksi num</w:t>
      </w:r>
      <w:r w:rsidR="00FA0246">
        <w:rPr>
          <w:rFonts w:ascii="Cambria" w:hAnsi="Cambria"/>
          <w:b/>
          <w:i/>
          <w:lang w:eastAsia="sq-AL"/>
        </w:rPr>
        <w:t>ë</w:t>
      </w:r>
      <w:r>
        <w:rPr>
          <w:rFonts w:ascii="Cambria" w:hAnsi="Cambria"/>
          <w:b/>
          <w:i/>
          <w:lang w:eastAsia="sq-AL"/>
        </w:rPr>
        <w:t xml:space="preserve">r 4           </w:t>
      </w:r>
      <w:r w:rsidRPr="00FA0246">
        <w:rPr>
          <w:rFonts w:ascii="Cambria" w:hAnsi="Cambria"/>
          <w:lang w:eastAsia="sq-AL"/>
        </w:rPr>
        <w:t xml:space="preserve">“Transferta </w:t>
      </w:r>
      <w:r w:rsidR="00FA0246" w:rsidRPr="00FA0246">
        <w:rPr>
          <w:rFonts w:ascii="Cambria" w:hAnsi="Cambria"/>
          <w:lang w:eastAsia="sq-AL"/>
        </w:rPr>
        <w:t>ndaj nj</w:t>
      </w:r>
      <w:r w:rsidR="00FA0246">
        <w:rPr>
          <w:rFonts w:ascii="Cambria" w:hAnsi="Cambria"/>
          <w:lang w:eastAsia="sq-AL"/>
        </w:rPr>
        <w:t>ë</w:t>
      </w:r>
      <w:r w:rsidR="00FA0246" w:rsidRPr="00FA0246">
        <w:rPr>
          <w:rFonts w:ascii="Cambria" w:hAnsi="Cambria"/>
          <w:lang w:eastAsia="sq-AL"/>
        </w:rPr>
        <w:t>sive t</w:t>
      </w:r>
      <w:r w:rsidR="00FA0246">
        <w:rPr>
          <w:rFonts w:ascii="Cambria" w:hAnsi="Cambria"/>
          <w:lang w:eastAsia="sq-AL"/>
        </w:rPr>
        <w:t>ë</w:t>
      </w:r>
      <w:r w:rsidR="00FA0246" w:rsidRPr="00FA0246">
        <w:rPr>
          <w:rFonts w:ascii="Cambria" w:hAnsi="Cambria"/>
          <w:lang w:eastAsia="sq-AL"/>
        </w:rPr>
        <w:t xml:space="preserve"> vet</w:t>
      </w:r>
      <w:r w:rsidR="00FA0246">
        <w:rPr>
          <w:rFonts w:ascii="Cambria" w:hAnsi="Cambria"/>
          <w:lang w:eastAsia="sq-AL"/>
        </w:rPr>
        <w:t>ë</w:t>
      </w:r>
      <w:r w:rsidR="00FA0246" w:rsidRPr="00FA0246">
        <w:rPr>
          <w:rFonts w:ascii="Cambria" w:hAnsi="Cambria"/>
          <w:lang w:eastAsia="sq-AL"/>
        </w:rPr>
        <w:t>qeverisjes vendore”</w:t>
      </w:r>
    </w:p>
    <w:p w:rsidR="00B2102B" w:rsidRPr="00D9433C" w:rsidRDefault="00B2102B" w:rsidP="00B2102B">
      <w:pPr>
        <w:ind w:left="720"/>
        <w:jc w:val="both"/>
        <w:rPr>
          <w:rFonts w:ascii="Cambria" w:hAnsi="Cambria"/>
          <w:lang w:eastAsia="sq-AL"/>
        </w:rPr>
      </w:pPr>
    </w:p>
    <w:sectPr w:rsidR="00B2102B" w:rsidRPr="00D9433C" w:rsidSect="00304C97">
      <w:footerReference w:type="default" r:id="rId38"/>
      <w:pgSz w:w="12240" w:h="15840"/>
      <w:pgMar w:top="1166" w:right="1440" w:bottom="1440" w:left="1440" w:header="72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37D" w:rsidRDefault="00D7737D" w:rsidP="002C567D">
      <w:pPr>
        <w:spacing w:after="0" w:line="240" w:lineRule="auto"/>
      </w:pPr>
      <w:r>
        <w:separator/>
      </w:r>
    </w:p>
  </w:endnote>
  <w:endnote w:type="continuationSeparator" w:id="0">
    <w:p w:rsidR="00D7737D" w:rsidRDefault="00D7737D" w:rsidP="002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099754"/>
      <w:docPartObj>
        <w:docPartGallery w:val="Page Numbers (Bottom of Page)"/>
        <w:docPartUnique/>
      </w:docPartObj>
    </w:sdtPr>
    <w:sdtEndPr>
      <w:rPr>
        <w:noProof/>
      </w:rPr>
    </w:sdtEndPr>
    <w:sdtContent>
      <w:p w:rsidR="00D9146A" w:rsidRDefault="00D9146A" w:rsidP="009B79CF">
        <w:pPr>
          <w:pStyle w:val="Footer"/>
        </w:pPr>
        <w:r>
          <w:tab/>
        </w:r>
        <w:r>
          <w:tab/>
        </w:r>
        <w:r>
          <w:fldChar w:fldCharType="begin"/>
        </w:r>
        <w:r>
          <w:instrText xml:space="preserve"> PAGE   \* MERGEFORMAT </w:instrText>
        </w:r>
        <w:r>
          <w:fldChar w:fldCharType="separate"/>
        </w:r>
        <w:r w:rsidR="000E30BB">
          <w:rPr>
            <w:noProof/>
          </w:rPr>
          <w:t>7</w:t>
        </w:r>
        <w:r>
          <w:rPr>
            <w:noProof/>
          </w:rPr>
          <w:fldChar w:fldCharType="end"/>
        </w:r>
      </w:p>
    </w:sdtContent>
  </w:sdt>
  <w:p w:rsidR="00D9146A" w:rsidRDefault="00D91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37D" w:rsidRDefault="00D7737D" w:rsidP="002C567D">
      <w:pPr>
        <w:spacing w:after="0" w:line="240" w:lineRule="auto"/>
      </w:pPr>
      <w:r>
        <w:separator/>
      </w:r>
    </w:p>
  </w:footnote>
  <w:footnote w:type="continuationSeparator" w:id="0">
    <w:p w:rsidR="00D7737D" w:rsidRDefault="00D7737D" w:rsidP="002C567D">
      <w:pPr>
        <w:spacing w:after="0" w:line="240" w:lineRule="auto"/>
      </w:pPr>
      <w:r>
        <w:continuationSeparator/>
      </w:r>
    </w:p>
  </w:footnote>
  <w:footnote w:id="1">
    <w:p w:rsidR="00D9146A" w:rsidRPr="00D70F75" w:rsidRDefault="00D9146A" w:rsidP="005119BD">
      <w:pPr>
        <w:pStyle w:val="FootnoteText"/>
        <w:rPr>
          <w:rFonts w:ascii="Cambria" w:hAnsi="Cambria"/>
          <w:sz w:val="16"/>
          <w:szCs w:val="16"/>
          <w:lang w:val="it-IT"/>
        </w:rPr>
      </w:pPr>
      <w:r w:rsidRPr="00D70F75">
        <w:rPr>
          <w:rStyle w:val="FootnoteReference"/>
          <w:rFonts w:ascii="Cambria" w:hAnsi="Cambria"/>
          <w:sz w:val="16"/>
          <w:szCs w:val="16"/>
        </w:rPr>
        <w:footnoteRef/>
      </w:r>
      <w:r w:rsidRPr="00D70F75">
        <w:rPr>
          <w:rFonts w:ascii="Cambria" w:hAnsi="Cambria"/>
          <w:sz w:val="16"/>
          <w:szCs w:val="16"/>
          <w:lang w:val="it-IT"/>
        </w:rPr>
        <w:t xml:space="preserve"> Kuadri Makroekonomik dhe Fiskal 20</w:t>
      </w:r>
      <w:r>
        <w:rPr>
          <w:rFonts w:ascii="Cambria" w:hAnsi="Cambria"/>
          <w:sz w:val="16"/>
          <w:szCs w:val="16"/>
          <w:lang w:val="it-IT"/>
        </w:rPr>
        <w:t>20</w:t>
      </w:r>
      <w:r w:rsidRPr="00D70F75">
        <w:rPr>
          <w:rFonts w:ascii="Cambria" w:hAnsi="Cambria"/>
          <w:sz w:val="16"/>
          <w:szCs w:val="16"/>
          <w:lang w:val="it-IT"/>
        </w:rPr>
        <w:t xml:space="preserve"> – 202</w:t>
      </w:r>
      <w:r>
        <w:rPr>
          <w:rFonts w:ascii="Cambria" w:hAnsi="Cambria"/>
          <w:sz w:val="16"/>
          <w:szCs w:val="16"/>
          <w:lang w:val="it-IT"/>
        </w:rPr>
        <w:t>2</w:t>
      </w:r>
      <w:r w:rsidRPr="00D70F75">
        <w:rPr>
          <w:rFonts w:ascii="Cambria" w:hAnsi="Cambria"/>
          <w:sz w:val="16"/>
          <w:szCs w:val="16"/>
          <w:lang w:val="it-IT"/>
        </w:rPr>
        <w:t xml:space="preserve"> i miratuar nga Këshilli i Ministrave me VKM nr. 4, datë 09.01.2019;</w:t>
      </w:r>
    </w:p>
  </w:footnote>
  <w:footnote w:id="2">
    <w:p w:rsidR="00D9146A" w:rsidRPr="005B2053" w:rsidRDefault="00D9146A" w:rsidP="005119BD">
      <w:pPr>
        <w:pStyle w:val="FootnoteText"/>
        <w:rPr>
          <w:sz w:val="16"/>
          <w:lang w:val="it-IT"/>
        </w:rPr>
      </w:pPr>
      <w:r w:rsidRPr="00D70F75">
        <w:rPr>
          <w:rStyle w:val="FootnoteReference"/>
          <w:rFonts w:ascii="Cambria" w:hAnsi="Cambria"/>
          <w:i/>
          <w:sz w:val="16"/>
          <w:szCs w:val="16"/>
        </w:rPr>
        <w:footnoteRef/>
      </w:r>
      <w:r w:rsidRPr="00D70F75">
        <w:rPr>
          <w:rFonts w:ascii="Cambria" w:hAnsi="Cambria"/>
          <w:i/>
          <w:sz w:val="16"/>
          <w:szCs w:val="16"/>
          <w:lang w:val="it-IT"/>
        </w:rPr>
        <w:t xml:space="preserve"> Sipas vlerësimeve të EUROSTAT - Tremujori i parё 2019  (botuar më 06 Qershor 2019)</w:t>
      </w:r>
    </w:p>
  </w:footnote>
  <w:footnote w:id="3">
    <w:p w:rsidR="00D9146A" w:rsidRDefault="00D9146A" w:rsidP="005119BD">
      <w:pPr>
        <w:pStyle w:val="FootnoteText"/>
      </w:pPr>
      <w:r>
        <w:rPr>
          <w:rStyle w:val="FootnoteReference"/>
        </w:rPr>
        <w:footnoteRef/>
      </w:r>
      <w:r w:rsidRPr="00A60441">
        <w:rPr>
          <w:i/>
          <w:sz w:val="16"/>
        </w:rPr>
        <w:t>Analiza e zhvillimeve ekonomike në ketë seksion, bazohet në statistikat/informacionin më të fundit zyrtar të disponueshëm, në momentin e hartimit të këtij raporti</w:t>
      </w:r>
      <w:r w:rsidRPr="00A60441">
        <w:rPr>
          <w:sz w:val="18"/>
        </w:rPr>
        <w:t>.</w:t>
      </w:r>
    </w:p>
  </w:footnote>
  <w:footnote w:id="4">
    <w:p w:rsidR="00D9146A" w:rsidRPr="007121B3" w:rsidRDefault="00D9146A" w:rsidP="005119BD">
      <w:pPr>
        <w:pStyle w:val="FootnoteText"/>
        <w:rPr>
          <w:sz w:val="16"/>
          <w:szCs w:val="16"/>
          <w:lang w:val="it-IT"/>
        </w:rPr>
      </w:pPr>
      <w:r>
        <w:rPr>
          <w:rStyle w:val="FootnoteReference"/>
        </w:rPr>
        <w:footnoteRef/>
      </w:r>
      <w:r w:rsidRPr="007121B3">
        <w:rPr>
          <w:sz w:val="16"/>
          <w:szCs w:val="16"/>
          <w:lang w:val="it-IT"/>
        </w:rPr>
        <w:t>Norma e papunësisë e regjistruar për grupmoshën 15-64 vjeç sipas klasifikimit të Anketës së Tregut të Forcës së Punës (ATFP të INSTAT) për</w:t>
      </w:r>
      <w:r>
        <w:rPr>
          <w:sz w:val="16"/>
          <w:szCs w:val="16"/>
          <w:lang w:val="it-IT"/>
        </w:rPr>
        <w:t xml:space="preserve"> tremujorin e parë të vitit 2019</w:t>
      </w:r>
      <w:r w:rsidRPr="007121B3">
        <w:rPr>
          <w:sz w:val="16"/>
          <w:szCs w:val="16"/>
          <w:lang w:val="it-I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5971"/>
    <w:multiLevelType w:val="hybridMultilevel"/>
    <w:tmpl w:val="1D2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42527"/>
    <w:multiLevelType w:val="hybridMultilevel"/>
    <w:tmpl w:val="1C6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B4AB7"/>
    <w:multiLevelType w:val="hybridMultilevel"/>
    <w:tmpl w:val="ADEC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F61C9"/>
    <w:multiLevelType w:val="hybridMultilevel"/>
    <w:tmpl w:val="4F52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6623F"/>
    <w:multiLevelType w:val="hybridMultilevel"/>
    <w:tmpl w:val="AAA62724"/>
    <w:lvl w:ilvl="0" w:tplc="3A286D7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836725"/>
    <w:multiLevelType w:val="hybridMultilevel"/>
    <w:tmpl w:val="9436462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215278A4"/>
    <w:multiLevelType w:val="hybridMultilevel"/>
    <w:tmpl w:val="4C26D1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9B63E9"/>
    <w:multiLevelType w:val="hybridMultilevel"/>
    <w:tmpl w:val="3CA4F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1D493C"/>
    <w:multiLevelType w:val="hybridMultilevel"/>
    <w:tmpl w:val="6C547054"/>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9">
    <w:nsid w:val="2C75489A"/>
    <w:multiLevelType w:val="hybridMultilevel"/>
    <w:tmpl w:val="A9361C1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EA2DB3"/>
    <w:multiLevelType w:val="hybridMultilevel"/>
    <w:tmpl w:val="DC729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175A1"/>
    <w:multiLevelType w:val="hybridMultilevel"/>
    <w:tmpl w:val="7CDA18F0"/>
    <w:lvl w:ilvl="0" w:tplc="B192D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F650F8"/>
    <w:multiLevelType w:val="hybridMultilevel"/>
    <w:tmpl w:val="E03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1E73A2"/>
    <w:multiLevelType w:val="hybridMultilevel"/>
    <w:tmpl w:val="8BF6F9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5B31F0"/>
    <w:multiLevelType w:val="hybridMultilevel"/>
    <w:tmpl w:val="1E02B45E"/>
    <w:lvl w:ilvl="0" w:tplc="23C8360E">
      <w:numFmt w:val="bullet"/>
      <w:lvlText w:val="•"/>
      <w:lvlJc w:val="left"/>
      <w:pPr>
        <w:ind w:left="360" w:hanging="360"/>
      </w:pPr>
      <w:rPr>
        <w:rFonts w:ascii="Cambria" w:eastAsiaTheme="minorHAns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7C45B1"/>
    <w:multiLevelType w:val="hybridMultilevel"/>
    <w:tmpl w:val="B154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6">
    <w:nsid w:val="380F5E06"/>
    <w:multiLevelType w:val="hybridMultilevel"/>
    <w:tmpl w:val="A00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6D6E5C"/>
    <w:multiLevelType w:val="hybridMultilevel"/>
    <w:tmpl w:val="AD5C4F5C"/>
    <w:lvl w:ilvl="0" w:tplc="23C8360E">
      <w:numFmt w:val="bullet"/>
      <w:lvlText w:val="•"/>
      <w:lvlJc w:val="left"/>
      <w:pPr>
        <w:ind w:left="36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57B31"/>
    <w:multiLevelType w:val="hybridMultilevel"/>
    <w:tmpl w:val="82D24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503D0"/>
    <w:multiLevelType w:val="hybridMultilevel"/>
    <w:tmpl w:val="A330FFBC"/>
    <w:lvl w:ilvl="0" w:tplc="08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BB2E59"/>
    <w:multiLevelType w:val="hybridMultilevel"/>
    <w:tmpl w:val="7F7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277070"/>
    <w:multiLevelType w:val="hybridMultilevel"/>
    <w:tmpl w:val="408485EA"/>
    <w:lvl w:ilvl="0" w:tplc="ECD2DD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206EA1"/>
    <w:multiLevelType w:val="hybridMultilevel"/>
    <w:tmpl w:val="C0C27274"/>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nsid w:val="5ADC653A"/>
    <w:multiLevelType w:val="hybridMultilevel"/>
    <w:tmpl w:val="66BCDA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0B1431D"/>
    <w:multiLevelType w:val="multilevel"/>
    <w:tmpl w:val="F54AC83E"/>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620951A3"/>
    <w:multiLevelType w:val="hybridMultilevel"/>
    <w:tmpl w:val="095EBFC2"/>
    <w:lvl w:ilvl="0" w:tplc="04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6A516675"/>
    <w:multiLevelType w:val="hybridMultilevel"/>
    <w:tmpl w:val="BF0C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BC6977"/>
    <w:multiLevelType w:val="hybridMultilevel"/>
    <w:tmpl w:val="A4DC32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1432F8"/>
    <w:multiLevelType w:val="hybridMultilevel"/>
    <w:tmpl w:val="49827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EB322F"/>
    <w:multiLevelType w:val="hybridMultilevel"/>
    <w:tmpl w:val="FA7C160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AA7FDA"/>
    <w:multiLevelType w:val="hybridMultilevel"/>
    <w:tmpl w:val="2970F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4F0AF5"/>
    <w:multiLevelType w:val="hybridMultilevel"/>
    <w:tmpl w:val="329C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7"/>
  </w:num>
  <w:num w:numId="4">
    <w:abstractNumId w:val="6"/>
  </w:num>
  <w:num w:numId="5">
    <w:abstractNumId w:val="1"/>
  </w:num>
  <w:num w:numId="6">
    <w:abstractNumId w:val="26"/>
  </w:num>
  <w:num w:numId="7">
    <w:abstractNumId w:val="5"/>
  </w:num>
  <w:num w:numId="8">
    <w:abstractNumId w:val="12"/>
  </w:num>
  <w:num w:numId="9">
    <w:abstractNumId w:val="0"/>
  </w:num>
  <w:num w:numId="10">
    <w:abstractNumId w:val="20"/>
  </w:num>
  <w:num w:numId="11">
    <w:abstractNumId w:val="10"/>
  </w:num>
  <w:num w:numId="12">
    <w:abstractNumId w:val="19"/>
  </w:num>
  <w:num w:numId="13">
    <w:abstractNumId w:val="29"/>
  </w:num>
  <w:num w:numId="14">
    <w:abstractNumId w:val="7"/>
  </w:num>
  <w:num w:numId="15">
    <w:abstractNumId w:val="23"/>
  </w:num>
  <w:num w:numId="16">
    <w:abstractNumId w:val="9"/>
  </w:num>
  <w:num w:numId="17">
    <w:abstractNumId w:val="25"/>
  </w:num>
  <w:num w:numId="18">
    <w:abstractNumId w:val="30"/>
  </w:num>
  <w:num w:numId="19">
    <w:abstractNumId w:val="28"/>
  </w:num>
  <w:num w:numId="20">
    <w:abstractNumId w:val="2"/>
  </w:num>
  <w:num w:numId="21">
    <w:abstractNumId w:val="31"/>
  </w:num>
  <w:num w:numId="22">
    <w:abstractNumId w:val="8"/>
  </w:num>
  <w:num w:numId="23">
    <w:abstractNumId w:val="15"/>
  </w:num>
  <w:num w:numId="24">
    <w:abstractNumId w:val="27"/>
  </w:num>
  <w:num w:numId="25">
    <w:abstractNumId w:val="3"/>
  </w:num>
  <w:num w:numId="26">
    <w:abstractNumId w:val="18"/>
  </w:num>
  <w:num w:numId="27">
    <w:abstractNumId w:val="24"/>
  </w:num>
  <w:num w:numId="28">
    <w:abstractNumId w:val="11"/>
  </w:num>
  <w:num w:numId="29">
    <w:abstractNumId w:val="24"/>
  </w:num>
  <w:num w:numId="30">
    <w:abstractNumId w:val="16"/>
  </w:num>
  <w:num w:numId="31">
    <w:abstractNumId w:val="24"/>
    <w:lvlOverride w:ilvl="0">
      <w:startOverride w:val="3"/>
    </w:lvlOverride>
    <w:lvlOverride w:ilvl="1">
      <w:startOverride w:val="6"/>
    </w:lvlOverride>
  </w:num>
  <w:num w:numId="32">
    <w:abstractNumId w:val="24"/>
    <w:lvlOverride w:ilvl="0">
      <w:startOverride w:val="3"/>
    </w:lvlOverride>
    <w:lvlOverride w:ilvl="1">
      <w:startOverride w:val="5"/>
    </w:lvlOverride>
    <w:lvlOverride w:ilvl="2">
      <w:startOverride w:val="2"/>
    </w:lvlOverride>
  </w:num>
  <w:num w:numId="33">
    <w:abstractNumId w:val="24"/>
    <w:lvlOverride w:ilvl="0">
      <w:startOverride w:val="3"/>
    </w:lvlOverride>
    <w:lvlOverride w:ilvl="1">
      <w:startOverride w:val="9"/>
    </w:lvlOverride>
  </w:num>
  <w:num w:numId="34">
    <w:abstractNumId w:val="4"/>
  </w:num>
  <w:num w:numId="35">
    <w:abstractNumId w:val="13"/>
  </w:num>
  <w:num w:numId="36">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43"/>
    <w:rsid w:val="00000EA1"/>
    <w:rsid w:val="00005EE8"/>
    <w:rsid w:val="00013F3F"/>
    <w:rsid w:val="00025AC5"/>
    <w:rsid w:val="00025DD5"/>
    <w:rsid w:val="00026B3F"/>
    <w:rsid w:val="00034D99"/>
    <w:rsid w:val="000353B5"/>
    <w:rsid w:val="00036D11"/>
    <w:rsid w:val="000440F2"/>
    <w:rsid w:val="00046B8F"/>
    <w:rsid w:val="00046CE4"/>
    <w:rsid w:val="000475B1"/>
    <w:rsid w:val="00085F1A"/>
    <w:rsid w:val="00091245"/>
    <w:rsid w:val="000918F0"/>
    <w:rsid w:val="00097E12"/>
    <w:rsid w:val="000A5314"/>
    <w:rsid w:val="000B396A"/>
    <w:rsid w:val="000B7D61"/>
    <w:rsid w:val="000C571F"/>
    <w:rsid w:val="000D17E8"/>
    <w:rsid w:val="000D5696"/>
    <w:rsid w:val="000D6665"/>
    <w:rsid w:val="000E2D1E"/>
    <w:rsid w:val="000E30BB"/>
    <w:rsid w:val="000F34EC"/>
    <w:rsid w:val="00105E0A"/>
    <w:rsid w:val="00111D17"/>
    <w:rsid w:val="00112463"/>
    <w:rsid w:val="001128BB"/>
    <w:rsid w:val="00116F1B"/>
    <w:rsid w:val="00125F43"/>
    <w:rsid w:val="0012634D"/>
    <w:rsid w:val="00127E4C"/>
    <w:rsid w:val="00131D5D"/>
    <w:rsid w:val="0013465C"/>
    <w:rsid w:val="001378EB"/>
    <w:rsid w:val="00143BFA"/>
    <w:rsid w:val="00151678"/>
    <w:rsid w:val="00152490"/>
    <w:rsid w:val="001561DF"/>
    <w:rsid w:val="00163061"/>
    <w:rsid w:val="00163849"/>
    <w:rsid w:val="001641AA"/>
    <w:rsid w:val="00182426"/>
    <w:rsid w:val="00194D04"/>
    <w:rsid w:val="001B35EC"/>
    <w:rsid w:val="001B61E7"/>
    <w:rsid w:val="001C0E26"/>
    <w:rsid w:val="001C742F"/>
    <w:rsid w:val="001E1601"/>
    <w:rsid w:val="001E6241"/>
    <w:rsid w:val="001F091A"/>
    <w:rsid w:val="001F1D06"/>
    <w:rsid w:val="001F5B8A"/>
    <w:rsid w:val="001F6A93"/>
    <w:rsid w:val="0020065A"/>
    <w:rsid w:val="0021192E"/>
    <w:rsid w:val="00213AB0"/>
    <w:rsid w:val="0021671A"/>
    <w:rsid w:val="002303E3"/>
    <w:rsid w:val="00234828"/>
    <w:rsid w:val="00234A75"/>
    <w:rsid w:val="0023580B"/>
    <w:rsid w:val="00237A80"/>
    <w:rsid w:val="0024373D"/>
    <w:rsid w:val="00255EED"/>
    <w:rsid w:val="00255FDD"/>
    <w:rsid w:val="0026632E"/>
    <w:rsid w:val="00273E5B"/>
    <w:rsid w:val="00276384"/>
    <w:rsid w:val="00277146"/>
    <w:rsid w:val="0029391C"/>
    <w:rsid w:val="00293EDC"/>
    <w:rsid w:val="00295DFA"/>
    <w:rsid w:val="00295F45"/>
    <w:rsid w:val="002B3FD6"/>
    <w:rsid w:val="002B6DD2"/>
    <w:rsid w:val="002B6FD8"/>
    <w:rsid w:val="002C0FCB"/>
    <w:rsid w:val="002C2ED5"/>
    <w:rsid w:val="002C3141"/>
    <w:rsid w:val="002C48D2"/>
    <w:rsid w:val="002C4E46"/>
    <w:rsid w:val="002C567D"/>
    <w:rsid w:val="002C71A1"/>
    <w:rsid w:val="002D54E0"/>
    <w:rsid w:val="002D6F76"/>
    <w:rsid w:val="002D7997"/>
    <w:rsid w:val="002E5B23"/>
    <w:rsid w:val="002E5F28"/>
    <w:rsid w:val="002F7214"/>
    <w:rsid w:val="00300EA0"/>
    <w:rsid w:val="003015AC"/>
    <w:rsid w:val="00304C97"/>
    <w:rsid w:val="0031069E"/>
    <w:rsid w:val="00313236"/>
    <w:rsid w:val="0033140E"/>
    <w:rsid w:val="00342F45"/>
    <w:rsid w:val="003440D1"/>
    <w:rsid w:val="003456BF"/>
    <w:rsid w:val="00352314"/>
    <w:rsid w:val="00353C58"/>
    <w:rsid w:val="003618F9"/>
    <w:rsid w:val="0036526A"/>
    <w:rsid w:val="003658A5"/>
    <w:rsid w:val="00366807"/>
    <w:rsid w:val="00370A20"/>
    <w:rsid w:val="00374DF6"/>
    <w:rsid w:val="003841B4"/>
    <w:rsid w:val="003A68BD"/>
    <w:rsid w:val="003B6868"/>
    <w:rsid w:val="003B7710"/>
    <w:rsid w:val="003C07D5"/>
    <w:rsid w:val="003C1670"/>
    <w:rsid w:val="003C5751"/>
    <w:rsid w:val="003D4FA2"/>
    <w:rsid w:val="003D7D0E"/>
    <w:rsid w:val="003E1FC0"/>
    <w:rsid w:val="003E78B3"/>
    <w:rsid w:val="004011BB"/>
    <w:rsid w:val="00405A65"/>
    <w:rsid w:val="00420999"/>
    <w:rsid w:val="00422BEA"/>
    <w:rsid w:val="00432B4C"/>
    <w:rsid w:val="0044390D"/>
    <w:rsid w:val="00445EE9"/>
    <w:rsid w:val="0044693D"/>
    <w:rsid w:val="004476BC"/>
    <w:rsid w:val="00470114"/>
    <w:rsid w:val="0047066D"/>
    <w:rsid w:val="0048061C"/>
    <w:rsid w:val="004834F3"/>
    <w:rsid w:val="004863D1"/>
    <w:rsid w:val="00486D88"/>
    <w:rsid w:val="00496E86"/>
    <w:rsid w:val="004A0C53"/>
    <w:rsid w:val="004A42ED"/>
    <w:rsid w:val="004B32CB"/>
    <w:rsid w:val="004B6031"/>
    <w:rsid w:val="004C219D"/>
    <w:rsid w:val="004C3C56"/>
    <w:rsid w:val="004D3DD6"/>
    <w:rsid w:val="004D4245"/>
    <w:rsid w:val="004D5FB3"/>
    <w:rsid w:val="004D63DB"/>
    <w:rsid w:val="004D6987"/>
    <w:rsid w:val="004E1115"/>
    <w:rsid w:val="004E5DAE"/>
    <w:rsid w:val="004F0191"/>
    <w:rsid w:val="004F1B34"/>
    <w:rsid w:val="004F56F2"/>
    <w:rsid w:val="004F6BD8"/>
    <w:rsid w:val="00507D19"/>
    <w:rsid w:val="005119BD"/>
    <w:rsid w:val="00513C44"/>
    <w:rsid w:val="005171AA"/>
    <w:rsid w:val="005234A6"/>
    <w:rsid w:val="00524BE3"/>
    <w:rsid w:val="00533829"/>
    <w:rsid w:val="00534895"/>
    <w:rsid w:val="005430AF"/>
    <w:rsid w:val="00543A56"/>
    <w:rsid w:val="00546D52"/>
    <w:rsid w:val="0055038C"/>
    <w:rsid w:val="00553F36"/>
    <w:rsid w:val="0056717D"/>
    <w:rsid w:val="00570F53"/>
    <w:rsid w:val="00585337"/>
    <w:rsid w:val="0059086E"/>
    <w:rsid w:val="005920F2"/>
    <w:rsid w:val="005A1938"/>
    <w:rsid w:val="005A6457"/>
    <w:rsid w:val="005A7E49"/>
    <w:rsid w:val="005B2B86"/>
    <w:rsid w:val="005B3E89"/>
    <w:rsid w:val="005B55EE"/>
    <w:rsid w:val="005C0A98"/>
    <w:rsid w:val="005D3405"/>
    <w:rsid w:val="005E154F"/>
    <w:rsid w:val="005E32BB"/>
    <w:rsid w:val="005E3B6F"/>
    <w:rsid w:val="005F27F4"/>
    <w:rsid w:val="005F3C85"/>
    <w:rsid w:val="005F50E5"/>
    <w:rsid w:val="006019A2"/>
    <w:rsid w:val="006019C1"/>
    <w:rsid w:val="00605992"/>
    <w:rsid w:val="006202EF"/>
    <w:rsid w:val="00622057"/>
    <w:rsid w:val="00626CF7"/>
    <w:rsid w:val="00630AF5"/>
    <w:rsid w:val="006327E0"/>
    <w:rsid w:val="00636DD6"/>
    <w:rsid w:val="00642AF5"/>
    <w:rsid w:val="00643776"/>
    <w:rsid w:val="006457C4"/>
    <w:rsid w:val="006526B3"/>
    <w:rsid w:val="006535D5"/>
    <w:rsid w:val="00656466"/>
    <w:rsid w:val="00665DC3"/>
    <w:rsid w:val="00693D57"/>
    <w:rsid w:val="006B0BD3"/>
    <w:rsid w:val="006D65FA"/>
    <w:rsid w:val="006E54D7"/>
    <w:rsid w:val="006F2263"/>
    <w:rsid w:val="007072D7"/>
    <w:rsid w:val="00710211"/>
    <w:rsid w:val="00712788"/>
    <w:rsid w:val="007133FB"/>
    <w:rsid w:val="00714C84"/>
    <w:rsid w:val="007233AE"/>
    <w:rsid w:val="00727B85"/>
    <w:rsid w:val="00737EA7"/>
    <w:rsid w:val="007425B2"/>
    <w:rsid w:val="007457E2"/>
    <w:rsid w:val="00763996"/>
    <w:rsid w:val="0076409D"/>
    <w:rsid w:val="00765616"/>
    <w:rsid w:val="0076734E"/>
    <w:rsid w:val="00771AE7"/>
    <w:rsid w:val="00772340"/>
    <w:rsid w:val="0077356C"/>
    <w:rsid w:val="0078273F"/>
    <w:rsid w:val="00785FDB"/>
    <w:rsid w:val="007A0717"/>
    <w:rsid w:val="007A33AA"/>
    <w:rsid w:val="007B0023"/>
    <w:rsid w:val="007B048F"/>
    <w:rsid w:val="007B0F73"/>
    <w:rsid w:val="007B54EB"/>
    <w:rsid w:val="007C7C76"/>
    <w:rsid w:val="007D0813"/>
    <w:rsid w:val="007D34E9"/>
    <w:rsid w:val="007E0F72"/>
    <w:rsid w:val="007E4D69"/>
    <w:rsid w:val="007E5B2E"/>
    <w:rsid w:val="007F0957"/>
    <w:rsid w:val="007F3817"/>
    <w:rsid w:val="007F4598"/>
    <w:rsid w:val="007F561B"/>
    <w:rsid w:val="007F5C16"/>
    <w:rsid w:val="008039B7"/>
    <w:rsid w:val="00822990"/>
    <w:rsid w:val="00831157"/>
    <w:rsid w:val="00835E97"/>
    <w:rsid w:val="00836A0D"/>
    <w:rsid w:val="008473C8"/>
    <w:rsid w:val="00864172"/>
    <w:rsid w:val="008763FA"/>
    <w:rsid w:val="008777B3"/>
    <w:rsid w:val="00885822"/>
    <w:rsid w:val="00887735"/>
    <w:rsid w:val="00894DEB"/>
    <w:rsid w:val="00894FA0"/>
    <w:rsid w:val="00895B00"/>
    <w:rsid w:val="008B1FDF"/>
    <w:rsid w:val="008B2968"/>
    <w:rsid w:val="008C19F6"/>
    <w:rsid w:val="008D06FF"/>
    <w:rsid w:val="008E4A0F"/>
    <w:rsid w:val="008E72C9"/>
    <w:rsid w:val="008F1C4F"/>
    <w:rsid w:val="008F345A"/>
    <w:rsid w:val="008F5641"/>
    <w:rsid w:val="009033D0"/>
    <w:rsid w:val="00904E14"/>
    <w:rsid w:val="00906602"/>
    <w:rsid w:val="009203B7"/>
    <w:rsid w:val="0093285F"/>
    <w:rsid w:val="009329A2"/>
    <w:rsid w:val="00943048"/>
    <w:rsid w:val="009447D3"/>
    <w:rsid w:val="009466FD"/>
    <w:rsid w:val="00946AB9"/>
    <w:rsid w:val="00951804"/>
    <w:rsid w:val="0095236E"/>
    <w:rsid w:val="0096336E"/>
    <w:rsid w:val="00966334"/>
    <w:rsid w:val="00967890"/>
    <w:rsid w:val="00973A1D"/>
    <w:rsid w:val="0097432A"/>
    <w:rsid w:val="009776B8"/>
    <w:rsid w:val="00977B6F"/>
    <w:rsid w:val="00980048"/>
    <w:rsid w:val="00980192"/>
    <w:rsid w:val="00982EED"/>
    <w:rsid w:val="00985595"/>
    <w:rsid w:val="009A5C99"/>
    <w:rsid w:val="009A7221"/>
    <w:rsid w:val="009B39F2"/>
    <w:rsid w:val="009B4111"/>
    <w:rsid w:val="009B68D1"/>
    <w:rsid w:val="009B79CF"/>
    <w:rsid w:val="009C35F6"/>
    <w:rsid w:val="009C4DBA"/>
    <w:rsid w:val="009E2068"/>
    <w:rsid w:val="009E4923"/>
    <w:rsid w:val="009F4233"/>
    <w:rsid w:val="00A03518"/>
    <w:rsid w:val="00A04044"/>
    <w:rsid w:val="00A058D9"/>
    <w:rsid w:val="00A10E68"/>
    <w:rsid w:val="00A13FDB"/>
    <w:rsid w:val="00A231D0"/>
    <w:rsid w:val="00A238FB"/>
    <w:rsid w:val="00A248CF"/>
    <w:rsid w:val="00A25D21"/>
    <w:rsid w:val="00A27733"/>
    <w:rsid w:val="00A3016C"/>
    <w:rsid w:val="00A3613D"/>
    <w:rsid w:val="00A375AC"/>
    <w:rsid w:val="00A42233"/>
    <w:rsid w:val="00A42ADE"/>
    <w:rsid w:val="00A529B5"/>
    <w:rsid w:val="00A54CB7"/>
    <w:rsid w:val="00A60F36"/>
    <w:rsid w:val="00A65701"/>
    <w:rsid w:val="00A66935"/>
    <w:rsid w:val="00A72BF9"/>
    <w:rsid w:val="00A84A04"/>
    <w:rsid w:val="00AB08D1"/>
    <w:rsid w:val="00AB56EC"/>
    <w:rsid w:val="00AC14F2"/>
    <w:rsid w:val="00AC73B6"/>
    <w:rsid w:val="00AD13B5"/>
    <w:rsid w:val="00AD24E4"/>
    <w:rsid w:val="00AD2DED"/>
    <w:rsid w:val="00AD5414"/>
    <w:rsid w:val="00AF7574"/>
    <w:rsid w:val="00AF7F2B"/>
    <w:rsid w:val="00B2102B"/>
    <w:rsid w:val="00B260BA"/>
    <w:rsid w:val="00B45886"/>
    <w:rsid w:val="00B45A40"/>
    <w:rsid w:val="00B461E0"/>
    <w:rsid w:val="00B50A95"/>
    <w:rsid w:val="00B515B7"/>
    <w:rsid w:val="00B711F9"/>
    <w:rsid w:val="00B75EBA"/>
    <w:rsid w:val="00B82D59"/>
    <w:rsid w:val="00B86AF9"/>
    <w:rsid w:val="00B926F6"/>
    <w:rsid w:val="00BC0573"/>
    <w:rsid w:val="00BC0DE7"/>
    <w:rsid w:val="00BC3C46"/>
    <w:rsid w:val="00BD0979"/>
    <w:rsid w:val="00BD536C"/>
    <w:rsid w:val="00BD63F0"/>
    <w:rsid w:val="00BE5DC8"/>
    <w:rsid w:val="00BF4816"/>
    <w:rsid w:val="00BF603E"/>
    <w:rsid w:val="00C04A81"/>
    <w:rsid w:val="00C04AB3"/>
    <w:rsid w:val="00C12D9F"/>
    <w:rsid w:val="00C15523"/>
    <w:rsid w:val="00C2361E"/>
    <w:rsid w:val="00C25C51"/>
    <w:rsid w:val="00C31266"/>
    <w:rsid w:val="00C32F68"/>
    <w:rsid w:val="00C42624"/>
    <w:rsid w:val="00C452FD"/>
    <w:rsid w:val="00C45318"/>
    <w:rsid w:val="00C608E8"/>
    <w:rsid w:val="00C76096"/>
    <w:rsid w:val="00C8547E"/>
    <w:rsid w:val="00C858F5"/>
    <w:rsid w:val="00C86151"/>
    <w:rsid w:val="00C91043"/>
    <w:rsid w:val="00C9261C"/>
    <w:rsid w:val="00C945C2"/>
    <w:rsid w:val="00C95BF4"/>
    <w:rsid w:val="00CA1A31"/>
    <w:rsid w:val="00CA5573"/>
    <w:rsid w:val="00CB0B43"/>
    <w:rsid w:val="00CB2FD9"/>
    <w:rsid w:val="00CB33F5"/>
    <w:rsid w:val="00CB4E98"/>
    <w:rsid w:val="00CC0372"/>
    <w:rsid w:val="00CC67FD"/>
    <w:rsid w:val="00CF27FD"/>
    <w:rsid w:val="00D01D3A"/>
    <w:rsid w:val="00D1010A"/>
    <w:rsid w:val="00D11FCB"/>
    <w:rsid w:val="00D3167B"/>
    <w:rsid w:val="00D41015"/>
    <w:rsid w:val="00D54F24"/>
    <w:rsid w:val="00D71090"/>
    <w:rsid w:val="00D7139A"/>
    <w:rsid w:val="00D7737D"/>
    <w:rsid w:val="00D80ABB"/>
    <w:rsid w:val="00D80DFD"/>
    <w:rsid w:val="00D9146A"/>
    <w:rsid w:val="00D9433C"/>
    <w:rsid w:val="00DA2538"/>
    <w:rsid w:val="00DA2E56"/>
    <w:rsid w:val="00DB3A6F"/>
    <w:rsid w:val="00DB5A96"/>
    <w:rsid w:val="00DC669F"/>
    <w:rsid w:val="00DC7799"/>
    <w:rsid w:val="00DD257F"/>
    <w:rsid w:val="00DD2692"/>
    <w:rsid w:val="00DD59A3"/>
    <w:rsid w:val="00DD7795"/>
    <w:rsid w:val="00DE1080"/>
    <w:rsid w:val="00DE4518"/>
    <w:rsid w:val="00DE73AA"/>
    <w:rsid w:val="00E04455"/>
    <w:rsid w:val="00E0706E"/>
    <w:rsid w:val="00E109DC"/>
    <w:rsid w:val="00E1667B"/>
    <w:rsid w:val="00E16AB6"/>
    <w:rsid w:val="00E205B1"/>
    <w:rsid w:val="00E3208E"/>
    <w:rsid w:val="00E3361A"/>
    <w:rsid w:val="00E34B2D"/>
    <w:rsid w:val="00E35720"/>
    <w:rsid w:val="00E43F5C"/>
    <w:rsid w:val="00E46054"/>
    <w:rsid w:val="00E51258"/>
    <w:rsid w:val="00E536B1"/>
    <w:rsid w:val="00E66750"/>
    <w:rsid w:val="00E77404"/>
    <w:rsid w:val="00E83F61"/>
    <w:rsid w:val="00E85712"/>
    <w:rsid w:val="00E957D9"/>
    <w:rsid w:val="00E95A42"/>
    <w:rsid w:val="00E97635"/>
    <w:rsid w:val="00EA0465"/>
    <w:rsid w:val="00EA1429"/>
    <w:rsid w:val="00EA54EE"/>
    <w:rsid w:val="00EB152C"/>
    <w:rsid w:val="00EB31C8"/>
    <w:rsid w:val="00EB7039"/>
    <w:rsid w:val="00EC2D43"/>
    <w:rsid w:val="00EC77EA"/>
    <w:rsid w:val="00ED2D02"/>
    <w:rsid w:val="00ED359C"/>
    <w:rsid w:val="00EF21E9"/>
    <w:rsid w:val="00F01681"/>
    <w:rsid w:val="00F044CC"/>
    <w:rsid w:val="00F11F1C"/>
    <w:rsid w:val="00F22823"/>
    <w:rsid w:val="00F26EDD"/>
    <w:rsid w:val="00F337A5"/>
    <w:rsid w:val="00F338EC"/>
    <w:rsid w:val="00F376DE"/>
    <w:rsid w:val="00F43826"/>
    <w:rsid w:val="00F44610"/>
    <w:rsid w:val="00F4617B"/>
    <w:rsid w:val="00F50FEB"/>
    <w:rsid w:val="00F53FC4"/>
    <w:rsid w:val="00F56F37"/>
    <w:rsid w:val="00F6409B"/>
    <w:rsid w:val="00F6572A"/>
    <w:rsid w:val="00F7609B"/>
    <w:rsid w:val="00F772AE"/>
    <w:rsid w:val="00F86495"/>
    <w:rsid w:val="00F875C1"/>
    <w:rsid w:val="00F9649D"/>
    <w:rsid w:val="00FA0246"/>
    <w:rsid w:val="00FA6B95"/>
    <w:rsid w:val="00FB3DCA"/>
    <w:rsid w:val="00FB718D"/>
    <w:rsid w:val="00FC262D"/>
    <w:rsid w:val="00FC3E39"/>
    <w:rsid w:val="00FD7A65"/>
    <w:rsid w:val="00FE3D9D"/>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CC6E6E0-8415-440D-A159-2E84FAAC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372"/>
  </w:style>
  <w:style w:type="paragraph" w:styleId="Heading1">
    <w:name w:val="heading 1"/>
    <w:basedOn w:val="Normal"/>
    <w:next w:val="Normal"/>
    <w:link w:val="Heading1Char"/>
    <w:uiPriority w:val="9"/>
    <w:qFormat/>
    <w:rsid w:val="00C04AB3"/>
    <w:pPr>
      <w:keepNext/>
      <w:keepLines/>
      <w:numPr>
        <w:numId w:val="2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F1B34"/>
    <w:pPr>
      <w:keepNext/>
      <w:numPr>
        <w:ilvl w:val="1"/>
        <w:numId w:val="27"/>
      </w:numPr>
      <w:spacing w:before="240" w:after="60" w:line="240" w:lineRule="auto"/>
      <w:outlineLvl w:val="1"/>
    </w:pPr>
    <w:rPr>
      <w:rFonts w:ascii="Arial" w:eastAsia="Times New Roman" w:hAnsi="Arial" w:cs="Arial"/>
      <w:b/>
      <w:bCs/>
      <w:i/>
      <w:iCs/>
      <w:noProof/>
      <w:sz w:val="28"/>
      <w:szCs w:val="28"/>
      <w:lang w:eastAsia="sq-AL"/>
    </w:rPr>
  </w:style>
  <w:style w:type="paragraph" w:styleId="Heading3">
    <w:name w:val="heading 3"/>
    <w:basedOn w:val="Normal"/>
    <w:next w:val="Normal"/>
    <w:link w:val="Heading3Char"/>
    <w:uiPriority w:val="9"/>
    <w:unhideWhenUsed/>
    <w:qFormat/>
    <w:rsid w:val="00CB4E98"/>
    <w:pPr>
      <w:keepNext/>
      <w:keepLines/>
      <w:numPr>
        <w:ilvl w:val="2"/>
        <w:numId w:val="2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4E98"/>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B4E98"/>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4E98"/>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4E98"/>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4E98"/>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E98"/>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3061"/>
    <w:rPr>
      <w:sz w:val="16"/>
      <w:szCs w:val="16"/>
    </w:rPr>
  </w:style>
  <w:style w:type="paragraph" w:styleId="CommentText">
    <w:name w:val="annotation text"/>
    <w:basedOn w:val="Normal"/>
    <w:link w:val="CommentTextChar"/>
    <w:uiPriority w:val="99"/>
    <w:semiHidden/>
    <w:unhideWhenUsed/>
    <w:rsid w:val="00163061"/>
    <w:pPr>
      <w:spacing w:line="240" w:lineRule="auto"/>
    </w:pPr>
    <w:rPr>
      <w:sz w:val="20"/>
      <w:szCs w:val="20"/>
    </w:rPr>
  </w:style>
  <w:style w:type="character" w:customStyle="1" w:styleId="CommentTextChar">
    <w:name w:val="Comment Text Char"/>
    <w:basedOn w:val="DefaultParagraphFont"/>
    <w:link w:val="CommentText"/>
    <w:uiPriority w:val="99"/>
    <w:semiHidden/>
    <w:rsid w:val="00163061"/>
    <w:rPr>
      <w:sz w:val="20"/>
      <w:szCs w:val="20"/>
    </w:rPr>
  </w:style>
  <w:style w:type="paragraph" w:customStyle="1" w:styleId="Default">
    <w:name w:val="Default"/>
    <w:rsid w:val="001630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061"/>
    <w:rPr>
      <w:rFonts w:ascii="Segoe UI" w:hAnsi="Segoe UI" w:cs="Segoe UI"/>
      <w:sz w:val="18"/>
      <w:szCs w:val="18"/>
    </w:rPr>
  </w:style>
  <w:style w:type="paragraph" w:styleId="NormalWeb">
    <w:name w:val="Normal (Web)"/>
    <w:basedOn w:val="Normal"/>
    <w:uiPriority w:val="99"/>
    <w:unhideWhenUsed/>
    <w:rsid w:val="00895B00"/>
    <w:pPr>
      <w:spacing w:before="100" w:beforeAutospacing="1" w:after="100" w:afterAutospacing="1" w:line="240" w:lineRule="auto"/>
    </w:pPr>
    <w:rPr>
      <w:rFonts w:ascii="Times" w:hAnsi="Times" w:cs="Times New Roman"/>
      <w:sz w:val="20"/>
      <w:szCs w:val="20"/>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131D5D"/>
    <w:pPr>
      <w:ind w:left="720"/>
      <w:contextualSpacing/>
    </w:pPr>
  </w:style>
  <w:style w:type="character" w:styleId="Emphasis">
    <w:name w:val="Emphasis"/>
    <w:basedOn w:val="DefaultParagraphFont"/>
    <w:uiPriority w:val="20"/>
    <w:qFormat/>
    <w:rsid w:val="00765616"/>
    <w:rPr>
      <w:i/>
      <w:iCs/>
    </w:rPr>
  </w:style>
  <w:style w:type="character" w:customStyle="1" w:styleId="Heading2Char">
    <w:name w:val="Heading 2 Char"/>
    <w:basedOn w:val="DefaultParagraphFont"/>
    <w:link w:val="Heading2"/>
    <w:rsid w:val="004F1B34"/>
    <w:rPr>
      <w:rFonts w:ascii="Arial" w:eastAsia="Times New Roman" w:hAnsi="Arial" w:cs="Arial"/>
      <w:b/>
      <w:bCs/>
      <w:i/>
      <w:iCs/>
      <w:noProof/>
      <w:sz w:val="28"/>
      <w:szCs w:val="28"/>
      <w:lang w:eastAsia="sq-AL"/>
    </w:rPr>
  </w:style>
  <w:style w:type="character" w:styleId="Strong">
    <w:name w:val="Strong"/>
    <w:basedOn w:val="DefaultParagraphFont"/>
    <w:uiPriority w:val="22"/>
    <w:qFormat/>
    <w:rsid w:val="00E205B1"/>
    <w:rPr>
      <w:b/>
      <w:bCs/>
    </w:rPr>
  </w:style>
  <w:style w:type="character" w:styleId="Hyperlink">
    <w:name w:val="Hyperlink"/>
    <w:basedOn w:val="DefaultParagraphFont"/>
    <w:uiPriority w:val="99"/>
    <w:unhideWhenUsed/>
    <w:rsid w:val="003C5751"/>
    <w:rPr>
      <w:color w:val="0000FF"/>
      <w:u w:val="singl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CA1A31"/>
  </w:style>
  <w:style w:type="paragraph" w:customStyle="1" w:styleId="p1">
    <w:name w:val="p1"/>
    <w:basedOn w:val="Normal"/>
    <w:rsid w:val="0033140E"/>
    <w:pPr>
      <w:spacing w:after="0" w:line="240" w:lineRule="auto"/>
    </w:pPr>
    <w:rPr>
      <w:rFonts w:ascii="Cambria" w:hAnsi="Cambria"/>
      <w:sz w:val="17"/>
      <w:szCs w:val="17"/>
      <w:lang w:val="en-GB" w:eastAsia="en-GB"/>
    </w:rPr>
  </w:style>
  <w:style w:type="paragraph" w:styleId="FootnoteText">
    <w:name w:val="footnote text"/>
    <w:basedOn w:val="Normal"/>
    <w:link w:val="FootnoteTextChar"/>
    <w:unhideWhenUsed/>
    <w:rsid w:val="002C567D"/>
    <w:pPr>
      <w:spacing w:after="0" w:line="240" w:lineRule="auto"/>
    </w:pPr>
    <w:rPr>
      <w:sz w:val="20"/>
      <w:szCs w:val="20"/>
    </w:rPr>
  </w:style>
  <w:style w:type="character" w:customStyle="1" w:styleId="FootnoteTextChar">
    <w:name w:val="Footnote Text Char"/>
    <w:basedOn w:val="DefaultParagraphFont"/>
    <w:link w:val="FootnoteText"/>
    <w:rsid w:val="002C567D"/>
    <w:rPr>
      <w:rFonts w:eastAsiaTheme="minorEastAsia"/>
      <w:sz w:val="20"/>
      <w:szCs w:val="20"/>
    </w:rPr>
  </w:style>
  <w:style w:type="character" w:styleId="FootnoteReference">
    <w:name w:val="footnote reference"/>
    <w:basedOn w:val="DefaultParagraphFont"/>
    <w:unhideWhenUsed/>
    <w:rsid w:val="002C567D"/>
    <w:rPr>
      <w:vertAlign w:val="superscript"/>
    </w:rPr>
  </w:style>
  <w:style w:type="paragraph" w:styleId="Header">
    <w:name w:val="header"/>
    <w:basedOn w:val="Normal"/>
    <w:link w:val="HeaderChar"/>
    <w:uiPriority w:val="99"/>
    <w:unhideWhenUsed/>
    <w:rsid w:val="00C2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51"/>
  </w:style>
  <w:style w:type="paragraph" w:styleId="Footer">
    <w:name w:val="footer"/>
    <w:basedOn w:val="Normal"/>
    <w:link w:val="FooterChar"/>
    <w:uiPriority w:val="99"/>
    <w:unhideWhenUsed/>
    <w:rsid w:val="00C2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51"/>
  </w:style>
  <w:style w:type="character" w:customStyle="1" w:styleId="highlight">
    <w:name w:val="highlight"/>
    <w:basedOn w:val="DefaultParagraphFont"/>
    <w:rsid w:val="00A27733"/>
  </w:style>
  <w:style w:type="table" w:customStyle="1" w:styleId="GridTable5Dark-Accent11">
    <w:name w:val="Grid Table 5 Dark - Accent 11"/>
    <w:basedOn w:val="TableNormal"/>
    <w:next w:val="GridTable5Dark-Accent12"/>
    <w:uiPriority w:val="50"/>
    <w:rsid w:val="003658A5"/>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uiPriority w:val="50"/>
    <w:rsid w:val="003658A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Char">
    <w:name w:val="Char"/>
    <w:basedOn w:val="Normal"/>
    <w:rsid w:val="003658A5"/>
    <w:pPr>
      <w:spacing w:line="240" w:lineRule="exact"/>
    </w:pPr>
    <w:rPr>
      <w:rFonts w:ascii="Tahoma" w:eastAsia="Calibri" w:hAnsi="Tahoma" w:cs="Times New Roman"/>
      <w:sz w:val="20"/>
      <w:szCs w:val="20"/>
    </w:rPr>
  </w:style>
  <w:style w:type="character" w:customStyle="1" w:styleId="Heading1Char">
    <w:name w:val="Heading 1 Char"/>
    <w:basedOn w:val="DefaultParagraphFont"/>
    <w:link w:val="Heading1"/>
    <w:uiPriority w:val="9"/>
    <w:rsid w:val="00C04AB3"/>
    <w:rPr>
      <w:rFonts w:asciiTheme="majorHAnsi" w:eastAsiaTheme="majorEastAsia" w:hAnsiTheme="majorHAnsi" w:cstheme="majorBidi"/>
      <w:color w:val="2E74B5" w:themeColor="accent1" w:themeShade="BF"/>
      <w:sz w:val="32"/>
      <w:szCs w:val="32"/>
    </w:rPr>
  </w:style>
  <w:style w:type="table" w:customStyle="1" w:styleId="GridTable5Dark-Accent121">
    <w:name w:val="Grid Table 5 Dark - Accent 121"/>
    <w:basedOn w:val="TableNormal"/>
    <w:next w:val="GridTable5Dark-Accent12"/>
    <w:uiPriority w:val="50"/>
    <w:rsid w:val="00C04AB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 Accent 13"/>
    <w:basedOn w:val="TableNormal"/>
    <w:next w:val="GridTable5Dark-Accent12"/>
    <w:uiPriority w:val="50"/>
    <w:rsid w:val="00C04AB3"/>
    <w:pPr>
      <w:spacing w:after="0" w:line="240" w:lineRule="auto"/>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itle">
    <w:name w:val="Title"/>
    <w:basedOn w:val="Normal"/>
    <w:link w:val="TitleChar"/>
    <w:qFormat/>
    <w:rsid w:val="00C04AB3"/>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C04AB3"/>
    <w:rPr>
      <w:rFonts w:ascii="Times New Roman" w:eastAsia="MS Mincho" w:hAnsi="Times New Roman" w:cs="Times New Roman"/>
      <w:b/>
      <w:bCs/>
      <w:sz w:val="24"/>
      <w:szCs w:val="24"/>
      <w:lang w:val="sq-AL"/>
    </w:rPr>
  </w:style>
  <w:style w:type="table" w:customStyle="1" w:styleId="GridTable5Dark-Accent51">
    <w:name w:val="Grid Table 5 Dark - Accent 51"/>
    <w:basedOn w:val="TableNormal"/>
    <w:uiPriority w:val="50"/>
    <w:rsid w:val="00C04AB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4">
    <w:name w:val="Grid Table 5 Dark - Accent 14"/>
    <w:basedOn w:val="TableNormal"/>
    <w:next w:val="GridTable5Dark-Accent12"/>
    <w:uiPriority w:val="50"/>
    <w:rsid w:val="0076734E"/>
    <w:pPr>
      <w:spacing w:after="0" w:line="240" w:lineRule="auto"/>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MediumGrid3-Accent11">
    <w:name w:val="Medium Grid 3 - Accent 11"/>
    <w:basedOn w:val="TableNormal"/>
    <w:next w:val="MediumGrid3-Accent1"/>
    <w:uiPriority w:val="64"/>
    <w:rsid w:val="0076734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semiHidden/>
    <w:unhideWhenUsed/>
    <w:rsid w:val="0076734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3Char">
    <w:name w:val="Heading 3 Char"/>
    <w:basedOn w:val="DefaultParagraphFont"/>
    <w:link w:val="Heading3"/>
    <w:uiPriority w:val="9"/>
    <w:rsid w:val="00CB4E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4E9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B4E9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4E9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4E9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4E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E9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B79CF"/>
    <w:pPr>
      <w:numPr>
        <w:numId w:val="0"/>
      </w:numPr>
      <w:outlineLvl w:val="9"/>
    </w:pPr>
  </w:style>
  <w:style w:type="paragraph" w:styleId="TOC1">
    <w:name w:val="toc 1"/>
    <w:basedOn w:val="Normal"/>
    <w:next w:val="Normal"/>
    <w:autoRedefine/>
    <w:uiPriority w:val="39"/>
    <w:unhideWhenUsed/>
    <w:rsid w:val="009B79CF"/>
    <w:pPr>
      <w:tabs>
        <w:tab w:val="left" w:pos="660"/>
        <w:tab w:val="right" w:leader="dot" w:pos="9350"/>
      </w:tabs>
      <w:spacing w:after="100"/>
      <w:ind w:left="220"/>
    </w:pPr>
  </w:style>
  <w:style w:type="paragraph" w:styleId="TOC2">
    <w:name w:val="toc 2"/>
    <w:basedOn w:val="Normal"/>
    <w:next w:val="Normal"/>
    <w:autoRedefine/>
    <w:uiPriority w:val="39"/>
    <w:unhideWhenUsed/>
    <w:rsid w:val="009447D3"/>
    <w:pPr>
      <w:tabs>
        <w:tab w:val="left" w:pos="1100"/>
        <w:tab w:val="right" w:leader="dot" w:pos="9350"/>
      </w:tabs>
      <w:spacing w:after="100"/>
      <w:ind w:left="220"/>
    </w:pPr>
    <w:rPr>
      <w:rFonts w:ascii="Cambria" w:eastAsia="Calibri" w:hAnsi="Cambria" w:cs="Arial"/>
      <w:b/>
      <w:bCs/>
      <w:iCs/>
      <w:noProof/>
      <w:lang w:val="sq-AL" w:eastAsia="sq-AL"/>
    </w:rPr>
  </w:style>
  <w:style w:type="paragraph" w:styleId="TOC3">
    <w:name w:val="toc 3"/>
    <w:basedOn w:val="Normal"/>
    <w:next w:val="Normal"/>
    <w:autoRedefine/>
    <w:uiPriority w:val="39"/>
    <w:unhideWhenUsed/>
    <w:rsid w:val="009B79CF"/>
    <w:pPr>
      <w:spacing w:after="100"/>
      <w:ind w:left="440"/>
    </w:pPr>
  </w:style>
  <w:style w:type="paragraph" w:styleId="CommentSubject">
    <w:name w:val="annotation subject"/>
    <w:basedOn w:val="CommentText"/>
    <w:next w:val="CommentText"/>
    <w:link w:val="CommentSubjectChar"/>
    <w:uiPriority w:val="99"/>
    <w:semiHidden/>
    <w:unhideWhenUsed/>
    <w:rsid w:val="00772340"/>
    <w:rPr>
      <w:b/>
      <w:bCs/>
    </w:rPr>
  </w:style>
  <w:style w:type="character" w:customStyle="1" w:styleId="CommentSubjectChar">
    <w:name w:val="Comment Subject Char"/>
    <w:basedOn w:val="CommentTextChar"/>
    <w:link w:val="CommentSubject"/>
    <w:uiPriority w:val="99"/>
    <w:semiHidden/>
    <w:rsid w:val="00772340"/>
    <w:rPr>
      <w:b/>
      <w:bCs/>
      <w:sz w:val="20"/>
      <w:szCs w:val="20"/>
    </w:rPr>
  </w:style>
  <w:style w:type="paragraph" w:styleId="Caption">
    <w:name w:val="caption"/>
    <w:basedOn w:val="Normal"/>
    <w:next w:val="Normal"/>
    <w:unhideWhenUsed/>
    <w:qFormat/>
    <w:rsid w:val="001B61E7"/>
    <w:pPr>
      <w:spacing w:after="200" w:line="240" w:lineRule="auto"/>
    </w:pPr>
    <w:rPr>
      <w:b/>
      <w:bCs/>
      <w:color w:val="5B9BD5" w:themeColor="accent1"/>
      <w:sz w:val="18"/>
      <w:szCs w:val="18"/>
    </w:rPr>
  </w:style>
  <w:style w:type="table" w:customStyle="1" w:styleId="GridTable5Dark-Accent15">
    <w:name w:val="Grid Table 5 Dark - Accent 15"/>
    <w:basedOn w:val="TableNormal"/>
    <w:uiPriority w:val="50"/>
    <w:rsid w:val="004E5DAE"/>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65852">
      <w:bodyDiv w:val="1"/>
      <w:marLeft w:val="0"/>
      <w:marRight w:val="0"/>
      <w:marTop w:val="0"/>
      <w:marBottom w:val="0"/>
      <w:divBdr>
        <w:top w:val="none" w:sz="0" w:space="0" w:color="auto"/>
        <w:left w:val="none" w:sz="0" w:space="0" w:color="auto"/>
        <w:bottom w:val="none" w:sz="0" w:space="0" w:color="auto"/>
        <w:right w:val="none" w:sz="0" w:space="0" w:color="auto"/>
      </w:divBdr>
    </w:div>
    <w:div w:id="264311673">
      <w:bodyDiv w:val="1"/>
      <w:marLeft w:val="0"/>
      <w:marRight w:val="0"/>
      <w:marTop w:val="0"/>
      <w:marBottom w:val="0"/>
      <w:divBdr>
        <w:top w:val="none" w:sz="0" w:space="0" w:color="auto"/>
        <w:left w:val="none" w:sz="0" w:space="0" w:color="auto"/>
        <w:bottom w:val="none" w:sz="0" w:space="0" w:color="auto"/>
        <w:right w:val="none" w:sz="0" w:space="0" w:color="auto"/>
      </w:divBdr>
    </w:div>
    <w:div w:id="350372723">
      <w:bodyDiv w:val="1"/>
      <w:marLeft w:val="0"/>
      <w:marRight w:val="0"/>
      <w:marTop w:val="0"/>
      <w:marBottom w:val="0"/>
      <w:divBdr>
        <w:top w:val="none" w:sz="0" w:space="0" w:color="auto"/>
        <w:left w:val="none" w:sz="0" w:space="0" w:color="auto"/>
        <w:bottom w:val="none" w:sz="0" w:space="0" w:color="auto"/>
        <w:right w:val="none" w:sz="0" w:space="0" w:color="auto"/>
      </w:divBdr>
    </w:div>
    <w:div w:id="363752154">
      <w:bodyDiv w:val="1"/>
      <w:marLeft w:val="0"/>
      <w:marRight w:val="0"/>
      <w:marTop w:val="0"/>
      <w:marBottom w:val="0"/>
      <w:divBdr>
        <w:top w:val="none" w:sz="0" w:space="0" w:color="auto"/>
        <w:left w:val="none" w:sz="0" w:space="0" w:color="auto"/>
        <w:bottom w:val="none" w:sz="0" w:space="0" w:color="auto"/>
        <w:right w:val="none" w:sz="0" w:space="0" w:color="auto"/>
      </w:divBdr>
      <w:divsChild>
        <w:div w:id="448283452">
          <w:marLeft w:val="0"/>
          <w:marRight w:val="0"/>
          <w:marTop w:val="0"/>
          <w:marBottom w:val="0"/>
          <w:divBdr>
            <w:top w:val="none" w:sz="0" w:space="0" w:color="auto"/>
            <w:left w:val="none" w:sz="0" w:space="0" w:color="auto"/>
            <w:bottom w:val="none" w:sz="0" w:space="0" w:color="auto"/>
            <w:right w:val="none" w:sz="0" w:space="0" w:color="auto"/>
          </w:divBdr>
        </w:div>
        <w:div w:id="1458528230">
          <w:marLeft w:val="0"/>
          <w:marRight w:val="0"/>
          <w:marTop w:val="0"/>
          <w:marBottom w:val="0"/>
          <w:divBdr>
            <w:top w:val="none" w:sz="0" w:space="0" w:color="auto"/>
            <w:left w:val="none" w:sz="0" w:space="0" w:color="auto"/>
            <w:bottom w:val="none" w:sz="0" w:space="0" w:color="auto"/>
            <w:right w:val="none" w:sz="0" w:space="0" w:color="auto"/>
          </w:divBdr>
        </w:div>
        <w:div w:id="1645502734">
          <w:marLeft w:val="0"/>
          <w:marRight w:val="0"/>
          <w:marTop w:val="0"/>
          <w:marBottom w:val="0"/>
          <w:divBdr>
            <w:top w:val="none" w:sz="0" w:space="0" w:color="auto"/>
            <w:left w:val="none" w:sz="0" w:space="0" w:color="auto"/>
            <w:bottom w:val="none" w:sz="0" w:space="0" w:color="auto"/>
            <w:right w:val="none" w:sz="0" w:space="0" w:color="auto"/>
          </w:divBdr>
        </w:div>
        <w:div w:id="1765030828">
          <w:marLeft w:val="0"/>
          <w:marRight w:val="0"/>
          <w:marTop w:val="0"/>
          <w:marBottom w:val="0"/>
          <w:divBdr>
            <w:top w:val="none" w:sz="0" w:space="0" w:color="auto"/>
            <w:left w:val="none" w:sz="0" w:space="0" w:color="auto"/>
            <w:bottom w:val="none" w:sz="0" w:space="0" w:color="auto"/>
            <w:right w:val="none" w:sz="0" w:space="0" w:color="auto"/>
          </w:divBdr>
        </w:div>
        <w:div w:id="1894655812">
          <w:marLeft w:val="0"/>
          <w:marRight w:val="0"/>
          <w:marTop w:val="0"/>
          <w:marBottom w:val="0"/>
          <w:divBdr>
            <w:top w:val="none" w:sz="0" w:space="0" w:color="auto"/>
            <w:left w:val="none" w:sz="0" w:space="0" w:color="auto"/>
            <w:bottom w:val="none" w:sz="0" w:space="0" w:color="auto"/>
            <w:right w:val="none" w:sz="0" w:space="0" w:color="auto"/>
          </w:divBdr>
        </w:div>
      </w:divsChild>
    </w:div>
    <w:div w:id="418987541">
      <w:bodyDiv w:val="1"/>
      <w:marLeft w:val="0"/>
      <w:marRight w:val="0"/>
      <w:marTop w:val="0"/>
      <w:marBottom w:val="0"/>
      <w:divBdr>
        <w:top w:val="none" w:sz="0" w:space="0" w:color="auto"/>
        <w:left w:val="none" w:sz="0" w:space="0" w:color="auto"/>
        <w:bottom w:val="none" w:sz="0" w:space="0" w:color="auto"/>
        <w:right w:val="none" w:sz="0" w:space="0" w:color="auto"/>
      </w:divBdr>
    </w:div>
    <w:div w:id="473719002">
      <w:bodyDiv w:val="1"/>
      <w:marLeft w:val="0"/>
      <w:marRight w:val="0"/>
      <w:marTop w:val="0"/>
      <w:marBottom w:val="0"/>
      <w:divBdr>
        <w:top w:val="none" w:sz="0" w:space="0" w:color="auto"/>
        <w:left w:val="none" w:sz="0" w:space="0" w:color="auto"/>
        <w:bottom w:val="none" w:sz="0" w:space="0" w:color="auto"/>
        <w:right w:val="none" w:sz="0" w:space="0" w:color="auto"/>
      </w:divBdr>
    </w:div>
    <w:div w:id="612596303">
      <w:bodyDiv w:val="1"/>
      <w:marLeft w:val="0"/>
      <w:marRight w:val="0"/>
      <w:marTop w:val="0"/>
      <w:marBottom w:val="0"/>
      <w:divBdr>
        <w:top w:val="none" w:sz="0" w:space="0" w:color="auto"/>
        <w:left w:val="none" w:sz="0" w:space="0" w:color="auto"/>
        <w:bottom w:val="none" w:sz="0" w:space="0" w:color="auto"/>
        <w:right w:val="none" w:sz="0" w:space="0" w:color="auto"/>
      </w:divBdr>
      <w:divsChild>
        <w:div w:id="766580477">
          <w:marLeft w:val="446"/>
          <w:marRight w:val="0"/>
          <w:marTop w:val="0"/>
          <w:marBottom w:val="0"/>
          <w:divBdr>
            <w:top w:val="none" w:sz="0" w:space="0" w:color="auto"/>
            <w:left w:val="none" w:sz="0" w:space="0" w:color="auto"/>
            <w:bottom w:val="none" w:sz="0" w:space="0" w:color="auto"/>
            <w:right w:val="none" w:sz="0" w:space="0" w:color="auto"/>
          </w:divBdr>
        </w:div>
        <w:div w:id="1261258046">
          <w:marLeft w:val="446"/>
          <w:marRight w:val="0"/>
          <w:marTop w:val="0"/>
          <w:marBottom w:val="0"/>
          <w:divBdr>
            <w:top w:val="none" w:sz="0" w:space="0" w:color="auto"/>
            <w:left w:val="none" w:sz="0" w:space="0" w:color="auto"/>
            <w:bottom w:val="none" w:sz="0" w:space="0" w:color="auto"/>
            <w:right w:val="none" w:sz="0" w:space="0" w:color="auto"/>
          </w:divBdr>
        </w:div>
        <w:div w:id="1432316603">
          <w:marLeft w:val="446"/>
          <w:marRight w:val="0"/>
          <w:marTop w:val="0"/>
          <w:marBottom w:val="0"/>
          <w:divBdr>
            <w:top w:val="none" w:sz="0" w:space="0" w:color="auto"/>
            <w:left w:val="none" w:sz="0" w:space="0" w:color="auto"/>
            <w:bottom w:val="none" w:sz="0" w:space="0" w:color="auto"/>
            <w:right w:val="none" w:sz="0" w:space="0" w:color="auto"/>
          </w:divBdr>
        </w:div>
      </w:divsChild>
    </w:div>
    <w:div w:id="634795841">
      <w:bodyDiv w:val="1"/>
      <w:marLeft w:val="0"/>
      <w:marRight w:val="0"/>
      <w:marTop w:val="0"/>
      <w:marBottom w:val="0"/>
      <w:divBdr>
        <w:top w:val="none" w:sz="0" w:space="0" w:color="auto"/>
        <w:left w:val="none" w:sz="0" w:space="0" w:color="auto"/>
        <w:bottom w:val="none" w:sz="0" w:space="0" w:color="auto"/>
        <w:right w:val="none" w:sz="0" w:space="0" w:color="auto"/>
      </w:divBdr>
      <w:divsChild>
        <w:div w:id="159780038">
          <w:marLeft w:val="0"/>
          <w:marRight w:val="0"/>
          <w:marTop w:val="0"/>
          <w:marBottom w:val="0"/>
          <w:divBdr>
            <w:top w:val="none" w:sz="0" w:space="0" w:color="auto"/>
            <w:left w:val="none" w:sz="0" w:space="0" w:color="auto"/>
            <w:bottom w:val="none" w:sz="0" w:space="0" w:color="auto"/>
            <w:right w:val="none" w:sz="0" w:space="0" w:color="auto"/>
          </w:divBdr>
        </w:div>
        <w:div w:id="353923332">
          <w:marLeft w:val="0"/>
          <w:marRight w:val="0"/>
          <w:marTop w:val="0"/>
          <w:marBottom w:val="0"/>
          <w:divBdr>
            <w:top w:val="none" w:sz="0" w:space="0" w:color="auto"/>
            <w:left w:val="none" w:sz="0" w:space="0" w:color="auto"/>
            <w:bottom w:val="none" w:sz="0" w:space="0" w:color="auto"/>
            <w:right w:val="none" w:sz="0" w:space="0" w:color="auto"/>
          </w:divBdr>
        </w:div>
        <w:div w:id="676615978">
          <w:marLeft w:val="0"/>
          <w:marRight w:val="0"/>
          <w:marTop w:val="0"/>
          <w:marBottom w:val="0"/>
          <w:divBdr>
            <w:top w:val="none" w:sz="0" w:space="0" w:color="auto"/>
            <w:left w:val="none" w:sz="0" w:space="0" w:color="auto"/>
            <w:bottom w:val="none" w:sz="0" w:space="0" w:color="auto"/>
            <w:right w:val="none" w:sz="0" w:space="0" w:color="auto"/>
          </w:divBdr>
        </w:div>
        <w:div w:id="790247110">
          <w:marLeft w:val="0"/>
          <w:marRight w:val="0"/>
          <w:marTop w:val="0"/>
          <w:marBottom w:val="0"/>
          <w:divBdr>
            <w:top w:val="none" w:sz="0" w:space="0" w:color="auto"/>
            <w:left w:val="none" w:sz="0" w:space="0" w:color="auto"/>
            <w:bottom w:val="none" w:sz="0" w:space="0" w:color="auto"/>
            <w:right w:val="none" w:sz="0" w:space="0" w:color="auto"/>
          </w:divBdr>
        </w:div>
        <w:div w:id="799417958">
          <w:marLeft w:val="0"/>
          <w:marRight w:val="0"/>
          <w:marTop w:val="0"/>
          <w:marBottom w:val="0"/>
          <w:divBdr>
            <w:top w:val="none" w:sz="0" w:space="0" w:color="auto"/>
            <w:left w:val="none" w:sz="0" w:space="0" w:color="auto"/>
            <w:bottom w:val="none" w:sz="0" w:space="0" w:color="auto"/>
            <w:right w:val="none" w:sz="0" w:space="0" w:color="auto"/>
          </w:divBdr>
        </w:div>
        <w:div w:id="809906811">
          <w:marLeft w:val="0"/>
          <w:marRight w:val="0"/>
          <w:marTop w:val="0"/>
          <w:marBottom w:val="0"/>
          <w:divBdr>
            <w:top w:val="none" w:sz="0" w:space="0" w:color="auto"/>
            <w:left w:val="none" w:sz="0" w:space="0" w:color="auto"/>
            <w:bottom w:val="none" w:sz="0" w:space="0" w:color="auto"/>
            <w:right w:val="none" w:sz="0" w:space="0" w:color="auto"/>
          </w:divBdr>
        </w:div>
        <w:div w:id="1138768795">
          <w:marLeft w:val="0"/>
          <w:marRight w:val="0"/>
          <w:marTop w:val="0"/>
          <w:marBottom w:val="0"/>
          <w:divBdr>
            <w:top w:val="none" w:sz="0" w:space="0" w:color="auto"/>
            <w:left w:val="none" w:sz="0" w:space="0" w:color="auto"/>
            <w:bottom w:val="none" w:sz="0" w:space="0" w:color="auto"/>
            <w:right w:val="none" w:sz="0" w:space="0" w:color="auto"/>
          </w:divBdr>
        </w:div>
        <w:div w:id="1294485405">
          <w:marLeft w:val="0"/>
          <w:marRight w:val="0"/>
          <w:marTop w:val="0"/>
          <w:marBottom w:val="0"/>
          <w:divBdr>
            <w:top w:val="none" w:sz="0" w:space="0" w:color="auto"/>
            <w:left w:val="none" w:sz="0" w:space="0" w:color="auto"/>
            <w:bottom w:val="none" w:sz="0" w:space="0" w:color="auto"/>
            <w:right w:val="none" w:sz="0" w:space="0" w:color="auto"/>
          </w:divBdr>
        </w:div>
        <w:div w:id="1446458758">
          <w:marLeft w:val="0"/>
          <w:marRight w:val="0"/>
          <w:marTop w:val="0"/>
          <w:marBottom w:val="0"/>
          <w:divBdr>
            <w:top w:val="none" w:sz="0" w:space="0" w:color="auto"/>
            <w:left w:val="none" w:sz="0" w:space="0" w:color="auto"/>
            <w:bottom w:val="none" w:sz="0" w:space="0" w:color="auto"/>
            <w:right w:val="none" w:sz="0" w:space="0" w:color="auto"/>
          </w:divBdr>
        </w:div>
        <w:div w:id="1488939530">
          <w:marLeft w:val="0"/>
          <w:marRight w:val="0"/>
          <w:marTop w:val="0"/>
          <w:marBottom w:val="0"/>
          <w:divBdr>
            <w:top w:val="none" w:sz="0" w:space="0" w:color="auto"/>
            <w:left w:val="none" w:sz="0" w:space="0" w:color="auto"/>
            <w:bottom w:val="none" w:sz="0" w:space="0" w:color="auto"/>
            <w:right w:val="none" w:sz="0" w:space="0" w:color="auto"/>
          </w:divBdr>
        </w:div>
        <w:div w:id="1606111522">
          <w:marLeft w:val="0"/>
          <w:marRight w:val="0"/>
          <w:marTop w:val="0"/>
          <w:marBottom w:val="0"/>
          <w:divBdr>
            <w:top w:val="none" w:sz="0" w:space="0" w:color="auto"/>
            <w:left w:val="none" w:sz="0" w:space="0" w:color="auto"/>
            <w:bottom w:val="none" w:sz="0" w:space="0" w:color="auto"/>
            <w:right w:val="none" w:sz="0" w:space="0" w:color="auto"/>
          </w:divBdr>
        </w:div>
        <w:div w:id="1628315422">
          <w:marLeft w:val="0"/>
          <w:marRight w:val="0"/>
          <w:marTop w:val="0"/>
          <w:marBottom w:val="0"/>
          <w:divBdr>
            <w:top w:val="none" w:sz="0" w:space="0" w:color="auto"/>
            <w:left w:val="none" w:sz="0" w:space="0" w:color="auto"/>
            <w:bottom w:val="none" w:sz="0" w:space="0" w:color="auto"/>
            <w:right w:val="none" w:sz="0" w:space="0" w:color="auto"/>
          </w:divBdr>
        </w:div>
        <w:div w:id="1665472015">
          <w:marLeft w:val="0"/>
          <w:marRight w:val="0"/>
          <w:marTop w:val="0"/>
          <w:marBottom w:val="0"/>
          <w:divBdr>
            <w:top w:val="none" w:sz="0" w:space="0" w:color="auto"/>
            <w:left w:val="none" w:sz="0" w:space="0" w:color="auto"/>
            <w:bottom w:val="none" w:sz="0" w:space="0" w:color="auto"/>
            <w:right w:val="none" w:sz="0" w:space="0" w:color="auto"/>
          </w:divBdr>
        </w:div>
        <w:div w:id="1702050658">
          <w:marLeft w:val="0"/>
          <w:marRight w:val="0"/>
          <w:marTop w:val="0"/>
          <w:marBottom w:val="0"/>
          <w:divBdr>
            <w:top w:val="none" w:sz="0" w:space="0" w:color="auto"/>
            <w:left w:val="none" w:sz="0" w:space="0" w:color="auto"/>
            <w:bottom w:val="none" w:sz="0" w:space="0" w:color="auto"/>
            <w:right w:val="none" w:sz="0" w:space="0" w:color="auto"/>
          </w:divBdr>
        </w:div>
      </w:divsChild>
    </w:div>
    <w:div w:id="654914439">
      <w:bodyDiv w:val="1"/>
      <w:marLeft w:val="0"/>
      <w:marRight w:val="0"/>
      <w:marTop w:val="0"/>
      <w:marBottom w:val="0"/>
      <w:divBdr>
        <w:top w:val="none" w:sz="0" w:space="0" w:color="auto"/>
        <w:left w:val="none" w:sz="0" w:space="0" w:color="auto"/>
        <w:bottom w:val="none" w:sz="0" w:space="0" w:color="auto"/>
        <w:right w:val="none" w:sz="0" w:space="0" w:color="auto"/>
      </w:divBdr>
    </w:div>
    <w:div w:id="768086195">
      <w:bodyDiv w:val="1"/>
      <w:marLeft w:val="0"/>
      <w:marRight w:val="0"/>
      <w:marTop w:val="0"/>
      <w:marBottom w:val="0"/>
      <w:divBdr>
        <w:top w:val="none" w:sz="0" w:space="0" w:color="auto"/>
        <w:left w:val="none" w:sz="0" w:space="0" w:color="auto"/>
        <w:bottom w:val="none" w:sz="0" w:space="0" w:color="auto"/>
        <w:right w:val="none" w:sz="0" w:space="0" w:color="auto"/>
      </w:divBdr>
      <w:divsChild>
        <w:div w:id="245264520">
          <w:marLeft w:val="0"/>
          <w:marRight w:val="0"/>
          <w:marTop w:val="0"/>
          <w:marBottom w:val="0"/>
          <w:divBdr>
            <w:top w:val="none" w:sz="0" w:space="0" w:color="auto"/>
            <w:left w:val="none" w:sz="0" w:space="0" w:color="auto"/>
            <w:bottom w:val="none" w:sz="0" w:space="0" w:color="auto"/>
            <w:right w:val="none" w:sz="0" w:space="0" w:color="auto"/>
          </w:divBdr>
        </w:div>
        <w:div w:id="908853927">
          <w:marLeft w:val="0"/>
          <w:marRight w:val="0"/>
          <w:marTop w:val="0"/>
          <w:marBottom w:val="0"/>
          <w:divBdr>
            <w:top w:val="none" w:sz="0" w:space="0" w:color="auto"/>
            <w:left w:val="none" w:sz="0" w:space="0" w:color="auto"/>
            <w:bottom w:val="none" w:sz="0" w:space="0" w:color="auto"/>
            <w:right w:val="none" w:sz="0" w:space="0" w:color="auto"/>
          </w:divBdr>
        </w:div>
        <w:div w:id="1027292596">
          <w:marLeft w:val="0"/>
          <w:marRight w:val="0"/>
          <w:marTop w:val="0"/>
          <w:marBottom w:val="0"/>
          <w:divBdr>
            <w:top w:val="none" w:sz="0" w:space="0" w:color="auto"/>
            <w:left w:val="none" w:sz="0" w:space="0" w:color="auto"/>
            <w:bottom w:val="none" w:sz="0" w:space="0" w:color="auto"/>
            <w:right w:val="none" w:sz="0" w:space="0" w:color="auto"/>
          </w:divBdr>
        </w:div>
      </w:divsChild>
    </w:div>
    <w:div w:id="865097460">
      <w:bodyDiv w:val="1"/>
      <w:marLeft w:val="0"/>
      <w:marRight w:val="0"/>
      <w:marTop w:val="0"/>
      <w:marBottom w:val="0"/>
      <w:divBdr>
        <w:top w:val="none" w:sz="0" w:space="0" w:color="auto"/>
        <w:left w:val="none" w:sz="0" w:space="0" w:color="auto"/>
        <w:bottom w:val="none" w:sz="0" w:space="0" w:color="auto"/>
        <w:right w:val="none" w:sz="0" w:space="0" w:color="auto"/>
      </w:divBdr>
      <w:divsChild>
        <w:div w:id="179778467">
          <w:marLeft w:val="0"/>
          <w:marRight w:val="0"/>
          <w:marTop w:val="0"/>
          <w:marBottom w:val="0"/>
          <w:divBdr>
            <w:top w:val="none" w:sz="0" w:space="0" w:color="auto"/>
            <w:left w:val="none" w:sz="0" w:space="0" w:color="auto"/>
            <w:bottom w:val="none" w:sz="0" w:space="0" w:color="auto"/>
            <w:right w:val="none" w:sz="0" w:space="0" w:color="auto"/>
          </w:divBdr>
        </w:div>
        <w:div w:id="494105081">
          <w:marLeft w:val="0"/>
          <w:marRight w:val="0"/>
          <w:marTop w:val="0"/>
          <w:marBottom w:val="0"/>
          <w:divBdr>
            <w:top w:val="none" w:sz="0" w:space="0" w:color="auto"/>
            <w:left w:val="none" w:sz="0" w:space="0" w:color="auto"/>
            <w:bottom w:val="none" w:sz="0" w:space="0" w:color="auto"/>
            <w:right w:val="none" w:sz="0" w:space="0" w:color="auto"/>
          </w:divBdr>
        </w:div>
        <w:div w:id="1034380038">
          <w:marLeft w:val="0"/>
          <w:marRight w:val="0"/>
          <w:marTop w:val="0"/>
          <w:marBottom w:val="0"/>
          <w:divBdr>
            <w:top w:val="none" w:sz="0" w:space="0" w:color="auto"/>
            <w:left w:val="none" w:sz="0" w:space="0" w:color="auto"/>
            <w:bottom w:val="none" w:sz="0" w:space="0" w:color="auto"/>
            <w:right w:val="none" w:sz="0" w:space="0" w:color="auto"/>
          </w:divBdr>
        </w:div>
        <w:div w:id="2022852691">
          <w:marLeft w:val="0"/>
          <w:marRight w:val="0"/>
          <w:marTop w:val="0"/>
          <w:marBottom w:val="0"/>
          <w:divBdr>
            <w:top w:val="none" w:sz="0" w:space="0" w:color="auto"/>
            <w:left w:val="none" w:sz="0" w:space="0" w:color="auto"/>
            <w:bottom w:val="none" w:sz="0" w:space="0" w:color="auto"/>
            <w:right w:val="none" w:sz="0" w:space="0" w:color="auto"/>
          </w:divBdr>
        </w:div>
        <w:div w:id="2080712761">
          <w:marLeft w:val="0"/>
          <w:marRight w:val="0"/>
          <w:marTop w:val="0"/>
          <w:marBottom w:val="0"/>
          <w:divBdr>
            <w:top w:val="none" w:sz="0" w:space="0" w:color="auto"/>
            <w:left w:val="none" w:sz="0" w:space="0" w:color="auto"/>
            <w:bottom w:val="none" w:sz="0" w:space="0" w:color="auto"/>
            <w:right w:val="none" w:sz="0" w:space="0" w:color="auto"/>
          </w:divBdr>
        </w:div>
      </w:divsChild>
    </w:div>
    <w:div w:id="869337177">
      <w:bodyDiv w:val="1"/>
      <w:marLeft w:val="0"/>
      <w:marRight w:val="0"/>
      <w:marTop w:val="0"/>
      <w:marBottom w:val="0"/>
      <w:divBdr>
        <w:top w:val="none" w:sz="0" w:space="0" w:color="auto"/>
        <w:left w:val="none" w:sz="0" w:space="0" w:color="auto"/>
        <w:bottom w:val="none" w:sz="0" w:space="0" w:color="auto"/>
        <w:right w:val="none" w:sz="0" w:space="0" w:color="auto"/>
      </w:divBdr>
    </w:div>
    <w:div w:id="877355286">
      <w:bodyDiv w:val="1"/>
      <w:marLeft w:val="0"/>
      <w:marRight w:val="0"/>
      <w:marTop w:val="0"/>
      <w:marBottom w:val="0"/>
      <w:divBdr>
        <w:top w:val="none" w:sz="0" w:space="0" w:color="auto"/>
        <w:left w:val="none" w:sz="0" w:space="0" w:color="auto"/>
        <w:bottom w:val="none" w:sz="0" w:space="0" w:color="auto"/>
        <w:right w:val="none" w:sz="0" w:space="0" w:color="auto"/>
      </w:divBdr>
    </w:div>
    <w:div w:id="927277755">
      <w:bodyDiv w:val="1"/>
      <w:marLeft w:val="0"/>
      <w:marRight w:val="0"/>
      <w:marTop w:val="0"/>
      <w:marBottom w:val="0"/>
      <w:divBdr>
        <w:top w:val="none" w:sz="0" w:space="0" w:color="auto"/>
        <w:left w:val="none" w:sz="0" w:space="0" w:color="auto"/>
        <w:bottom w:val="none" w:sz="0" w:space="0" w:color="auto"/>
        <w:right w:val="none" w:sz="0" w:space="0" w:color="auto"/>
      </w:divBdr>
      <w:divsChild>
        <w:div w:id="429549785">
          <w:marLeft w:val="547"/>
          <w:marRight w:val="0"/>
          <w:marTop w:val="0"/>
          <w:marBottom w:val="0"/>
          <w:divBdr>
            <w:top w:val="none" w:sz="0" w:space="0" w:color="auto"/>
            <w:left w:val="none" w:sz="0" w:space="0" w:color="auto"/>
            <w:bottom w:val="none" w:sz="0" w:space="0" w:color="auto"/>
            <w:right w:val="none" w:sz="0" w:space="0" w:color="auto"/>
          </w:divBdr>
        </w:div>
        <w:div w:id="674651434">
          <w:marLeft w:val="547"/>
          <w:marRight w:val="0"/>
          <w:marTop w:val="0"/>
          <w:marBottom w:val="0"/>
          <w:divBdr>
            <w:top w:val="none" w:sz="0" w:space="0" w:color="auto"/>
            <w:left w:val="none" w:sz="0" w:space="0" w:color="auto"/>
            <w:bottom w:val="none" w:sz="0" w:space="0" w:color="auto"/>
            <w:right w:val="none" w:sz="0" w:space="0" w:color="auto"/>
          </w:divBdr>
        </w:div>
        <w:div w:id="810249675">
          <w:marLeft w:val="547"/>
          <w:marRight w:val="0"/>
          <w:marTop w:val="0"/>
          <w:marBottom w:val="0"/>
          <w:divBdr>
            <w:top w:val="none" w:sz="0" w:space="0" w:color="auto"/>
            <w:left w:val="none" w:sz="0" w:space="0" w:color="auto"/>
            <w:bottom w:val="none" w:sz="0" w:space="0" w:color="auto"/>
            <w:right w:val="none" w:sz="0" w:space="0" w:color="auto"/>
          </w:divBdr>
        </w:div>
        <w:div w:id="990518336">
          <w:marLeft w:val="547"/>
          <w:marRight w:val="0"/>
          <w:marTop w:val="0"/>
          <w:marBottom w:val="0"/>
          <w:divBdr>
            <w:top w:val="none" w:sz="0" w:space="0" w:color="auto"/>
            <w:left w:val="none" w:sz="0" w:space="0" w:color="auto"/>
            <w:bottom w:val="none" w:sz="0" w:space="0" w:color="auto"/>
            <w:right w:val="none" w:sz="0" w:space="0" w:color="auto"/>
          </w:divBdr>
        </w:div>
        <w:div w:id="1039478345">
          <w:marLeft w:val="547"/>
          <w:marRight w:val="0"/>
          <w:marTop w:val="0"/>
          <w:marBottom w:val="0"/>
          <w:divBdr>
            <w:top w:val="none" w:sz="0" w:space="0" w:color="auto"/>
            <w:left w:val="none" w:sz="0" w:space="0" w:color="auto"/>
            <w:bottom w:val="none" w:sz="0" w:space="0" w:color="auto"/>
            <w:right w:val="none" w:sz="0" w:space="0" w:color="auto"/>
          </w:divBdr>
        </w:div>
        <w:div w:id="1990203922">
          <w:marLeft w:val="547"/>
          <w:marRight w:val="0"/>
          <w:marTop w:val="0"/>
          <w:marBottom w:val="0"/>
          <w:divBdr>
            <w:top w:val="none" w:sz="0" w:space="0" w:color="auto"/>
            <w:left w:val="none" w:sz="0" w:space="0" w:color="auto"/>
            <w:bottom w:val="none" w:sz="0" w:space="0" w:color="auto"/>
            <w:right w:val="none" w:sz="0" w:space="0" w:color="auto"/>
          </w:divBdr>
        </w:div>
      </w:divsChild>
    </w:div>
    <w:div w:id="983659665">
      <w:bodyDiv w:val="1"/>
      <w:marLeft w:val="0"/>
      <w:marRight w:val="0"/>
      <w:marTop w:val="0"/>
      <w:marBottom w:val="0"/>
      <w:divBdr>
        <w:top w:val="none" w:sz="0" w:space="0" w:color="auto"/>
        <w:left w:val="none" w:sz="0" w:space="0" w:color="auto"/>
        <w:bottom w:val="none" w:sz="0" w:space="0" w:color="auto"/>
        <w:right w:val="none" w:sz="0" w:space="0" w:color="auto"/>
      </w:divBdr>
    </w:div>
    <w:div w:id="984048128">
      <w:bodyDiv w:val="1"/>
      <w:marLeft w:val="0"/>
      <w:marRight w:val="0"/>
      <w:marTop w:val="0"/>
      <w:marBottom w:val="0"/>
      <w:divBdr>
        <w:top w:val="none" w:sz="0" w:space="0" w:color="auto"/>
        <w:left w:val="none" w:sz="0" w:space="0" w:color="auto"/>
        <w:bottom w:val="none" w:sz="0" w:space="0" w:color="auto"/>
        <w:right w:val="none" w:sz="0" w:space="0" w:color="auto"/>
      </w:divBdr>
    </w:div>
    <w:div w:id="1113862277">
      <w:bodyDiv w:val="1"/>
      <w:marLeft w:val="0"/>
      <w:marRight w:val="0"/>
      <w:marTop w:val="0"/>
      <w:marBottom w:val="0"/>
      <w:divBdr>
        <w:top w:val="none" w:sz="0" w:space="0" w:color="auto"/>
        <w:left w:val="none" w:sz="0" w:space="0" w:color="auto"/>
        <w:bottom w:val="none" w:sz="0" w:space="0" w:color="auto"/>
        <w:right w:val="none" w:sz="0" w:space="0" w:color="auto"/>
      </w:divBdr>
    </w:div>
    <w:div w:id="1133718247">
      <w:bodyDiv w:val="1"/>
      <w:marLeft w:val="0"/>
      <w:marRight w:val="0"/>
      <w:marTop w:val="0"/>
      <w:marBottom w:val="0"/>
      <w:divBdr>
        <w:top w:val="none" w:sz="0" w:space="0" w:color="auto"/>
        <w:left w:val="none" w:sz="0" w:space="0" w:color="auto"/>
        <w:bottom w:val="none" w:sz="0" w:space="0" w:color="auto"/>
        <w:right w:val="none" w:sz="0" w:space="0" w:color="auto"/>
      </w:divBdr>
    </w:div>
    <w:div w:id="1205370491">
      <w:bodyDiv w:val="1"/>
      <w:marLeft w:val="0"/>
      <w:marRight w:val="0"/>
      <w:marTop w:val="0"/>
      <w:marBottom w:val="0"/>
      <w:divBdr>
        <w:top w:val="none" w:sz="0" w:space="0" w:color="auto"/>
        <w:left w:val="none" w:sz="0" w:space="0" w:color="auto"/>
        <w:bottom w:val="none" w:sz="0" w:space="0" w:color="auto"/>
        <w:right w:val="none" w:sz="0" w:space="0" w:color="auto"/>
      </w:divBdr>
    </w:div>
    <w:div w:id="1258096954">
      <w:bodyDiv w:val="1"/>
      <w:marLeft w:val="0"/>
      <w:marRight w:val="0"/>
      <w:marTop w:val="0"/>
      <w:marBottom w:val="0"/>
      <w:divBdr>
        <w:top w:val="none" w:sz="0" w:space="0" w:color="auto"/>
        <w:left w:val="none" w:sz="0" w:space="0" w:color="auto"/>
        <w:bottom w:val="none" w:sz="0" w:space="0" w:color="auto"/>
        <w:right w:val="none" w:sz="0" w:space="0" w:color="auto"/>
      </w:divBdr>
    </w:div>
    <w:div w:id="1291474504">
      <w:bodyDiv w:val="1"/>
      <w:marLeft w:val="0"/>
      <w:marRight w:val="0"/>
      <w:marTop w:val="0"/>
      <w:marBottom w:val="0"/>
      <w:divBdr>
        <w:top w:val="none" w:sz="0" w:space="0" w:color="auto"/>
        <w:left w:val="none" w:sz="0" w:space="0" w:color="auto"/>
        <w:bottom w:val="none" w:sz="0" w:space="0" w:color="auto"/>
        <w:right w:val="none" w:sz="0" w:space="0" w:color="auto"/>
      </w:divBdr>
    </w:div>
    <w:div w:id="1292054765">
      <w:bodyDiv w:val="1"/>
      <w:marLeft w:val="0"/>
      <w:marRight w:val="0"/>
      <w:marTop w:val="0"/>
      <w:marBottom w:val="0"/>
      <w:divBdr>
        <w:top w:val="none" w:sz="0" w:space="0" w:color="auto"/>
        <w:left w:val="none" w:sz="0" w:space="0" w:color="auto"/>
        <w:bottom w:val="none" w:sz="0" w:space="0" w:color="auto"/>
        <w:right w:val="none" w:sz="0" w:space="0" w:color="auto"/>
      </w:divBdr>
    </w:div>
    <w:div w:id="1365442788">
      <w:bodyDiv w:val="1"/>
      <w:marLeft w:val="0"/>
      <w:marRight w:val="0"/>
      <w:marTop w:val="0"/>
      <w:marBottom w:val="0"/>
      <w:divBdr>
        <w:top w:val="none" w:sz="0" w:space="0" w:color="auto"/>
        <w:left w:val="none" w:sz="0" w:space="0" w:color="auto"/>
        <w:bottom w:val="none" w:sz="0" w:space="0" w:color="auto"/>
        <w:right w:val="none" w:sz="0" w:space="0" w:color="auto"/>
      </w:divBdr>
      <w:divsChild>
        <w:div w:id="403837542">
          <w:marLeft w:val="0"/>
          <w:marRight w:val="0"/>
          <w:marTop w:val="0"/>
          <w:marBottom w:val="0"/>
          <w:divBdr>
            <w:top w:val="none" w:sz="0" w:space="0" w:color="auto"/>
            <w:left w:val="none" w:sz="0" w:space="0" w:color="auto"/>
            <w:bottom w:val="none" w:sz="0" w:space="0" w:color="auto"/>
            <w:right w:val="none" w:sz="0" w:space="0" w:color="auto"/>
          </w:divBdr>
        </w:div>
        <w:div w:id="928738385">
          <w:marLeft w:val="0"/>
          <w:marRight w:val="0"/>
          <w:marTop w:val="0"/>
          <w:marBottom w:val="0"/>
          <w:divBdr>
            <w:top w:val="none" w:sz="0" w:space="0" w:color="auto"/>
            <w:left w:val="none" w:sz="0" w:space="0" w:color="auto"/>
            <w:bottom w:val="none" w:sz="0" w:space="0" w:color="auto"/>
            <w:right w:val="none" w:sz="0" w:space="0" w:color="auto"/>
          </w:divBdr>
        </w:div>
        <w:div w:id="1297878846">
          <w:marLeft w:val="0"/>
          <w:marRight w:val="0"/>
          <w:marTop w:val="0"/>
          <w:marBottom w:val="0"/>
          <w:divBdr>
            <w:top w:val="none" w:sz="0" w:space="0" w:color="auto"/>
            <w:left w:val="none" w:sz="0" w:space="0" w:color="auto"/>
            <w:bottom w:val="none" w:sz="0" w:space="0" w:color="auto"/>
            <w:right w:val="none" w:sz="0" w:space="0" w:color="auto"/>
          </w:divBdr>
        </w:div>
        <w:div w:id="1336306698">
          <w:marLeft w:val="0"/>
          <w:marRight w:val="0"/>
          <w:marTop w:val="0"/>
          <w:marBottom w:val="0"/>
          <w:divBdr>
            <w:top w:val="none" w:sz="0" w:space="0" w:color="auto"/>
            <w:left w:val="none" w:sz="0" w:space="0" w:color="auto"/>
            <w:bottom w:val="none" w:sz="0" w:space="0" w:color="auto"/>
            <w:right w:val="none" w:sz="0" w:space="0" w:color="auto"/>
          </w:divBdr>
        </w:div>
      </w:divsChild>
    </w:div>
    <w:div w:id="1398631635">
      <w:bodyDiv w:val="1"/>
      <w:marLeft w:val="0"/>
      <w:marRight w:val="0"/>
      <w:marTop w:val="0"/>
      <w:marBottom w:val="0"/>
      <w:divBdr>
        <w:top w:val="none" w:sz="0" w:space="0" w:color="auto"/>
        <w:left w:val="none" w:sz="0" w:space="0" w:color="auto"/>
        <w:bottom w:val="none" w:sz="0" w:space="0" w:color="auto"/>
        <w:right w:val="none" w:sz="0" w:space="0" w:color="auto"/>
      </w:divBdr>
    </w:div>
    <w:div w:id="1464034529">
      <w:bodyDiv w:val="1"/>
      <w:marLeft w:val="0"/>
      <w:marRight w:val="0"/>
      <w:marTop w:val="0"/>
      <w:marBottom w:val="0"/>
      <w:divBdr>
        <w:top w:val="none" w:sz="0" w:space="0" w:color="auto"/>
        <w:left w:val="none" w:sz="0" w:space="0" w:color="auto"/>
        <w:bottom w:val="none" w:sz="0" w:space="0" w:color="auto"/>
        <w:right w:val="none" w:sz="0" w:space="0" w:color="auto"/>
      </w:divBdr>
    </w:div>
    <w:div w:id="1724257371">
      <w:bodyDiv w:val="1"/>
      <w:marLeft w:val="0"/>
      <w:marRight w:val="0"/>
      <w:marTop w:val="0"/>
      <w:marBottom w:val="0"/>
      <w:divBdr>
        <w:top w:val="none" w:sz="0" w:space="0" w:color="auto"/>
        <w:left w:val="none" w:sz="0" w:space="0" w:color="auto"/>
        <w:bottom w:val="none" w:sz="0" w:space="0" w:color="auto"/>
        <w:right w:val="none" w:sz="0" w:space="0" w:color="auto"/>
      </w:divBdr>
    </w:div>
    <w:div w:id="1751731180">
      <w:bodyDiv w:val="1"/>
      <w:marLeft w:val="0"/>
      <w:marRight w:val="0"/>
      <w:marTop w:val="0"/>
      <w:marBottom w:val="0"/>
      <w:divBdr>
        <w:top w:val="none" w:sz="0" w:space="0" w:color="auto"/>
        <w:left w:val="none" w:sz="0" w:space="0" w:color="auto"/>
        <w:bottom w:val="none" w:sz="0" w:space="0" w:color="auto"/>
        <w:right w:val="none" w:sz="0" w:space="0" w:color="auto"/>
      </w:divBdr>
      <w:divsChild>
        <w:div w:id="368798065">
          <w:marLeft w:val="0"/>
          <w:marRight w:val="0"/>
          <w:marTop w:val="0"/>
          <w:marBottom w:val="0"/>
          <w:divBdr>
            <w:top w:val="none" w:sz="0" w:space="0" w:color="auto"/>
            <w:left w:val="none" w:sz="0" w:space="0" w:color="auto"/>
            <w:bottom w:val="none" w:sz="0" w:space="0" w:color="auto"/>
            <w:right w:val="none" w:sz="0" w:space="0" w:color="auto"/>
          </w:divBdr>
        </w:div>
        <w:div w:id="381297642">
          <w:marLeft w:val="0"/>
          <w:marRight w:val="0"/>
          <w:marTop w:val="0"/>
          <w:marBottom w:val="0"/>
          <w:divBdr>
            <w:top w:val="none" w:sz="0" w:space="0" w:color="auto"/>
            <w:left w:val="none" w:sz="0" w:space="0" w:color="auto"/>
            <w:bottom w:val="none" w:sz="0" w:space="0" w:color="auto"/>
            <w:right w:val="none" w:sz="0" w:space="0" w:color="auto"/>
          </w:divBdr>
        </w:div>
        <w:div w:id="898707743">
          <w:marLeft w:val="0"/>
          <w:marRight w:val="0"/>
          <w:marTop w:val="0"/>
          <w:marBottom w:val="0"/>
          <w:divBdr>
            <w:top w:val="none" w:sz="0" w:space="0" w:color="auto"/>
            <w:left w:val="none" w:sz="0" w:space="0" w:color="auto"/>
            <w:bottom w:val="none" w:sz="0" w:space="0" w:color="auto"/>
            <w:right w:val="none" w:sz="0" w:space="0" w:color="auto"/>
          </w:divBdr>
        </w:div>
        <w:div w:id="967272773">
          <w:marLeft w:val="0"/>
          <w:marRight w:val="0"/>
          <w:marTop w:val="0"/>
          <w:marBottom w:val="0"/>
          <w:divBdr>
            <w:top w:val="none" w:sz="0" w:space="0" w:color="auto"/>
            <w:left w:val="none" w:sz="0" w:space="0" w:color="auto"/>
            <w:bottom w:val="none" w:sz="0" w:space="0" w:color="auto"/>
            <w:right w:val="none" w:sz="0" w:space="0" w:color="auto"/>
          </w:divBdr>
        </w:div>
        <w:div w:id="987587989">
          <w:marLeft w:val="0"/>
          <w:marRight w:val="0"/>
          <w:marTop w:val="0"/>
          <w:marBottom w:val="0"/>
          <w:divBdr>
            <w:top w:val="none" w:sz="0" w:space="0" w:color="auto"/>
            <w:left w:val="none" w:sz="0" w:space="0" w:color="auto"/>
            <w:bottom w:val="none" w:sz="0" w:space="0" w:color="auto"/>
            <w:right w:val="none" w:sz="0" w:space="0" w:color="auto"/>
          </w:divBdr>
        </w:div>
        <w:div w:id="1544439908">
          <w:marLeft w:val="0"/>
          <w:marRight w:val="0"/>
          <w:marTop w:val="0"/>
          <w:marBottom w:val="0"/>
          <w:divBdr>
            <w:top w:val="none" w:sz="0" w:space="0" w:color="auto"/>
            <w:left w:val="none" w:sz="0" w:space="0" w:color="auto"/>
            <w:bottom w:val="none" w:sz="0" w:space="0" w:color="auto"/>
            <w:right w:val="none" w:sz="0" w:space="0" w:color="auto"/>
          </w:divBdr>
        </w:div>
      </w:divsChild>
    </w:div>
    <w:div w:id="1906724692">
      <w:bodyDiv w:val="1"/>
      <w:marLeft w:val="0"/>
      <w:marRight w:val="0"/>
      <w:marTop w:val="0"/>
      <w:marBottom w:val="0"/>
      <w:divBdr>
        <w:top w:val="none" w:sz="0" w:space="0" w:color="auto"/>
        <w:left w:val="none" w:sz="0" w:space="0" w:color="auto"/>
        <w:bottom w:val="none" w:sz="0" w:space="0" w:color="auto"/>
        <w:right w:val="none" w:sz="0" w:space="0" w:color="auto"/>
      </w:divBdr>
      <w:divsChild>
        <w:div w:id="13462346">
          <w:marLeft w:val="0"/>
          <w:marRight w:val="0"/>
          <w:marTop w:val="0"/>
          <w:marBottom w:val="0"/>
          <w:divBdr>
            <w:top w:val="none" w:sz="0" w:space="0" w:color="auto"/>
            <w:left w:val="none" w:sz="0" w:space="0" w:color="auto"/>
            <w:bottom w:val="none" w:sz="0" w:space="0" w:color="auto"/>
            <w:right w:val="none" w:sz="0" w:space="0" w:color="auto"/>
          </w:divBdr>
        </w:div>
        <w:div w:id="153882750">
          <w:marLeft w:val="0"/>
          <w:marRight w:val="0"/>
          <w:marTop w:val="0"/>
          <w:marBottom w:val="0"/>
          <w:divBdr>
            <w:top w:val="none" w:sz="0" w:space="0" w:color="auto"/>
            <w:left w:val="none" w:sz="0" w:space="0" w:color="auto"/>
            <w:bottom w:val="none" w:sz="0" w:space="0" w:color="auto"/>
            <w:right w:val="none" w:sz="0" w:space="0" w:color="auto"/>
          </w:divBdr>
        </w:div>
        <w:div w:id="308099851">
          <w:marLeft w:val="0"/>
          <w:marRight w:val="0"/>
          <w:marTop w:val="0"/>
          <w:marBottom w:val="0"/>
          <w:divBdr>
            <w:top w:val="none" w:sz="0" w:space="0" w:color="auto"/>
            <w:left w:val="none" w:sz="0" w:space="0" w:color="auto"/>
            <w:bottom w:val="none" w:sz="0" w:space="0" w:color="auto"/>
            <w:right w:val="none" w:sz="0" w:space="0" w:color="auto"/>
          </w:divBdr>
        </w:div>
        <w:div w:id="327826256">
          <w:marLeft w:val="0"/>
          <w:marRight w:val="0"/>
          <w:marTop w:val="0"/>
          <w:marBottom w:val="0"/>
          <w:divBdr>
            <w:top w:val="none" w:sz="0" w:space="0" w:color="auto"/>
            <w:left w:val="none" w:sz="0" w:space="0" w:color="auto"/>
            <w:bottom w:val="none" w:sz="0" w:space="0" w:color="auto"/>
            <w:right w:val="none" w:sz="0" w:space="0" w:color="auto"/>
          </w:divBdr>
        </w:div>
        <w:div w:id="716126575">
          <w:marLeft w:val="0"/>
          <w:marRight w:val="0"/>
          <w:marTop w:val="0"/>
          <w:marBottom w:val="0"/>
          <w:divBdr>
            <w:top w:val="none" w:sz="0" w:space="0" w:color="auto"/>
            <w:left w:val="none" w:sz="0" w:space="0" w:color="auto"/>
            <w:bottom w:val="none" w:sz="0" w:space="0" w:color="auto"/>
            <w:right w:val="none" w:sz="0" w:space="0" w:color="auto"/>
          </w:divBdr>
        </w:div>
        <w:div w:id="743260294">
          <w:marLeft w:val="0"/>
          <w:marRight w:val="0"/>
          <w:marTop w:val="0"/>
          <w:marBottom w:val="0"/>
          <w:divBdr>
            <w:top w:val="none" w:sz="0" w:space="0" w:color="auto"/>
            <w:left w:val="none" w:sz="0" w:space="0" w:color="auto"/>
            <w:bottom w:val="none" w:sz="0" w:space="0" w:color="auto"/>
            <w:right w:val="none" w:sz="0" w:space="0" w:color="auto"/>
          </w:divBdr>
        </w:div>
        <w:div w:id="869075891">
          <w:marLeft w:val="0"/>
          <w:marRight w:val="0"/>
          <w:marTop w:val="0"/>
          <w:marBottom w:val="0"/>
          <w:divBdr>
            <w:top w:val="none" w:sz="0" w:space="0" w:color="auto"/>
            <w:left w:val="none" w:sz="0" w:space="0" w:color="auto"/>
            <w:bottom w:val="none" w:sz="0" w:space="0" w:color="auto"/>
            <w:right w:val="none" w:sz="0" w:space="0" w:color="auto"/>
          </w:divBdr>
        </w:div>
        <w:div w:id="1670016929">
          <w:marLeft w:val="0"/>
          <w:marRight w:val="0"/>
          <w:marTop w:val="0"/>
          <w:marBottom w:val="0"/>
          <w:divBdr>
            <w:top w:val="none" w:sz="0" w:space="0" w:color="auto"/>
            <w:left w:val="none" w:sz="0" w:space="0" w:color="auto"/>
            <w:bottom w:val="none" w:sz="0" w:space="0" w:color="auto"/>
            <w:right w:val="none" w:sz="0" w:space="0" w:color="auto"/>
          </w:divBdr>
        </w:div>
      </w:divsChild>
    </w:div>
    <w:div w:id="2062485700">
      <w:bodyDiv w:val="1"/>
      <w:marLeft w:val="0"/>
      <w:marRight w:val="0"/>
      <w:marTop w:val="0"/>
      <w:marBottom w:val="0"/>
      <w:divBdr>
        <w:top w:val="none" w:sz="0" w:space="0" w:color="auto"/>
        <w:left w:val="none" w:sz="0" w:space="0" w:color="auto"/>
        <w:bottom w:val="none" w:sz="0" w:space="0" w:color="auto"/>
        <w:right w:val="none" w:sz="0" w:space="0" w:color="auto"/>
      </w:divBdr>
    </w:div>
    <w:div w:id="2084402293">
      <w:bodyDiv w:val="1"/>
      <w:marLeft w:val="0"/>
      <w:marRight w:val="0"/>
      <w:marTop w:val="0"/>
      <w:marBottom w:val="0"/>
      <w:divBdr>
        <w:top w:val="none" w:sz="0" w:space="0" w:color="auto"/>
        <w:left w:val="none" w:sz="0" w:space="0" w:color="auto"/>
        <w:bottom w:val="none" w:sz="0" w:space="0" w:color="auto"/>
        <w:right w:val="none" w:sz="0" w:space="0" w:color="auto"/>
      </w:divBdr>
    </w:div>
    <w:div w:id="2096323267">
      <w:bodyDiv w:val="1"/>
      <w:marLeft w:val="0"/>
      <w:marRight w:val="0"/>
      <w:marTop w:val="0"/>
      <w:marBottom w:val="0"/>
      <w:divBdr>
        <w:top w:val="none" w:sz="0" w:space="0" w:color="auto"/>
        <w:left w:val="none" w:sz="0" w:space="0" w:color="auto"/>
        <w:bottom w:val="none" w:sz="0" w:space="0" w:color="auto"/>
        <w:right w:val="none" w:sz="0" w:space="0" w:color="auto"/>
      </w:divBdr>
    </w:div>
    <w:div w:id="2119984941">
      <w:bodyDiv w:val="1"/>
      <w:marLeft w:val="0"/>
      <w:marRight w:val="0"/>
      <w:marTop w:val="0"/>
      <w:marBottom w:val="0"/>
      <w:divBdr>
        <w:top w:val="none" w:sz="0" w:space="0" w:color="auto"/>
        <w:left w:val="none" w:sz="0" w:space="0" w:color="auto"/>
        <w:bottom w:val="none" w:sz="0" w:space="0" w:color="auto"/>
        <w:right w:val="none" w:sz="0" w:space="0" w:color="auto"/>
      </w:divBdr>
    </w:div>
    <w:div w:id="21337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ntTable" Target="fontTable.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664F6-265C-4B2B-AD41-7866DFEB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14808</Words>
  <Characters>84412</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Jakupi</dc:creator>
  <cp:lastModifiedBy>Valion Cenalia</cp:lastModifiedBy>
  <cp:revision>2</cp:revision>
  <cp:lastPrinted>2018-10-16T10:38:00Z</cp:lastPrinted>
  <dcterms:created xsi:type="dcterms:W3CDTF">2019-07-10T11:21:00Z</dcterms:created>
  <dcterms:modified xsi:type="dcterms:W3CDTF">2019-07-10T11:21:00Z</dcterms:modified>
</cp:coreProperties>
</file>