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3.xml" ContentType="application/vnd.openxmlformats-officedocument.themeOverride+xml"/>
  <Override PartName="/word/charts/chart17.xml" ContentType="application/vnd.openxmlformats-officedocument.drawingml.chart+xml"/>
  <Override PartName="/word/theme/themeOverride4.xml" ContentType="application/vnd.openxmlformats-officedocument.themeOverride+xml"/>
  <Override PartName="/word/charts/chart18.xml" ContentType="application/vnd.openxmlformats-officedocument.drawingml.chart+xml"/>
  <Override PartName="/word/theme/themeOverride5.xml" ContentType="application/vnd.openxmlformats-officedocument.themeOverride+xml"/>
  <Override PartName="/word/charts/chart19.xml" ContentType="application/vnd.openxmlformats-officedocument.drawingml.chart+xml"/>
  <Override PartName="/word/theme/themeOverride6.xml" ContentType="application/vnd.openxmlformats-officedocument.themeOverride+xml"/>
  <Override PartName="/word/charts/chart20.xml" ContentType="application/vnd.openxmlformats-officedocument.drawingml.chart+xml"/>
  <Override PartName="/word/theme/themeOverride7.xml" ContentType="application/vnd.openxmlformats-officedocument.themeOverride+xml"/>
  <Override PartName="/word/charts/chart21.xml" ContentType="application/vnd.openxmlformats-officedocument.drawingml.chart+xml"/>
  <Override PartName="/word/theme/themeOverride8.xml" ContentType="application/vnd.openxmlformats-officedocument.themeOverride+xml"/>
  <Override PartName="/word/charts/chart22.xml" ContentType="application/vnd.openxmlformats-officedocument.drawingml.chart+xml"/>
  <Override PartName="/word/theme/themeOverride9.xml" ContentType="application/vnd.openxmlformats-officedocument.themeOverride+xml"/>
  <Override PartName="/word/charts/chart23.xml" ContentType="application/vnd.openxmlformats-officedocument.drawingml.chart+xml"/>
  <Override PartName="/word/theme/themeOverride10.xml" ContentType="application/vnd.openxmlformats-officedocument.themeOverride+xml"/>
  <Override PartName="/word/charts/chart24.xml" ContentType="application/vnd.openxmlformats-officedocument.drawingml.chart+xml"/>
  <Override PartName="/word/theme/themeOverride11.xml" ContentType="application/vnd.openxmlformats-officedocument.themeOverride+xml"/>
  <Override PartName="/word/charts/chart25.xml" ContentType="application/vnd.openxmlformats-officedocument.drawingml.chart+xml"/>
  <Override PartName="/word/theme/themeOverride12.xml" ContentType="application/vnd.openxmlformats-officedocument.themeOverride+xml"/>
  <Override PartName="/word/charts/chart26.xml" ContentType="application/vnd.openxmlformats-officedocument.drawingml.chart+xml"/>
  <Override PartName="/word/theme/themeOverride13.xml" ContentType="application/vnd.openxmlformats-officedocument.themeOverride+xml"/>
  <Override PartName="/word/charts/chart27.xml" ContentType="application/vnd.openxmlformats-officedocument.drawingml.chart+xml"/>
  <Override PartName="/word/theme/themeOverride14.xml" ContentType="application/vnd.openxmlformats-officedocument.themeOverride+xml"/>
  <Override PartName="/word/charts/chart28.xml" ContentType="application/vnd.openxmlformats-officedocument.drawingml.chart+xml"/>
  <Override PartName="/word/charts/chart29.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rsidR="00EA2E05" w:rsidRPr="004E355C" w:rsidRDefault="00D90476" w:rsidP="00D90476">
      <w:pPr>
        <w:tabs>
          <w:tab w:val="center" w:pos="5954"/>
        </w:tabs>
        <w:spacing w:line="276" w:lineRule="auto"/>
        <w:jc w:val="center"/>
        <w:rPr>
          <w:rFonts w:asciiTheme="minorHAnsi" w:hAnsiTheme="minorHAnsi"/>
          <w:b/>
          <w:bCs/>
          <w:lang w:val="sq-AL"/>
        </w:rPr>
      </w:pPr>
      <w:r w:rsidRPr="004E355C">
        <w:rPr>
          <w:rFonts w:asciiTheme="majorHAnsi" w:hAnsiTheme="majorHAnsi"/>
          <w:noProof/>
        </w:rPr>
        <w:drawing>
          <wp:inline distT="0" distB="0" distL="0" distR="0" wp14:anchorId="0B292068" wp14:editId="43CCFB77">
            <wp:extent cx="6113493" cy="1638300"/>
            <wp:effectExtent l="0" t="0" r="1905" b="0"/>
            <wp:docPr id="296" name="Picture 296" descr="C:\Users\kostandine.dorri\Desktop\logo min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andine.dorri\Desktop\logo ministr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574" cy="1639930"/>
                    </a:xfrm>
                    <a:prstGeom prst="rect">
                      <a:avLst/>
                    </a:prstGeom>
                    <a:noFill/>
                    <a:ln>
                      <a:noFill/>
                    </a:ln>
                  </pic:spPr>
                </pic:pic>
              </a:graphicData>
            </a:graphic>
          </wp:inline>
        </w:drawing>
      </w:r>
    </w:p>
    <w:p w:rsidR="00EA2E05" w:rsidRPr="004E355C" w:rsidRDefault="00EA2E05" w:rsidP="00A40986">
      <w:pPr>
        <w:tabs>
          <w:tab w:val="center" w:pos="5954"/>
        </w:tabs>
        <w:spacing w:line="276" w:lineRule="auto"/>
        <w:jc w:val="both"/>
        <w:rPr>
          <w:rFonts w:asciiTheme="minorHAnsi" w:hAnsiTheme="minorHAnsi"/>
          <w:b/>
          <w:bCs/>
          <w:lang w:val="sq-AL"/>
        </w:rPr>
      </w:pPr>
    </w:p>
    <w:p w:rsidR="00EA2E05" w:rsidRPr="004E355C" w:rsidRDefault="00EA2E05" w:rsidP="00A40986">
      <w:pPr>
        <w:tabs>
          <w:tab w:val="center" w:pos="5954"/>
        </w:tabs>
        <w:spacing w:line="276" w:lineRule="auto"/>
        <w:jc w:val="both"/>
        <w:rPr>
          <w:rFonts w:asciiTheme="minorHAnsi" w:hAnsiTheme="minorHAnsi"/>
          <w:b/>
          <w:bCs/>
          <w:lang w:val="sq-AL"/>
        </w:rPr>
      </w:pPr>
    </w:p>
    <w:p w:rsidR="00EA2E05" w:rsidRPr="004E355C" w:rsidRDefault="00EA2E05" w:rsidP="00A40986">
      <w:pPr>
        <w:spacing w:line="276" w:lineRule="auto"/>
        <w:jc w:val="both"/>
        <w:rPr>
          <w:rFonts w:asciiTheme="minorHAnsi" w:hAnsiTheme="minorHAnsi"/>
          <w:b/>
          <w:bCs/>
          <w:color w:val="333333"/>
          <w:lang w:val="sq-AL"/>
        </w:rPr>
      </w:pPr>
    </w:p>
    <w:p w:rsidR="000F540A" w:rsidRPr="004E355C" w:rsidRDefault="000F540A" w:rsidP="00A40986">
      <w:pPr>
        <w:pStyle w:val="Default"/>
        <w:spacing w:line="276" w:lineRule="auto"/>
        <w:jc w:val="center"/>
        <w:rPr>
          <w:rFonts w:asciiTheme="minorHAnsi" w:hAnsiTheme="minorHAnsi"/>
          <w:b/>
          <w:color w:val="800000"/>
          <w:lang w:val="sq-AL"/>
        </w:rPr>
      </w:pPr>
    </w:p>
    <w:p w:rsidR="000F540A" w:rsidRPr="004E355C" w:rsidRDefault="000F540A" w:rsidP="00A40986">
      <w:pPr>
        <w:pStyle w:val="Default"/>
        <w:spacing w:line="276" w:lineRule="auto"/>
        <w:jc w:val="center"/>
        <w:rPr>
          <w:rFonts w:asciiTheme="minorHAnsi" w:hAnsiTheme="minorHAnsi"/>
          <w:b/>
          <w:color w:val="800000"/>
          <w:lang w:val="sq-AL"/>
        </w:rPr>
      </w:pPr>
    </w:p>
    <w:p w:rsidR="000F540A" w:rsidRPr="004E355C" w:rsidRDefault="000F540A" w:rsidP="00A40986">
      <w:pPr>
        <w:pStyle w:val="Default"/>
        <w:spacing w:line="276" w:lineRule="auto"/>
        <w:jc w:val="center"/>
        <w:rPr>
          <w:rFonts w:asciiTheme="minorHAnsi" w:hAnsiTheme="minorHAnsi"/>
          <w:b/>
          <w:color w:val="800000"/>
          <w:lang w:val="sq-AL"/>
        </w:rPr>
      </w:pPr>
    </w:p>
    <w:p w:rsidR="000F540A" w:rsidRPr="004E355C" w:rsidRDefault="000F540A" w:rsidP="00A40986">
      <w:pPr>
        <w:pStyle w:val="Default"/>
        <w:spacing w:line="276" w:lineRule="auto"/>
        <w:jc w:val="center"/>
        <w:rPr>
          <w:rFonts w:asciiTheme="minorHAnsi" w:hAnsiTheme="minorHAnsi"/>
          <w:b/>
          <w:color w:val="800000"/>
          <w:lang w:val="sq-AL"/>
        </w:rPr>
      </w:pPr>
    </w:p>
    <w:p w:rsidR="00EA2E05" w:rsidRPr="004E355C" w:rsidRDefault="00EA2E05" w:rsidP="00A40986">
      <w:pPr>
        <w:pStyle w:val="Default"/>
        <w:spacing w:line="276" w:lineRule="auto"/>
        <w:jc w:val="center"/>
        <w:rPr>
          <w:rFonts w:asciiTheme="minorHAnsi" w:hAnsiTheme="minorHAnsi"/>
          <w:b/>
          <w:color w:val="800000"/>
          <w:lang w:val="sq-AL"/>
        </w:rPr>
      </w:pPr>
      <w:r w:rsidRPr="004E355C">
        <w:rPr>
          <w:rFonts w:asciiTheme="minorHAnsi" w:hAnsiTheme="minorHAnsi"/>
          <w:b/>
          <w:color w:val="800000"/>
          <w:lang w:val="sq-AL"/>
        </w:rPr>
        <w:t>______________</w:t>
      </w:r>
    </w:p>
    <w:p w:rsidR="00FA2FFA" w:rsidRPr="004E355C" w:rsidRDefault="00FA2FFA" w:rsidP="00A40986">
      <w:pPr>
        <w:pStyle w:val="Default"/>
        <w:spacing w:line="276" w:lineRule="auto"/>
        <w:jc w:val="center"/>
        <w:rPr>
          <w:rFonts w:asciiTheme="minorHAnsi" w:hAnsiTheme="minorHAnsi"/>
          <w:b/>
          <w:color w:val="auto"/>
          <w:lang w:val="sq-AL"/>
        </w:rPr>
      </w:pPr>
    </w:p>
    <w:p w:rsidR="00337792" w:rsidRPr="004E355C" w:rsidRDefault="00337792" w:rsidP="00A40986">
      <w:pPr>
        <w:pStyle w:val="Default"/>
        <w:spacing w:line="276" w:lineRule="auto"/>
        <w:jc w:val="center"/>
        <w:rPr>
          <w:rFonts w:asciiTheme="minorHAnsi" w:hAnsiTheme="minorHAnsi"/>
          <w:b/>
          <w:color w:val="C00000"/>
          <w:sz w:val="52"/>
          <w:lang w:val="sq-AL"/>
        </w:rPr>
      </w:pPr>
      <w:r w:rsidRPr="004E355C">
        <w:rPr>
          <w:rFonts w:asciiTheme="minorHAnsi" w:hAnsiTheme="minorHAnsi"/>
          <w:b/>
          <w:color w:val="C00000"/>
          <w:sz w:val="52"/>
          <w:lang w:val="sq-AL"/>
        </w:rPr>
        <w:t xml:space="preserve">RAPORTI I MES-VITIT </w:t>
      </w:r>
    </w:p>
    <w:p w:rsidR="00C81BF8" w:rsidRPr="004E355C" w:rsidRDefault="00337792" w:rsidP="00A40986">
      <w:pPr>
        <w:pStyle w:val="Default"/>
        <w:spacing w:line="276" w:lineRule="auto"/>
        <w:jc w:val="center"/>
        <w:rPr>
          <w:rFonts w:asciiTheme="minorHAnsi" w:hAnsiTheme="minorHAnsi"/>
          <w:b/>
          <w:color w:val="C00000"/>
          <w:sz w:val="52"/>
          <w:lang w:val="sq-AL"/>
        </w:rPr>
      </w:pPr>
      <w:r w:rsidRPr="004E355C">
        <w:rPr>
          <w:rFonts w:asciiTheme="minorHAnsi" w:hAnsiTheme="minorHAnsi"/>
          <w:b/>
          <w:color w:val="C00000"/>
          <w:sz w:val="52"/>
          <w:lang w:val="sq-AL"/>
        </w:rPr>
        <w:t>MBI ZBATIMIN E BUXHETIT 201</w:t>
      </w:r>
      <w:r w:rsidR="00D90476" w:rsidRPr="004E355C">
        <w:rPr>
          <w:rFonts w:asciiTheme="minorHAnsi" w:hAnsiTheme="minorHAnsi"/>
          <w:b/>
          <w:color w:val="C00000"/>
          <w:sz w:val="52"/>
          <w:lang w:val="sq-AL"/>
        </w:rPr>
        <w:t>9</w:t>
      </w:r>
    </w:p>
    <w:p w:rsidR="00AB2DCA" w:rsidRPr="004E355C" w:rsidRDefault="00AB2DCA" w:rsidP="00A40986">
      <w:pPr>
        <w:pStyle w:val="Default"/>
        <w:spacing w:line="276" w:lineRule="auto"/>
        <w:jc w:val="center"/>
        <w:rPr>
          <w:rFonts w:asciiTheme="minorHAnsi" w:hAnsiTheme="minorHAnsi"/>
          <w:b/>
          <w:color w:val="C00000"/>
          <w:lang w:val="sq-AL"/>
        </w:rPr>
      </w:pPr>
    </w:p>
    <w:p w:rsidR="00337792" w:rsidRPr="004E355C" w:rsidRDefault="00337792" w:rsidP="00A40986">
      <w:pPr>
        <w:pStyle w:val="Default"/>
        <w:spacing w:line="276" w:lineRule="auto"/>
        <w:jc w:val="center"/>
        <w:rPr>
          <w:rFonts w:asciiTheme="minorHAnsi" w:hAnsiTheme="minorHAnsi"/>
          <w:b/>
          <w:color w:val="365F91" w:themeColor="accent1" w:themeShade="BF"/>
          <w:sz w:val="40"/>
          <w:lang w:val="sq-AL"/>
        </w:rPr>
      </w:pPr>
      <w:r w:rsidRPr="004E355C">
        <w:rPr>
          <w:rFonts w:asciiTheme="minorHAnsi" w:hAnsiTheme="minorHAnsi"/>
          <w:b/>
          <w:color w:val="365F91" w:themeColor="accent1" w:themeShade="BF"/>
          <w:sz w:val="40"/>
          <w:lang w:val="sq-AL"/>
        </w:rPr>
        <w:t>VLERËSIMI I SITUATËS MAKROEKONOMIKE, FISKALE DHE BUXHETORE PËR 5-MUJORIN 201</w:t>
      </w:r>
      <w:r w:rsidR="00D90476" w:rsidRPr="004E355C">
        <w:rPr>
          <w:rFonts w:asciiTheme="minorHAnsi" w:hAnsiTheme="minorHAnsi"/>
          <w:b/>
          <w:color w:val="365F91" w:themeColor="accent1" w:themeShade="BF"/>
          <w:sz w:val="40"/>
          <w:lang w:val="sq-AL"/>
        </w:rPr>
        <w:t>9</w:t>
      </w:r>
      <w:r w:rsidRPr="004E355C">
        <w:rPr>
          <w:rFonts w:asciiTheme="minorHAnsi" w:hAnsiTheme="minorHAnsi"/>
          <w:b/>
          <w:color w:val="365F91" w:themeColor="accent1" w:themeShade="BF"/>
          <w:sz w:val="40"/>
          <w:lang w:val="sq-AL"/>
        </w:rPr>
        <w:t xml:space="preserve">, </w:t>
      </w:r>
    </w:p>
    <w:p w:rsidR="00AB2DCA" w:rsidRPr="004E355C" w:rsidRDefault="00337792" w:rsidP="00A40986">
      <w:pPr>
        <w:pStyle w:val="Default"/>
        <w:spacing w:line="276" w:lineRule="auto"/>
        <w:jc w:val="center"/>
        <w:rPr>
          <w:rFonts w:asciiTheme="minorHAnsi" w:hAnsiTheme="minorHAnsi"/>
          <w:b/>
          <w:color w:val="365F91" w:themeColor="accent1" w:themeShade="BF"/>
          <w:sz w:val="40"/>
          <w:lang w:val="sq-AL"/>
        </w:rPr>
      </w:pPr>
      <w:r w:rsidRPr="004E355C">
        <w:rPr>
          <w:rFonts w:asciiTheme="minorHAnsi" w:hAnsiTheme="minorHAnsi"/>
          <w:b/>
          <w:color w:val="365F91" w:themeColor="accent1" w:themeShade="BF"/>
          <w:sz w:val="40"/>
          <w:lang w:val="sq-AL"/>
        </w:rPr>
        <w:t>DHE PRITSHMËRITË PËR 12-MUJORIN 201</w:t>
      </w:r>
      <w:r w:rsidR="00D90476" w:rsidRPr="004E355C">
        <w:rPr>
          <w:rFonts w:asciiTheme="minorHAnsi" w:hAnsiTheme="minorHAnsi"/>
          <w:b/>
          <w:color w:val="365F91" w:themeColor="accent1" w:themeShade="BF"/>
          <w:sz w:val="40"/>
          <w:lang w:val="sq-AL"/>
        </w:rPr>
        <w:t>9</w:t>
      </w:r>
    </w:p>
    <w:p w:rsidR="00EA2E05" w:rsidRPr="004E355C" w:rsidRDefault="00EA2E05" w:rsidP="00A40986">
      <w:pPr>
        <w:pStyle w:val="Default"/>
        <w:spacing w:line="276" w:lineRule="auto"/>
        <w:jc w:val="center"/>
        <w:rPr>
          <w:rFonts w:asciiTheme="minorHAnsi" w:hAnsiTheme="minorHAnsi"/>
          <w:color w:val="auto"/>
          <w:lang w:val="sq-AL"/>
        </w:rPr>
      </w:pPr>
      <w:r w:rsidRPr="004E355C">
        <w:rPr>
          <w:rFonts w:asciiTheme="minorHAnsi" w:hAnsiTheme="minorHAnsi"/>
          <w:b/>
          <w:color w:val="800000"/>
          <w:lang w:val="sq-AL"/>
        </w:rPr>
        <w:t>______________________________</w:t>
      </w:r>
    </w:p>
    <w:p w:rsidR="00EA2E05" w:rsidRPr="004E355C" w:rsidRDefault="00EA2E05" w:rsidP="00A40986">
      <w:pPr>
        <w:pStyle w:val="Default"/>
        <w:spacing w:line="276" w:lineRule="auto"/>
        <w:jc w:val="center"/>
        <w:rPr>
          <w:rFonts w:asciiTheme="minorHAnsi" w:hAnsiTheme="minorHAnsi" w:cs="Arial"/>
          <w:color w:val="auto"/>
          <w:lang w:val="sq-AL"/>
        </w:rPr>
      </w:pPr>
    </w:p>
    <w:p w:rsidR="000F540A" w:rsidRPr="004E355C" w:rsidRDefault="000F540A" w:rsidP="00A40986">
      <w:pPr>
        <w:pStyle w:val="Default"/>
        <w:spacing w:line="276" w:lineRule="auto"/>
        <w:jc w:val="both"/>
        <w:rPr>
          <w:rFonts w:asciiTheme="minorHAnsi" w:hAnsiTheme="minorHAnsi" w:cs="Arial"/>
          <w:color w:val="auto"/>
          <w:lang w:val="sq-AL"/>
        </w:rPr>
      </w:pPr>
    </w:p>
    <w:p w:rsidR="000F540A" w:rsidRPr="004E355C" w:rsidRDefault="000F540A" w:rsidP="00A40986">
      <w:pPr>
        <w:pStyle w:val="Default"/>
        <w:spacing w:line="276" w:lineRule="auto"/>
        <w:jc w:val="both"/>
        <w:rPr>
          <w:rFonts w:asciiTheme="minorHAnsi" w:hAnsiTheme="minorHAnsi" w:cs="Arial"/>
          <w:color w:val="auto"/>
          <w:lang w:val="sq-AL"/>
        </w:rPr>
      </w:pPr>
    </w:p>
    <w:p w:rsidR="00A4451F" w:rsidRPr="004E355C" w:rsidRDefault="00A4451F"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A2E05" w:rsidP="00A40986">
      <w:pPr>
        <w:spacing w:line="276" w:lineRule="auto"/>
        <w:jc w:val="both"/>
        <w:rPr>
          <w:rFonts w:asciiTheme="minorHAnsi" w:hAnsiTheme="minorHAnsi" w:cs="Arial"/>
          <w:lang w:val="sq-AL"/>
        </w:rPr>
      </w:pPr>
    </w:p>
    <w:p w:rsidR="00EA2E05" w:rsidRPr="004E355C" w:rsidRDefault="00E97958" w:rsidP="00A40986">
      <w:pPr>
        <w:spacing w:line="276" w:lineRule="auto"/>
        <w:jc w:val="both"/>
        <w:rPr>
          <w:rFonts w:asciiTheme="minorHAnsi" w:hAnsiTheme="minorHAnsi" w:cs="Arial"/>
          <w:b/>
          <w:color w:val="C00000"/>
          <w:sz w:val="32"/>
          <w:lang w:val="sq-AL"/>
        </w:rPr>
      </w:pPr>
      <w:r w:rsidRPr="004E355C">
        <w:rPr>
          <w:rFonts w:asciiTheme="minorHAnsi" w:hAnsiTheme="minorHAnsi" w:cs="Arial"/>
          <w:b/>
          <w:color w:val="C00000"/>
          <w:sz w:val="32"/>
          <w:lang w:val="sq-AL"/>
        </w:rPr>
        <w:t xml:space="preserve">Tiranë, </w:t>
      </w:r>
      <w:r w:rsidR="00337792" w:rsidRPr="004E355C">
        <w:rPr>
          <w:rFonts w:asciiTheme="minorHAnsi" w:hAnsiTheme="minorHAnsi" w:cs="Arial"/>
          <w:b/>
          <w:color w:val="C00000"/>
          <w:sz w:val="32"/>
          <w:lang w:val="sq-AL"/>
        </w:rPr>
        <w:t xml:space="preserve">Qershor </w:t>
      </w:r>
      <w:r w:rsidRPr="004E355C">
        <w:rPr>
          <w:rFonts w:asciiTheme="minorHAnsi" w:hAnsiTheme="minorHAnsi" w:cs="Arial"/>
          <w:b/>
          <w:color w:val="C00000"/>
          <w:sz w:val="32"/>
          <w:lang w:val="sq-AL"/>
        </w:rPr>
        <w:t>201</w:t>
      </w:r>
      <w:r w:rsidR="00D90476" w:rsidRPr="004E355C">
        <w:rPr>
          <w:rFonts w:asciiTheme="minorHAnsi" w:hAnsiTheme="minorHAnsi" w:cs="Arial"/>
          <w:b/>
          <w:color w:val="C00000"/>
          <w:sz w:val="32"/>
          <w:lang w:val="sq-AL"/>
        </w:rPr>
        <w:t>9</w:t>
      </w:r>
    </w:p>
    <w:bookmarkStart w:id="0" w:name="_Toc449351139" w:displacedByCustomXml="next"/>
    <w:sdt>
      <w:sdtPr>
        <w:rPr>
          <w:rFonts w:ascii="Times New Roman" w:eastAsia="Times New Roman" w:hAnsi="Times New Roman" w:cs="Times New Roman"/>
          <w:b w:val="0"/>
          <w:bCs w:val="0"/>
          <w:noProof w:val="0"/>
          <w:color w:val="auto"/>
          <w:sz w:val="24"/>
          <w:u w:val="none"/>
          <w:lang w:val="en-US"/>
        </w:rPr>
        <w:id w:val="2053270720"/>
        <w:docPartObj>
          <w:docPartGallery w:val="Table of Contents"/>
          <w:docPartUnique/>
        </w:docPartObj>
      </w:sdtPr>
      <w:sdtEndPr>
        <w:rPr>
          <w:rFonts w:asciiTheme="minorHAnsi" w:hAnsiTheme="minorHAnsi"/>
          <w:szCs w:val="28"/>
        </w:rPr>
      </w:sdtEndPr>
      <w:sdtContent>
        <w:p w:rsidR="007A09E2" w:rsidRPr="004E355C" w:rsidRDefault="007A09E2" w:rsidP="004719C1">
          <w:pPr>
            <w:pStyle w:val="TOCHeading"/>
            <w:rPr>
              <w:rFonts w:ascii="Times New Roman" w:eastAsia="Times New Roman" w:hAnsi="Times New Roman" w:cs="Times New Roman"/>
              <w:b w:val="0"/>
              <w:bCs w:val="0"/>
              <w:noProof w:val="0"/>
              <w:color w:val="auto"/>
              <w:sz w:val="24"/>
              <w:u w:val="none"/>
            </w:rPr>
          </w:pPr>
        </w:p>
        <w:p w:rsidR="00EE2069" w:rsidRPr="004E355C" w:rsidRDefault="00EF5147" w:rsidP="00BB3F3F">
          <w:pPr>
            <w:pStyle w:val="TOCHeading"/>
            <w:spacing w:before="0" w:line="480" w:lineRule="auto"/>
            <w:ind w:right="-360"/>
            <w:jc w:val="center"/>
            <w:rPr>
              <w:rFonts w:asciiTheme="minorHAnsi" w:hAnsiTheme="minorHAnsi"/>
              <w:noProof w:val="0"/>
              <w:sz w:val="32"/>
              <w:szCs w:val="28"/>
              <w:u w:val="none"/>
            </w:rPr>
          </w:pPr>
          <w:r w:rsidRPr="004E355C">
            <w:rPr>
              <w:rFonts w:asciiTheme="minorHAnsi" w:hAnsiTheme="minorHAnsi"/>
              <w:noProof w:val="0"/>
              <w:sz w:val="32"/>
              <w:szCs w:val="28"/>
              <w:u w:val="none"/>
            </w:rPr>
            <w:t xml:space="preserve">P </w:t>
          </w:r>
          <w:r w:rsidR="002F0689" w:rsidRPr="004E355C">
            <w:rPr>
              <w:rFonts w:asciiTheme="minorHAnsi" w:hAnsiTheme="minorHAnsi"/>
              <w:noProof w:val="0"/>
              <w:sz w:val="32"/>
              <w:szCs w:val="28"/>
              <w:u w:val="none"/>
            </w:rPr>
            <w:t>Ë</w:t>
          </w:r>
          <w:r w:rsidRPr="004E355C">
            <w:rPr>
              <w:rFonts w:asciiTheme="minorHAnsi" w:hAnsiTheme="minorHAnsi"/>
              <w:noProof w:val="0"/>
              <w:sz w:val="32"/>
              <w:szCs w:val="28"/>
              <w:u w:val="none"/>
            </w:rPr>
            <w:t xml:space="preserve"> R M B A J T J A</w:t>
          </w:r>
        </w:p>
        <w:p w:rsidR="00253CA1" w:rsidRPr="00253CA1" w:rsidRDefault="00EE2069">
          <w:pPr>
            <w:pStyle w:val="TOC1"/>
            <w:rPr>
              <w:rFonts w:asciiTheme="minorHAnsi" w:eastAsiaTheme="minorEastAsia" w:hAnsiTheme="minorHAnsi" w:cstheme="minorBidi"/>
              <w:b w:val="0"/>
              <w:color w:val="0070C0"/>
              <w:sz w:val="22"/>
              <w:szCs w:val="22"/>
            </w:rPr>
          </w:pPr>
          <w:r w:rsidRPr="00253CA1">
            <w:rPr>
              <w:rFonts w:asciiTheme="minorHAnsi" w:hAnsiTheme="minorHAnsi"/>
              <w:color w:val="0070C0"/>
              <w:sz w:val="28"/>
              <w:szCs w:val="28"/>
              <w:lang w:val="sq-AL"/>
            </w:rPr>
            <w:fldChar w:fldCharType="begin"/>
          </w:r>
          <w:r w:rsidRPr="00253CA1">
            <w:rPr>
              <w:rFonts w:asciiTheme="minorHAnsi" w:hAnsiTheme="minorHAnsi"/>
              <w:color w:val="0070C0"/>
              <w:sz w:val="28"/>
              <w:szCs w:val="28"/>
              <w:lang w:val="sq-AL"/>
            </w:rPr>
            <w:instrText xml:space="preserve"> TOC \o "1-3" \h \z \u </w:instrText>
          </w:r>
          <w:r w:rsidRPr="00253CA1">
            <w:rPr>
              <w:rFonts w:asciiTheme="minorHAnsi" w:hAnsiTheme="minorHAnsi"/>
              <w:color w:val="0070C0"/>
              <w:sz w:val="28"/>
              <w:szCs w:val="28"/>
              <w:lang w:val="sq-AL"/>
            </w:rPr>
            <w:fldChar w:fldCharType="separate"/>
          </w:r>
          <w:hyperlink w:anchor="_Toc12527214" w:history="1">
            <w:r w:rsidR="00253CA1" w:rsidRPr="00253CA1">
              <w:rPr>
                <w:rStyle w:val="Hyperlink"/>
                <w:color w:val="0070C0"/>
              </w:rPr>
              <w:t>Tabela dhe Grafikë</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_Toc12527214 \h </w:instrText>
            </w:r>
            <w:r w:rsidR="00253CA1" w:rsidRPr="00253CA1">
              <w:rPr>
                <w:webHidden/>
                <w:color w:val="0070C0"/>
              </w:rPr>
            </w:r>
            <w:r w:rsidR="00253CA1" w:rsidRPr="00253CA1">
              <w:rPr>
                <w:webHidden/>
                <w:color w:val="0070C0"/>
              </w:rPr>
              <w:fldChar w:fldCharType="separate"/>
            </w:r>
            <w:r w:rsidR="00C83C78">
              <w:rPr>
                <w:webHidden/>
                <w:color w:val="0070C0"/>
              </w:rPr>
              <w:t>3</w:t>
            </w:r>
            <w:r w:rsidR="00253CA1" w:rsidRPr="00253CA1">
              <w:rPr>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15" w:history="1">
            <w:r w:rsidR="00253CA1" w:rsidRPr="00253CA1">
              <w:rPr>
                <w:rStyle w:val="Hyperlink"/>
                <w:color w:val="0070C0"/>
              </w:rPr>
              <w:t>I.</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ZHVILLIMET NË EKONOMINË SHQIPTARE</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_Toc12527215 \h </w:instrText>
            </w:r>
            <w:r w:rsidR="00253CA1" w:rsidRPr="00253CA1">
              <w:rPr>
                <w:webHidden/>
                <w:color w:val="0070C0"/>
              </w:rPr>
            </w:r>
            <w:r w:rsidR="00253CA1" w:rsidRPr="00253CA1">
              <w:rPr>
                <w:webHidden/>
                <w:color w:val="0070C0"/>
              </w:rPr>
              <w:fldChar w:fldCharType="separate"/>
            </w:r>
            <w:r w:rsidR="00C83C78">
              <w:rPr>
                <w:webHidden/>
                <w:color w:val="0070C0"/>
              </w:rPr>
              <w:t>4</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16" w:history="1">
            <w:r w:rsidR="00253CA1" w:rsidRPr="00253CA1">
              <w:rPr>
                <w:rStyle w:val="Hyperlink"/>
                <w:noProof/>
                <w:color w:val="0070C0"/>
                <w:lang w:val="sq-AL"/>
              </w:rPr>
              <w:t>I.1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Ecuria e treguesve makroekonomikë për periudhën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_Toc12527216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4</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17" w:history="1">
            <w:r w:rsidR="00253CA1" w:rsidRPr="00253CA1">
              <w:rPr>
                <w:rStyle w:val="Hyperlink"/>
                <w:noProof/>
                <w:color w:val="0070C0"/>
                <w:lang w:val="sq-AL"/>
              </w:rPr>
              <w:t>I.2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Pritshmëritë e treguesve makroekonomikë deri në fund të vitit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_Toc12527217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5</w:t>
            </w:r>
            <w:r w:rsidR="00253CA1" w:rsidRPr="00253CA1">
              <w:rPr>
                <w:noProof/>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18" w:history="1">
            <w:r w:rsidR="00253CA1" w:rsidRPr="00253CA1">
              <w:rPr>
                <w:rStyle w:val="Hyperlink"/>
                <w:color w:val="0070C0"/>
              </w:rPr>
              <w:t>II.</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POLITIKA FISKALE</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_Toc12527218 \h </w:instrText>
            </w:r>
            <w:r w:rsidR="00253CA1" w:rsidRPr="00253CA1">
              <w:rPr>
                <w:webHidden/>
                <w:color w:val="0070C0"/>
              </w:rPr>
            </w:r>
            <w:r w:rsidR="00253CA1" w:rsidRPr="00253CA1">
              <w:rPr>
                <w:webHidden/>
                <w:color w:val="0070C0"/>
              </w:rPr>
              <w:fldChar w:fldCharType="separate"/>
            </w:r>
            <w:r w:rsidR="00C83C78">
              <w:rPr>
                <w:webHidden/>
                <w:color w:val="0070C0"/>
              </w:rPr>
              <w:t>6</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19" w:history="1">
            <w:r w:rsidR="00253CA1" w:rsidRPr="00253CA1">
              <w:rPr>
                <w:rStyle w:val="Hyperlink"/>
                <w:noProof/>
                <w:color w:val="0070C0"/>
                <w:lang w:val="sq-AL"/>
              </w:rPr>
              <w:t>II.1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Performanca fiskale për periudhën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_Toc12527219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6</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0" w:history="1">
            <w:r w:rsidR="00253CA1" w:rsidRPr="00253CA1">
              <w:rPr>
                <w:rStyle w:val="Hyperlink"/>
                <w:noProof/>
                <w:color w:val="0070C0"/>
                <w:lang w:val="sq-AL"/>
              </w:rPr>
              <w:t>II.2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Pritshmëritë fiskale deri në fund të vitit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_Toc12527220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13</w:t>
            </w:r>
            <w:r w:rsidR="00253CA1" w:rsidRPr="00253CA1">
              <w:rPr>
                <w:noProof/>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21" w:history="1">
            <w:r w:rsidR="00253CA1" w:rsidRPr="00253CA1">
              <w:rPr>
                <w:rStyle w:val="Hyperlink"/>
                <w:color w:val="0070C0"/>
              </w:rPr>
              <w:t>III.</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BUXHETI I VITIT 2019</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_Toc12527221 \h </w:instrText>
            </w:r>
            <w:r w:rsidR="00253CA1" w:rsidRPr="00253CA1">
              <w:rPr>
                <w:webHidden/>
                <w:color w:val="0070C0"/>
              </w:rPr>
            </w:r>
            <w:r w:rsidR="00253CA1" w:rsidRPr="00253CA1">
              <w:rPr>
                <w:webHidden/>
                <w:color w:val="0070C0"/>
              </w:rPr>
              <w:fldChar w:fldCharType="separate"/>
            </w:r>
            <w:r w:rsidR="00C83C78">
              <w:rPr>
                <w:webHidden/>
                <w:color w:val="0070C0"/>
              </w:rPr>
              <w:t>13</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2" w:history="1">
            <w:r w:rsidR="00253CA1" w:rsidRPr="00253CA1">
              <w:rPr>
                <w:rStyle w:val="Hyperlink"/>
                <w:noProof/>
                <w:color w:val="0070C0"/>
                <w:lang w:val="sq-AL"/>
              </w:rPr>
              <w:t>III.1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Shpenzimet e Përgjithshme Buxhetore gjatë periudhës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_Toc12527222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13</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3" w:history="1">
            <w:r w:rsidR="00253CA1" w:rsidRPr="00253CA1">
              <w:rPr>
                <w:rStyle w:val="Hyperlink"/>
                <w:noProof/>
                <w:color w:val="0070C0"/>
                <w:lang w:val="sq-AL"/>
              </w:rPr>
              <w:t>III.2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Financat Vendore gjatë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_Toc12527223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20</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4" w:history="1">
            <w:r w:rsidR="00253CA1" w:rsidRPr="00253CA1">
              <w:rPr>
                <w:rStyle w:val="Hyperlink"/>
                <w:noProof/>
                <w:color w:val="0070C0"/>
                <w:lang w:val="sq-AL"/>
              </w:rPr>
              <w:t>III.3</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Fondi Rezervë, Fondi i Kontigjencës, Fondi i Veçantë &amp; Fondi për Rritjen e Pagave</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_Toc12527224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24</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5" w:history="1">
            <w:r w:rsidR="00253CA1" w:rsidRPr="00253CA1">
              <w:rPr>
                <w:rStyle w:val="Hyperlink"/>
                <w:noProof/>
                <w:color w:val="0070C0"/>
                <w:lang w:val="sq-AL"/>
              </w:rPr>
              <w:t>III.2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Pritshmëria e Shpenzimeve Buxhetore deri në fund të vitit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_Toc12527225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25</w:t>
            </w:r>
            <w:r w:rsidR="00253CA1" w:rsidRPr="00253CA1">
              <w:rPr>
                <w:noProof/>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26" w:history="1">
            <w:r w:rsidR="00253CA1" w:rsidRPr="00253CA1">
              <w:rPr>
                <w:rStyle w:val="Hyperlink"/>
                <w:color w:val="0070C0"/>
              </w:rPr>
              <w:t>IV.</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MENAXHIMI I BORXHIT PUBLIK</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_Toc12527226 \h </w:instrText>
            </w:r>
            <w:r w:rsidR="00253CA1" w:rsidRPr="00253CA1">
              <w:rPr>
                <w:webHidden/>
                <w:color w:val="0070C0"/>
              </w:rPr>
            </w:r>
            <w:r w:rsidR="00253CA1" w:rsidRPr="00253CA1">
              <w:rPr>
                <w:webHidden/>
                <w:color w:val="0070C0"/>
              </w:rPr>
              <w:fldChar w:fldCharType="separate"/>
            </w:r>
            <w:r w:rsidR="00C83C78">
              <w:rPr>
                <w:webHidden/>
                <w:color w:val="0070C0"/>
              </w:rPr>
              <w:t>25</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7" w:history="1">
            <w:r w:rsidR="00253CA1" w:rsidRPr="00253CA1">
              <w:rPr>
                <w:rStyle w:val="Hyperlink"/>
                <w:noProof/>
                <w:color w:val="0070C0"/>
                <w:lang w:val="sq-AL"/>
              </w:rPr>
              <w:t>IV.1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Stoku i Borxhit Publik</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_Toc12527227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26</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8" w:history="1">
            <w:r w:rsidR="00253CA1" w:rsidRPr="00253CA1">
              <w:rPr>
                <w:rStyle w:val="Hyperlink"/>
                <w:noProof/>
                <w:color w:val="0070C0"/>
                <w:lang w:val="sq-AL"/>
              </w:rPr>
              <w:t>IV.2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Menaxhimi i Borxhit</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_Toc12527228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27</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29" w:history="1">
            <w:r w:rsidR="00253CA1" w:rsidRPr="00253CA1">
              <w:rPr>
                <w:rStyle w:val="Hyperlink"/>
                <w:noProof/>
                <w:color w:val="0070C0"/>
                <w:lang w:val="sq-AL"/>
              </w:rPr>
              <w:t>IV.3</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Pritshmëritë e Borxhit për vitin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_Toc12527229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31</w:t>
            </w:r>
            <w:r w:rsidR="00253CA1" w:rsidRPr="00253CA1">
              <w:rPr>
                <w:noProof/>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30" w:history="1">
            <w:r w:rsidR="00253CA1" w:rsidRPr="00253CA1">
              <w:rPr>
                <w:rStyle w:val="Hyperlink"/>
                <w:color w:val="0070C0"/>
              </w:rPr>
              <w:t>V.</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RREZIQET FISKALE DHE DETYRIMET KONTIGJENTE</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_Toc12527230 \h </w:instrText>
            </w:r>
            <w:r w:rsidR="00253CA1" w:rsidRPr="00253CA1">
              <w:rPr>
                <w:webHidden/>
                <w:color w:val="0070C0"/>
              </w:rPr>
            </w:r>
            <w:r w:rsidR="00253CA1" w:rsidRPr="00253CA1">
              <w:rPr>
                <w:webHidden/>
                <w:color w:val="0070C0"/>
              </w:rPr>
              <w:fldChar w:fldCharType="separate"/>
            </w:r>
            <w:r w:rsidR="00C83C78">
              <w:rPr>
                <w:webHidden/>
                <w:color w:val="0070C0"/>
              </w:rPr>
              <w:t>32</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1" w:history="1">
            <w:r w:rsidR="00253CA1" w:rsidRPr="00253CA1">
              <w:rPr>
                <w:rStyle w:val="Hyperlink"/>
                <w:noProof/>
                <w:color w:val="0070C0"/>
                <w:lang w:val="sq-AL"/>
              </w:rPr>
              <w:t>V.1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Sektori Energjetik</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_Toc12527231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34</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2" w:history="1">
            <w:r w:rsidR="00253CA1" w:rsidRPr="00253CA1">
              <w:rPr>
                <w:rStyle w:val="Hyperlink"/>
                <w:noProof/>
                <w:color w:val="0070C0"/>
                <w:lang w:val="sq-AL"/>
              </w:rPr>
              <w:t>V.2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Detyrimet e prapambetura (qendrore)</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_Toc12527232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36</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3" w:history="1">
            <w:r w:rsidR="00253CA1" w:rsidRPr="00253CA1">
              <w:rPr>
                <w:rStyle w:val="Hyperlink"/>
                <w:noProof/>
                <w:color w:val="0070C0"/>
                <w:lang w:val="sq-AL"/>
              </w:rPr>
              <w:t>V.3</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Koncesionet/PPP-të</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_Toc12527233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38</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4" w:history="1">
            <w:r w:rsidR="00253CA1" w:rsidRPr="00253CA1">
              <w:rPr>
                <w:rStyle w:val="Hyperlink"/>
                <w:noProof/>
                <w:color w:val="0070C0"/>
                <w:lang w:val="sq-AL"/>
              </w:rPr>
              <w:t>V.4</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Detyrime të tjera Kontigjente</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_Toc12527234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40</w:t>
            </w:r>
            <w:r w:rsidR="00253CA1" w:rsidRPr="00253CA1">
              <w:rPr>
                <w:noProof/>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35" w:history="1">
            <w:r w:rsidR="00253CA1" w:rsidRPr="00253CA1">
              <w:rPr>
                <w:rStyle w:val="Hyperlink"/>
                <w:color w:val="0070C0"/>
              </w:rPr>
              <w:t>VI.</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KONKLUZIONE DHE PROPOZIME</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_Toc12527235 \h </w:instrText>
            </w:r>
            <w:r w:rsidR="00253CA1" w:rsidRPr="00253CA1">
              <w:rPr>
                <w:webHidden/>
                <w:color w:val="0070C0"/>
              </w:rPr>
            </w:r>
            <w:r w:rsidR="00253CA1" w:rsidRPr="00253CA1">
              <w:rPr>
                <w:webHidden/>
                <w:color w:val="0070C0"/>
              </w:rPr>
              <w:fldChar w:fldCharType="separate"/>
            </w:r>
            <w:r w:rsidR="00C83C78">
              <w:rPr>
                <w:webHidden/>
                <w:color w:val="0070C0"/>
              </w:rPr>
              <w:t>42</w:t>
            </w:r>
            <w:r w:rsidR="00253CA1" w:rsidRPr="00253CA1">
              <w:rPr>
                <w:webHidden/>
                <w:color w:val="0070C0"/>
              </w:rPr>
              <w:fldChar w:fldCharType="end"/>
            </w:r>
          </w:hyperlink>
        </w:p>
        <w:p w:rsidR="00253CA1" w:rsidRPr="00253CA1" w:rsidRDefault="00D502DE">
          <w:pPr>
            <w:pStyle w:val="TOC1"/>
            <w:rPr>
              <w:rFonts w:asciiTheme="minorHAnsi" w:eastAsiaTheme="minorEastAsia" w:hAnsiTheme="minorHAnsi" w:cstheme="minorBidi"/>
              <w:b w:val="0"/>
              <w:color w:val="0070C0"/>
              <w:sz w:val="22"/>
              <w:szCs w:val="22"/>
            </w:rPr>
          </w:pPr>
          <w:hyperlink w:anchor="_Toc12527236" w:history="1">
            <w:r w:rsidR="00253CA1" w:rsidRPr="00253CA1">
              <w:rPr>
                <w:rStyle w:val="Hyperlink"/>
                <w:color w:val="0070C0"/>
              </w:rPr>
              <w:t>VII.</w:t>
            </w:r>
            <w:r w:rsidR="00253CA1" w:rsidRPr="00253CA1">
              <w:rPr>
                <w:rFonts w:asciiTheme="minorHAnsi" w:eastAsiaTheme="minorEastAsia" w:hAnsiTheme="minorHAnsi" w:cstheme="minorBidi"/>
                <w:b w:val="0"/>
                <w:color w:val="0070C0"/>
                <w:sz w:val="22"/>
                <w:szCs w:val="22"/>
              </w:rPr>
              <w:tab/>
            </w:r>
            <w:r w:rsidR="00253CA1" w:rsidRPr="00253CA1">
              <w:rPr>
                <w:rStyle w:val="Hyperlink"/>
                <w:color w:val="0070C0"/>
              </w:rPr>
              <w:t>SHTOJCAT</w:t>
            </w:r>
            <w:r w:rsidR="00253CA1" w:rsidRPr="00253CA1">
              <w:rPr>
                <w:webHidden/>
                <w:color w:val="0070C0"/>
              </w:rPr>
              <w:tab/>
            </w:r>
            <w:r w:rsidR="00253CA1" w:rsidRPr="00253CA1">
              <w:rPr>
                <w:webHidden/>
                <w:color w:val="0070C0"/>
              </w:rPr>
              <w:fldChar w:fldCharType="begin"/>
            </w:r>
            <w:r w:rsidR="00253CA1" w:rsidRPr="00253CA1">
              <w:rPr>
                <w:webHidden/>
                <w:color w:val="0070C0"/>
              </w:rPr>
              <w:instrText xml:space="preserve"> PAGEREF _Toc12527236 \h </w:instrText>
            </w:r>
            <w:r w:rsidR="00253CA1" w:rsidRPr="00253CA1">
              <w:rPr>
                <w:webHidden/>
                <w:color w:val="0070C0"/>
              </w:rPr>
            </w:r>
            <w:r w:rsidR="00253CA1" w:rsidRPr="00253CA1">
              <w:rPr>
                <w:webHidden/>
                <w:color w:val="0070C0"/>
              </w:rPr>
              <w:fldChar w:fldCharType="separate"/>
            </w:r>
            <w:r w:rsidR="00C83C78">
              <w:rPr>
                <w:webHidden/>
                <w:color w:val="0070C0"/>
              </w:rPr>
              <w:t>43</w:t>
            </w:r>
            <w:r w:rsidR="00253CA1" w:rsidRPr="00253CA1">
              <w:rPr>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7" w:history="1">
            <w:r w:rsidR="00253CA1" w:rsidRPr="00253CA1">
              <w:rPr>
                <w:rStyle w:val="Hyperlink"/>
                <w:noProof/>
                <w:color w:val="0070C0"/>
                <w:lang w:val="sq-AL"/>
              </w:rPr>
              <w:t>VI.1</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Ecuria e detajuar e treguesve makroekonomikë gjatë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_Toc12527237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43</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8" w:history="1">
            <w:r w:rsidR="00253CA1" w:rsidRPr="00253CA1">
              <w:rPr>
                <w:rStyle w:val="Hyperlink"/>
                <w:noProof/>
                <w:color w:val="0070C0"/>
                <w:lang w:val="sq-AL"/>
              </w:rPr>
              <w:t>VI.2</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Treguesit kryesorë të performancës sipas ministrive të linjës, 4M I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_Toc12527238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49</w:t>
            </w:r>
            <w:r w:rsidR="00253CA1" w:rsidRPr="00253CA1">
              <w:rPr>
                <w:noProof/>
                <w:webHidden/>
                <w:color w:val="0070C0"/>
              </w:rPr>
              <w:fldChar w:fldCharType="end"/>
            </w:r>
          </w:hyperlink>
        </w:p>
        <w:p w:rsidR="00253CA1" w:rsidRPr="00253CA1" w:rsidRDefault="00D502DE">
          <w:pPr>
            <w:pStyle w:val="TOC2"/>
            <w:rPr>
              <w:rFonts w:asciiTheme="minorHAnsi" w:eastAsiaTheme="minorEastAsia" w:hAnsiTheme="minorHAnsi" w:cstheme="minorBidi"/>
              <w:noProof/>
              <w:color w:val="0070C0"/>
              <w:sz w:val="22"/>
              <w:szCs w:val="22"/>
            </w:rPr>
          </w:pPr>
          <w:hyperlink w:anchor="_Toc12527239" w:history="1">
            <w:r w:rsidR="00253CA1" w:rsidRPr="00253CA1">
              <w:rPr>
                <w:rStyle w:val="Hyperlink"/>
                <w:noProof/>
                <w:color w:val="0070C0"/>
                <w:lang w:val="sq-AL"/>
              </w:rPr>
              <w:t>VI.3</w:t>
            </w:r>
            <w:r w:rsidR="00253CA1" w:rsidRPr="00253CA1">
              <w:rPr>
                <w:rFonts w:asciiTheme="minorHAnsi" w:eastAsiaTheme="minorEastAsia" w:hAnsiTheme="minorHAnsi" w:cstheme="minorBidi"/>
                <w:noProof/>
                <w:color w:val="0070C0"/>
                <w:sz w:val="22"/>
                <w:szCs w:val="22"/>
              </w:rPr>
              <w:tab/>
            </w:r>
            <w:r w:rsidR="00253CA1" w:rsidRPr="00253CA1">
              <w:rPr>
                <w:rStyle w:val="Hyperlink"/>
                <w:noProof/>
                <w:color w:val="0070C0"/>
                <w:lang w:val="sq-AL"/>
              </w:rPr>
              <w:t>Ecuria e detajuar e projekteve të investimeve publike, gjatë Janar-Maj 2019</w:t>
            </w:r>
            <w:r w:rsidR="00253CA1" w:rsidRPr="00253CA1">
              <w:rPr>
                <w:noProof/>
                <w:webHidden/>
                <w:color w:val="0070C0"/>
              </w:rPr>
              <w:tab/>
            </w:r>
            <w:r w:rsidR="00253CA1" w:rsidRPr="00253CA1">
              <w:rPr>
                <w:noProof/>
                <w:webHidden/>
                <w:color w:val="0070C0"/>
              </w:rPr>
              <w:fldChar w:fldCharType="begin"/>
            </w:r>
            <w:r w:rsidR="00253CA1" w:rsidRPr="00253CA1">
              <w:rPr>
                <w:noProof/>
                <w:webHidden/>
                <w:color w:val="0070C0"/>
              </w:rPr>
              <w:instrText xml:space="preserve"> PAGEREF _Toc12527239 \h </w:instrText>
            </w:r>
            <w:r w:rsidR="00253CA1" w:rsidRPr="00253CA1">
              <w:rPr>
                <w:noProof/>
                <w:webHidden/>
                <w:color w:val="0070C0"/>
              </w:rPr>
            </w:r>
            <w:r w:rsidR="00253CA1" w:rsidRPr="00253CA1">
              <w:rPr>
                <w:noProof/>
                <w:webHidden/>
                <w:color w:val="0070C0"/>
              </w:rPr>
              <w:fldChar w:fldCharType="separate"/>
            </w:r>
            <w:r w:rsidR="00C83C78">
              <w:rPr>
                <w:noProof/>
                <w:webHidden/>
                <w:color w:val="0070C0"/>
              </w:rPr>
              <w:t>65</w:t>
            </w:r>
            <w:r w:rsidR="00253CA1" w:rsidRPr="00253CA1">
              <w:rPr>
                <w:noProof/>
                <w:webHidden/>
                <w:color w:val="0070C0"/>
              </w:rPr>
              <w:fldChar w:fldCharType="end"/>
            </w:r>
          </w:hyperlink>
        </w:p>
        <w:p w:rsidR="00EE2069" w:rsidRPr="004E355C" w:rsidRDefault="00EE2069" w:rsidP="00B4693B">
          <w:pPr>
            <w:pStyle w:val="TOC2"/>
            <w:spacing w:line="360" w:lineRule="auto"/>
            <w:rPr>
              <w:noProof/>
              <w:color w:val="365F91" w:themeColor="accent1" w:themeShade="BF"/>
              <w:lang w:val="sq-AL"/>
            </w:rPr>
          </w:pPr>
          <w:r w:rsidRPr="00253CA1">
            <w:rPr>
              <w:rFonts w:asciiTheme="minorHAnsi" w:hAnsiTheme="minorHAnsi"/>
              <w:noProof/>
              <w:color w:val="0070C0"/>
              <w:sz w:val="28"/>
              <w:szCs w:val="28"/>
              <w:lang w:val="sq-AL"/>
            </w:rPr>
            <w:fldChar w:fldCharType="end"/>
          </w:r>
        </w:p>
      </w:sdtContent>
    </w:sdt>
    <w:p w:rsidR="00BB5D83" w:rsidRPr="004E355C" w:rsidRDefault="00BB5D83" w:rsidP="00BB5D83">
      <w:pPr>
        <w:rPr>
          <w:lang w:val="sq-AL"/>
        </w:rPr>
      </w:pPr>
    </w:p>
    <w:p w:rsidR="00180FE4" w:rsidRPr="004E355C" w:rsidRDefault="00180FE4" w:rsidP="00BB5D83">
      <w:pPr>
        <w:rPr>
          <w:lang w:val="sq-AL"/>
        </w:rPr>
      </w:pPr>
    </w:p>
    <w:p w:rsidR="007D6E7E" w:rsidRPr="004E355C" w:rsidRDefault="007D6E7E" w:rsidP="00BB5D83">
      <w:pPr>
        <w:rPr>
          <w:lang w:val="sq-AL"/>
        </w:rPr>
      </w:pPr>
    </w:p>
    <w:p w:rsidR="007A09E2" w:rsidRPr="004E355C" w:rsidRDefault="007A09E2" w:rsidP="00BB5D83">
      <w:pPr>
        <w:rPr>
          <w:lang w:val="sq-AL"/>
        </w:rPr>
      </w:pPr>
    </w:p>
    <w:p w:rsidR="007A09E2" w:rsidRPr="004E355C" w:rsidRDefault="007A09E2" w:rsidP="00BB5D83">
      <w:pPr>
        <w:rPr>
          <w:lang w:val="sq-AL"/>
        </w:rPr>
      </w:pPr>
    </w:p>
    <w:p w:rsidR="007A09E2" w:rsidRPr="004E355C" w:rsidRDefault="007A09E2" w:rsidP="00BB5D83">
      <w:pPr>
        <w:rPr>
          <w:lang w:val="sq-AL"/>
        </w:rPr>
      </w:pPr>
    </w:p>
    <w:p w:rsidR="007A09E2" w:rsidRPr="004E355C" w:rsidRDefault="007A09E2" w:rsidP="004719C1">
      <w:pPr>
        <w:pStyle w:val="Heading1"/>
        <w:sectPr w:rsidR="007A09E2" w:rsidRPr="004E355C" w:rsidSect="007D6E7E">
          <w:footerReference w:type="default" r:id="rId9"/>
          <w:footerReference w:type="first" r:id="rId10"/>
          <w:pgSz w:w="11907" w:h="16839" w:code="9"/>
          <w:pgMar w:top="1170" w:right="1107" w:bottom="1080" w:left="1170" w:header="720" w:footer="720" w:gutter="0"/>
          <w:cols w:space="720"/>
          <w:titlePg/>
          <w:docGrid w:linePitch="360"/>
        </w:sectPr>
      </w:pPr>
    </w:p>
    <w:p w:rsidR="00630F48" w:rsidRPr="004E355C" w:rsidRDefault="00630F48" w:rsidP="007A09E2">
      <w:pPr>
        <w:pStyle w:val="Heading1"/>
        <w:spacing w:before="0"/>
      </w:pPr>
      <w:bookmarkStart w:id="1" w:name="_Toc12527214"/>
      <w:r w:rsidRPr="004E355C">
        <w:lastRenderedPageBreak/>
        <w:t>Tabela dhe Grafik</w:t>
      </w:r>
      <w:r w:rsidR="00615269" w:rsidRPr="004E355C">
        <w:t>ë</w:t>
      </w:r>
      <w:bookmarkEnd w:id="1"/>
    </w:p>
    <w:p w:rsidR="007434A1" w:rsidRPr="004E355C" w:rsidRDefault="00070183">
      <w:pPr>
        <w:pStyle w:val="TableofFigures"/>
        <w:tabs>
          <w:tab w:val="right" w:leader="dot" w:pos="9623"/>
        </w:tabs>
        <w:rPr>
          <w:rStyle w:val="Hyperlink"/>
          <w:rFonts w:eastAsiaTheme="majorEastAsia"/>
          <w:i/>
          <w:noProof/>
          <w:color w:val="4F81BD" w:themeColor="accent1"/>
          <w:sz w:val="16"/>
          <w:szCs w:val="16"/>
          <w:lang w:val="sq-AL"/>
        </w:rPr>
      </w:pPr>
      <w:r w:rsidRPr="004E355C">
        <w:rPr>
          <w:rStyle w:val="Hyperlink"/>
          <w:rFonts w:asciiTheme="minorHAnsi" w:eastAsiaTheme="majorEastAsia" w:hAnsiTheme="minorHAnsi"/>
          <w:i/>
          <w:noProof/>
          <w:color w:val="4F81BD" w:themeColor="accent1"/>
          <w:sz w:val="16"/>
          <w:szCs w:val="16"/>
          <w:lang w:val="sq-AL"/>
        </w:rPr>
        <w:fldChar w:fldCharType="begin"/>
      </w:r>
      <w:r w:rsidRPr="004E355C">
        <w:rPr>
          <w:rStyle w:val="Hyperlink"/>
          <w:rFonts w:asciiTheme="minorHAnsi" w:eastAsiaTheme="majorEastAsia" w:hAnsiTheme="minorHAnsi"/>
          <w:i/>
          <w:noProof/>
          <w:color w:val="4F81BD" w:themeColor="accent1"/>
          <w:sz w:val="16"/>
          <w:szCs w:val="16"/>
          <w:lang w:val="sq-AL"/>
        </w:rPr>
        <w:instrText xml:space="preserve"> TOC \h \z \c "Tabela" </w:instrText>
      </w:r>
      <w:r w:rsidRPr="004E355C">
        <w:rPr>
          <w:rStyle w:val="Hyperlink"/>
          <w:rFonts w:asciiTheme="minorHAnsi" w:eastAsiaTheme="majorEastAsia" w:hAnsiTheme="minorHAnsi"/>
          <w:i/>
          <w:noProof/>
          <w:color w:val="4F81BD" w:themeColor="accent1"/>
          <w:sz w:val="16"/>
          <w:szCs w:val="16"/>
          <w:lang w:val="sq-AL"/>
        </w:rPr>
        <w:fldChar w:fldCharType="separate"/>
      </w:r>
      <w:hyperlink w:anchor="_Toc12449187" w:history="1">
        <w:r w:rsidR="007434A1" w:rsidRPr="004E355C">
          <w:rPr>
            <w:rStyle w:val="Hyperlink"/>
            <w:rFonts w:asciiTheme="minorHAnsi" w:eastAsiaTheme="majorEastAsia" w:hAnsiTheme="minorHAnsi"/>
            <w:i/>
            <w:noProof/>
            <w:color w:val="4F81BD" w:themeColor="accent1"/>
            <w:sz w:val="16"/>
            <w:szCs w:val="16"/>
            <w:lang w:val="sq-AL"/>
          </w:rPr>
          <w:t>Tabela 1: Të ardhurat Tatime &amp; Dogana për periudhën Janar – Maj 2019 (në milionë lekë)</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_Toc12449187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6</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88" w:history="1">
        <w:r w:rsidR="007434A1" w:rsidRPr="004E355C">
          <w:rPr>
            <w:rStyle w:val="Hyperlink"/>
            <w:rFonts w:asciiTheme="minorHAnsi" w:eastAsiaTheme="majorEastAsia" w:hAnsiTheme="minorHAnsi"/>
            <w:i/>
            <w:noProof/>
            <w:color w:val="4F81BD" w:themeColor="accent1"/>
            <w:sz w:val="16"/>
            <w:szCs w:val="16"/>
            <w:lang w:val="sq-AL"/>
          </w:rPr>
          <w:t>Tabela 2: Të dhëna mbi sasitë e mallrave kryesorë të akcizës</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_Toc12449188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9</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89" w:history="1">
        <w:r w:rsidR="007434A1" w:rsidRPr="004E355C">
          <w:rPr>
            <w:rStyle w:val="Hyperlink"/>
            <w:rFonts w:asciiTheme="minorHAnsi" w:eastAsiaTheme="majorEastAsia" w:hAnsiTheme="minorHAnsi"/>
            <w:i/>
            <w:noProof/>
            <w:color w:val="4F81BD" w:themeColor="accent1"/>
            <w:sz w:val="16"/>
            <w:szCs w:val="16"/>
            <w:lang w:val="sq-AL"/>
          </w:rPr>
          <w:t>Tabela 3: Kontribuesit pozitivë në të ardhurat nga Akciza/Diferencat Janar-Maj 2019/2018</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_Toc12449189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9</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0" w:history="1">
        <w:r w:rsidR="007434A1" w:rsidRPr="004E355C">
          <w:rPr>
            <w:rStyle w:val="Hyperlink"/>
            <w:rFonts w:asciiTheme="minorHAnsi" w:eastAsiaTheme="majorEastAsia" w:hAnsiTheme="minorHAnsi"/>
            <w:i/>
            <w:noProof/>
            <w:color w:val="4F81BD" w:themeColor="accent1"/>
            <w:sz w:val="16"/>
            <w:szCs w:val="16"/>
            <w:lang w:val="sq-AL"/>
          </w:rPr>
          <w:t>Tabela 4: Kontribuesit negativë në të ardhurat nga Akciza/ Diferencat Janar-Maj 2019/2018</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_Toc12449190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9</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1" w:history="1">
        <w:r w:rsidR="007434A1" w:rsidRPr="004E355C">
          <w:rPr>
            <w:rStyle w:val="Hyperlink"/>
            <w:rFonts w:asciiTheme="minorHAnsi" w:eastAsiaTheme="majorEastAsia" w:hAnsiTheme="minorHAnsi"/>
            <w:i/>
            <w:noProof/>
            <w:color w:val="4F81BD" w:themeColor="accent1"/>
            <w:sz w:val="16"/>
            <w:szCs w:val="16"/>
            <w:lang w:val="sq-AL"/>
          </w:rPr>
          <w:t>Tabela 5: Kontribuesit pozitivë në të ardhurat nga TVSH/Diferencat Janar-Maj 2019/2018</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_Toc12449191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10</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2" w:history="1">
        <w:r w:rsidR="007434A1" w:rsidRPr="004E355C">
          <w:rPr>
            <w:rStyle w:val="Hyperlink"/>
            <w:rFonts w:asciiTheme="minorHAnsi" w:eastAsiaTheme="majorEastAsia" w:hAnsiTheme="minorHAnsi"/>
            <w:i/>
            <w:noProof/>
            <w:color w:val="4F81BD" w:themeColor="accent1"/>
            <w:sz w:val="16"/>
            <w:szCs w:val="16"/>
            <w:lang w:val="sq-AL"/>
          </w:rPr>
          <w:t>Tabela 6: Kontribuesit negativë në të ardhurat nga TVSH/ Diferencat Janar-Maj 2019/2018</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_Toc12449192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10</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3" w:history="1">
        <w:r w:rsidR="007434A1" w:rsidRPr="004E355C">
          <w:rPr>
            <w:rStyle w:val="Hyperlink"/>
            <w:rFonts w:asciiTheme="minorHAnsi" w:eastAsiaTheme="majorEastAsia" w:hAnsiTheme="minorHAnsi"/>
            <w:i/>
            <w:noProof/>
            <w:color w:val="4F81BD" w:themeColor="accent1"/>
            <w:sz w:val="16"/>
            <w:szCs w:val="16"/>
            <w:lang w:val="sq-AL"/>
          </w:rPr>
          <w:t>Tabela 7: Të dhëna për Rentën Minerare, naftë bruto dhe minerale të tjera (në milionë lekë)</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_Toc12449193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10</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4" w:history="1">
        <w:r w:rsidR="007434A1" w:rsidRPr="004E355C">
          <w:rPr>
            <w:rStyle w:val="Hyperlink"/>
            <w:rFonts w:asciiTheme="minorHAnsi" w:eastAsiaTheme="majorEastAsia" w:hAnsiTheme="minorHAnsi"/>
            <w:i/>
            <w:noProof/>
            <w:color w:val="4F81BD" w:themeColor="accent1"/>
            <w:sz w:val="16"/>
            <w:szCs w:val="16"/>
            <w:lang w:val="sq-AL"/>
          </w:rPr>
          <w:t>Tabela 8: Treguesit fiskalë të konsoliduar për 5 mujorin e vitit 2019 (në milion LEK)</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_Toc12449194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13</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5" w:history="1">
        <w:r w:rsidR="007434A1" w:rsidRPr="004E355C">
          <w:rPr>
            <w:rStyle w:val="Hyperlink"/>
            <w:rFonts w:asciiTheme="minorHAnsi" w:eastAsiaTheme="majorEastAsia" w:hAnsiTheme="minorHAnsi"/>
            <w:i/>
            <w:noProof/>
            <w:color w:val="4F81BD" w:themeColor="accent1"/>
            <w:sz w:val="16"/>
            <w:szCs w:val="16"/>
            <w:lang w:val="sq-AL"/>
          </w:rPr>
          <w:t>Tabela 9: Treguesit fiskalë të konsoliduar për 5 mujorin e vitit 2017 dhe 2018 (në milion LEK)</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_Toc12449195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14</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6" w:history="1">
        <w:r w:rsidR="007434A1" w:rsidRPr="004E355C">
          <w:rPr>
            <w:rStyle w:val="Hyperlink"/>
            <w:rFonts w:asciiTheme="minorHAnsi" w:eastAsiaTheme="majorEastAsia" w:hAnsiTheme="minorHAnsi"/>
            <w:i/>
            <w:noProof/>
            <w:color w:val="4F81BD" w:themeColor="accent1"/>
            <w:sz w:val="16"/>
            <w:szCs w:val="16"/>
            <w:lang w:val="sq-AL"/>
          </w:rPr>
          <w:t>Tabela 10: Huamarrja shtetërore nga burime të brendshme në terma bruto dhe neto (Janar-Maj 2019)</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_Toc12449196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28</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7" w:history="1">
        <w:r w:rsidR="007434A1" w:rsidRPr="004E355C">
          <w:rPr>
            <w:rStyle w:val="Hyperlink"/>
            <w:rFonts w:asciiTheme="minorHAnsi" w:eastAsiaTheme="majorEastAsia" w:hAnsiTheme="minorHAnsi"/>
            <w:i/>
            <w:noProof/>
            <w:color w:val="4F81BD" w:themeColor="accent1"/>
            <w:sz w:val="16"/>
            <w:szCs w:val="16"/>
            <w:lang w:val="sq-AL"/>
          </w:rPr>
          <w:t>Tabela 11: Huamarrja e huaj në terma bruto</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_Toc12449197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28</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8" w:history="1">
        <w:r w:rsidR="007434A1" w:rsidRPr="004E355C">
          <w:rPr>
            <w:rStyle w:val="Hyperlink"/>
            <w:rFonts w:asciiTheme="minorHAnsi" w:eastAsiaTheme="majorEastAsia" w:hAnsiTheme="minorHAnsi"/>
            <w:i/>
            <w:noProof/>
            <w:color w:val="4F81BD" w:themeColor="accent1"/>
            <w:sz w:val="16"/>
            <w:szCs w:val="16"/>
            <w:lang w:val="sq-AL"/>
          </w:rPr>
          <w:t>Tabela 12: Treguesit e riskut të normave të interesit (2017 – Maj 2019)</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_Toc12449198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30</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199" w:history="1">
        <w:r w:rsidR="007434A1" w:rsidRPr="004E355C">
          <w:rPr>
            <w:rStyle w:val="Hyperlink"/>
            <w:rFonts w:asciiTheme="minorHAnsi" w:eastAsiaTheme="majorEastAsia" w:hAnsiTheme="minorHAnsi"/>
            <w:i/>
            <w:noProof/>
            <w:color w:val="4F81BD" w:themeColor="accent1"/>
            <w:sz w:val="16"/>
            <w:szCs w:val="16"/>
            <w:lang w:val="sq-AL"/>
          </w:rPr>
          <w:t>Tabela 13: Shërbimi i Borxhit Shtetëror të pritshëm krahasuar me planin vjetor 2019 (në milion Lek)</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_Toc12449199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32</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0" w:history="1">
        <w:r w:rsidR="007434A1" w:rsidRPr="004E355C">
          <w:rPr>
            <w:rStyle w:val="Hyperlink"/>
            <w:rFonts w:asciiTheme="minorHAnsi" w:eastAsiaTheme="majorEastAsia" w:hAnsiTheme="minorHAnsi"/>
            <w:i/>
            <w:noProof/>
            <w:color w:val="4F81BD" w:themeColor="accent1"/>
            <w:sz w:val="16"/>
            <w:szCs w:val="16"/>
            <w:lang w:val="sq-AL"/>
          </w:rPr>
          <w:t>Tabela 14 Matrica e riskut</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_Toc12449200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33</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1" w:history="1">
        <w:r w:rsidR="007434A1" w:rsidRPr="004E355C">
          <w:rPr>
            <w:rStyle w:val="Hyperlink"/>
            <w:rFonts w:asciiTheme="minorHAnsi" w:eastAsiaTheme="majorEastAsia" w:hAnsiTheme="minorHAnsi"/>
            <w:i/>
            <w:noProof/>
            <w:color w:val="4F81BD" w:themeColor="accent1"/>
            <w:sz w:val="16"/>
            <w:szCs w:val="16"/>
            <w:lang w:val="sq-AL"/>
          </w:rPr>
          <w:t>Tabela 15: Të dhënat financiare për Sektorin Energjitik (në mijë Lekë)</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_Toc12449201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34</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2" w:history="1">
        <w:r w:rsidR="007434A1" w:rsidRPr="004E355C">
          <w:rPr>
            <w:rStyle w:val="Hyperlink"/>
            <w:rFonts w:asciiTheme="minorHAnsi" w:eastAsiaTheme="majorEastAsia" w:hAnsiTheme="minorHAnsi"/>
            <w:i/>
            <w:noProof/>
            <w:color w:val="4F81BD" w:themeColor="accent1"/>
            <w:sz w:val="16"/>
            <w:szCs w:val="16"/>
            <w:lang w:val="sq-AL"/>
          </w:rPr>
          <w:t>Tabela 16: Detyrimet e prapambetura të MIE, sipas zërave kryesorë (në milionë Lekë)</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_Toc12449202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37</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3" w:history="1">
        <w:r w:rsidR="007434A1" w:rsidRPr="004E355C">
          <w:rPr>
            <w:rStyle w:val="Hyperlink"/>
            <w:rFonts w:asciiTheme="minorHAnsi" w:eastAsiaTheme="majorEastAsia" w:hAnsiTheme="minorHAnsi"/>
            <w:i/>
            <w:noProof/>
            <w:color w:val="4F81BD" w:themeColor="accent1"/>
            <w:sz w:val="16"/>
            <w:szCs w:val="16"/>
            <w:lang w:val="sq-AL"/>
          </w:rPr>
          <w:t>Tabela 17: Koncesionet/PPT-të aktive me mbështetje nga buxheti i shtetit (në mijë lekë)</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_Toc12449203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40</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4" w:history="1">
        <w:r w:rsidR="007434A1" w:rsidRPr="004E355C">
          <w:rPr>
            <w:rStyle w:val="Hyperlink"/>
            <w:rFonts w:asciiTheme="minorHAnsi" w:eastAsiaTheme="majorEastAsia" w:hAnsiTheme="minorHAnsi"/>
            <w:i/>
            <w:noProof/>
            <w:color w:val="4F81BD" w:themeColor="accent1"/>
            <w:sz w:val="16"/>
            <w:szCs w:val="16"/>
            <w:lang w:val="sq-AL"/>
          </w:rPr>
          <w:t>Tabela 18: Rritja e eksportit të mallrave, sipas kategorive kryesore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_Toc12449204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44</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5" w:history="1">
        <w:r w:rsidR="007434A1" w:rsidRPr="004E355C">
          <w:rPr>
            <w:rStyle w:val="Hyperlink"/>
            <w:rFonts w:asciiTheme="minorHAnsi" w:eastAsiaTheme="majorEastAsia" w:hAnsiTheme="minorHAnsi"/>
            <w:i/>
            <w:noProof/>
            <w:color w:val="4F81BD" w:themeColor="accent1"/>
            <w:sz w:val="16"/>
            <w:szCs w:val="16"/>
            <w:lang w:val="sq-AL"/>
          </w:rPr>
          <w:t>Tabela 19: Rritja e importit të mallrave, sipas kategorive kryesore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_Toc12449205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45</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6" w:history="1">
        <w:r w:rsidR="007434A1" w:rsidRPr="004E355C">
          <w:rPr>
            <w:rStyle w:val="Hyperlink"/>
            <w:rFonts w:asciiTheme="minorHAnsi" w:eastAsiaTheme="majorEastAsia" w:hAnsiTheme="minorHAnsi"/>
            <w:i/>
            <w:noProof/>
            <w:color w:val="4F81BD" w:themeColor="accent1"/>
            <w:sz w:val="16"/>
            <w:szCs w:val="16"/>
            <w:lang w:val="sq-AL"/>
          </w:rPr>
          <w:t>Tabela 20: Bilanci tregtar, sipas kategorive kryesore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_Toc12449206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45</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7" w:history="1">
        <w:r w:rsidR="007434A1" w:rsidRPr="004E355C">
          <w:rPr>
            <w:rStyle w:val="Hyperlink"/>
            <w:rFonts w:asciiTheme="minorHAnsi" w:eastAsiaTheme="majorEastAsia" w:hAnsiTheme="minorHAnsi"/>
            <w:i/>
            <w:noProof/>
            <w:color w:val="4F81BD" w:themeColor="accent1"/>
            <w:sz w:val="16"/>
            <w:szCs w:val="16"/>
            <w:lang w:val="sq-AL"/>
          </w:rPr>
          <w:t>Tabela 21: Rritja vjetore e çmimeve, në përqindje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_Toc12449207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46</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8" w:history="1">
        <w:r w:rsidR="007434A1" w:rsidRPr="004E355C">
          <w:rPr>
            <w:rStyle w:val="Hyperlink"/>
            <w:rFonts w:asciiTheme="minorHAnsi" w:eastAsiaTheme="majorEastAsia" w:hAnsiTheme="minorHAnsi"/>
            <w:i/>
            <w:noProof/>
            <w:color w:val="4F81BD" w:themeColor="accent1"/>
            <w:sz w:val="16"/>
            <w:szCs w:val="16"/>
            <w:lang w:val="sq-AL"/>
          </w:rPr>
          <w:t>Tabela 22: Ecuria e kredisë për bizneset dhe individët, në përqindje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_Toc12449208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47</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09" w:history="1">
        <w:r w:rsidR="007434A1" w:rsidRPr="004E355C">
          <w:rPr>
            <w:rStyle w:val="Hyperlink"/>
            <w:rFonts w:asciiTheme="minorHAnsi" w:eastAsiaTheme="majorEastAsia" w:hAnsiTheme="minorHAnsi"/>
            <w:i/>
            <w:noProof/>
            <w:color w:val="4F81BD" w:themeColor="accent1"/>
            <w:sz w:val="16"/>
            <w:szCs w:val="16"/>
            <w:lang w:val="sq-AL"/>
          </w:rPr>
          <w:t>Tabela 23: Ecuria e kredive të këqija, në përqindje</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_Toc12449209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48</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434A1"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9210" w:history="1">
        <w:r w:rsidR="007434A1" w:rsidRPr="004E355C">
          <w:rPr>
            <w:rStyle w:val="Hyperlink"/>
            <w:rFonts w:asciiTheme="minorHAnsi" w:eastAsiaTheme="majorEastAsia" w:hAnsiTheme="minorHAnsi"/>
            <w:i/>
            <w:noProof/>
            <w:color w:val="4F81BD" w:themeColor="accent1"/>
            <w:sz w:val="16"/>
            <w:szCs w:val="16"/>
            <w:lang w:val="sq-AL"/>
          </w:rPr>
          <w:t>Tabela 24: Ecuria e kursit të këmbimit 2015-2019</w:t>
        </w:r>
        <w:r w:rsidR="007434A1" w:rsidRPr="004E355C">
          <w:rPr>
            <w:rStyle w:val="Hyperlink"/>
            <w:rFonts w:asciiTheme="minorHAnsi" w:eastAsiaTheme="majorEastAsia" w:hAnsiTheme="minorHAnsi"/>
            <w:i/>
            <w:noProof/>
            <w:webHidden/>
            <w:color w:val="4F81BD" w:themeColor="accent1"/>
            <w:sz w:val="16"/>
            <w:szCs w:val="16"/>
            <w:lang w:val="sq-AL"/>
          </w:rPr>
          <w:tab/>
        </w:r>
        <w:r w:rsidR="007434A1" w:rsidRPr="004E355C">
          <w:rPr>
            <w:rStyle w:val="Hyperlink"/>
            <w:rFonts w:asciiTheme="minorHAnsi" w:eastAsiaTheme="majorEastAsia" w:hAnsiTheme="minorHAnsi"/>
            <w:i/>
            <w:noProof/>
            <w:webHidden/>
            <w:color w:val="4F81BD" w:themeColor="accent1"/>
            <w:sz w:val="16"/>
            <w:szCs w:val="16"/>
            <w:lang w:val="sq-AL"/>
          </w:rPr>
          <w:fldChar w:fldCharType="begin"/>
        </w:r>
        <w:r w:rsidR="007434A1" w:rsidRPr="004E355C">
          <w:rPr>
            <w:rStyle w:val="Hyperlink"/>
            <w:rFonts w:asciiTheme="minorHAnsi" w:eastAsiaTheme="majorEastAsia" w:hAnsiTheme="minorHAnsi"/>
            <w:i/>
            <w:noProof/>
            <w:webHidden/>
            <w:color w:val="4F81BD" w:themeColor="accent1"/>
            <w:sz w:val="16"/>
            <w:szCs w:val="16"/>
            <w:lang w:val="sq-AL"/>
          </w:rPr>
          <w:instrText xml:space="preserve"> PAGEREF _Toc12449210 \h </w:instrText>
        </w:r>
        <w:r w:rsidR="007434A1" w:rsidRPr="004E355C">
          <w:rPr>
            <w:rStyle w:val="Hyperlink"/>
            <w:rFonts w:asciiTheme="minorHAnsi" w:eastAsiaTheme="majorEastAsia" w:hAnsiTheme="minorHAnsi"/>
            <w:i/>
            <w:noProof/>
            <w:webHidden/>
            <w:color w:val="4F81BD" w:themeColor="accent1"/>
            <w:sz w:val="16"/>
            <w:szCs w:val="16"/>
            <w:lang w:val="sq-AL"/>
          </w:rPr>
        </w:r>
        <w:r w:rsidR="007434A1"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48</w:t>
        </w:r>
        <w:r w:rsidR="007434A1"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070183" w:rsidP="00FC6A7C">
      <w:pPr>
        <w:pStyle w:val="TableofFigures"/>
        <w:tabs>
          <w:tab w:val="right" w:leader="dot" w:pos="9620"/>
        </w:tabs>
        <w:rPr>
          <w:rStyle w:val="Hyperlink"/>
          <w:rFonts w:asciiTheme="minorHAnsi" w:eastAsiaTheme="majorEastAsia" w:hAnsiTheme="minorHAnsi"/>
          <w:i/>
          <w:noProof/>
          <w:color w:val="4F81BD" w:themeColor="accent1"/>
          <w:sz w:val="16"/>
          <w:szCs w:val="16"/>
          <w:lang w:val="sq-AL"/>
        </w:rPr>
      </w:pPr>
      <w:r w:rsidRPr="004E355C">
        <w:rPr>
          <w:rStyle w:val="Hyperlink"/>
          <w:rFonts w:asciiTheme="minorHAnsi" w:eastAsiaTheme="majorEastAsia" w:hAnsiTheme="minorHAnsi"/>
          <w:i/>
          <w:noProof/>
          <w:color w:val="4F81BD" w:themeColor="accent1"/>
          <w:sz w:val="16"/>
          <w:szCs w:val="16"/>
          <w:lang w:val="sq-AL"/>
        </w:rPr>
        <w:fldChar w:fldCharType="end"/>
      </w:r>
      <w:r w:rsidR="005D4A49" w:rsidRPr="004E355C">
        <w:rPr>
          <w:rFonts w:asciiTheme="minorHAnsi" w:hAnsiTheme="minorHAnsi" w:cstheme="minorHAnsi"/>
          <w:i/>
          <w:color w:val="4F81BD" w:themeColor="accent1"/>
          <w:sz w:val="14"/>
          <w:szCs w:val="16"/>
          <w:lang w:val="sq-AL"/>
        </w:rPr>
        <w:fldChar w:fldCharType="begin"/>
      </w:r>
      <w:r w:rsidR="005D4A49" w:rsidRPr="004E355C">
        <w:rPr>
          <w:rFonts w:asciiTheme="minorHAnsi" w:hAnsiTheme="minorHAnsi" w:cstheme="minorHAnsi"/>
          <w:i/>
          <w:color w:val="4F81BD" w:themeColor="accent1"/>
          <w:sz w:val="14"/>
          <w:szCs w:val="16"/>
          <w:lang w:val="sq-AL"/>
        </w:rPr>
        <w:instrText xml:space="preserve"> TOC \h \z \c "Grafiku" </w:instrText>
      </w:r>
      <w:r w:rsidR="005D4A49" w:rsidRPr="004E355C">
        <w:rPr>
          <w:rFonts w:asciiTheme="minorHAnsi" w:hAnsiTheme="minorHAnsi" w:cstheme="minorHAnsi"/>
          <w:i/>
          <w:color w:val="4F81BD" w:themeColor="accent1"/>
          <w:sz w:val="14"/>
          <w:szCs w:val="16"/>
          <w:lang w:val="sq-AL"/>
        </w:rPr>
        <w:fldChar w:fldCharType="separate"/>
      </w:r>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27" w:history="1">
        <w:r w:rsidR="00176D77" w:rsidRPr="004E355C">
          <w:rPr>
            <w:rStyle w:val="Hyperlink"/>
            <w:rFonts w:asciiTheme="minorHAnsi" w:eastAsiaTheme="majorEastAsia" w:hAnsiTheme="minorHAnsi"/>
            <w:i/>
            <w:noProof/>
            <w:color w:val="4F81BD" w:themeColor="accent1"/>
            <w:sz w:val="16"/>
            <w:szCs w:val="16"/>
            <w:lang w:val="sq-AL"/>
          </w:rPr>
          <w:t>Grafiku 1: Totali i të ardhurave Janar- Maj 2019/2018  (në milionë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_Toc12448427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28" w:history="1">
        <w:r w:rsidR="00176D77" w:rsidRPr="004E355C">
          <w:rPr>
            <w:rStyle w:val="Hyperlink"/>
            <w:rFonts w:asciiTheme="minorHAnsi" w:eastAsiaTheme="majorEastAsia" w:hAnsiTheme="minorHAnsi"/>
            <w:i/>
            <w:noProof/>
            <w:color w:val="4F81BD" w:themeColor="accent1"/>
            <w:sz w:val="16"/>
            <w:szCs w:val="16"/>
            <w:lang w:val="sq-AL"/>
          </w:rPr>
          <w:t>Grafiku 2: Import i Taksuar dhe Eksport Total 2019/2018 (në miliardlekë)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_Toc12448428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29" w:history="1">
        <w:r w:rsidR="00176D77" w:rsidRPr="004E355C">
          <w:rPr>
            <w:rStyle w:val="Hyperlink"/>
            <w:rFonts w:asciiTheme="minorHAnsi" w:eastAsiaTheme="majorEastAsia" w:hAnsiTheme="minorHAnsi"/>
            <w:i/>
            <w:noProof/>
            <w:color w:val="4F81BD" w:themeColor="accent1"/>
            <w:sz w:val="16"/>
            <w:szCs w:val="16"/>
            <w:lang w:val="sq-AL"/>
          </w:rPr>
          <w:t>Grafiku 3: Të ardhurat Doganore për Janar- Maj 2019, mujore dhe progresive (në milion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_Toc12448429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0" w:history="1">
        <w:r w:rsidR="00176D77" w:rsidRPr="004E355C">
          <w:rPr>
            <w:rStyle w:val="Hyperlink"/>
            <w:rFonts w:asciiTheme="minorHAnsi" w:eastAsiaTheme="majorEastAsia" w:hAnsiTheme="minorHAnsi"/>
            <w:i/>
            <w:noProof/>
            <w:color w:val="4F81BD" w:themeColor="accent1"/>
            <w:sz w:val="16"/>
            <w:szCs w:val="16"/>
            <w:lang w:val="sq-AL"/>
          </w:rPr>
          <w:t>Grafiku 4: Kontribuesit kryesor në të ardhurat doganore Janar- Maj 2019/2018 (në milion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_Toc12448430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1" w:history="1">
        <w:r w:rsidR="00176D77" w:rsidRPr="004E355C">
          <w:rPr>
            <w:rStyle w:val="Hyperlink"/>
            <w:rFonts w:asciiTheme="minorHAnsi" w:eastAsiaTheme="majorEastAsia" w:hAnsiTheme="minorHAnsi"/>
            <w:i/>
            <w:noProof/>
            <w:color w:val="4F81BD" w:themeColor="accent1"/>
            <w:sz w:val="16"/>
            <w:szCs w:val="16"/>
            <w:lang w:val="sq-AL"/>
          </w:rPr>
          <w:t>Grafiku 5: Të ardhurat  nga Tatimet Janar- Maj 2019, Mujore dhe Progresive (në milionë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_Toc12448431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2" w:history="1">
        <w:r w:rsidR="00176D77" w:rsidRPr="004E355C">
          <w:rPr>
            <w:rStyle w:val="Hyperlink"/>
            <w:rFonts w:asciiTheme="minorHAnsi" w:eastAsiaTheme="majorEastAsia" w:hAnsiTheme="minorHAnsi"/>
            <w:i/>
            <w:noProof/>
            <w:color w:val="4F81BD" w:themeColor="accent1"/>
            <w:sz w:val="16"/>
            <w:szCs w:val="16"/>
            <w:lang w:val="sq-AL"/>
          </w:rPr>
          <w:t>Grafiku 6: Të ardhura nga TVSH dhe rimbursimi i TVSH, 5 mujori në vite (në miliardë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_Toc12448432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3" w:history="1">
        <w:r w:rsidR="00176D77" w:rsidRPr="004E355C">
          <w:rPr>
            <w:rStyle w:val="Hyperlink"/>
            <w:rFonts w:asciiTheme="minorHAnsi" w:eastAsiaTheme="majorEastAsia" w:hAnsiTheme="minorHAnsi"/>
            <w:i/>
            <w:noProof/>
            <w:color w:val="4F81BD" w:themeColor="accent1"/>
            <w:sz w:val="16"/>
            <w:szCs w:val="16"/>
            <w:lang w:val="sq-AL"/>
          </w:rPr>
          <w:t>Grafiku 7: Të ardhurat nga Tatim Fitimi, 5 mujori në vite (në miliardë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_Toc12448433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4" w:history="1">
        <w:r w:rsidR="00176D77" w:rsidRPr="004E355C">
          <w:rPr>
            <w:rStyle w:val="Hyperlink"/>
            <w:rFonts w:asciiTheme="minorHAnsi" w:eastAsiaTheme="majorEastAsia" w:hAnsiTheme="minorHAnsi"/>
            <w:i/>
            <w:noProof/>
            <w:color w:val="4F81BD" w:themeColor="accent1"/>
            <w:sz w:val="16"/>
            <w:szCs w:val="16"/>
            <w:lang w:val="sq-AL"/>
          </w:rPr>
          <w:t>Grafiku 8: Të ardhurat nga Tatimi mbi të Ardhurat Personale, në vite (në milion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_Toc12448434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12</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5" w:history="1">
        <w:r w:rsidR="00176D77" w:rsidRPr="004E355C">
          <w:rPr>
            <w:rStyle w:val="Hyperlink"/>
            <w:rFonts w:asciiTheme="minorHAnsi" w:eastAsiaTheme="majorEastAsia" w:hAnsiTheme="minorHAnsi"/>
            <w:i/>
            <w:noProof/>
            <w:color w:val="4F81BD" w:themeColor="accent1"/>
            <w:sz w:val="16"/>
            <w:szCs w:val="16"/>
            <w:lang w:val="sq-AL"/>
          </w:rPr>
          <w:t>Grafiku 9: Të ardhurat 5 mujore nga Taksat nacionale, në vite (në miliardë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_Toc12448435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12</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6" w:history="1">
        <w:r w:rsidR="00176D77" w:rsidRPr="004E355C">
          <w:rPr>
            <w:rStyle w:val="Hyperlink"/>
            <w:rFonts w:asciiTheme="minorHAnsi" w:eastAsiaTheme="majorEastAsia" w:hAnsiTheme="minorHAnsi"/>
            <w:i/>
            <w:noProof/>
            <w:color w:val="4F81BD" w:themeColor="accent1"/>
            <w:sz w:val="16"/>
            <w:szCs w:val="16"/>
            <w:lang w:val="sq-AL"/>
          </w:rPr>
          <w:t>Grafiku 10: Të ardhurat nga kontributet e mbledhura nga DPT, në vite (në miliardë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_Toc12448436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12</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7" w:history="1">
        <w:r w:rsidR="00176D77" w:rsidRPr="004E355C">
          <w:rPr>
            <w:rStyle w:val="Hyperlink"/>
            <w:rFonts w:asciiTheme="minorHAnsi" w:eastAsiaTheme="majorEastAsia" w:hAnsiTheme="minorHAnsi"/>
            <w:i/>
            <w:noProof/>
            <w:color w:val="4F81BD" w:themeColor="accent1"/>
            <w:sz w:val="16"/>
            <w:szCs w:val="16"/>
            <w:lang w:val="sq-AL"/>
          </w:rPr>
          <w:t>Grafiku 11: Shpenzimet e përgjithshme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_Toc12448437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14</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8" w:history="1">
        <w:r w:rsidR="00176D77" w:rsidRPr="004E355C">
          <w:rPr>
            <w:rStyle w:val="Hyperlink"/>
            <w:rFonts w:asciiTheme="minorHAnsi" w:eastAsiaTheme="majorEastAsia" w:hAnsiTheme="minorHAnsi"/>
            <w:i/>
            <w:noProof/>
            <w:color w:val="4F81BD" w:themeColor="accent1"/>
            <w:sz w:val="16"/>
            <w:szCs w:val="16"/>
            <w:lang w:val="sq-AL"/>
          </w:rPr>
          <w:t>Grafiku 12: Struktura e shpenzimeve të përgjithshme, për periudhën 5 mujore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_Toc12448438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14</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39" w:history="1">
        <w:r w:rsidR="00176D77" w:rsidRPr="004E355C">
          <w:rPr>
            <w:rStyle w:val="Hyperlink"/>
            <w:rFonts w:asciiTheme="minorHAnsi" w:eastAsiaTheme="majorEastAsia" w:hAnsiTheme="minorHAnsi"/>
            <w:i/>
            <w:noProof/>
            <w:color w:val="4F81BD" w:themeColor="accent1"/>
            <w:sz w:val="16"/>
            <w:szCs w:val="16"/>
            <w:lang w:val="sq-AL"/>
          </w:rPr>
          <w:t>Grafiku 13: Shpenzimet Korente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_Toc12448439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15</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0" w:history="1">
        <w:r w:rsidR="00176D77" w:rsidRPr="004E355C">
          <w:rPr>
            <w:rStyle w:val="Hyperlink"/>
            <w:rFonts w:asciiTheme="minorHAnsi" w:eastAsiaTheme="majorEastAsia" w:hAnsiTheme="minorHAnsi"/>
            <w:i/>
            <w:noProof/>
            <w:color w:val="4F81BD" w:themeColor="accent1"/>
            <w:sz w:val="16"/>
            <w:szCs w:val="16"/>
            <w:lang w:val="sq-AL"/>
          </w:rPr>
          <w:t>Grafiku 14: Struktura e shpenzimeve korente, për periudhën 5 mujore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_Toc12448440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15</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1" w:history="1">
        <w:r w:rsidR="00176D77" w:rsidRPr="004E355C">
          <w:rPr>
            <w:rStyle w:val="Hyperlink"/>
            <w:rFonts w:asciiTheme="minorHAnsi" w:eastAsiaTheme="majorEastAsia" w:hAnsiTheme="minorHAnsi"/>
            <w:i/>
            <w:noProof/>
            <w:color w:val="4F81BD" w:themeColor="accent1"/>
            <w:sz w:val="16"/>
            <w:szCs w:val="16"/>
            <w:lang w:val="sq-AL"/>
          </w:rPr>
          <w:t>Grafiku 15: Shpenzimet e Personelit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_Toc12448441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2" w:history="1">
        <w:r w:rsidR="00176D77" w:rsidRPr="004E355C">
          <w:rPr>
            <w:rStyle w:val="Hyperlink"/>
            <w:rFonts w:asciiTheme="minorHAnsi" w:eastAsiaTheme="majorEastAsia" w:hAnsiTheme="minorHAnsi"/>
            <w:i/>
            <w:noProof/>
            <w:color w:val="4F81BD" w:themeColor="accent1"/>
            <w:sz w:val="16"/>
            <w:szCs w:val="16"/>
            <w:lang w:val="sq-AL"/>
          </w:rPr>
          <w:t>Grafiku 16: Shpenzimet e Pagave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_Toc12448442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3" w:history="1">
        <w:r w:rsidR="00176D77" w:rsidRPr="004E355C">
          <w:rPr>
            <w:rStyle w:val="Hyperlink"/>
            <w:rFonts w:asciiTheme="minorHAnsi" w:eastAsiaTheme="majorEastAsia" w:hAnsiTheme="minorHAnsi"/>
            <w:i/>
            <w:noProof/>
            <w:color w:val="4F81BD" w:themeColor="accent1"/>
            <w:sz w:val="16"/>
            <w:szCs w:val="16"/>
            <w:lang w:val="sq-AL"/>
          </w:rPr>
          <w:t>Grafiku 17: Shpenzimet për Interesa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_Toc12448443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4" w:history="1">
        <w:r w:rsidR="00176D77" w:rsidRPr="004E355C">
          <w:rPr>
            <w:rStyle w:val="Hyperlink"/>
            <w:rFonts w:asciiTheme="minorHAnsi" w:eastAsiaTheme="majorEastAsia" w:hAnsiTheme="minorHAnsi"/>
            <w:i/>
            <w:noProof/>
            <w:color w:val="4F81BD" w:themeColor="accent1"/>
            <w:sz w:val="16"/>
            <w:szCs w:val="16"/>
            <w:lang w:val="sq-AL"/>
          </w:rPr>
          <w:t>Grafiku 18: Shpenzimet Operative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_Toc12448444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5" w:history="1">
        <w:r w:rsidR="00176D77" w:rsidRPr="004E355C">
          <w:rPr>
            <w:rStyle w:val="Hyperlink"/>
            <w:rFonts w:asciiTheme="minorHAnsi" w:eastAsiaTheme="majorEastAsia" w:hAnsiTheme="minorHAnsi"/>
            <w:i/>
            <w:noProof/>
            <w:color w:val="4F81BD" w:themeColor="accent1"/>
            <w:sz w:val="16"/>
            <w:szCs w:val="16"/>
            <w:lang w:val="sq-AL"/>
          </w:rPr>
          <w:t>Grafiku 19: Shpenzimet për Subvencione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_Toc12448445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6" w:history="1">
        <w:r w:rsidR="00176D77" w:rsidRPr="004E355C">
          <w:rPr>
            <w:rStyle w:val="Hyperlink"/>
            <w:rFonts w:asciiTheme="minorHAnsi" w:eastAsiaTheme="majorEastAsia" w:hAnsiTheme="minorHAnsi"/>
            <w:i/>
            <w:noProof/>
            <w:color w:val="4F81BD" w:themeColor="accent1"/>
            <w:sz w:val="16"/>
            <w:szCs w:val="16"/>
            <w:lang w:val="sq-AL"/>
          </w:rPr>
          <w:t>Grafiku 20: Shpenzimet për Sigurime Shoqërore dhe Shëndetësore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_Toc12448446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7" w:history="1">
        <w:r w:rsidR="00176D77" w:rsidRPr="004E355C">
          <w:rPr>
            <w:rStyle w:val="Hyperlink"/>
            <w:rFonts w:asciiTheme="minorHAnsi" w:eastAsiaTheme="majorEastAsia" w:hAnsiTheme="minorHAnsi"/>
            <w:i/>
            <w:noProof/>
            <w:color w:val="4F81BD" w:themeColor="accent1"/>
            <w:sz w:val="16"/>
            <w:szCs w:val="16"/>
            <w:lang w:val="sq-AL"/>
          </w:rPr>
          <w:t>Grafiku 21: Shpenzimet për Ndihmën Ekonomike, PAK dhe Papunësinë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_Toc12448447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8" w:history="1">
        <w:r w:rsidR="00176D77" w:rsidRPr="004E355C">
          <w:rPr>
            <w:rStyle w:val="Hyperlink"/>
            <w:rFonts w:asciiTheme="minorHAnsi" w:eastAsiaTheme="majorEastAsia" w:hAnsiTheme="minorHAnsi"/>
            <w:i/>
            <w:noProof/>
            <w:color w:val="4F81BD" w:themeColor="accent1"/>
            <w:sz w:val="16"/>
            <w:szCs w:val="16"/>
            <w:lang w:val="sq-AL"/>
          </w:rPr>
          <w:t>Grafiku 22: Shpenzimet Kapitale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_Toc12448448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19</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49" w:history="1">
        <w:r w:rsidR="00176D77" w:rsidRPr="004E355C">
          <w:rPr>
            <w:rStyle w:val="Hyperlink"/>
            <w:rFonts w:asciiTheme="minorHAnsi" w:eastAsiaTheme="majorEastAsia" w:hAnsiTheme="minorHAnsi"/>
            <w:i/>
            <w:noProof/>
            <w:color w:val="4F81BD" w:themeColor="accent1"/>
            <w:sz w:val="16"/>
            <w:szCs w:val="16"/>
            <w:lang w:val="sq-AL"/>
          </w:rPr>
          <w:t>Grafiku 23: Shpenzimet Kapitale dhe burimi i financimit të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_Toc12448449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19</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0" w:history="1">
        <w:r w:rsidR="00176D77" w:rsidRPr="004E355C">
          <w:rPr>
            <w:rStyle w:val="Hyperlink"/>
            <w:rFonts w:asciiTheme="minorHAnsi" w:eastAsiaTheme="majorEastAsia" w:hAnsiTheme="minorHAnsi"/>
            <w:i/>
            <w:noProof/>
            <w:color w:val="4F81BD" w:themeColor="accent1"/>
            <w:sz w:val="16"/>
            <w:szCs w:val="16"/>
            <w:lang w:val="sq-AL"/>
          </w:rPr>
          <w:t>Grafiku 24: Detajimi i Shpenzimeve Buxhetore (në milion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_Toc12448450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20</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1" w:history="1">
        <w:r w:rsidR="00176D77" w:rsidRPr="004E355C">
          <w:rPr>
            <w:rStyle w:val="Hyperlink"/>
            <w:rFonts w:asciiTheme="minorHAnsi" w:eastAsiaTheme="majorEastAsia" w:hAnsiTheme="minorHAnsi"/>
            <w:i/>
            <w:noProof/>
            <w:color w:val="4F81BD" w:themeColor="accent1"/>
            <w:sz w:val="16"/>
            <w:szCs w:val="16"/>
            <w:lang w:val="sq-AL"/>
          </w:rPr>
          <w:t>Grafiku 25: Të ardhurat, shpenzimet dhe deficiti/suficiti - Plan vs Fakt 5 Mujori 2019 (në milion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_Toc12448451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20</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2" w:history="1">
        <w:r w:rsidR="00176D77" w:rsidRPr="004E355C">
          <w:rPr>
            <w:rStyle w:val="Hyperlink"/>
            <w:rFonts w:asciiTheme="minorHAnsi" w:eastAsiaTheme="majorEastAsia" w:hAnsiTheme="minorHAnsi"/>
            <w:i/>
            <w:noProof/>
            <w:color w:val="4F81BD" w:themeColor="accent1"/>
            <w:sz w:val="16"/>
            <w:szCs w:val="16"/>
            <w:lang w:val="sq-AL"/>
          </w:rPr>
          <w:t>Grafiku 26: Shpenzimet e Pushtetit Vendor dhe ritmi i rritjes së tyre (në miliardë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_Toc12448452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3" w:history="1">
        <w:r w:rsidR="00176D77" w:rsidRPr="004E355C">
          <w:rPr>
            <w:rStyle w:val="Hyperlink"/>
            <w:rFonts w:asciiTheme="minorHAnsi" w:eastAsiaTheme="majorEastAsia" w:hAnsiTheme="minorHAnsi"/>
            <w:i/>
            <w:noProof/>
            <w:color w:val="4F81BD" w:themeColor="accent1"/>
            <w:sz w:val="16"/>
            <w:szCs w:val="16"/>
            <w:lang w:val="sq-AL"/>
          </w:rPr>
          <w:t>Grafiku 27: Shpenzimet e Pushtetit Vendor sipas strukturës (në milionë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_Toc12448453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4" w:history="1">
        <w:r w:rsidR="00176D77" w:rsidRPr="004E355C">
          <w:rPr>
            <w:rStyle w:val="Hyperlink"/>
            <w:rFonts w:asciiTheme="minorHAnsi" w:eastAsiaTheme="majorEastAsia" w:hAnsiTheme="minorHAnsi"/>
            <w:i/>
            <w:noProof/>
            <w:color w:val="4F81BD" w:themeColor="accent1"/>
            <w:sz w:val="16"/>
            <w:szCs w:val="16"/>
            <w:lang w:val="sq-AL"/>
          </w:rPr>
          <w:t>Grafiku 28: Të ardhurat sipas burimit për njësitë vendore (në milionë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_Toc12448454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22</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5" w:history="1">
        <w:r w:rsidR="00176D77" w:rsidRPr="004E355C">
          <w:rPr>
            <w:rStyle w:val="Hyperlink"/>
            <w:rFonts w:asciiTheme="minorHAnsi" w:eastAsiaTheme="majorEastAsia" w:hAnsiTheme="minorHAnsi"/>
            <w:i/>
            <w:noProof/>
            <w:color w:val="4F81BD" w:themeColor="accent1"/>
            <w:sz w:val="16"/>
            <w:szCs w:val="16"/>
            <w:lang w:val="sq-AL"/>
          </w:rPr>
          <w:t>Grafiku 29: Të ardhurat e përgjithshme të pushtetit e pushtetit vendor (në miliard LEK)</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_Toc12448455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23</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6" w:history="1">
        <w:r w:rsidR="00176D77" w:rsidRPr="004E355C">
          <w:rPr>
            <w:rStyle w:val="Hyperlink"/>
            <w:rFonts w:asciiTheme="minorHAnsi" w:eastAsiaTheme="majorEastAsia" w:hAnsiTheme="minorHAnsi"/>
            <w:i/>
            <w:noProof/>
            <w:color w:val="4F81BD" w:themeColor="accent1"/>
            <w:sz w:val="16"/>
            <w:szCs w:val="16"/>
            <w:lang w:val="sq-AL"/>
          </w:rPr>
          <w:t>Grafiku 30:  Borxhi publik në vlerë absolute dhe relative ndaj PBB (2014 – 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_Toc12448456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7" w:history="1">
        <w:r w:rsidR="00176D77" w:rsidRPr="004E355C">
          <w:rPr>
            <w:rStyle w:val="Hyperlink"/>
            <w:rFonts w:asciiTheme="minorHAnsi" w:eastAsiaTheme="majorEastAsia" w:hAnsiTheme="minorHAnsi"/>
            <w:i/>
            <w:noProof/>
            <w:color w:val="4F81BD" w:themeColor="accent1"/>
            <w:sz w:val="16"/>
            <w:szCs w:val="16"/>
            <w:lang w:val="sq-AL"/>
          </w:rPr>
          <w:t>Grafiku 31: Përbërja e borxhit të Qeverisjes Qendrore në raport me totalin (2014 – 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_Toc12448457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8" w:history="1">
        <w:r w:rsidR="00176D77" w:rsidRPr="004E355C">
          <w:rPr>
            <w:rStyle w:val="Hyperlink"/>
            <w:rFonts w:asciiTheme="minorHAnsi" w:eastAsiaTheme="majorEastAsia" w:hAnsiTheme="minorHAnsi"/>
            <w:i/>
            <w:noProof/>
            <w:color w:val="4F81BD" w:themeColor="accent1"/>
            <w:sz w:val="16"/>
            <w:szCs w:val="16"/>
            <w:lang w:val="sq-AL"/>
          </w:rPr>
          <w:t>Grafiku 32: Kompozimi i Borxhit të Brendshëm Shtetëror (2015-Maj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_Toc12448458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59" w:history="1">
        <w:r w:rsidR="00176D77" w:rsidRPr="004E355C">
          <w:rPr>
            <w:rStyle w:val="Hyperlink"/>
            <w:rFonts w:asciiTheme="minorHAnsi" w:eastAsiaTheme="majorEastAsia" w:hAnsiTheme="minorHAnsi"/>
            <w:i/>
            <w:noProof/>
            <w:color w:val="4F81BD" w:themeColor="accent1"/>
            <w:sz w:val="16"/>
            <w:szCs w:val="16"/>
            <w:lang w:val="sq-AL"/>
          </w:rPr>
          <w:t>Grafiku 33: Kompozimi i borxhit të jashtëm shtetëror sipas sipas interesit dhe instrumenteve (2015-Maj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_Toc12448459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0" w:history="1">
        <w:r w:rsidR="00176D77" w:rsidRPr="004E355C">
          <w:rPr>
            <w:rStyle w:val="Hyperlink"/>
            <w:rFonts w:asciiTheme="minorHAnsi" w:eastAsiaTheme="majorEastAsia" w:hAnsiTheme="minorHAnsi"/>
            <w:i/>
            <w:noProof/>
            <w:color w:val="4F81BD" w:themeColor="accent1"/>
            <w:sz w:val="16"/>
            <w:szCs w:val="16"/>
            <w:lang w:val="sq-AL"/>
          </w:rPr>
          <w:t>Grafiku 34: Huamarrja e brendshme në raport me të ardhurat tatimore</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_Toc12448460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1" w:history="1">
        <w:r w:rsidR="00176D77" w:rsidRPr="004E355C">
          <w:rPr>
            <w:rStyle w:val="Hyperlink"/>
            <w:rFonts w:asciiTheme="minorHAnsi" w:eastAsiaTheme="majorEastAsia" w:hAnsiTheme="minorHAnsi"/>
            <w:i/>
            <w:noProof/>
            <w:color w:val="4F81BD" w:themeColor="accent1"/>
            <w:sz w:val="16"/>
            <w:szCs w:val="16"/>
            <w:lang w:val="sq-AL"/>
          </w:rPr>
          <w:t>Grafiku 35: Interesat e Borxhit Shtetëror në vlerë absolute dhe relative ndaj PBB</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_Toc12448461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29</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2" w:history="1">
        <w:r w:rsidR="00176D77" w:rsidRPr="004E355C">
          <w:rPr>
            <w:rStyle w:val="Hyperlink"/>
            <w:rFonts w:asciiTheme="minorHAnsi" w:eastAsiaTheme="majorEastAsia" w:hAnsiTheme="minorHAnsi"/>
            <w:i/>
            <w:noProof/>
            <w:color w:val="4F81BD" w:themeColor="accent1"/>
            <w:sz w:val="16"/>
            <w:szCs w:val="16"/>
            <w:lang w:val="sq-AL"/>
          </w:rPr>
          <w:t>Grafiku 36: Jetëgjatësia dhe kosto mesatare e portofolit të borxhit të brendshëm shtetëror (2015-Maj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_Toc12448462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29</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3" w:history="1">
        <w:r w:rsidR="00176D77" w:rsidRPr="004E355C">
          <w:rPr>
            <w:rStyle w:val="Hyperlink"/>
            <w:rFonts w:asciiTheme="minorHAnsi" w:eastAsiaTheme="majorEastAsia" w:hAnsiTheme="minorHAnsi"/>
            <w:i/>
            <w:noProof/>
            <w:color w:val="4F81BD" w:themeColor="accent1"/>
            <w:sz w:val="16"/>
            <w:szCs w:val="16"/>
            <w:lang w:val="sq-AL"/>
          </w:rPr>
          <w:t>Grafiku 37: Raporti i mbulimit të ankandeve të titujve shtetërorë (Janar – 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_Toc12448463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30</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4" w:history="1">
        <w:r w:rsidR="00176D77" w:rsidRPr="004E355C">
          <w:rPr>
            <w:rStyle w:val="Hyperlink"/>
            <w:rFonts w:asciiTheme="minorHAnsi" w:eastAsiaTheme="majorEastAsia" w:hAnsiTheme="minorHAnsi"/>
            <w:i/>
            <w:noProof/>
            <w:color w:val="4F81BD" w:themeColor="accent1"/>
            <w:sz w:val="16"/>
            <w:szCs w:val="16"/>
            <w:lang w:val="sq-AL"/>
          </w:rPr>
          <w:t>Grafiku 38: Mbajtësit e borxhit në tregun e brendshëm (2015-Maj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_Toc12448464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5" w:history="1">
        <w:r w:rsidR="00176D77" w:rsidRPr="004E355C">
          <w:rPr>
            <w:rStyle w:val="Hyperlink"/>
            <w:rFonts w:asciiTheme="minorHAnsi" w:eastAsiaTheme="majorEastAsia" w:hAnsiTheme="minorHAnsi"/>
            <w:i/>
            <w:noProof/>
            <w:color w:val="4F81BD" w:themeColor="accent1"/>
            <w:sz w:val="16"/>
            <w:szCs w:val="16"/>
            <w:lang w:val="sq-AL"/>
          </w:rPr>
          <w:t>Grafiku 39: Kurba e yield-it mesatar të ponderuar të titujve shtetërorë (2017-Maj 2019)</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_Toc12448465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31</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6" w:history="1">
        <w:r w:rsidR="00176D77" w:rsidRPr="004E355C">
          <w:rPr>
            <w:rStyle w:val="Hyperlink"/>
            <w:rFonts w:asciiTheme="minorHAnsi" w:eastAsiaTheme="majorEastAsia" w:hAnsiTheme="minorHAnsi"/>
            <w:i/>
            <w:noProof/>
            <w:color w:val="4F81BD" w:themeColor="accent1"/>
            <w:sz w:val="16"/>
            <w:szCs w:val="16"/>
            <w:lang w:val="sq-AL"/>
          </w:rPr>
          <w:t>Grafiku 40: Stoku i detyrimeve të prapambetura qendrore 2018 - Mars 2019 (në milion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_Toc12448466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7" w:history="1">
        <w:r w:rsidR="00176D77" w:rsidRPr="004E355C">
          <w:rPr>
            <w:rStyle w:val="Hyperlink"/>
            <w:rFonts w:asciiTheme="minorHAnsi" w:eastAsiaTheme="majorEastAsia" w:hAnsiTheme="minorHAnsi"/>
            <w:i/>
            <w:noProof/>
            <w:color w:val="4F81BD" w:themeColor="accent1"/>
            <w:sz w:val="16"/>
            <w:szCs w:val="16"/>
            <w:lang w:val="sq-AL"/>
          </w:rPr>
          <w:t>Grafiku 41: Ecuria e detyrimeve të prapambetura për vendime gjyqësore (në milionë lekë)</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_Toc12448467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38</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8" w:history="1">
        <w:r w:rsidR="00176D77" w:rsidRPr="004E355C">
          <w:rPr>
            <w:rStyle w:val="Hyperlink"/>
            <w:rFonts w:asciiTheme="minorHAnsi" w:eastAsiaTheme="majorEastAsia" w:hAnsiTheme="minorHAnsi"/>
            <w:i/>
            <w:noProof/>
            <w:color w:val="4F81BD" w:themeColor="accent1"/>
            <w:sz w:val="16"/>
            <w:szCs w:val="16"/>
            <w:lang w:val="sq-AL"/>
          </w:rPr>
          <w:t>Grafiku 42: Rritja mujore e totalit të eksporteve, në përqindje</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_Toc12448468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44</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69" w:history="1">
        <w:r w:rsidR="00176D77" w:rsidRPr="004E355C">
          <w:rPr>
            <w:rStyle w:val="Hyperlink"/>
            <w:rFonts w:asciiTheme="minorHAnsi" w:eastAsiaTheme="majorEastAsia" w:hAnsiTheme="minorHAnsi"/>
            <w:i/>
            <w:noProof/>
            <w:color w:val="4F81BD" w:themeColor="accent1"/>
            <w:sz w:val="16"/>
            <w:szCs w:val="16"/>
            <w:lang w:val="sq-AL"/>
          </w:rPr>
          <w:t>Grafiku 43: Rritja mujore e totalit të importeve, në përqindje</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_Toc12448469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45</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Style w:val="Hyperlink"/>
          <w:rFonts w:eastAsiaTheme="majorEastAsia"/>
          <w:i/>
          <w:noProof/>
          <w:color w:val="4F81BD" w:themeColor="accent1"/>
          <w:sz w:val="16"/>
          <w:szCs w:val="16"/>
          <w:lang w:val="sq-AL"/>
        </w:rPr>
      </w:pPr>
      <w:hyperlink w:anchor="_Toc12448470" w:history="1">
        <w:r w:rsidR="00176D77" w:rsidRPr="004E355C">
          <w:rPr>
            <w:rStyle w:val="Hyperlink"/>
            <w:rFonts w:asciiTheme="minorHAnsi" w:eastAsiaTheme="majorEastAsia" w:hAnsiTheme="minorHAnsi"/>
            <w:i/>
            <w:noProof/>
            <w:color w:val="4F81BD" w:themeColor="accent1"/>
            <w:sz w:val="16"/>
            <w:szCs w:val="16"/>
            <w:lang w:val="sq-AL"/>
          </w:rPr>
          <w:t>Grafiku 44: Ndryshimi vjetor i Inflacionit 2016-2019, në përqindje</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_Toc12448470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46</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176D77" w:rsidRPr="004E355C" w:rsidRDefault="00D502DE">
      <w:pPr>
        <w:pStyle w:val="TableofFigures"/>
        <w:tabs>
          <w:tab w:val="right" w:leader="dot" w:pos="9623"/>
        </w:tabs>
        <w:rPr>
          <w:rFonts w:asciiTheme="minorHAnsi" w:eastAsiaTheme="minorEastAsia" w:hAnsiTheme="minorHAnsi" w:cstheme="minorBidi"/>
          <w:noProof/>
          <w:sz w:val="20"/>
          <w:szCs w:val="22"/>
        </w:rPr>
      </w:pPr>
      <w:hyperlink w:anchor="_Toc12448471" w:history="1">
        <w:r w:rsidR="00176D77" w:rsidRPr="004E355C">
          <w:rPr>
            <w:rStyle w:val="Hyperlink"/>
            <w:rFonts w:asciiTheme="minorHAnsi" w:eastAsiaTheme="majorEastAsia" w:hAnsiTheme="minorHAnsi"/>
            <w:i/>
            <w:noProof/>
            <w:color w:val="4F81BD" w:themeColor="accent1"/>
            <w:sz w:val="16"/>
            <w:szCs w:val="16"/>
            <w:lang w:val="sq-AL"/>
          </w:rPr>
          <w:t>Grafiku 45: Ecuria e stokut të depozitave 2018-2019, në përqindje</w:t>
        </w:r>
        <w:r w:rsidR="00176D77" w:rsidRPr="004E355C">
          <w:rPr>
            <w:rStyle w:val="Hyperlink"/>
            <w:rFonts w:asciiTheme="minorHAnsi" w:eastAsiaTheme="majorEastAsia" w:hAnsiTheme="minorHAnsi"/>
            <w:i/>
            <w:noProof/>
            <w:webHidden/>
            <w:color w:val="4F81BD" w:themeColor="accent1"/>
            <w:sz w:val="16"/>
            <w:szCs w:val="16"/>
            <w:lang w:val="sq-AL"/>
          </w:rPr>
          <w:tab/>
        </w:r>
        <w:r w:rsidR="00176D77" w:rsidRPr="004E355C">
          <w:rPr>
            <w:rStyle w:val="Hyperlink"/>
            <w:rFonts w:asciiTheme="minorHAnsi" w:eastAsiaTheme="majorEastAsia" w:hAnsiTheme="minorHAnsi"/>
            <w:i/>
            <w:noProof/>
            <w:webHidden/>
            <w:color w:val="4F81BD" w:themeColor="accent1"/>
            <w:sz w:val="16"/>
            <w:szCs w:val="16"/>
            <w:lang w:val="sq-AL"/>
          </w:rPr>
          <w:fldChar w:fldCharType="begin"/>
        </w:r>
        <w:r w:rsidR="00176D77" w:rsidRPr="004E355C">
          <w:rPr>
            <w:rStyle w:val="Hyperlink"/>
            <w:rFonts w:asciiTheme="minorHAnsi" w:eastAsiaTheme="majorEastAsia" w:hAnsiTheme="minorHAnsi"/>
            <w:i/>
            <w:noProof/>
            <w:webHidden/>
            <w:color w:val="4F81BD" w:themeColor="accent1"/>
            <w:sz w:val="16"/>
            <w:szCs w:val="16"/>
            <w:lang w:val="sq-AL"/>
          </w:rPr>
          <w:instrText xml:space="preserve"> PAGEREF _Toc12448471 \h </w:instrText>
        </w:r>
        <w:r w:rsidR="00176D77" w:rsidRPr="004E355C">
          <w:rPr>
            <w:rStyle w:val="Hyperlink"/>
            <w:rFonts w:asciiTheme="minorHAnsi" w:eastAsiaTheme="majorEastAsia" w:hAnsiTheme="minorHAnsi"/>
            <w:i/>
            <w:noProof/>
            <w:webHidden/>
            <w:color w:val="4F81BD" w:themeColor="accent1"/>
            <w:sz w:val="16"/>
            <w:szCs w:val="16"/>
            <w:lang w:val="sq-AL"/>
          </w:rPr>
        </w:r>
        <w:r w:rsidR="00176D77" w:rsidRPr="004E355C">
          <w:rPr>
            <w:rStyle w:val="Hyperlink"/>
            <w:rFonts w:asciiTheme="minorHAnsi" w:eastAsiaTheme="majorEastAsia" w:hAnsiTheme="minorHAnsi"/>
            <w:i/>
            <w:noProof/>
            <w:webHidden/>
            <w:color w:val="4F81BD" w:themeColor="accent1"/>
            <w:sz w:val="16"/>
            <w:szCs w:val="16"/>
            <w:lang w:val="sq-AL"/>
          </w:rPr>
          <w:fldChar w:fldCharType="separate"/>
        </w:r>
        <w:r w:rsidR="00C83C78">
          <w:rPr>
            <w:rStyle w:val="Hyperlink"/>
            <w:rFonts w:asciiTheme="minorHAnsi" w:eastAsiaTheme="majorEastAsia" w:hAnsiTheme="minorHAnsi"/>
            <w:i/>
            <w:noProof/>
            <w:webHidden/>
            <w:color w:val="4F81BD" w:themeColor="accent1"/>
            <w:sz w:val="16"/>
            <w:szCs w:val="16"/>
            <w:lang w:val="sq-AL"/>
          </w:rPr>
          <w:t>47</w:t>
        </w:r>
        <w:r w:rsidR="00176D77" w:rsidRPr="004E355C">
          <w:rPr>
            <w:rStyle w:val="Hyperlink"/>
            <w:rFonts w:asciiTheme="minorHAnsi" w:eastAsiaTheme="majorEastAsia" w:hAnsiTheme="minorHAnsi"/>
            <w:i/>
            <w:noProof/>
            <w:webHidden/>
            <w:color w:val="4F81BD" w:themeColor="accent1"/>
            <w:sz w:val="16"/>
            <w:szCs w:val="16"/>
            <w:lang w:val="sq-AL"/>
          </w:rPr>
          <w:fldChar w:fldCharType="end"/>
        </w:r>
      </w:hyperlink>
    </w:p>
    <w:p w:rsidR="007A09E2" w:rsidRPr="004E355C" w:rsidRDefault="005D4A49" w:rsidP="00FC6A7C">
      <w:pPr>
        <w:pStyle w:val="TableofFigures"/>
        <w:tabs>
          <w:tab w:val="right" w:leader="dot" w:pos="9620"/>
        </w:tabs>
        <w:ind w:left="90"/>
        <w:rPr>
          <w:rFonts w:asciiTheme="minorHAnsi" w:hAnsiTheme="minorHAnsi" w:cstheme="minorHAnsi"/>
          <w:i/>
          <w:color w:val="365F91" w:themeColor="accent1" w:themeShade="BF"/>
          <w:sz w:val="16"/>
          <w:szCs w:val="16"/>
          <w:lang w:val="sq-AL"/>
        </w:rPr>
        <w:sectPr w:rsidR="007A09E2" w:rsidRPr="004E355C" w:rsidSect="007A09E2">
          <w:headerReference w:type="first" r:id="rId11"/>
          <w:pgSz w:w="11907" w:h="16839" w:code="9"/>
          <w:pgMar w:top="851" w:right="1106" w:bottom="737" w:left="1168" w:header="720" w:footer="720" w:gutter="0"/>
          <w:cols w:space="720"/>
          <w:titlePg/>
          <w:docGrid w:linePitch="360"/>
        </w:sectPr>
      </w:pPr>
      <w:r w:rsidRPr="004E355C">
        <w:rPr>
          <w:rFonts w:asciiTheme="minorHAnsi" w:hAnsiTheme="minorHAnsi" w:cstheme="minorHAnsi"/>
          <w:i/>
          <w:color w:val="4F81BD" w:themeColor="accent1"/>
          <w:sz w:val="14"/>
          <w:szCs w:val="16"/>
          <w:lang w:val="sq-AL"/>
        </w:rPr>
        <w:fldChar w:fldCharType="end"/>
      </w:r>
    </w:p>
    <w:p w:rsidR="00685257" w:rsidRPr="004E355C" w:rsidRDefault="00685257" w:rsidP="00B95810">
      <w:pPr>
        <w:pStyle w:val="Heading1"/>
        <w:numPr>
          <w:ilvl w:val="0"/>
          <w:numId w:val="1"/>
        </w:numPr>
        <w:spacing w:before="0"/>
        <w:ind w:left="720"/>
        <w:rPr>
          <w:sz w:val="32"/>
          <w:u w:val="none"/>
        </w:rPr>
      </w:pPr>
      <w:bookmarkStart w:id="2" w:name="_Toc12527215"/>
      <w:r w:rsidRPr="004E355C">
        <w:rPr>
          <w:sz w:val="32"/>
          <w:u w:val="none"/>
        </w:rPr>
        <w:lastRenderedPageBreak/>
        <w:t>ZHVILLIMET NË EKONOMINË SHQIPTARE</w:t>
      </w:r>
      <w:bookmarkEnd w:id="2"/>
    </w:p>
    <w:p w:rsidR="000F540A" w:rsidRPr="004E355C" w:rsidRDefault="009216BE" w:rsidP="00F62F99">
      <w:pPr>
        <w:pStyle w:val="Heading2"/>
        <w:rPr>
          <w:rFonts w:asciiTheme="minorHAnsi" w:hAnsiTheme="minorHAnsi"/>
          <w:noProof/>
          <w:color w:val="4F81BD" w:themeColor="accent1"/>
          <w:sz w:val="28"/>
          <w:szCs w:val="24"/>
          <w:lang w:val="sq-AL"/>
        </w:rPr>
      </w:pPr>
      <w:bookmarkStart w:id="3" w:name="_Toc12527216"/>
      <w:r w:rsidRPr="004E355C">
        <w:rPr>
          <w:rFonts w:asciiTheme="minorHAnsi" w:hAnsiTheme="minorHAnsi"/>
          <w:noProof/>
          <w:color w:val="4F81BD" w:themeColor="accent1"/>
          <w:sz w:val="28"/>
          <w:szCs w:val="24"/>
          <w:lang w:val="sq-AL"/>
        </w:rPr>
        <w:t>I.1</w:t>
      </w:r>
      <w:r w:rsidRPr="004E355C">
        <w:rPr>
          <w:rFonts w:asciiTheme="minorHAnsi" w:hAnsiTheme="minorHAnsi"/>
          <w:noProof/>
          <w:color w:val="4F81BD" w:themeColor="accent1"/>
          <w:sz w:val="28"/>
          <w:szCs w:val="24"/>
          <w:lang w:val="sq-AL"/>
        </w:rPr>
        <w:tab/>
      </w:r>
      <w:r w:rsidR="0094558D" w:rsidRPr="004E355C">
        <w:rPr>
          <w:rFonts w:asciiTheme="minorHAnsi" w:hAnsiTheme="minorHAnsi"/>
          <w:noProof/>
          <w:color w:val="4F81BD" w:themeColor="accent1"/>
          <w:sz w:val="28"/>
          <w:szCs w:val="24"/>
          <w:lang w:val="sq-AL"/>
        </w:rPr>
        <w:t>Ecuria e treguesve makroekonomikë</w:t>
      </w:r>
      <w:r w:rsidR="00DD1580" w:rsidRPr="004E355C">
        <w:rPr>
          <w:rFonts w:asciiTheme="minorHAnsi" w:hAnsiTheme="minorHAnsi"/>
          <w:noProof/>
          <w:color w:val="4F81BD" w:themeColor="accent1"/>
          <w:sz w:val="28"/>
          <w:szCs w:val="24"/>
          <w:lang w:val="sq-AL"/>
        </w:rPr>
        <w:t xml:space="preserve"> p</w:t>
      </w:r>
      <w:r w:rsidR="00AA2D73" w:rsidRPr="004E355C">
        <w:rPr>
          <w:rFonts w:asciiTheme="minorHAnsi" w:hAnsiTheme="minorHAnsi"/>
          <w:noProof/>
          <w:color w:val="4F81BD" w:themeColor="accent1"/>
          <w:sz w:val="28"/>
          <w:szCs w:val="24"/>
          <w:lang w:val="sq-AL"/>
        </w:rPr>
        <w:t>ë</w:t>
      </w:r>
      <w:r w:rsidR="00DD1580" w:rsidRPr="004E355C">
        <w:rPr>
          <w:rFonts w:asciiTheme="minorHAnsi" w:hAnsiTheme="minorHAnsi"/>
          <w:noProof/>
          <w:color w:val="4F81BD" w:themeColor="accent1"/>
          <w:sz w:val="28"/>
          <w:szCs w:val="24"/>
          <w:lang w:val="sq-AL"/>
        </w:rPr>
        <w:t>r periudh</w:t>
      </w:r>
      <w:r w:rsidR="00AA2D73" w:rsidRPr="004E355C">
        <w:rPr>
          <w:rFonts w:asciiTheme="minorHAnsi" w:hAnsiTheme="minorHAnsi"/>
          <w:noProof/>
          <w:color w:val="4F81BD" w:themeColor="accent1"/>
          <w:sz w:val="28"/>
          <w:szCs w:val="24"/>
          <w:lang w:val="sq-AL"/>
        </w:rPr>
        <w:t>ë</w:t>
      </w:r>
      <w:r w:rsidR="00DD1580" w:rsidRPr="004E355C">
        <w:rPr>
          <w:rFonts w:asciiTheme="minorHAnsi" w:hAnsiTheme="minorHAnsi"/>
          <w:noProof/>
          <w:color w:val="4F81BD" w:themeColor="accent1"/>
          <w:sz w:val="28"/>
          <w:szCs w:val="24"/>
          <w:lang w:val="sq-AL"/>
        </w:rPr>
        <w:t>n janar-</w:t>
      </w:r>
      <w:r w:rsidR="00D90476" w:rsidRPr="004E355C">
        <w:rPr>
          <w:rFonts w:asciiTheme="minorHAnsi" w:hAnsiTheme="minorHAnsi"/>
          <w:noProof/>
          <w:color w:val="4F81BD" w:themeColor="accent1"/>
          <w:sz w:val="28"/>
          <w:szCs w:val="24"/>
          <w:lang w:val="sq-AL"/>
        </w:rPr>
        <w:t>maj</w:t>
      </w:r>
      <w:r w:rsidR="00971C15" w:rsidRPr="004E355C">
        <w:rPr>
          <w:rStyle w:val="FootnoteReference"/>
          <w:rFonts w:asciiTheme="minorHAnsi" w:hAnsiTheme="minorHAnsi"/>
          <w:noProof/>
          <w:color w:val="4F81BD" w:themeColor="accent1"/>
          <w:sz w:val="28"/>
          <w:szCs w:val="24"/>
          <w:lang w:val="sq-AL"/>
        </w:rPr>
        <w:footnoteReference w:id="1"/>
      </w:r>
      <w:r w:rsidR="00DD1580" w:rsidRPr="004E355C">
        <w:rPr>
          <w:rFonts w:asciiTheme="minorHAnsi" w:hAnsiTheme="minorHAnsi"/>
          <w:noProof/>
          <w:color w:val="4F81BD" w:themeColor="accent1"/>
          <w:sz w:val="28"/>
          <w:szCs w:val="24"/>
          <w:lang w:val="sq-AL"/>
        </w:rPr>
        <w:t xml:space="preserve"> 201</w:t>
      </w:r>
      <w:r w:rsidR="00D90476" w:rsidRPr="004E355C">
        <w:rPr>
          <w:rFonts w:asciiTheme="minorHAnsi" w:hAnsiTheme="minorHAnsi"/>
          <w:noProof/>
          <w:color w:val="4F81BD" w:themeColor="accent1"/>
          <w:sz w:val="28"/>
          <w:szCs w:val="24"/>
          <w:lang w:val="sq-AL"/>
        </w:rPr>
        <w:t>9</w:t>
      </w:r>
      <w:bookmarkEnd w:id="3"/>
      <w:r w:rsidR="00685257" w:rsidRPr="004E355C">
        <w:rPr>
          <w:rFonts w:asciiTheme="minorHAnsi" w:hAnsiTheme="minorHAnsi"/>
          <w:noProof/>
          <w:color w:val="4F81BD" w:themeColor="accent1"/>
          <w:sz w:val="28"/>
          <w:szCs w:val="24"/>
          <w:lang w:val="sq-AL"/>
        </w:rPr>
        <w:t xml:space="preserve"> </w:t>
      </w:r>
    </w:p>
    <w:p w:rsidR="00D90476" w:rsidRPr="004E355C" w:rsidRDefault="00D90476" w:rsidP="00F62F99">
      <w:pPr>
        <w:spacing w:after="120" w:line="276" w:lineRule="auto"/>
        <w:jc w:val="both"/>
        <w:rPr>
          <w:rFonts w:ascii="Calibri" w:hAnsi="Calibri"/>
          <w:noProof/>
          <w:lang w:val="sq-AL"/>
        </w:rPr>
      </w:pPr>
      <w:r w:rsidRPr="004E355C">
        <w:rPr>
          <w:rFonts w:ascii="Calibri" w:hAnsi="Calibri"/>
          <w:noProof/>
          <w:lang w:val="sq-AL"/>
        </w:rPr>
        <w:t xml:space="preserve">Ekonomia ka vijuar të performojë përgjithësisht në linjë me parashikimet makroekonomike fillestare mbi të cilat është bazuar buxheti i vitit aktual 2019. Viti 2018 tregoi ritme pozitive dhe përshpejtuese të rritjes ekonomike ku rritja vjetore e PBB-së arriti në 4.1% (rritja më e lartë vjetore që nga viti 2008). </w:t>
      </w:r>
      <w:r w:rsidR="009931DE" w:rsidRPr="004E355C">
        <w:rPr>
          <w:rFonts w:ascii="Calibri" w:hAnsi="Calibri"/>
          <w:noProof/>
          <w:lang w:val="sq-AL"/>
        </w:rPr>
        <w:t xml:space="preserve">Treguesit indirekt të disponueshëm sinjalizojnë që </w:t>
      </w:r>
      <w:r w:rsidR="009931DE">
        <w:rPr>
          <w:rFonts w:ascii="Calibri" w:hAnsi="Calibri"/>
          <w:noProof/>
          <w:lang w:val="sq-AL"/>
        </w:rPr>
        <w:t xml:space="preserve">gjatë pjesës së parë të vitit, vecënërisht gjatë tremujorit të parë, të ketë patur një ngadalësim të ritmit të rritjes. Ky ngadalësim vlerësohet të ketë qenë kryesisht rrjedhojë e disa faktorëve të përkohshëm (p.sh. efekti i bazës i prodhimit të energjisë elektrike, etj) efekte të cilat pritet të shuhen gjatë pjesës së dytë të vitit. Rrjedhimisht pritet që për të gjithë vitin 2019 në tërësi ekonomia të arrijë të performojë  </w:t>
      </w:r>
      <w:r w:rsidR="009931DE" w:rsidRPr="004E355C">
        <w:rPr>
          <w:rFonts w:ascii="Calibri" w:hAnsi="Calibri"/>
          <w:noProof/>
          <w:lang w:val="sq-AL"/>
        </w:rPr>
        <w:t>në linjë me parashikimin aktual të rritjes ekonomike për 2019</w:t>
      </w:r>
      <w:r w:rsidR="009931DE">
        <w:rPr>
          <w:rFonts w:ascii="Calibri" w:hAnsi="Calibri"/>
          <w:noProof/>
          <w:lang w:val="sq-AL"/>
        </w:rPr>
        <w:t xml:space="preserve"> pra rreth nivelit prej</w:t>
      </w:r>
      <w:r w:rsidR="009931DE" w:rsidRPr="004E355C">
        <w:rPr>
          <w:rFonts w:ascii="Calibri" w:hAnsi="Calibri"/>
          <w:noProof/>
          <w:lang w:val="sq-AL"/>
        </w:rPr>
        <w:t xml:space="preserve"> 4%</w:t>
      </w:r>
      <w:r w:rsidRPr="004E355C">
        <w:rPr>
          <w:rFonts w:ascii="Calibri" w:hAnsi="Calibri"/>
          <w:noProof/>
          <w:lang w:val="sq-AL"/>
        </w:rPr>
        <w:t>.</w:t>
      </w:r>
    </w:p>
    <w:p w:rsidR="00D90476" w:rsidRPr="004E355C" w:rsidRDefault="003E5AE7" w:rsidP="00D90476">
      <w:pPr>
        <w:spacing w:before="120" w:after="120" w:line="276" w:lineRule="auto"/>
        <w:jc w:val="both"/>
        <w:rPr>
          <w:rFonts w:ascii="Calibri" w:hAnsi="Calibri"/>
          <w:noProof/>
          <w:lang w:val="sq-AL"/>
        </w:rPr>
      </w:pPr>
      <w:r w:rsidRPr="004E355C">
        <w:rPr>
          <w:rFonts w:ascii="Calibri" w:hAnsi="Calibri"/>
          <w:i/>
          <w:noProof/>
          <w:lang w:val="sq-AL"/>
        </w:rPr>
        <w:t>Tendencat e punësimit dhe papunësisë</w:t>
      </w:r>
      <w:r w:rsidRPr="004E355C">
        <w:rPr>
          <w:rFonts w:ascii="Calibri" w:hAnsi="Calibri"/>
          <w:noProof/>
          <w:lang w:val="sq-AL"/>
        </w:rPr>
        <w:t xml:space="preserve">, flasin për një trend të qartë pozitiv </w:t>
      </w:r>
      <w:r>
        <w:rPr>
          <w:rFonts w:ascii="Calibri" w:hAnsi="Calibri"/>
          <w:noProof/>
          <w:lang w:val="sq-AL"/>
        </w:rPr>
        <w:t>në tregun e punës</w:t>
      </w:r>
      <w:r w:rsidR="00D90476" w:rsidRPr="004E355C">
        <w:rPr>
          <w:rFonts w:ascii="Calibri" w:hAnsi="Calibri"/>
          <w:noProof/>
          <w:lang w:val="sq-AL"/>
        </w:rPr>
        <w:t xml:space="preserve">. Pёr tremujorin e parё tё 2019, shkalla zyrtare e papunёsisё pёr grup-moshёn 15 vjeç e lart ra nё vlerёn 12.1% duke qenё mё e ulta nё nё tё paktёn dymbёdhjetё vitet e fundit. </w:t>
      </w:r>
      <w:r w:rsidR="00D90476" w:rsidRPr="004E355C">
        <w:rPr>
          <w:rFonts w:ascii="Calibri" w:hAnsi="Calibri"/>
          <w:i/>
          <w:noProof/>
          <w:lang w:val="sq-AL"/>
        </w:rPr>
        <w:t>Numri i tё punёsuarve</w:t>
      </w:r>
      <w:r w:rsidR="00D90476" w:rsidRPr="004E355C">
        <w:rPr>
          <w:rFonts w:ascii="Calibri" w:hAnsi="Calibri"/>
          <w:noProof/>
          <w:lang w:val="sq-AL"/>
        </w:rPr>
        <w:t xml:space="preserve"> pёr tremujorin e parё 2019 u rrit me 1.5% nё terma vjetor pёr grup-moshёn 15-64 vjeç. Trendin rritёs e ka vijuar edhe shkalla e punёsimit duke arritur vlerёn 60.3% pёr grupmoshёn 15-64 vjeç, duke shёnuar vlerёn mё tё lartё pёr tё paktёn dymbёdhjetё vitet e fundit. </w:t>
      </w:r>
    </w:p>
    <w:p w:rsidR="00D90476" w:rsidRPr="004E355C" w:rsidRDefault="00D90476" w:rsidP="00D90476">
      <w:pPr>
        <w:spacing w:before="120" w:after="120" w:line="276" w:lineRule="auto"/>
        <w:jc w:val="both"/>
        <w:rPr>
          <w:rFonts w:ascii="Calibri" w:hAnsi="Calibri"/>
          <w:noProof/>
          <w:lang w:val="sq-AL"/>
        </w:rPr>
      </w:pPr>
      <w:r w:rsidRPr="004E355C">
        <w:rPr>
          <w:rFonts w:ascii="Calibri" w:hAnsi="Calibri"/>
          <w:noProof/>
          <w:lang w:val="sq-AL"/>
        </w:rPr>
        <w:t xml:space="preserve">Një tjetër tregues i rendësishëm që jep sinjale mbi rritjen ekonomike të tremujorit tё parё tё 2019, </w:t>
      </w:r>
      <w:r w:rsidRPr="004E355C">
        <w:rPr>
          <w:rFonts w:ascii="Calibri" w:hAnsi="Calibri"/>
          <w:i/>
          <w:noProof/>
          <w:lang w:val="sq-AL"/>
        </w:rPr>
        <w:t>treguesi i ndjesisë ekonomike (TNE)</w:t>
      </w:r>
      <w:r w:rsidRPr="004E355C">
        <w:rPr>
          <w:rFonts w:ascii="Calibri" w:hAnsi="Calibri"/>
          <w:noProof/>
          <w:lang w:val="sq-AL"/>
        </w:rPr>
        <w:t xml:space="preserve">  shënoi një përmirësim prej 4.6 pikësh nga tremujori i kaluar. Niveli aktual i treguesit tё ndjesisё ekonomike qёndron 6.5 pikё mbi mesataren afatgjatё dhe rreth 6.4 pikё pёrqindje mbi mesataren e gjashtё viteve tё fundit. TNE nё tremujorin e parё 2019 ka reflektuar pёrmirёsim nё sektorёt e tregtisё, tё shёrbimeve, tё industrisё dhe nё besimin e konsumatorit krahasuar me tremujorin e mёparshёm; veçanёrisht treguesi i besimit në sektorin e ndërtimit ka shfaqur rritjen mё tё madhe tremujore prej 8.0 pikё pёrqindje dhe rritjen vjetore prej 12.1 pikё pёrqindje krahasuar me tremujorin e parё 2018.</w:t>
      </w:r>
    </w:p>
    <w:p w:rsidR="00D90476" w:rsidRPr="004E355C" w:rsidRDefault="00D90476" w:rsidP="00D90476">
      <w:pPr>
        <w:spacing w:before="120" w:after="120" w:line="276" w:lineRule="auto"/>
        <w:jc w:val="both"/>
        <w:rPr>
          <w:rFonts w:ascii="Calibri" w:hAnsi="Calibri"/>
          <w:noProof/>
          <w:lang w:val="sq-AL"/>
        </w:rPr>
      </w:pPr>
      <w:r w:rsidRPr="004E355C">
        <w:rPr>
          <w:rFonts w:ascii="Calibri" w:hAnsi="Calibri"/>
          <w:i/>
          <w:noProof/>
          <w:lang w:val="sq-AL"/>
        </w:rPr>
        <w:t>Eksportet e mallrave</w:t>
      </w:r>
      <w:r w:rsidRPr="004E355C">
        <w:rPr>
          <w:rFonts w:ascii="Calibri" w:hAnsi="Calibri"/>
          <w:noProof/>
          <w:lang w:val="sq-AL"/>
        </w:rPr>
        <w:t xml:space="preserve"> për periudhën janar-prill 2019 shënuan rёnie prej -2.3% krahasuar me të njëjtën periudhë të një viti më parë ndёrsa </w:t>
      </w:r>
      <w:r w:rsidRPr="004E355C">
        <w:rPr>
          <w:rFonts w:ascii="Calibri" w:hAnsi="Calibri"/>
          <w:i/>
          <w:noProof/>
          <w:lang w:val="sq-AL"/>
        </w:rPr>
        <w:t>importet e mallrave</w:t>
      </w:r>
      <w:r w:rsidRPr="004E355C">
        <w:rPr>
          <w:rFonts w:ascii="Calibri" w:hAnsi="Calibri"/>
          <w:noProof/>
          <w:lang w:val="sq-AL"/>
        </w:rPr>
        <w:t xml:space="preserve"> shënuan rritje prej 3.2%. Këto zhvillime në tregtinë e jashtme tё mallrave janë reflektuar dhe tek deficiti tregtar, i cili për periudhën janar – prill 2019 ёshtё thelluar me 8.9% krahasuar me të njëjtën periudhë të një viti më parë. Ndërsa, norma e mbulimit të eksporteve ndaj importeve për këtë periudhë është 48.3%.</w:t>
      </w:r>
    </w:p>
    <w:p w:rsidR="00D90476" w:rsidRPr="004E355C" w:rsidRDefault="00D90476" w:rsidP="00D90476">
      <w:pPr>
        <w:spacing w:before="120" w:after="120" w:line="276" w:lineRule="auto"/>
        <w:jc w:val="both"/>
        <w:rPr>
          <w:rFonts w:ascii="Calibri" w:hAnsi="Calibri"/>
          <w:noProof/>
          <w:lang w:val="sq-AL"/>
        </w:rPr>
      </w:pPr>
      <w:r w:rsidRPr="004E355C">
        <w:rPr>
          <w:rFonts w:ascii="Calibri" w:hAnsi="Calibri"/>
          <w:i/>
          <w:noProof/>
          <w:lang w:val="sq-AL"/>
        </w:rPr>
        <w:t>Inflacioni</w:t>
      </w:r>
      <w:r w:rsidRPr="004E355C">
        <w:rPr>
          <w:rFonts w:ascii="Calibri" w:hAnsi="Calibri"/>
          <w:noProof/>
          <w:lang w:val="sq-AL"/>
        </w:rPr>
        <w:t xml:space="preserve"> mesatar për periudhën janar-maj 2019 ishte +1.5%, nga +2.0% që rezultonte një vit më parë gjatë së njëjtës periudhë. Pёrgjatё kёsaj periudhe, nga tërësia e mallrave dhe shërbimeve që përbëjnë shportën e konsumit, kontributin dhe rritjen vjetore mё tё lartё nё inflacionin e pёrgjithshёm e ka pasur zёri i ushqimeve dhe pijeve jo alkolike. </w:t>
      </w:r>
    </w:p>
    <w:p w:rsidR="00D90476" w:rsidRPr="004E355C" w:rsidRDefault="00D90476" w:rsidP="00D90476">
      <w:pPr>
        <w:spacing w:before="120" w:line="276" w:lineRule="auto"/>
        <w:jc w:val="both"/>
        <w:rPr>
          <w:rFonts w:ascii="Calibri" w:hAnsi="Calibri"/>
          <w:noProof/>
          <w:lang w:val="sq-AL"/>
        </w:rPr>
      </w:pPr>
      <w:r w:rsidRPr="004E355C">
        <w:rPr>
          <w:rFonts w:ascii="Calibri" w:hAnsi="Calibri"/>
          <w:noProof/>
          <w:lang w:val="sq-AL"/>
        </w:rPr>
        <w:t xml:space="preserve">Gjatë muajit prill të vitit 2019, stoku total i kredive bankare pati një rënie me 0.1% krahasuar me muajin prill të vitit 2018. Stoku i kredive në lekë shënoi një rënie prej 1%, ndërsa ai në valutë rritje prej 0.9%, krahasuar me muajin prill të vitit të kaluar. Stoku i kredive akorduar individëve deri në muajin prill të vitit 2019, ka shënuar rritje prej 4.5%, krahasuar me prillin e vitit 2018, duke </w:t>
      </w:r>
      <w:r w:rsidRPr="004E355C">
        <w:rPr>
          <w:rFonts w:ascii="Calibri" w:hAnsi="Calibri"/>
          <w:noProof/>
          <w:lang w:val="sq-AL"/>
        </w:rPr>
        <w:lastRenderedPageBreak/>
        <w:t>kontribuar pozitivisht në ndryshimin e stokut total të kredisë me 1.5 pikë përqindje. Në prill 2019 rezulton se rreth 50.2% e totalit të stokut të kredive përbëhet nga kreditë në Lekë, ndërsa pjesa tjetër prej 49.8% përbëhet nga kreditë në valutë.</w:t>
      </w:r>
    </w:p>
    <w:p w:rsidR="00D90476" w:rsidRPr="004E355C" w:rsidRDefault="00D90476" w:rsidP="00D90476">
      <w:pPr>
        <w:spacing w:before="240" w:after="120" w:line="276" w:lineRule="auto"/>
        <w:jc w:val="both"/>
        <w:rPr>
          <w:rFonts w:ascii="Calibri" w:hAnsi="Calibri"/>
          <w:noProof/>
          <w:lang w:val="sq-AL"/>
        </w:rPr>
      </w:pPr>
      <w:r w:rsidRPr="004E355C">
        <w:rPr>
          <w:rFonts w:ascii="Calibri" w:hAnsi="Calibri"/>
          <w:noProof/>
          <w:lang w:val="sq-AL"/>
        </w:rPr>
        <w:t>Gjatë muajit prill të vitit 2019 stoku total i depozitave bankare ka shënuar rritje me 2.1% krahasuar me njё vit mё parё. Stoku total i depozitave në Lekë pësoi rënie me 0.7%, ndërsa ai në valutë është rritur me 4.5% krahasuar me të njëjtin muaj të vitit 2018. Në prill 2019 rezulton se rreth 45.9% e totalit të stokut të depozitave përbëhet nga depozitat në Lekë, ndërsa pjesa tjetër prej 54.1% përbëhet nga depozitimet në valutë të huaj.</w:t>
      </w:r>
    </w:p>
    <w:p w:rsidR="00D90476" w:rsidRPr="004E355C" w:rsidRDefault="00D90476" w:rsidP="00D90476">
      <w:pPr>
        <w:spacing w:before="240" w:after="120" w:line="276" w:lineRule="auto"/>
        <w:jc w:val="both"/>
        <w:rPr>
          <w:rFonts w:ascii="Calibri" w:hAnsi="Calibri" w:cs="Futura Std Light"/>
          <w:szCs w:val="22"/>
          <w:lang w:val="sq-AL"/>
        </w:rPr>
      </w:pPr>
      <w:r w:rsidRPr="004E355C">
        <w:rPr>
          <w:rFonts w:ascii="Calibri" w:hAnsi="Calibri" w:cs="Futura Std Book"/>
          <w:szCs w:val="22"/>
          <w:lang w:val="sq-AL"/>
        </w:rPr>
        <w:t xml:space="preserve">Kursi mesatar i kёmbimit i monedhёs vendase ndaj Euros </w:t>
      </w:r>
      <w:r w:rsidRPr="004E355C">
        <w:rPr>
          <w:rFonts w:ascii="Calibri" w:hAnsi="Calibri" w:cs="Futura Std Light"/>
          <w:szCs w:val="22"/>
          <w:lang w:val="sq-AL"/>
        </w:rPr>
        <w:t xml:space="preserve">rezultoi mesatarisht 124.2 lekë/euro në pesёmujorin e parë të vitit 2019, duke pёsuar rёnie nga 130.7 lekё/euro qё shёnonte pёr tё njёjtёn periudhё tё njё viti mё parё. Nё terma vjetor, </w:t>
      </w:r>
      <w:r w:rsidR="009A3607" w:rsidRPr="004E355C">
        <w:rPr>
          <w:rFonts w:ascii="Calibri" w:hAnsi="Calibri" w:cs="Futura Std Light"/>
          <w:szCs w:val="22"/>
          <w:lang w:val="sq-AL"/>
        </w:rPr>
        <w:t xml:space="preserve">ecuria e euros nё tregun vendas </w:t>
      </w:r>
      <w:r w:rsidRPr="004E355C">
        <w:rPr>
          <w:rFonts w:ascii="Calibri" w:hAnsi="Calibri" w:cs="Futura Std Light"/>
          <w:szCs w:val="22"/>
          <w:lang w:val="sq-AL"/>
        </w:rPr>
        <w:t xml:space="preserve">ka reflektuar mbiçmim tё lekut prej 5% pёrgjatё Janar-Maj 2019. </w:t>
      </w:r>
      <w:r w:rsidRPr="004E355C">
        <w:rPr>
          <w:rFonts w:ascii="Calibri" w:hAnsi="Calibri" w:cs="Futura Std Book"/>
          <w:szCs w:val="22"/>
          <w:lang w:val="sq-AL"/>
        </w:rPr>
        <w:t xml:space="preserve">Kursi mesatar i kёmbimit i monedhёs vendase ndaj Dollarit Amerikan </w:t>
      </w:r>
      <w:r w:rsidRPr="004E355C">
        <w:rPr>
          <w:rFonts w:ascii="Calibri" w:hAnsi="Calibri" w:cs="Futura Std Light"/>
          <w:szCs w:val="22"/>
          <w:lang w:val="sq-AL"/>
        </w:rPr>
        <w:t xml:space="preserve">rezultoi mesatarisht 109.9 lekë/usd në pesёmujorin e parë të vitit 2019, duke shёnuar rritje nga 107.3 lekë/usd që shënonte pёr tё njёjtёn periudhё tё njё viti mё parё. Nё terma vjetor, ecuria e dollarit amerikan nё tregun ka reflektuar nёncmim tё lekut prej 2.5% pёrgjatё pesёmujorit tё parё 2019. </w:t>
      </w:r>
    </w:p>
    <w:p w:rsidR="009A3607" w:rsidRPr="004E355C" w:rsidRDefault="009A3607" w:rsidP="00D90476">
      <w:pPr>
        <w:spacing w:before="240" w:after="120" w:line="276" w:lineRule="auto"/>
        <w:jc w:val="both"/>
        <w:rPr>
          <w:rFonts w:ascii="Calibri" w:hAnsi="Calibri" w:cs="Futura Std Light"/>
          <w:sz w:val="12"/>
          <w:szCs w:val="12"/>
          <w:lang w:val="sq-AL"/>
        </w:rPr>
      </w:pPr>
    </w:p>
    <w:p w:rsidR="009216BE" w:rsidRPr="004E355C" w:rsidRDefault="009216BE" w:rsidP="00A40986">
      <w:pPr>
        <w:pStyle w:val="Heading2"/>
        <w:spacing w:line="276" w:lineRule="auto"/>
        <w:rPr>
          <w:rFonts w:asciiTheme="minorHAnsi" w:hAnsiTheme="minorHAnsi"/>
          <w:noProof/>
          <w:color w:val="4F81BD" w:themeColor="accent1"/>
          <w:sz w:val="28"/>
          <w:szCs w:val="24"/>
          <w:lang w:val="sq-AL"/>
        </w:rPr>
      </w:pPr>
      <w:bookmarkStart w:id="4" w:name="_Toc12527217"/>
      <w:r w:rsidRPr="004E355C">
        <w:rPr>
          <w:rFonts w:asciiTheme="minorHAnsi" w:hAnsiTheme="minorHAnsi"/>
          <w:noProof/>
          <w:color w:val="4F81BD" w:themeColor="accent1"/>
          <w:sz w:val="28"/>
          <w:szCs w:val="24"/>
          <w:lang w:val="sq-AL"/>
        </w:rPr>
        <w:t>I.2</w:t>
      </w:r>
      <w:r w:rsidRPr="004E355C">
        <w:rPr>
          <w:rFonts w:asciiTheme="minorHAnsi" w:hAnsiTheme="minorHAnsi"/>
          <w:noProof/>
          <w:color w:val="4F81BD" w:themeColor="accent1"/>
          <w:sz w:val="28"/>
          <w:szCs w:val="24"/>
          <w:lang w:val="sq-AL"/>
        </w:rPr>
        <w:tab/>
      </w:r>
      <w:r w:rsidR="00BD7B2B" w:rsidRPr="004E355C">
        <w:rPr>
          <w:rFonts w:asciiTheme="minorHAnsi" w:hAnsiTheme="minorHAnsi"/>
          <w:noProof/>
          <w:color w:val="4F81BD" w:themeColor="accent1"/>
          <w:sz w:val="28"/>
          <w:szCs w:val="24"/>
          <w:lang w:val="sq-AL"/>
        </w:rPr>
        <w:t>Pritshmëritë e treguesve makroekonomikë deri n</w:t>
      </w:r>
      <w:r w:rsidR="00AA2D73" w:rsidRPr="004E355C">
        <w:rPr>
          <w:rFonts w:asciiTheme="minorHAnsi" w:hAnsiTheme="minorHAnsi"/>
          <w:noProof/>
          <w:color w:val="4F81BD" w:themeColor="accent1"/>
          <w:sz w:val="28"/>
          <w:szCs w:val="24"/>
          <w:lang w:val="sq-AL"/>
        </w:rPr>
        <w:t>ë</w:t>
      </w:r>
      <w:r w:rsidR="00BD7B2B" w:rsidRPr="004E355C">
        <w:rPr>
          <w:rFonts w:asciiTheme="minorHAnsi" w:hAnsiTheme="minorHAnsi"/>
          <w:noProof/>
          <w:color w:val="4F81BD" w:themeColor="accent1"/>
          <w:sz w:val="28"/>
          <w:szCs w:val="24"/>
          <w:lang w:val="sq-AL"/>
        </w:rPr>
        <w:t xml:space="preserve"> fund t</w:t>
      </w:r>
      <w:r w:rsidR="00AA2D73" w:rsidRPr="004E355C">
        <w:rPr>
          <w:rFonts w:asciiTheme="minorHAnsi" w:hAnsiTheme="minorHAnsi"/>
          <w:noProof/>
          <w:color w:val="4F81BD" w:themeColor="accent1"/>
          <w:sz w:val="28"/>
          <w:szCs w:val="24"/>
          <w:lang w:val="sq-AL"/>
        </w:rPr>
        <w:t>ë</w:t>
      </w:r>
      <w:r w:rsidR="00BD7B2B" w:rsidRPr="004E355C">
        <w:rPr>
          <w:rFonts w:asciiTheme="minorHAnsi" w:hAnsiTheme="minorHAnsi"/>
          <w:noProof/>
          <w:color w:val="4F81BD" w:themeColor="accent1"/>
          <w:sz w:val="28"/>
          <w:szCs w:val="24"/>
          <w:lang w:val="sq-AL"/>
        </w:rPr>
        <w:t xml:space="preserve"> vitit 201</w:t>
      </w:r>
      <w:r w:rsidR="009A3607" w:rsidRPr="004E355C">
        <w:rPr>
          <w:rFonts w:asciiTheme="minorHAnsi" w:hAnsiTheme="minorHAnsi"/>
          <w:noProof/>
          <w:color w:val="4F81BD" w:themeColor="accent1"/>
          <w:sz w:val="28"/>
          <w:szCs w:val="24"/>
          <w:lang w:val="sq-AL"/>
        </w:rPr>
        <w:t>9</w:t>
      </w:r>
      <w:bookmarkEnd w:id="4"/>
    </w:p>
    <w:p w:rsidR="009A3607" w:rsidRPr="004E355C" w:rsidRDefault="009A3607" w:rsidP="009A3607">
      <w:pPr>
        <w:spacing w:before="120" w:line="276" w:lineRule="auto"/>
        <w:jc w:val="both"/>
        <w:rPr>
          <w:rFonts w:ascii="Calibri" w:hAnsi="Calibri"/>
          <w:lang w:val="sq-AL"/>
        </w:rPr>
      </w:pPr>
      <w:r w:rsidRPr="004E355C">
        <w:rPr>
          <w:rFonts w:ascii="Calibri" w:hAnsi="Calibri"/>
          <w:lang w:val="sq-AL"/>
        </w:rPr>
        <w:t>Ekonomia nё tёrёsi pritet tё vijojё tё performojё me ritme pozitive deri nё fund tё vitit 2019, nё linjё me parashikimet fillestare. Pёrkatёsisht pёr tё gjithё vitin 2019 pritet qe Prodhimi i Brendshёm Bruto tё rritet me 4.3% nё terma real. Kjo pritet tё gjenerohet kryesisht nga kёrkesa e brendshme, si konsumi ashtu edhe investimet, ndёrkohё qё kerkesa e huaj pritet tё ketё njё kontribut marxhinal.</w:t>
      </w:r>
    </w:p>
    <w:p w:rsidR="009A3607" w:rsidRPr="004E355C" w:rsidRDefault="009A3607" w:rsidP="009A3607">
      <w:pPr>
        <w:spacing w:before="120" w:line="276" w:lineRule="auto"/>
        <w:jc w:val="both"/>
        <w:rPr>
          <w:rFonts w:ascii="Calibri" w:hAnsi="Calibri"/>
          <w:lang w:val="sq-AL"/>
        </w:rPr>
      </w:pPr>
      <w:r w:rsidRPr="004E355C">
        <w:rPr>
          <w:rFonts w:ascii="Calibri" w:hAnsi="Calibri"/>
          <w:lang w:val="sq-AL"/>
        </w:rPr>
        <w:t>Pёrgjatё vitit 2019 dhe periudhёs afatmesme, rritja ekonomike pritet të gjenerohet kryesisht nga kërkesa e brendshme, si konsumi privat ashtu edhe investimet. Ndërkohë kërkesa e huaj neto (eksport – import) pritet të sjellë gjithashtu një efekt pozitiv, por marxhinal. Konsumi privat pritet të nxitet kryesisht nga përmirësimi i besimit të konsumatorit, si dhe nga përmirësimet në tregun e punës. Këto të fundit pritet të transmetohen në një rritje graduale të pagave të cilat më tej pritet të stimulojnë të ardhurat reale të disponueshme të individëve, duke krijuar efektin e raundit të dytë në nxitjen e konsumit, si dhe duke intensifikuar prirjen e konsumatorëve për financimin e mëtejshëm të konsumit nëpërmjet një kredi-marrje më të lartë. Ndërkohë, kredimarrja për konsum parashikohet të nxitet si nga përmirësimi i kushteve financiare të individëve, ashtu edhe nga lehtësimi i pritshëm i standardeve të huadhënies nga sistemi bankar.</w:t>
      </w:r>
    </w:p>
    <w:p w:rsidR="009A3607" w:rsidRPr="004E355C" w:rsidRDefault="009A3607" w:rsidP="009A3607">
      <w:pPr>
        <w:spacing w:before="120" w:line="276" w:lineRule="auto"/>
        <w:jc w:val="both"/>
        <w:rPr>
          <w:rFonts w:ascii="Calibri" w:hAnsi="Calibri"/>
          <w:lang w:val="sq-AL"/>
        </w:rPr>
      </w:pPr>
      <w:r w:rsidRPr="004E355C">
        <w:rPr>
          <w:rFonts w:ascii="Calibri" w:hAnsi="Calibri"/>
          <w:lang w:val="sq-AL"/>
        </w:rPr>
        <w:t>Performanca pozitive e ekonomisё pritet tё reflektohet edhe nё pёrmirёsimin e tregut tё punёs.</w:t>
      </w:r>
      <w:r w:rsidRPr="004E355C">
        <w:rPr>
          <w:rFonts w:ascii="Calibri" w:hAnsi="Calibri"/>
          <w:i/>
          <w:lang w:val="sq-AL"/>
        </w:rPr>
        <w:t xml:space="preserve"> Punësimi</w:t>
      </w:r>
      <w:r w:rsidRPr="004E355C">
        <w:rPr>
          <w:rFonts w:ascii="Calibri" w:hAnsi="Calibri"/>
          <w:lang w:val="sq-AL"/>
        </w:rPr>
        <w:t xml:space="preserve"> parashikohet të vijojё trendin rritёs tё periudhёs sё mёparshme konform me rritjen e prodhimit. Shkalla më e lartë e pjesëmarrjes në forcat e punës do të jetë gjeneruesi kryesor i rritjes së ofertës së punës. Ndërsa rritja e kërkesës për punë pritet të reflektojë pak a shumë të njëjtën strukturë të perspektivës së ofertës agregate të aktivitetit ekonomik. Rrjedhimisht pritet që shërbimet të kontribuojnë më shumë në rritjen e kërkesës për punë në krahasim me sektorët e tjerë të ekonomisë. </w:t>
      </w:r>
    </w:p>
    <w:p w:rsidR="009A3607" w:rsidRDefault="009A3607" w:rsidP="009A3607">
      <w:pPr>
        <w:spacing w:before="120" w:after="120"/>
        <w:jc w:val="both"/>
        <w:rPr>
          <w:rFonts w:ascii="Calibri" w:hAnsi="Calibri" w:cs="Futura Std Light"/>
          <w:lang w:val="sq-AL"/>
        </w:rPr>
      </w:pPr>
      <w:r w:rsidRPr="004E355C">
        <w:rPr>
          <w:rFonts w:ascii="Calibri" w:hAnsi="Calibri" w:cs="Futura Std Light"/>
          <w:lang w:val="sq-AL"/>
        </w:rPr>
        <w:lastRenderedPageBreak/>
        <w:t>Rritja graduale e investimeve pritet të nxitet nga shfrytëzimi më i intensifikuar i kapaciteteve ekzistuese të prodhimit i vërejtur së fundmi, si dhe nga përshpejtimi i aktivitetit ekonomik gjatë periudhës së parashikuar dhe perceptimi i përmirësuar i biznesit mbi perspektivën ekonomike afatmesme e afatgjatë. Njëkohësisht edhe vijimësia e përmirësimit të kushteve financiare dhe lehtësimit të standarteve të huadhënies pritet të jetë një faktor i rëndësishëm incentivues i investimeve private në afatin e mesëm.</w:t>
      </w:r>
    </w:p>
    <w:p w:rsidR="002326C7" w:rsidRPr="004E355C" w:rsidRDefault="002326C7" w:rsidP="009A3607">
      <w:pPr>
        <w:spacing w:before="120" w:after="120"/>
        <w:jc w:val="both"/>
        <w:rPr>
          <w:rFonts w:ascii="Calibri" w:hAnsi="Calibri" w:cs="Futura Std Light"/>
          <w:lang w:val="sq-AL"/>
        </w:rPr>
      </w:pPr>
    </w:p>
    <w:p w:rsidR="00AB4E09" w:rsidRPr="004E355C" w:rsidRDefault="00AB4E09" w:rsidP="00B95810">
      <w:pPr>
        <w:pStyle w:val="Heading1"/>
        <w:numPr>
          <w:ilvl w:val="0"/>
          <w:numId w:val="1"/>
        </w:numPr>
        <w:spacing w:line="276" w:lineRule="auto"/>
        <w:ind w:left="720"/>
        <w:rPr>
          <w:sz w:val="32"/>
          <w:u w:val="none"/>
        </w:rPr>
      </w:pPr>
      <w:bookmarkStart w:id="5" w:name="_Toc12527218"/>
      <w:r w:rsidRPr="004E355C">
        <w:rPr>
          <w:sz w:val="32"/>
          <w:u w:val="none"/>
        </w:rPr>
        <w:t>POLITIKA FISKALE</w:t>
      </w:r>
      <w:bookmarkEnd w:id="5"/>
      <w:r w:rsidRPr="004E355C">
        <w:rPr>
          <w:sz w:val="32"/>
          <w:u w:val="none"/>
        </w:rPr>
        <w:t xml:space="preserve"> </w:t>
      </w:r>
    </w:p>
    <w:p w:rsidR="00AB4E09" w:rsidRPr="004E355C" w:rsidRDefault="005F249C" w:rsidP="00A40986">
      <w:pPr>
        <w:pStyle w:val="Heading2"/>
        <w:spacing w:line="276" w:lineRule="auto"/>
        <w:rPr>
          <w:rFonts w:asciiTheme="minorHAnsi" w:hAnsiTheme="minorHAnsi"/>
          <w:noProof/>
          <w:color w:val="4F81BD" w:themeColor="accent1"/>
          <w:sz w:val="28"/>
          <w:szCs w:val="24"/>
          <w:lang w:val="sq-AL"/>
        </w:rPr>
      </w:pPr>
      <w:bookmarkStart w:id="6" w:name="_Toc12527219"/>
      <w:r w:rsidRPr="004E355C">
        <w:rPr>
          <w:rFonts w:asciiTheme="minorHAnsi" w:hAnsiTheme="minorHAnsi"/>
          <w:noProof/>
          <w:color w:val="4F81BD" w:themeColor="accent1"/>
          <w:sz w:val="28"/>
          <w:szCs w:val="24"/>
          <w:lang w:val="sq-AL"/>
        </w:rPr>
        <w:t>II.1</w:t>
      </w:r>
      <w:r w:rsidRPr="004E355C">
        <w:rPr>
          <w:rFonts w:asciiTheme="minorHAnsi" w:hAnsiTheme="minorHAnsi"/>
          <w:noProof/>
          <w:color w:val="4F81BD" w:themeColor="accent1"/>
          <w:sz w:val="28"/>
          <w:szCs w:val="24"/>
          <w:lang w:val="sq-AL"/>
        </w:rPr>
        <w:tab/>
      </w:r>
      <w:r w:rsidR="0094558D" w:rsidRPr="004E355C">
        <w:rPr>
          <w:rFonts w:asciiTheme="minorHAnsi" w:hAnsiTheme="minorHAnsi"/>
          <w:noProof/>
          <w:color w:val="4F81BD" w:themeColor="accent1"/>
          <w:sz w:val="28"/>
          <w:szCs w:val="24"/>
          <w:lang w:val="sq-AL"/>
        </w:rPr>
        <w:t xml:space="preserve">Performanca </w:t>
      </w:r>
      <w:r w:rsidR="00AB4E09" w:rsidRPr="004E355C">
        <w:rPr>
          <w:rFonts w:asciiTheme="minorHAnsi" w:hAnsiTheme="minorHAnsi"/>
          <w:noProof/>
          <w:color w:val="4F81BD" w:themeColor="accent1"/>
          <w:sz w:val="28"/>
          <w:szCs w:val="24"/>
          <w:lang w:val="sq-AL"/>
        </w:rPr>
        <w:t xml:space="preserve">fiskale </w:t>
      </w:r>
      <w:r w:rsidR="00E40045" w:rsidRPr="004E355C">
        <w:rPr>
          <w:rFonts w:asciiTheme="minorHAnsi" w:hAnsiTheme="minorHAnsi"/>
          <w:noProof/>
          <w:color w:val="4F81BD" w:themeColor="accent1"/>
          <w:sz w:val="28"/>
          <w:szCs w:val="24"/>
          <w:lang w:val="sq-AL"/>
        </w:rPr>
        <w:t>për periudhën janar-maj 201</w:t>
      </w:r>
      <w:r w:rsidR="00640ED3" w:rsidRPr="004E355C">
        <w:rPr>
          <w:rFonts w:asciiTheme="minorHAnsi" w:hAnsiTheme="minorHAnsi"/>
          <w:noProof/>
          <w:color w:val="4F81BD" w:themeColor="accent1"/>
          <w:sz w:val="28"/>
          <w:szCs w:val="24"/>
          <w:lang w:val="sq-AL"/>
        </w:rPr>
        <w:t>9</w:t>
      </w:r>
      <w:bookmarkEnd w:id="6"/>
    </w:p>
    <w:p w:rsidR="00A26062" w:rsidRDefault="00640ED3" w:rsidP="004C6C15">
      <w:pPr>
        <w:spacing w:before="240" w:line="276" w:lineRule="auto"/>
        <w:jc w:val="both"/>
        <w:rPr>
          <w:rFonts w:asciiTheme="minorHAnsi" w:hAnsiTheme="minorHAnsi"/>
          <w:lang w:val="sq-AL"/>
        </w:rPr>
      </w:pPr>
      <w:r w:rsidRPr="004E355C">
        <w:rPr>
          <w:rFonts w:asciiTheme="minorHAnsi" w:eastAsiaTheme="minorEastAsia" w:hAnsiTheme="minorHAnsi" w:cstheme="minorHAnsi"/>
          <w:b/>
          <w:lang w:val="sq-AL"/>
        </w:rPr>
        <w:t>Të ardhurat nga “Tatime dhe Dogana”</w:t>
      </w:r>
      <w:r w:rsidRPr="004E355C">
        <w:rPr>
          <w:rFonts w:asciiTheme="minorHAnsi" w:eastAsiaTheme="minorEastAsia" w:hAnsiTheme="minorHAnsi" w:cstheme="minorHAnsi"/>
          <w:lang w:val="sq-AL"/>
        </w:rPr>
        <w:t xml:space="preserve"> (përfshirë kontributet e mbledhura nga DPT)  për 5 mujorin 2019, u realizuan në vlerën 163.8 miliardë lekë, 3.8% ose 6 miliardë lekë më shumë se 5 mujori i vitit 2018 dhe me realizim kundrejt planit të periudhës në masën 98.3% ose 2.9 miliardë lekë më pak. </w:t>
      </w:r>
      <w:r w:rsidRPr="004E355C">
        <w:rPr>
          <w:rFonts w:asciiTheme="minorHAnsi" w:hAnsiTheme="minorHAnsi" w:cstheme="minorHAnsi"/>
          <w:noProof/>
          <w:lang w:val="sq-AL"/>
        </w:rPr>
        <w:t>Rezultati pozitiv krahasuar me vitin e kaluar, është tregues i rëndësishëm i përmirësimit të përformancës së mbledhjes së të ardhurave në kuadër të reformës së konsolidimit të financave publike. Rritja e të ardhurave krahasuar me një vit më parë vjen si nga impakti i rritjes ekonomike, ashtu edhe nga përmirësimi në administrimin e taksave</w:t>
      </w:r>
      <w:r w:rsidR="004C6C15" w:rsidRPr="004E355C">
        <w:rPr>
          <w:rFonts w:asciiTheme="minorHAnsi" w:hAnsiTheme="minorHAnsi"/>
          <w:lang w:val="sq-AL"/>
        </w:rPr>
        <w:t>.</w:t>
      </w:r>
    </w:p>
    <w:p w:rsidR="002326C7" w:rsidRPr="004E355C" w:rsidRDefault="002326C7" w:rsidP="002326C7">
      <w:pPr>
        <w:spacing w:line="276" w:lineRule="auto"/>
        <w:jc w:val="both"/>
        <w:rPr>
          <w:rFonts w:asciiTheme="minorHAnsi" w:hAnsiTheme="minorHAnsi"/>
          <w:lang w:val="sq-AL"/>
        </w:rPr>
      </w:pPr>
    </w:p>
    <w:p w:rsidR="004C6C15" w:rsidRPr="004E355C" w:rsidRDefault="004719C1" w:rsidP="004719C1">
      <w:pPr>
        <w:pStyle w:val="Caption"/>
        <w:keepNext/>
        <w:jc w:val="both"/>
        <w:rPr>
          <w:rFonts w:asciiTheme="minorHAnsi" w:hAnsiTheme="minorHAnsi"/>
          <w:b w:val="0"/>
          <w:bCs w:val="0"/>
          <w:i/>
          <w:color w:val="auto"/>
          <w:sz w:val="24"/>
          <w:szCs w:val="24"/>
          <w:lang w:val="sq-AL"/>
        </w:rPr>
      </w:pPr>
      <w:bookmarkStart w:id="7" w:name="_Toc12449187"/>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Tatime &amp; Dogana për periudhën Janar – Maj 201</w:t>
      </w:r>
      <w:r w:rsidR="00640ED3"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 xml:space="preserve"> (në milionë lekë)</w:t>
      </w:r>
      <w:bookmarkEnd w:id="7"/>
    </w:p>
    <w:tbl>
      <w:tblPr>
        <w:tblStyle w:val="ListTable3-Accent52"/>
        <w:tblW w:w="10330" w:type="dxa"/>
        <w:jc w:val="center"/>
        <w:tblLook w:val="04A0" w:firstRow="1" w:lastRow="0" w:firstColumn="1" w:lastColumn="0" w:noHBand="0" w:noVBand="1"/>
      </w:tblPr>
      <w:tblGrid>
        <w:gridCol w:w="2121"/>
        <w:gridCol w:w="844"/>
        <w:gridCol w:w="1034"/>
        <w:gridCol w:w="1023"/>
        <w:gridCol w:w="1228"/>
        <w:gridCol w:w="1361"/>
        <w:gridCol w:w="1278"/>
        <w:gridCol w:w="1441"/>
      </w:tblGrid>
      <w:tr w:rsidR="00640ED3" w:rsidRPr="004E355C" w:rsidTr="00640ED3">
        <w:trPr>
          <w:cnfStyle w:val="100000000000" w:firstRow="1" w:lastRow="0" w:firstColumn="0" w:lastColumn="0" w:oddVBand="0" w:evenVBand="0" w:oddHBand="0" w:evenHBand="0" w:firstRowFirstColumn="0" w:firstRowLastColumn="0" w:lastRowFirstColumn="0" w:lastRowLastColumn="0"/>
          <w:trHeight w:val="471"/>
          <w:jc w:val="center"/>
        </w:trPr>
        <w:tc>
          <w:tcPr>
            <w:cnfStyle w:val="001000000100" w:firstRow="0" w:lastRow="0" w:firstColumn="1" w:lastColumn="0" w:oddVBand="0" w:evenVBand="0" w:oddHBand="0" w:evenHBand="0" w:firstRowFirstColumn="1" w:firstRowLastColumn="0" w:lastRowFirstColumn="0" w:lastRowLastColumn="0"/>
            <w:tcW w:w="2121" w:type="dxa"/>
            <w:vMerge w:val="restart"/>
            <w:hideMark/>
          </w:tcPr>
          <w:p w:rsidR="00640ED3" w:rsidRPr="004E355C" w:rsidRDefault="00640ED3" w:rsidP="00397C3F">
            <w:pPr>
              <w:rPr>
                <w:rFonts w:asciiTheme="minorHAnsi" w:hAnsiTheme="minorHAnsi" w:cstheme="minorHAnsi"/>
                <w:b w:val="0"/>
                <w:bCs w:val="0"/>
                <w:sz w:val="16"/>
                <w:szCs w:val="16"/>
              </w:rPr>
            </w:pPr>
            <w:r w:rsidRPr="004E355C">
              <w:rPr>
                <w:rFonts w:asciiTheme="minorHAnsi" w:hAnsiTheme="minorHAnsi" w:cstheme="minorHAnsi"/>
                <w:sz w:val="16"/>
                <w:szCs w:val="16"/>
              </w:rPr>
              <w:t>Lloji i taksave</w:t>
            </w:r>
          </w:p>
        </w:tc>
        <w:tc>
          <w:tcPr>
            <w:tcW w:w="844"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Fakt 5 mujor 2018</w:t>
            </w:r>
          </w:p>
        </w:tc>
        <w:tc>
          <w:tcPr>
            <w:tcW w:w="1034"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4E355C">
              <w:rPr>
                <w:rFonts w:asciiTheme="minorHAnsi" w:hAnsiTheme="minorHAnsi" w:cstheme="minorHAnsi"/>
                <w:sz w:val="16"/>
                <w:szCs w:val="16"/>
              </w:rPr>
              <w:t xml:space="preserve"> Fakt 5 mujor </w:t>
            </w:r>
          </w:p>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2019</w:t>
            </w:r>
          </w:p>
        </w:tc>
        <w:tc>
          <w:tcPr>
            <w:tcW w:w="1023"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4E355C">
              <w:rPr>
                <w:rFonts w:asciiTheme="minorHAnsi" w:hAnsiTheme="minorHAnsi" w:cstheme="minorHAnsi"/>
                <w:sz w:val="16"/>
                <w:szCs w:val="16"/>
              </w:rPr>
              <w:t xml:space="preserve">Plan 5 mujor </w:t>
            </w:r>
          </w:p>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2019</w:t>
            </w:r>
          </w:p>
        </w:tc>
        <w:tc>
          <w:tcPr>
            <w:tcW w:w="1228"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Diferenca 2019/2018</w:t>
            </w:r>
          </w:p>
        </w:tc>
        <w:tc>
          <w:tcPr>
            <w:tcW w:w="1361"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Ndryshimi në % 2019/2018</w:t>
            </w:r>
          </w:p>
        </w:tc>
        <w:tc>
          <w:tcPr>
            <w:tcW w:w="1278"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Diferenca Fakt/ Plan 2019</w:t>
            </w:r>
          </w:p>
        </w:tc>
        <w:tc>
          <w:tcPr>
            <w:tcW w:w="1441" w:type="dxa"/>
            <w:vMerge w:val="restart"/>
            <w:hideMark/>
          </w:tcPr>
          <w:p w:rsidR="00640ED3" w:rsidRPr="004E355C" w:rsidRDefault="00640ED3" w:rsidP="00397C3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6"/>
                <w:szCs w:val="16"/>
              </w:rPr>
            </w:pPr>
            <w:r w:rsidRPr="004E355C">
              <w:rPr>
                <w:rFonts w:asciiTheme="minorHAnsi" w:hAnsiTheme="minorHAnsi" w:cstheme="minorHAnsi"/>
                <w:sz w:val="16"/>
                <w:szCs w:val="16"/>
              </w:rPr>
              <w:t>Ndryshimi në %  Fakt/Plan 2019</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vMerge/>
            <w:hideMark/>
          </w:tcPr>
          <w:p w:rsidR="00640ED3" w:rsidRPr="004E355C" w:rsidRDefault="00640ED3" w:rsidP="00397C3F">
            <w:pPr>
              <w:rPr>
                <w:rFonts w:asciiTheme="minorHAnsi" w:hAnsiTheme="minorHAnsi" w:cstheme="minorHAnsi"/>
                <w:b w:val="0"/>
                <w:bCs w:val="0"/>
                <w:color w:val="FFFFFF"/>
                <w:sz w:val="16"/>
                <w:szCs w:val="16"/>
              </w:rPr>
            </w:pPr>
          </w:p>
        </w:tc>
        <w:tc>
          <w:tcPr>
            <w:tcW w:w="844"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034"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023"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228"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361"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278"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c>
          <w:tcPr>
            <w:tcW w:w="1441" w:type="dxa"/>
            <w:vMerge/>
            <w:hideMark/>
          </w:tcPr>
          <w:p w:rsidR="00640ED3" w:rsidRPr="004E355C" w:rsidRDefault="00640ED3"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sz w:val="16"/>
                <w:szCs w:val="16"/>
              </w:rPr>
            </w:pPr>
          </w:p>
        </w:tc>
      </w:tr>
      <w:tr w:rsidR="00640ED3" w:rsidRPr="004E355C" w:rsidTr="00640ED3">
        <w:trPr>
          <w:trHeight w:val="386"/>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TVSH TOTAL</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56,527</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54,961</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59,283</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-1,566</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-2.8%</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-4,322</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-7.3%</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i/>
                <w:iCs/>
                <w:color w:val="000000"/>
                <w:sz w:val="16"/>
                <w:szCs w:val="16"/>
              </w:rPr>
            </w:pPr>
            <w:r w:rsidRPr="004E355C">
              <w:rPr>
                <w:rFonts w:asciiTheme="minorHAnsi" w:hAnsiTheme="minorHAnsi" w:cstheme="minorHAnsi"/>
                <w:i/>
                <w:iCs/>
                <w:color w:val="000000"/>
                <w:sz w:val="16"/>
                <w:szCs w:val="16"/>
              </w:rPr>
              <w:t xml:space="preserve">Tvsh në import </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42,140</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42,243</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43,783</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103</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0.2%</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-1,540</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-3.5%</w:t>
            </w: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i/>
                <w:iCs/>
                <w:color w:val="000000"/>
                <w:sz w:val="16"/>
                <w:szCs w:val="16"/>
              </w:rPr>
            </w:pPr>
            <w:r w:rsidRPr="004E355C">
              <w:rPr>
                <w:rFonts w:asciiTheme="minorHAnsi" w:hAnsiTheme="minorHAnsi" w:cstheme="minorHAnsi"/>
                <w:i/>
                <w:iCs/>
                <w:color w:val="000000"/>
                <w:sz w:val="16"/>
                <w:szCs w:val="16"/>
              </w:rPr>
              <w:t>Tvsh brenda vendit</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14,387</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12,718</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15,500</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-1,669</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-11.6%</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-2,782</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-17.9%</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Rimbursim TVSH</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5,454</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6,954</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1,499</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27%</w:t>
            </w:r>
          </w:p>
        </w:tc>
        <w:tc>
          <w:tcPr>
            <w:tcW w:w="1278" w:type="dxa"/>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c>
          <w:tcPr>
            <w:tcW w:w="1441" w:type="dxa"/>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Tatimi mbi fitimin</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15,588</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17,696</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15,745</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2,108</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13.5%</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 xml:space="preserve">                   1,951 </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12.4%</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 xml:space="preserve">Akciza </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16,627</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16,982</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17,079</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355</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2.1%</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-97</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-0.6%</w:t>
            </w: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Tatimi mbi të ardhurat personale</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14,244</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18,440</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16,597</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4,197</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29.5%</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1,843</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11.1%</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Taksa Nacional dhe te tjera</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15,467</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14,076</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16,076</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-1,391</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-9.0%</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-2,000</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-12.4%</w:t>
            </w: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i/>
                <w:iCs/>
                <w:color w:val="000000"/>
                <w:sz w:val="16"/>
                <w:szCs w:val="16"/>
              </w:rPr>
            </w:pPr>
            <w:r w:rsidRPr="004E355C">
              <w:rPr>
                <w:rFonts w:asciiTheme="minorHAnsi" w:hAnsiTheme="minorHAnsi" w:cstheme="minorHAnsi"/>
                <w:i/>
                <w:iCs/>
                <w:color w:val="000000"/>
                <w:sz w:val="16"/>
                <w:szCs w:val="16"/>
              </w:rPr>
              <w:t>Taksat nacionale</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14,193</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13,059</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14,876</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-1,134</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-8.0%</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-1,817</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-12.2%</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i/>
                <w:iCs/>
                <w:color w:val="000000"/>
                <w:sz w:val="16"/>
                <w:szCs w:val="16"/>
              </w:rPr>
            </w:pPr>
            <w:r w:rsidRPr="004E355C">
              <w:rPr>
                <w:rFonts w:asciiTheme="minorHAnsi" w:hAnsiTheme="minorHAnsi" w:cstheme="minorHAnsi"/>
                <w:i/>
                <w:iCs/>
                <w:color w:val="000000"/>
                <w:sz w:val="16"/>
                <w:szCs w:val="16"/>
              </w:rPr>
              <w:t>Renta Minerare</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1,275</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1,017</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1,200</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-257</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-20.2%</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-183</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-15.2%</w:t>
            </w: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Taksë Doganore</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2,431</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2,558</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2,817</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126</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5.2%</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-260</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-9.2%</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 xml:space="preserve">TOTALI TATIME + DOGANA </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120,885</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124,713</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127,598</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3,829</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3.2%</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-2,885</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-2.3%</w:t>
            </w:r>
          </w:p>
        </w:tc>
      </w:tr>
      <w:tr w:rsidR="00640ED3" w:rsidRPr="004E355C" w:rsidTr="00640ED3">
        <w:trPr>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Kontributet e mbledhura (DPT)</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36,841</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39,050</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39,072</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2,209</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6.0%</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-22</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-0.1%</w:t>
            </w:r>
          </w:p>
        </w:tc>
      </w:tr>
      <w:tr w:rsidR="00640ED3" w:rsidRPr="004E355C" w:rsidTr="00640ED3">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Nga ISSH dhe FSDKSH</w:t>
            </w:r>
          </w:p>
        </w:tc>
        <w:tc>
          <w:tcPr>
            <w:tcW w:w="84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1,067</w:t>
            </w:r>
          </w:p>
        </w:tc>
        <w:tc>
          <w:tcPr>
            <w:tcW w:w="1034"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1,325</w:t>
            </w:r>
          </w:p>
        </w:tc>
        <w:tc>
          <w:tcPr>
            <w:tcW w:w="1023"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1,355</w:t>
            </w:r>
          </w:p>
        </w:tc>
        <w:tc>
          <w:tcPr>
            <w:tcW w:w="122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258</w:t>
            </w:r>
          </w:p>
        </w:tc>
        <w:tc>
          <w:tcPr>
            <w:tcW w:w="136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24.1%</w:t>
            </w:r>
          </w:p>
        </w:tc>
        <w:tc>
          <w:tcPr>
            <w:tcW w:w="1278"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-30</w:t>
            </w:r>
          </w:p>
        </w:tc>
        <w:tc>
          <w:tcPr>
            <w:tcW w:w="1441" w:type="dxa"/>
            <w:hideMark/>
          </w:tcPr>
          <w:p w:rsidR="00640ED3" w:rsidRPr="004E355C" w:rsidRDefault="00640ED3" w:rsidP="00397C3F">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 w:val="16"/>
                <w:szCs w:val="16"/>
              </w:rPr>
            </w:pPr>
            <w:r w:rsidRPr="004E355C">
              <w:rPr>
                <w:rFonts w:asciiTheme="minorHAnsi" w:hAnsiTheme="minorHAnsi" w:cstheme="minorHAnsi"/>
                <w:color w:val="000000"/>
                <w:sz w:val="16"/>
                <w:szCs w:val="16"/>
              </w:rPr>
              <w:t>-2.2%</w:t>
            </w:r>
          </w:p>
        </w:tc>
      </w:tr>
      <w:tr w:rsidR="00640ED3" w:rsidRPr="004E355C" w:rsidTr="00640ED3">
        <w:trPr>
          <w:trHeight w:val="374"/>
          <w:jc w:val="center"/>
        </w:trPr>
        <w:tc>
          <w:tcPr>
            <w:cnfStyle w:val="001000000000" w:firstRow="0" w:lastRow="0" w:firstColumn="1" w:lastColumn="0" w:oddVBand="0" w:evenVBand="0" w:oddHBand="0" w:evenHBand="0" w:firstRowFirstColumn="0" w:firstRowLastColumn="0" w:lastRowFirstColumn="0" w:lastRowLastColumn="0"/>
            <w:tcW w:w="2121" w:type="dxa"/>
            <w:hideMark/>
          </w:tcPr>
          <w:p w:rsidR="00640ED3" w:rsidRPr="004E355C" w:rsidRDefault="00640ED3" w:rsidP="00397C3F">
            <w:pPr>
              <w:rPr>
                <w:rFonts w:asciiTheme="minorHAnsi" w:hAnsiTheme="minorHAnsi" w:cstheme="minorHAnsi"/>
                <w:b w:val="0"/>
                <w:bCs w:val="0"/>
                <w:color w:val="000000"/>
                <w:sz w:val="16"/>
                <w:szCs w:val="16"/>
              </w:rPr>
            </w:pPr>
            <w:r w:rsidRPr="004E355C">
              <w:rPr>
                <w:rFonts w:asciiTheme="minorHAnsi" w:hAnsiTheme="minorHAnsi" w:cstheme="minorHAnsi"/>
                <w:color w:val="000000"/>
                <w:sz w:val="16"/>
                <w:szCs w:val="16"/>
              </w:rPr>
              <w:t>TOTALI TATIME + DOGANA (përfshirë kontributet)</w:t>
            </w:r>
          </w:p>
        </w:tc>
        <w:tc>
          <w:tcPr>
            <w:tcW w:w="84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158,793</w:t>
            </w:r>
          </w:p>
        </w:tc>
        <w:tc>
          <w:tcPr>
            <w:tcW w:w="1034"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165,088</w:t>
            </w:r>
          </w:p>
        </w:tc>
        <w:tc>
          <w:tcPr>
            <w:tcW w:w="1023"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168,025</w:t>
            </w:r>
          </w:p>
        </w:tc>
        <w:tc>
          <w:tcPr>
            <w:tcW w:w="122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6,296</w:t>
            </w:r>
          </w:p>
        </w:tc>
        <w:tc>
          <w:tcPr>
            <w:tcW w:w="136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4.0%</w:t>
            </w:r>
          </w:p>
        </w:tc>
        <w:tc>
          <w:tcPr>
            <w:tcW w:w="1278"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-2,937</w:t>
            </w:r>
          </w:p>
        </w:tc>
        <w:tc>
          <w:tcPr>
            <w:tcW w:w="1441" w:type="dxa"/>
            <w:hideMark/>
          </w:tcPr>
          <w:p w:rsidR="00640ED3" w:rsidRPr="004E355C" w:rsidRDefault="00640ED3" w:rsidP="00397C3F">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color w:val="000000"/>
                <w:sz w:val="16"/>
                <w:szCs w:val="16"/>
              </w:rPr>
            </w:pPr>
            <w:r w:rsidRPr="004E355C">
              <w:rPr>
                <w:rFonts w:asciiTheme="minorHAnsi" w:hAnsiTheme="minorHAnsi" w:cstheme="minorHAnsi"/>
                <w:b/>
                <w:bCs/>
                <w:color w:val="000000"/>
                <w:sz w:val="16"/>
                <w:szCs w:val="16"/>
              </w:rPr>
              <w:t>-1.7%</w:t>
            </w:r>
          </w:p>
        </w:tc>
      </w:tr>
    </w:tbl>
    <w:p w:rsidR="004C6C15" w:rsidRPr="004E355C" w:rsidRDefault="00B24B3B" w:rsidP="004C6C15">
      <w:pPr>
        <w:tabs>
          <w:tab w:val="left" w:pos="2511"/>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Burimi: Ministria e Financave dhe Ekonomisë (2019)</w:t>
      </w:r>
    </w:p>
    <w:p w:rsidR="00A26062" w:rsidRPr="004E355C" w:rsidRDefault="003A294A" w:rsidP="00A26062">
      <w:pPr>
        <w:tabs>
          <w:tab w:val="left" w:pos="2511"/>
          <w:tab w:val="center" w:pos="4680"/>
          <w:tab w:val="left" w:pos="9360"/>
        </w:tabs>
        <w:spacing w:before="240" w:line="276" w:lineRule="auto"/>
        <w:jc w:val="both"/>
        <w:rPr>
          <w:rFonts w:asciiTheme="minorHAnsi" w:hAnsiTheme="minorHAnsi"/>
          <w:noProof/>
          <w:lang w:val="sq-AL"/>
        </w:rPr>
      </w:pPr>
      <w:r w:rsidRPr="004E355C">
        <w:rPr>
          <w:rFonts w:asciiTheme="minorHAnsi" w:eastAsiaTheme="minorEastAsia" w:hAnsiTheme="minorHAnsi" w:cstheme="minorHAnsi"/>
          <w:noProof/>
          <w:lang w:val="sq-AL"/>
        </w:rPr>
        <w:t>Krahasuar me 5 mujorin 2018, performaca e zërave të të ardhurave “Nga Tatimet dhe Doganat” (përfshirë kontributet e mbledhura nga DPT), kryesisht ka pasur ecuri pozitive. Konkretisht, Tatim mbi të ardhurat personale +30%, Tatim mbi fitimin +13.5%, Akciza +2.1%, Kontributet e mbledhura nga DPT +6% dhe Taksat doganore +5.2%. Ndërsa taksat të cilat paraqiten me rënie kundrejt vitit 2018 janë: TVSH -2.8% dhe Taksat Kombëtare dhe të tjera -9%</w:t>
      </w:r>
      <w:r w:rsidR="004C6C15" w:rsidRPr="004E355C">
        <w:rPr>
          <w:rFonts w:asciiTheme="minorHAnsi" w:hAnsiTheme="minorHAnsi"/>
          <w:noProof/>
          <w:lang w:val="sq-AL"/>
        </w:rPr>
        <w:t>.</w:t>
      </w:r>
    </w:p>
    <w:p w:rsidR="004C6C15" w:rsidRPr="004E355C" w:rsidRDefault="004719C1" w:rsidP="00A26062">
      <w:pPr>
        <w:tabs>
          <w:tab w:val="left" w:pos="2511"/>
          <w:tab w:val="center" w:pos="4680"/>
          <w:tab w:val="left" w:pos="9360"/>
        </w:tabs>
        <w:spacing w:before="240" w:line="276" w:lineRule="auto"/>
        <w:jc w:val="both"/>
        <w:rPr>
          <w:rFonts w:asciiTheme="minorHAnsi" w:hAnsiTheme="minorHAnsi"/>
          <w:noProof/>
          <w:lang w:val="sq-AL"/>
        </w:rPr>
      </w:pPr>
      <w:bookmarkStart w:id="8" w:name="_Toc12448427"/>
      <w:r w:rsidRPr="004E355C">
        <w:rPr>
          <w:rFonts w:asciiTheme="minorHAnsi" w:hAnsiTheme="minorHAnsi"/>
          <w:i/>
          <w:lang w:val="sq-AL"/>
        </w:rPr>
        <w:lastRenderedPageBreak/>
        <w:t xml:space="preserve">Grafiku </w:t>
      </w:r>
      <w:r w:rsidRPr="004E355C">
        <w:rPr>
          <w:rFonts w:asciiTheme="minorHAnsi" w:hAnsiTheme="minorHAnsi"/>
          <w:b/>
          <w:bCs/>
          <w:i/>
          <w:lang w:val="sq-AL"/>
        </w:rPr>
        <w:fldChar w:fldCharType="begin"/>
      </w:r>
      <w:r w:rsidRPr="004E355C">
        <w:rPr>
          <w:rFonts w:asciiTheme="minorHAnsi" w:hAnsiTheme="minorHAnsi"/>
          <w:i/>
          <w:lang w:val="sq-AL"/>
        </w:rPr>
        <w:instrText xml:space="preserve"> SEQ Grafiku \* ARABIC </w:instrText>
      </w:r>
      <w:r w:rsidRPr="004E355C">
        <w:rPr>
          <w:rFonts w:asciiTheme="minorHAnsi" w:hAnsiTheme="minorHAnsi"/>
          <w:b/>
          <w:bCs/>
          <w:i/>
          <w:lang w:val="sq-AL"/>
        </w:rPr>
        <w:fldChar w:fldCharType="separate"/>
      </w:r>
      <w:r w:rsidR="00C83C78">
        <w:rPr>
          <w:rFonts w:asciiTheme="minorHAnsi" w:hAnsiTheme="minorHAnsi"/>
          <w:i/>
          <w:noProof/>
          <w:lang w:val="sq-AL"/>
        </w:rPr>
        <w:t>1</w:t>
      </w:r>
      <w:r w:rsidRPr="004E355C">
        <w:rPr>
          <w:rFonts w:asciiTheme="minorHAnsi" w:hAnsiTheme="minorHAnsi"/>
          <w:b/>
          <w:bCs/>
          <w:i/>
          <w:lang w:val="sq-AL"/>
        </w:rPr>
        <w:fldChar w:fldCharType="end"/>
      </w:r>
      <w:r w:rsidRPr="004E355C">
        <w:rPr>
          <w:rFonts w:asciiTheme="minorHAnsi" w:hAnsiTheme="minorHAnsi"/>
          <w:i/>
          <w:lang w:val="sq-AL"/>
        </w:rPr>
        <w:t>: Totali i të ardhurave Janar- Maj 201</w:t>
      </w:r>
      <w:r w:rsidR="003A294A" w:rsidRPr="004E355C">
        <w:rPr>
          <w:rFonts w:asciiTheme="minorHAnsi" w:hAnsiTheme="minorHAnsi"/>
          <w:i/>
          <w:lang w:val="sq-AL"/>
        </w:rPr>
        <w:t>9</w:t>
      </w:r>
      <w:r w:rsidRPr="004E355C">
        <w:rPr>
          <w:rFonts w:asciiTheme="minorHAnsi" w:hAnsiTheme="minorHAnsi"/>
          <w:i/>
          <w:lang w:val="sq-AL"/>
        </w:rPr>
        <w:t>/201</w:t>
      </w:r>
      <w:r w:rsidR="003A294A" w:rsidRPr="004E355C">
        <w:rPr>
          <w:rFonts w:asciiTheme="minorHAnsi" w:hAnsiTheme="minorHAnsi"/>
          <w:i/>
          <w:lang w:val="sq-AL"/>
        </w:rPr>
        <w:t>8</w:t>
      </w:r>
      <w:r w:rsidRPr="004E355C">
        <w:rPr>
          <w:rFonts w:asciiTheme="minorHAnsi" w:hAnsiTheme="minorHAnsi"/>
          <w:i/>
          <w:lang w:val="sq-AL"/>
        </w:rPr>
        <w:t xml:space="preserve">  (në milionë lekë)</w:t>
      </w:r>
      <w:bookmarkEnd w:id="8"/>
    </w:p>
    <w:p w:rsidR="004C6C15" w:rsidRPr="004E355C" w:rsidRDefault="003A294A" w:rsidP="003A294A">
      <w:pPr>
        <w:tabs>
          <w:tab w:val="left" w:pos="2511"/>
          <w:tab w:val="center" w:pos="4680"/>
          <w:tab w:val="left" w:pos="9360"/>
        </w:tabs>
        <w:spacing w:line="276" w:lineRule="auto"/>
        <w:jc w:val="center"/>
        <w:rPr>
          <w:rFonts w:asciiTheme="minorHAnsi" w:hAnsiTheme="minorHAnsi"/>
          <w:noProof/>
          <w:lang w:val="sq-AL"/>
        </w:rPr>
      </w:pPr>
      <w:r w:rsidRPr="004E355C">
        <w:rPr>
          <w:rFonts w:asciiTheme="minorHAnsi" w:hAnsiTheme="minorHAnsi" w:cstheme="minorHAnsi"/>
          <w:noProof/>
        </w:rPr>
        <w:drawing>
          <wp:inline distT="0" distB="0" distL="0" distR="0" wp14:anchorId="1AD79277" wp14:editId="5B1A9674">
            <wp:extent cx="6000750" cy="2240280"/>
            <wp:effectExtent l="0" t="0" r="0" b="762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C6C15" w:rsidRPr="004E355C" w:rsidRDefault="00B24B3B" w:rsidP="004C6C15">
      <w:pPr>
        <w:tabs>
          <w:tab w:val="left" w:pos="2511"/>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Burimi: Ministria e Financave dhe Ekonomisë (2019)</w:t>
      </w:r>
    </w:p>
    <w:p w:rsidR="00C1464B" w:rsidRPr="004E355C" w:rsidRDefault="00C1464B" w:rsidP="004C6C15">
      <w:pPr>
        <w:tabs>
          <w:tab w:val="left" w:pos="2511"/>
          <w:tab w:val="center" w:pos="4680"/>
          <w:tab w:val="left" w:pos="9360"/>
        </w:tabs>
        <w:spacing w:line="276" w:lineRule="auto"/>
        <w:jc w:val="both"/>
        <w:rPr>
          <w:rFonts w:asciiTheme="minorHAnsi" w:hAnsiTheme="minorHAnsi"/>
          <w:noProof/>
          <w:u w:val="single"/>
          <w:lang w:val="sq-AL"/>
        </w:rPr>
      </w:pPr>
    </w:p>
    <w:p w:rsidR="00DF693B" w:rsidRPr="004E355C" w:rsidRDefault="00DF693B" w:rsidP="00DF693B">
      <w:pPr>
        <w:tabs>
          <w:tab w:val="left" w:pos="2511"/>
          <w:tab w:val="center" w:pos="4680"/>
          <w:tab w:val="left" w:pos="9360"/>
        </w:tabs>
        <w:spacing w:line="276" w:lineRule="auto"/>
        <w:jc w:val="both"/>
        <w:rPr>
          <w:rFonts w:asciiTheme="minorHAnsi" w:hAnsiTheme="minorHAnsi" w:cstheme="minorHAnsi"/>
          <w:noProof/>
          <w:u w:val="single"/>
          <w:lang w:val="sq-AL"/>
        </w:rPr>
      </w:pPr>
      <w:r w:rsidRPr="004E355C">
        <w:rPr>
          <w:rFonts w:asciiTheme="minorHAnsi" w:hAnsiTheme="minorHAnsi" w:cstheme="minorHAnsi"/>
          <w:noProof/>
          <w:u w:val="single"/>
          <w:lang w:val="sq-AL"/>
        </w:rPr>
        <w:t>Faktorët kryesorë që kanë ndikuar në performancën e 5 mujorit kundrejt planit janë:</w:t>
      </w:r>
    </w:p>
    <w:p w:rsidR="00DF693B" w:rsidRPr="004E355C" w:rsidRDefault="00DF693B" w:rsidP="00B95810">
      <w:pPr>
        <w:pStyle w:val="ListParagraph"/>
        <w:numPr>
          <w:ilvl w:val="0"/>
          <w:numId w:val="3"/>
        </w:numPr>
        <w:tabs>
          <w:tab w:val="left" w:pos="2511"/>
          <w:tab w:val="center" w:pos="4680"/>
          <w:tab w:val="left" w:pos="9360"/>
        </w:tabs>
        <w:spacing w:line="276" w:lineRule="auto"/>
        <w:jc w:val="both"/>
        <w:rPr>
          <w:rFonts w:asciiTheme="minorHAnsi" w:hAnsiTheme="minorHAnsi" w:cstheme="minorHAnsi"/>
          <w:noProof/>
          <w:lang w:val="sq-AL"/>
        </w:rPr>
      </w:pPr>
      <w:r w:rsidRPr="004E355C">
        <w:rPr>
          <w:rFonts w:asciiTheme="minorHAnsi" w:hAnsiTheme="minorHAnsi" w:cstheme="minorHAnsi"/>
          <w:noProof/>
          <w:lang w:val="sq-AL"/>
        </w:rPr>
        <w:t>Përshpejtimi i rimbursimit të stokut të TVSH-së. Në 5 mujorin e parë 2019 janë rimbursuar 1.5 miliardë lekë, ose 27.5% më shumë se e njëjta periudhë e vitit të kaluar. Rritja e rimbursimeve ka impaktuar nivelin e realizimit të TVSH-së neto në buxhet.</w:t>
      </w:r>
    </w:p>
    <w:p w:rsidR="00DF693B" w:rsidRPr="004E355C" w:rsidRDefault="00DF693B" w:rsidP="00B95810">
      <w:pPr>
        <w:pStyle w:val="ListParagraph"/>
        <w:numPr>
          <w:ilvl w:val="0"/>
          <w:numId w:val="3"/>
        </w:numPr>
        <w:tabs>
          <w:tab w:val="left" w:pos="2511"/>
          <w:tab w:val="center" w:pos="4680"/>
          <w:tab w:val="left" w:pos="9360"/>
        </w:tabs>
        <w:spacing w:line="276" w:lineRule="auto"/>
        <w:jc w:val="both"/>
        <w:rPr>
          <w:rFonts w:asciiTheme="minorHAnsi" w:hAnsiTheme="minorHAnsi" w:cstheme="minorHAnsi"/>
          <w:noProof/>
          <w:lang w:val="en-GB"/>
        </w:rPr>
      </w:pPr>
      <w:r w:rsidRPr="004E355C">
        <w:rPr>
          <w:rFonts w:asciiTheme="minorHAnsi" w:hAnsiTheme="minorHAnsi" w:cstheme="minorHAnsi"/>
          <w:noProof/>
        </w:rPr>
        <w:t xml:space="preserve">Rënie e Kursit të këmbimit të monedhës EURO kundrejt monedhës vendase, përkatësisht në masën 5.3%, e cila ka dhënë efekte negative në uljen e të ardhurave nga TVSH-ja e importeve për disa kategori mallrash. </w:t>
      </w:r>
    </w:p>
    <w:p w:rsidR="00DF693B" w:rsidRPr="004E355C" w:rsidRDefault="00DF693B" w:rsidP="00B95810">
      <w:pPr>
        <w:pStyle w:val="ListParagraph"/>
        <w:numPr>
          <w:ilvl w:val="0"/>
          <w:numId w:val="3"/>
        </w:numPr>
        <w:tabs>
          <w:tab w:val="left" w:pos="2511"/>
          <w:tab w:val="center" w:pos="4680"/>
          <w:tab w:val="left" w:pos="9360"/>
        </w:tabs>
        <w:spacing w:line="276" w:lineRule="auto"/>
        <w:jc w:val="both"/>
        <w:rPr>
          <w:rFonts w:asciiTheme="minorHAnsi" w:hAnsiTheme="minorHAnsi" w:cstheme="minorHAnsi"/>
          <w:noProof/>
          <w:lang w:val="en-GB"/>
        </w:rPr>
      </w:pPr>
      <w:r w:rsidRPr="004E355C">
        <w:rPr>
          <w:rFonts w:asciiTheme="minorHAnsi" w:hAnsiTheme="minorHAnsi" w:cstheme="minorHAnsi"/>
          <w:noProof/>
        </w:rPr>
        <w:t>Rezultati pozitiv financiar i kompanive në vitin 2018, reflektoi rritjen e fitimit të tatueshëm dhe tatimit të paguar nga ana e tyre në vitin 2019.</w:t>
      </w:r>
    </w:p>
    <w:p w:rsidR="004C6C15" w:rsidRPr="004E355C" w:rsidRDefault="00DF693B" w:rsidP="00B95810">
      <w:pPr>
        <w:pStyle w:val="ListParagraph"/>
        <w:numPr>
          <w:ilvl w:val="0"/>
          <w:numId w:val="3"/>
        </w:numPr>
        <w:tabs>
          <w:tab w:val="left" w:pos="2511"/>
          <w:tab w:val="center" w:pos="4680"/>
          <w:tab w:val="left" w:pos="9360"/>
        </w:tabs>
        <w:spacing w:line="276" w:lineRule="auto"/>
        <w:jc w:val="both"/>
        <w:rPr>
          <w:rFonts w:asciiTheme="minorHAnsi" w:hAnsiTheme="minorHAnsi"/>
          <w:noProof/>
          <w:lang w:val="sq-AL"/>
        </w:rPr>
      </w:pPr>
      <w:r w:rsidRPr="004E355C">
        <w:rPr>
          <w:rFonts w:asciiTheme="minorHAnsi" w:hAnsiTheme="minorHAnsi" w:cstheme="minorHAnsi"/>
          <w:noProof/>
        </w:rPr>
        <w:t>Rritja e të ardhurave nga tatimi mbi dividendin, e lidhur kjo edhe me ndryshim e politikës fiskale për uljen e normës së tatimit nga 15% në 8%</w:t>
      </w:r>
      <w:r w:rsidR="004C6C15" w:rsidRPr="004E355C">
        <w:rPr>
          <w:rFonts w:asciiTheme="minorHAnsi" w:hAnsiTheme="minorHAnsi"/>
          <w:noProof/>
          <w:lang w:val="sq-AL"/>
        </w:rPr>
        <w:t xml:space="preserve">.  </w:t>
      </w:r>
      <w:r w:rsidR="004C6C15" w:rsidRPr="004E355C">
        <w:rPr>
          <w:color w:val="1F497D"/>
          <w:lang w:val="sq-AL"/>
        </w:rPr>
        <w:t xml:space="preserve"> </w:t>
      </w:r>
    </w:p>
    <w:p w:rsidR="00A426D6" w:rsidRPr="004E355C" w:rsidRDefault="00A426D6" w:rsidP="00223C96">
      <w:pPr>
        <w:spacing w:before="240" w:line="276" w:lineRule="auto"/>
        <w:rPr>
          <w:rFonts w:asciiTheme="minorHAnsi" w:hAnsiTheme="minorHAnsi"/>
          <w:b/>
          <w:noProof/>
          <w:lang w:val="sq-AL"/>
        </w:rPr>
      </w:pPr>
      <w:r w:rsidRPr="004E355C">
        <w:rPr>
          <w:rFonts w:asciiTheme="minorHAnsi" w:hAnsiTheme="minorHAnsi"/>
          <w:b/>
          <w:noProof/>
          <w:lang w:val="sq-AL"/>
        </w:rPr>
        <w:t>Performanca e të ardhurave tatimore dhe doganore kundrejt planit 201</w:t>
      </w:r>
      <w:r w:rsidR="00DF693B" w:rsidRPr="004E355C">
        <w:rPr>
          <w:rFonts w:asciiTheme="minorHAnsi" w:hAnsiTheme="minorHAnsi"/>
          <w:b/>
          <w:noProof/>
          <w:lang w:val="sq-AL"/>
        </w:rPr>
        <w:t>9</w:t>
      </w:r>
    </w:p>
    <w:p w:rsidR="00DF693B" w:rsidRPr="004E355C" w:rsidRDefault="00DF693B" w:rsidP="00DF693B">
      <w:pPr>
        <w:tabs>
          <w:tab w:val="left" w:pos="2511"/>
          <w:tab w:val="center" w:pos="4680"/>
          <w:tab w:val="left" w:pos="9360"/>
        </w:tabs>
        <w:spacing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“Tatimet dhe Doganat” për periudhën Janar-Maj 2019 paraqiten me një realizim në masën 98.3% ose 2.9 miliardë lekë më pak se plani i periudhës. Performanca sipas taksave paraqitet si vijon:</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 xml:space="preserve">Të ardhurat nga “T.V.SH-ja” në total, janë realizuar në vlerën 55 miliardë lekë, 7.3% ose 4.3 miliardë lekë më pak se plani i periudhës. </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“Tatimi mbi Fitimin”, janë realizuar në vlerën 17.7 miliardë lekë, 12.5% ose 2 miliardë lekë më shumë se plani i periudhës.</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“Akciza”, janë realizuar në vlerën 17 miliardë lekë, 0.6% ose 97 milionë lekë më pak se plani i periudhës.</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“Tatimi mbi të Ardhurat Personale”, janë realizuar në vlerën 18.4 miliardë lekë, 11.1% ose 1.8 miliardë lekë më shumë se plani i periudhës.</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“Taksat Nacionale dhe të tjera” janë realizuar në vlerën 14 miliardë lekë, 12.4% ose 2 miliardë lekë më pak se plani i perudhës.</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“Taksat Doganore” janë realizuar në vlerën 2.6 miliardë lekë, 9.2% ose 260 milionë lekë më pak se plani i periudhës.</w:t>
      </w:r>
    </w:p>
    <w:p w:rsidR="00DF693B" w:rsidRPr="004E355C" w:rsidRDefault="00DF693B" w:rsidP="00B95810">
      <w:pPr>
        <w:pStyle w:val="ListParagraph"/>
        <w:numPr>
          <w:ilvl w:val="0"/>
          <w:numId w:val="3"/>
        </w:numPr>
        <w:tabs>
          <w:tab w:val="left" w:pos="2511"/>
          <w:tab w:val="center" w:pos="4680"/>
          <w:tab w:val="left" w:pos="9360"/>
        </w:tabs>
        <w:spacing w:after="200" w:line="276" w:lineRule="auto"/>
        <w:jc w:val="both"/>
        <w:rPr>
          <w:rFonts w:asciiTheme="minorHAnsi" w:hAnsiTheme="minorHAnsi" w:cstheme="minorHAnsi"/>
          <w:noProof/>
          <w:lang w:val="sq-AL"/>
        </w:rPr>
      </w:pPr>
      <w:r w:rsidRPr="004E355C">
        <w:rPr>
          <w:rFonts w:asciiTheme="minorHAnsi" w:hAnsiTheme="minorHAnsi" w:cstheme="minorHAnsi"/>
          <w:noProof/>
          <w:lang w:val="sq-AL"/>
        </w:rPr>
        <w:t>Të ardhurat nga “Kontributet e Sigurimeve Shoqërore dhe Shëndetësore” janë realizuar në vlerën 40.4 miliardë lekë, realizim në masën 100% kundrejt planit të periudhës.</w:t>
      </w:r>
    </w:p>
    <w:p w:rsidR="004C6C15" w:rsidRPr="004E355C" w:rsidRDefault="00DF693B" w:rsidP="00DF693B">
      <w:pPr>
        <w:pStyle w:val="NormalWeb"/>
        <w:spacing w:before="0" w:beforeAutospacing="0" w:after="0" w:afterAutospacing="0" w:line="276" w:lineRule="auto"/>
        <w:jc w:val="both"/>
        <w:rPr>
          <w:rFonts w:asciiTheme="minorHAnsi" w:hAnsiTheme="minorHAnsi"/>
          <w:bCs/>
          <w:lang w:val="sq-AL"/>
        </w:rPr>
      </w:pPr>
      <w:r w:rsidRPr="004E355C">
        <w:rPr>
          <w:rFonts w:asciiTheme="minorHAnsi" w:hAnsiTheme="minorHAnsi" w:cstheme="minorHAnsi"/>
          <w:bCs/>
          <w:lang w:val="sq-AL"/>
        </w:rPr>
        <w:lastRenderedPageBreak/>
        <w:t>Importi i taksuar arriti në vlerën 202 miliardë lekë, ndërsa eksportet total arritën në vlerën 131.4 miliardë lekë. Krahasuar me të njëtën periudhë të vitit të kaluar importi i taksuar u rrit me 9.8 miliardë lekë ose 5%, dhe eksporti total pothuajse në të njëjtin nivel me vitin e kaluar. Sipas orientimit gjeografik, vendet Europiane, veçanërisht Italia mbeten partnerët kryesorë në shkëmbimet tregtare</w:t>
      </w:r>
      <w:r w:rsidR="004C6C15" w:rsidRPr="004E355C">
        <w:rPr>
          <w:rFonts w:asciiTheme="minorHAnsi" w:hAnsiTheme="minorHAnsi"/>
          <w:bCs/>
          <w:lang w:val="sq-AL"/>
        </w:rPr>
        <w:t xml:space="preserve">. </w:t>
      </w:r>
    </w:p>
    <w:p w:rsidR="00A426D6" w:rsidRPr="002326C7" w:rsidRDefault="00A426D6" w:rsidP="00A426D6">
      <w:pPr>
        <w:pStyle w:val="NormalWeb"/>
        <w:spacing w:before="0" w:beforeAutospacing="0" w:after="0" w:afterAutospacing="0" w:line="276" w:lineRule="auto"/>
        <w:jc w:val="both"/>
        <w:rPr>
          <w:rFonts w:asciiTheme="minorHAnsi" w:hAnsiTheme="minorHAnsi"/>
          <w:sz w:val="8"/>
          <w:szCs w:val="8"/>
          <w:lang w:val="sq-AL"/>
        </w:rPr>
      </w:pPr>
    </w:p>
    <w:p w:rsidR="00A426D6" w:rsidRPr="004E355C" w:rsidRDefault="00E6614B" w:rsidP="005D4A49">
      <w:pPr>
        <w:pStyle w:val="Caption"/>
        <w:keepNext/>
        <w:jc w:val="both"/>
        <w:rPr>
          <w:rFonts w:asciiTheme="minorHAnsi" w:hAnsiTheme="minorHAnsi"/>
          <w:b w:val="0"/>
          <w:bCs w:val="0"/>
          <w:i/>
          <w:color w:val="auto"/>
          <w:sz w:val="24"/>
          <w:szCs w:val="24"/>
          <w:lang w:val="sq-AL"/>
        </w:rPr>
      </w:pPr>
      <w:bookmarkStart w:id="9" w:name="_Toc12448428"/>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Import i Taksuar dhe Eksport Total 201</w:t>
      </w:r>
      <w:r w:rsidR="00DF693B"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/201</w:t>
      </w:r>
      <w:r w:rsidR="00DF693B" w:rsidRPr="004E355C">
        <w:rPr>
          <w:rFonts w:asciiTheme="minorHAnsi" w:hAnsiTheme="minorHAnsi"/>
          <w:b w:val="0"/>
          <w:bCs w:val="0"/>
          <w:i/>
          <w:color w:val="auto"/>
          <w:sz w:val="24"/>
          <w:szCs w:val="24"/>
          <w:lang w:val="sq-AL"/>
        </w:rPr>
        <w:t>8 (në miliard</w:t>
      </w:r>
      <w:r w:rsidRPr="004E355C">
        <w:rPr>
          <w:rFonts w:asciiTheme="minorHAnsi" w:hAnsiTheme="minorHAnsi"/>
          <w:b w:val="0"/>
          <w:bCs w:val="0"/>
          <w:i/>
          <w:color w:val="auto"/>
          <w:sz w:val="24"/>
          <w:szCs w:val="24"/>
          <w:lang w:val="sq-AL"/>
        </w:rPr>
        <w:t>lekë)</w:t>
      </w:r>
      <w:bookmarkEnd w:id="9"/>
    </w:p>
    <w:p w:rsidR="00A426D6" w:rsidRPr="004E355C" w:rsidRDefault="00DF693B" w:rsidP="00223C96">
      <w:pPr>
        <w:pStyle w:val="NormalWeb"/>
        <w:spacing w:before="0" w:beforeAutospacing="0" w:after="0" w:afterAutospacing="0" w:line="276" w:lineRule="auto"/>
        <w:jc w:val="center"/>
        <w:rPr>
          <w:rFonts w:asciiTheme="minorHAnsi" w:hAnsiTheme="minorHAnsi"/>
          <w:bCs/>
          <w:lang w:val="sq-AL"/>
        </w:rPr>
      </w:pPr>
      <w:r w:rsidRPr="004E355C">
        <w:rPr>
          <w:rFonts w:asciiTheme="minorHAnsi" w:hAnsiTheme="minorHAnsi" w:cstheme="minorHAnsi"/>
          <w:noProof/>
        </w:rPr>
        <w:drawing>
          <wp:inline distT="0" distB="0" distL="0" distR="0" wp14:anchorId="260AB4F6" wp14:editId="03CD0C86">
            <wp:extent cx="5227320" cy="1584960"/>
            <wp:effectExtent l="0" t="0" r="11430" b="1524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C6C15" w:rsidRPr="004E355C" w:rsidRDefault="004C6C15" w:rsidP="004C6C15">
      <w:pPr>
        <w:tabs>
          <w:tab w:val="left" w:pos="1440"/>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ab/>
      </w:r>
      <w:r w:rsidR="00B24B3B" w:rsidRPr="004E355C">
        <w:rPr>
          <w:rFonts w:asciiTheme="minorHAnsi" w:hAnsiTheme="minorHAnsi"/>
          <w:i/>
          <w:noProof/>
          <w:sz w:val="20"/>
          <w:szCs w:val="20"/>
          <w:lang w:val="sq-AL"/>
        </w:rPr>
        <w:t>Burimi: Ministria e Financave dhe Ekonomisë (2019)</w:t>
      </w:r>
    </w:p>
    <w:p w:rsidR="00A426D6" w:rsidRPr="004E355C" w:rsidRDefault="00A426D6" w:rsidP="004C6C15">
      <w:pPr>
        <w:tabs>
          <w:tab w:val="left" w:pos="2511"/>
          <w:tab w:val="left" w:pos="4500"/>
          <w:tab w:val="left" w:pos="4590"/>
          <w:tab w:val="center" w:pos="4680"/>
          <w:tab w:val="left" w:pos="4770"/>
          <w:tab w:val="left" w:pos="4860"/>
        </w:tabs>
        <w:spacing w:before="240" w:line="276" w:lineRule="auto"/>
        <w:jc w:val="both"/>
        <w:rPr>
          <w:rFonts w:asciiTheme="minorHAnsi" w:hAnsiTheme="minorHAnsi"/>
          <w:lang w:val="sq-AL"/>
        </w:rPr>
      </w:pPr>
      <w:r w:rsidRPr="004E355C">
        <w:rPr>
          <w:rFonts w:asciiTheme="minorHAnsi" w:hAnsiTheme="minorHAnsi"/>
          <w:b/>
          <w:bCs/>
          <w:lang w:val="sq-AL"/>
        </w:rPr>
        <w:t>Të Ardhurat Doganore</w:t>
      </w:r>
      <w:r w:rsidRPr="004E355C">
        <w:rPr>
          <w:rFonts w:asciiTheme="minorHAnsi" w:hAnsiTheme="minorHAnsi"/>
          <w:bCs/>
          <w:lang w:val="sq-AL"/>
        </w:rPr>
        <w:t xml:space="preserve"> – </w:t>
      </w:r>
      <w:r w:rsidR="00DF693B" w:rsidRPr="004E355C">
        <w:rPr>
          <w:rFonts w:asciiTheme="minorHAnsi" w:hAnsiTheme="minorHAnsi" w:cstheme="minorHAnsi"/>
        </w:rPr>
        <w:t>Të ardhurat e mbledhura nga administrata doganore për 5 mujorin e vitit 2019 janë realizuar në vlerën 62.8 miliardë lekë, pothuajse në të njëjtin nivel me vitin e kaluar dhe mosrealizim ndaj parashikimit në masën -3.2% ose -2 miliardë lekë</w:t>
      </w:r>
      <w:r w:rsidRPr="004E355C">
        <w:rPr>
          <w:rFonts w:asciiTheme="minorHAnsi" w:hAnsiTheme="minorHAnsi"/>
          <w:lang w:val="sq-AL"/>
        </w:rPr>
        <w:t>.</w:t>
      </w:r>
    </w:p>
    <w:p w:rsidR="00E6614B" w:rsidRPr="004E355C" w:rsidRDefault="00E6614B" w:rsidP="00A426D6">
      <w:pPr>
        <w:tabs>
          <w:tab w:val="left" w:pos="1260"/>
          <w:tab w:val="center" w:pos="4680"/>
          <w:tab w:val="left" w:pos="9360"/>
        </w:tabs>
        <w:spacing w:line="276" w:lineRule="auto"/>
        <w:jc w:val="both"/>
        <w:rPr>
          <w:rFonts w:asciiTheme="minorHAnsi" w:eastAsia="SimSun" w:hAnsiTheme="minorHAnsi"/>
          <w:i/>
          <w:sz w:val="8"/>
          <w:szCs w:val="8"/>
          <w:lang w:val="sq-AL"/>
        </w:rPr>
      </w:pPr>
    </w:p>
    <w:p w:rsidR="00E6614B" w:rsidRPr="004E355C" w:rsidRDefault="00E6614B" w:rsidP="005D4A49">
      <w:pPr>
        <w:pStyle w:val="Caption"/>
        <w:keepNext/>
        <w:jc w:val="both"/>
        <w:rPr>
          <w:rFonts w:asciiTheme="minorHAnsi" w:hAnsiTheme="minorHAnsi"/>
          <w:b w:val="0"/>
          <w:bCs w:val="0"/>
          <w:i/>
          <w:color w:val="auto"/>
          <w:sz w:val="24"/>
          <w:szCs w:val="24"/>
          <w:lang w:val="sq-AL"/>
        </w:rPr>
      </w:pPr>
      <w:bookmarkStart w:id="10" w:name="_Toc12448429"/>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w:t>
      </w:r>
      <w:r w:rsidRPr="004E355C">
        <w:rPr>
          <w:rFonts w:asciiTheme="minorHAnsi" w:hAnsiTheme="minorHAnsi"/>
          <w:b w:val="0"/>
          <w:bCs w:val="0"/>
          <w:i/>
          <w:color w:val="auto"/>
          <w:sz w:val="24"/>
          <w:szCs w:val="24"/>
          <w:lang w:val="sq-AL"/>
        </w:rPr>
        <w:fldChar w:fldCharType="end"/>
      </w:r>
      <w:r w:rsidR="00E27968" w:rsidRPr="004E355C">
        <w:rPr>
          <w:rFonts w:asciiTheme="minorHAnsi" w:hAnsiTheme="minorHAnsi"/>
          <w:b w:val="0"/>
          <w:bCs w:val="0"/>
          <w:i/>
          <w:color w:val="auto"/>
          <w:sz w:val="24"/>
          <w:szCs w:val="24"/>
          <w:lang w:val="sq-AL"/>
        </w:rPr>
        <w:t xml:space="preserve">: </w:t>
      </w:r>
      <w:r w:rsidRPr="004E355C">
        <w:rPr>
          <w:rFonts w:asciiTheme="minorHAnsi" w:hAnsiTheme="minorHAnsi"/>
          <w:b w:val="0"/>
          <w:bCs w:val="0"/>
          <w:i/>
          <w:color w:val="auto"/>
          <w:sz w:val="24"/>
          <w:szCs w:val="24"/>
          <w:lang w:val="sq-AL"/>
        </w:rPr>
        <w:t>Të ardhurat Doganore për Janar- Maj 201</w:t>
      </w:r>
      <w:r w:rsidR="00DF693B"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 mujore dhe progresive (në milion lekë)</w:t>
      </w:r>
      <w:bookmarkEnd w:id="10"/>
    </w:p>
    <w:p w:rsidR="00414702" w:rsidRPr="004E355C" w:rsidRDefault="00DF693B" w:rsidP="00414702">
      <w:pPr>
        <w:tabs>
          <w:tab w:val="left" w:pos="1260"/>
          <w:tab w:val="center" w:pos="4680"/>
          <w:tab w:val="left" w:pos="9360"/>
        </w:tabs>
        <w:spacing w:line="276" w:lineRule="auto"/>
        <w:jc w:val="center"/>
        <w:rPr>
          <w:rFonts w:asciiTheme="minorHAnsi" w:eastAsia="SimSun" w:hAnsiTheme="minorHAnsi"/>
          <w:lang w:val="sq-AL"/>
        </w:rPr>
      </w:pPr>
      <w:r w:rsidRPr="004E355C">
        <w:rPr>
          <w:rFonts w:asciiTheme="minorHAnsi" w:eastAsia="SimSun" w:hAnsiTheme="minorHAnsi" w:cstheme="minorHAnsi"/>
          <w:noProof/>
        </w:rPr>
        <w:drawing>
          <wp:inline distT="0" distB="0" distL="0" distR="0" wp14:anchorId="6C662B45" wp14:editId="2696F7EB">
            <wp:extent cx="3009900" cy="1554480"/>
            <wp:effectExtent l="0" t="0" r="0" b="762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4E355C">
        <w:rPr>
          <w:rFonts w:asciiTheme="minorHAnsi" w:eastAsia="SimSun" w:hAnsiTheme="minorHAnsi"/>
          <w:lang w:val="sq-AL"/>
        </w:rPr>
        <w:t xml:space="preserve">  </w:t>
      </w:r>
      <w:r w:rsidRPr="004E355C">
        <w:rPr>
          <w:rFonts w:asciiTheme="minorHAnsi" w:eastAsia="SimSun" w:hAnsiTheme="minorHAnsi" w:cstheme="minorHAnsi"/>
          <w:noProof/>
        </w:rPr>
        <w:drawing>
          <wp:inline distT="0" distB="0" distL="0" distR="0" wp14:anchorId="08B1C3F9" wp14:editId="26B7D384">
            <wp:extent cx="2905125" cy="1516380"/>
            <wp:effectExtent l="0" t="0" r="9525" b="7620"/>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426D6" w:rsidRPr="004E355C" w:rsidRDefault="00414702" w:rsidP="00A426D6">
      <w:pPr>
        <w:tabs>
          <w:tab w:val="left" w:pos="2511"/>
          <w:tab w:val="center" w:pos="4680"/>
          <w:tab w:val="left" w:pos="9360"/>
        </w:tabs>
        <w:spacing w:line="276" w:lineRule="auto"/>
        <w:jc w:val="both"/>
        <w:rPr>
          <w:rFonts w:asciiTheme="minorHAnsi" w:hAnsiTheme="minorHAnsi"/>
          <w:i/>
          <w:noProof/>
          <w:sz w:val="20"/>
          <w:szCs w:val="20"/>
          <w:lang w:val="sq-AL"/>
        </w:rPr>
      </w:pPr>
      <w:r w:rsidRPr="004E355C">
        <w:rPr>
          <w:rFonts w:asciiTheme="minorHAnsi" w:hAnsiTheme="minorHAnsi"/>
          <w:i/>
          <w:noProof/>
          <w:sz w:val="20"/>
          <w:szCs w:val="20"/>
          <w:lang w:val="sq-AL"/>
        </w:rPr>
        <w:t xml:space="preserve">      </w:t>
      </w:r>
      <w:r w:rsidR="00B24B3B" w:rsidRPr="004E355C">
        <w:rPr>
          <w:rFonts w:asciiTheme="minorHAnsi" w:hAnsiTheme="minorHAnsi"/>
          <w:i/>
          <w:noProof/>
          <w:sz w:val="20"/>
          <w:szCs w:val="20"/>
          <w:lang w:val="sq-AL"/>
        </w:rPr>
        <w:t>Burimi: Ministria e Financave dhe Ekonomisë (2019)</w:t>
      </w:r>
    </w:p>
    <w:p w:rsidR="00DF693B" w:rsidRPr="004E355C" w:rsidRDefault="00DF693B" w:rsidP="0046789C">
      <w:pPr>
        <w:tabs>
          <w:tab w:val="left" w:pos="2511"/>
          <w:tab w:val="center" w:pos="4680"/>
        </w:tabs>
        <w:spacing w:before="240" w:line="276" w:lineRule="auto"/>
        <w:jc w:val="both"/>
        <w:rPr>
          <w:rFonts w:asciiTheme="minorHAnsi" w:hAnsiTheme="minorHAnsi"/>
          <w:lang w:val="sq-AL"/>
        </w:rPr>
      </w:pPr>
      <w:r w:rsidRPr="004E355C">
        <w:rPr>
          <w:rFonts w:asciiTheme="minorHAnsi" w:hAnsiTheme="minorHAnsi" w:cstheme="minorHAnsi"/>
          <w:lang w:val="sq-AL"/>
        </w:rPr>
        <w:t>Kontribuesit kryesor me efekt pozitiv në të ardhurat doganore janë importi i energjisë elektrike, karburanti prodhim vendi, importi i cigareve etj</w:t>
      </w:r>
      <w:r w:rsidR="0046789C" w:rsidRPr="004E355C">
        <w:rPr>
          <w:rFonts w:asciiTheme="minorHAnsi" w:hAnsiTheme="minorHAnsi"/>
          <w:lang w:val="sq-AL"/>
        </w:rPr>
        <w:t xml:space="preserve">. </w:t>
      </w:r>
    </w:p>
    <w:p w:rsidR="00DF693B" w:rsidRPr="004E355C" w:rsidRDefault="00DF693B" w:rsidP="00DF693B">
      <w:pPr>
        <w:tabs>
          <w:tab w:val="left" w:pos="2511"/>
          <w:tab w:val="center" w:pos="4680"/>
        </w:tabs>
        <w:spacing w:line="276" w:lineRule="auto"/>
        <w:jc w:val="both"/>
        <w:rPr>
          <w:rFonts w:asciiTheme="minorHAnsi" w:hAnsiTheme="minorHAnsi"/>
          <w:sz w:val="16"/>
          <w:lang w:val="sq-AL"/>
        </w:rPr>
      </w:pPr>
    </w:p>
    <w:p w:rsidR="00E6614B" w:rsidRPr="004E355C" w:rsidRDefault="00E6614B" w:rsidP="005D4A49">
      <w:pPr>
        <w:pStyle w:val="Caption"/>
        <w:keepNext/>
        <w:jc w:val="both"/>
        <w:rPr>
          <w:rFonts w:asciiTheme="minorHAnsi" w:hAnsiTheme="minorHAnsi"/>
          <w:b w:val="0"/>
          <w:bCs w:val="0"/>
          <w:i/>
          <w:color w:val="auto"/>
          <w:sz w:val="24"/>
          <w:szCs w:val="24"/>
          <w:lang w:val="sq-AL"/>
        </w:rPr>
      </w:pPr>
      <w:bookmarkStart w:id="11" w:name="_Toc12448430"/>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w:t>
      </w:r>
      <w:r w:rsidRPr="004E355C">
        <w:rPr>
          <w:rFonts w:asciiTheme="minorHAnsi" w:hAnsiTheme="minorHAnsi"/>
          <w:b w:val="0"/>
          <w:bCs w:val="0"/>
          <w:i/>
          <w:color w:val="auto"/>
          <w:sz w:val="24"/>
          <w:szCs w:val="24"/>
          <w:lang w:val="sq-AL"/>
        </w:rPr>
        <w:fldChar w:fldCharType="end"/>
      </w:r>
      <w:r w:rsidR="00E27968" w:rsidRPr="004E355C">
        <w:rPr>
          <w:rFonts w:asciiTheme="minorHAnsi" w:hAnsiTheme="minorHAnsi"/>
          <w:b w:val="0"/>
          <w:bCs w:val="0"/>
          <w:i/>
          <w:color w:val="auto"/>
          <w:sz w:val="24"/>
          <w:szCs w:val="24"/>
          <w:lang w:val="sq-AL"/>
        </w:rPr>
        <w:t xml:space="preserve">: </w:t>
      </w:r>
      <w:r w:rsidRPr="004E355C">
        <w:rPr>
          <w:rFonts w:asciiTheme="minorHAnsi" w:hAnsiTheme="minorHAnsi"/>
          <w:b w:val="0"/>
          <w:bCs w:val="0"/>
          <w:i/>
          <w:color w:val="auto"/>
          <w:sz w:val="24"/>
          <w:szCs w:val="24"/>
          <w:lang w:val="sq-AL"/>
        </w:rPr>
        <w:t>Kontribuesit kryesor në të a</w:t>
      </w:r>
      <w:r w:rsidR="00DF693B" w:rsidRPr="004E355C">
        <w:rPr>
          <w:rFonts w:asciiTheme="minorHAnsi" w:hAnsiTheme="minorHAnsi"/>
          <w:b w:val="0"/>
          <w:bCs w:val="0"/>
          <w:i/>
          <w:color w:val="auto"/>
          <w:sz w:val="24"/>
          <w:szCs w:val="24"/>
          <w:lang w:val="sq-AL"/>
        </w:rPr>
        <w:t>rdhurat doganore Janar- Maj 2019</w:t>
      </w:r>
      <w:r w:rsidRPr="004E355C">
        <w:rPr>
          <w:rFonts w:asciiTheme="minorHAnsi" w:hAnsiTheme="minorHAnsi"/>
          <w:b w:val="0"/>
          <w:bCs w:val="0"/>
          <w:i/>
          <w:color w:val="auto"/>
          <w:sz w:val="24"/>
          <w:szCs w:val="24"/>
          <w:lang w:val="sq-AL"/>
        </w:rPr>
        <w:t>/201</w:t>
      </w:r>
      <w:r w:rsidR="00DF693B" w:rsidRPr="004E355C">
        <w:rPr>
          <w:rFonts w:asciiTheme="minorHAnsi" w:hAnsiTheme="minorHAnsi"/>
          <w:b w:val="0"/>
          <w:bCs w:val="0"/>
          <w:i/>
          <w:color w:val="auto"/>
          <w:sz w:val="24"/>
          <w:szCs w:val="24"/>
          <w:lang w:val="sq-AL"/>
        </w:rPr>
        <w:t>8</w:t>
      </w:r>
      <w:r w:rsidRPr="004E355C">
        <w:rPr>
          <w:rFonts w:asciiTheme="minorHAnsi" w:hAnsiTheme="minorHAnsi"/>
          <w:b w:val="0"/>
          <w:bCs w:val="0"/>
          <w:i/>
          <w:color w:val="auto"/>
          <w:sz w:val="24"/>
          <w:szCs w:val="24"/>
          <w:lang w:val="sq-AL"/>
        </w:rPr>
        <w:t xml:space="preserve"> (në milion lekë)</w:t>
      </w:r>
      <w:bookmarkEnd w:id="11"/>
    </w:p>
    <w:p w:rsidR="00A426D6" w:rsidRPr="004E355C" w:rsidRDefault="00DF693B" w:rsidP="0046789C">
      <w:pPr>
        <w:tabs>
          <w:tab w:val="left" w:pos="1260"/>
          <w:tab w:val="center" w:pos="4680"/>
          <w:tab w:val="left" w:pos="9360"/>
        </w:tabs>
        <w:spacing w:line="276" w:lineRule="auto"/>
        <w:jc w:val="center"/>
        <w:rPr>
          <w:rFonts w:asciiTheme="minorHAnsi" w:eastAsia="SimSun" w:hAnsiTheme="minorHAnsi"/>
          <w:lang w:val="sq-AL"/>
        </w:rPr>
      </w:pPr>
      <w:r w:rsidRPr="004E355C">
        <w:rPr>
          <w:rFonts w:asciiTheme="minorHAnsi" w:eastAsia="SimSun" w:hAnsiTheme="minorHAnsi" w:cstheme="minorHAnsi"/>
          <w:noProof/>
        </w:rPr>
        <w:drawing>
          <wp:inline distT="0" distB="0" distL="0" distR="0" wp14:anchorId="753A414C" wp14:editId="56E7F259">
            <wp:extent cx="6000750" cy="1722120"/>
            <wp:effectExtent l="0" t="0" r="0" b="11430"/>
            <wp:docPr id="289" name="Chart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426D6" w:rsidRPr="004E355C" w:rsidRDefault="0046789C" w:rsidP="00A426D6">
      <w:pPr>
        <w:tabs>
          <w:tab w:val="left" w:pos="2511"/>
          <w:tab w:val="center" w:pos="4680"/>
          <w:tab w:val="left" w:pos="9360"/>
        </w:tabs>
        <w:spacing w:line="276" w:lineRule="auto"/>
        <w:jc w:val="both"/>
        <w:rPr>
          <w:rStyle w:val="Strong"/>
          <w:rFonts w:asciiTheme="minorHAnsi" w:hAnsiTheme="minorHAnsi"/>
          <w:b w:val="0"/>
          <w:bCs w:val="0"/>
          <w:i/>
          <w:noProof/>
          <w:sz w:val="20"/>
          <w:szCs w:val="20"/>
          <w:lang w:val="sq-AL"/>
        </w:rPr>
      </w:pPr>
      <w:r w:rsidRPr="004E355C">
        <w:rPr>
          <w:rFonts w:asciiTheme="minorHAnsi" w:hAnsiTheme="minorHAnsi"/>
          <w:i/>
          <w:noProof/>
          <w:sz w:val="20"/>
          <w:szCs w:val="20"/>
          <w:lang w:val="sq-AL"/>
        </w:rPr>
        <w:t xml:space="preserve">    </w:t>
      </w:r>
      <w:r w:rsidR="00B24B3B" w:rsidRPr="004E355C">
        <w:rPr>
          <w:rFonts w:asciiTheme="minorHAnsi" w:hAnsiTheme="minorHAnsi"/>
          <w:i/>
          <w:noProof/>
          <w:sz w:val="20"/>
          <w:szCs w:val="20"/>
          <w:lang w:val="sq-AL"/>
        </w:rPr>
        <w:t>Burimi: Ministria e Financave dhe Ekonomisë (2019)</w:t>
      </w:r>
    </w:p>
    <w:p w:rsidR="00DB4505" w:rsidRPr="004E355C" w:rsidRDefault="00DB4505" w:rsidP="00DB4505">
      <w:pPr>
        <w:pStyle w:val="NormalWeb"/>
        <w:spacing w:before="240" w:beforeAutospacing="0" w:after="0" w:afterAutospacing="0" w:line="276" w:lineRule="auto"/>
        <w:jc w:val="both"/>
        <w:rPr>
          <w:rFonts w:asciiTheme="minorHAnsi" w:hAnsiTheme="minorHAnsi" w:cstheme="minorHAnsi"/>
          <w:lang w:val="it-IT"/>
        </w:rPr>
      </w:pPr>
      <w:r w:rsidRPr="004E355C">
        <w:rPr>
          <w:rStyle w:val="Strong"/>
          <w:rFonts w:asciiTheme="minorHAnsi" w:eastAsia="Calibri" w:hAnsiTheme="minorHAnsi" w:cstheme="minorHAnsi"/>
          <w:b w:val="0"/>
          <w:i/>
          <w:lang w:val="it-IT"/>
        </w:rPr>
        <w:lastRenderedPageBreak/>
        <w:t>Të ardhurat nga taksa doganore</w:t>
      </w:r>
      <w:r w:rsidRPr="004E355C">
        <w:rPr>
          <w:rFonts w:asciiTheme="minorHAnsi" w:hAnsiTheme="minorHAnsi" w:cstheme="minorHAnsi"/>
          <w:lang w:val="it-IT"/>
        </w:rPr>
        <w:t xml:space="preserve"> janë realizuar në vlerën 2.6 miliardë lekë, 5.2% ose 126 milionë lekë më shumë se 5 mujori i vitit 2018, dhe 9.2% ose 260 milionë lekë më pak se plani.</w:t>
      </w:r>
      <w:r w:rsidRPr="004E355C">
        <w:rPr>
          <w:rFonts w:asciiTheme="minorHAnsi" w:eastAsiaTheme="minorEastAsia" w:hAnsiTheme="minorHAnsi" w:cstheme="minorHAnsi"/>
          <w:color w:val="000000" w:themeColor="text1"/>
          <w:kern w:val="24"/>
          <w:lang w:val="it-IT"/>
        </w:rPr>
        <w:t xml:space="preserve"> </w:t>
      </w:r>
      <w:r w:rsidRPr="004E355C">
        <w:rPr>
          <w:rFonts w:asciiTheme="minorHAnsi" w:hAnsiTheme="minorHAnsi" w:cstheme="minorHAnsi"/>
          <w:lang w:val="it-IT"/>
        </w:rPr>
        <w:t>Importi i taksuar është rritur me 5.2% krahasuar me periudhën Janar – Maj 2018.</w:t>
      </w:r>
    </w:p>
    <w:p w:rsidR="00A426D6" w:rsidRPr="004E355C" w:rsidRDefault="00DB4505" w:rsidP="002326C7">
      <w:pPr>
        <w:pStyle w:val="NormalWeb"/>
        <w:spacing w:before="240" w:beforeAutospacing="0" w:after="0" w:afterAutospacing="0" w:line="276" w:lineRule="auto"/>
        <w:jc w:val="both"/>
        <w:rPr>
          <w:rFonts w:asciiTheme="minorHAnsi" w:hAnsiTheme="minorHAnsi"/>
          <w:lang w:val="sq-AL"/>
        </w:rPr>
      </w:pPr>
      <w:r w:rsidRPr="004E355C">
        <w:rPr>
          <w:rFonts w:asciiTheme="minorHAnsi" w:hAnsiTheme="minorHAnsi" w:cstheme="minorHAnsi"/>
          <w:i/>
        </w:rPr>
        <w:t>Të ardhurat nga akciza</w:t>
      </w:r>
      <w:r w:rsidRPr="004E355C">
        <w:rPr>
          <w:rFonts w:asciiTheme="minorHAnsi" w:hAnsiTheme="minorHAnsi" w:cstheme="minorHAnsi"/>
        </w:rPr>
        <w:t xml:space="preserve"> janë realizuar në vlerën 17 miliardë lekë, 2.1% ose 355 milionë lekë më shumë se 5 mujori i vitit 2018, dhe 0.6% ose 97 milionë lekë më pak se plani. Ndikim kryesor ka pasur </w:t>
      </w:r>
      <w:r w:rsidRPr="004E355C">
        <w:rPr>
          <w:rFonts w:asciiTheme="minorHAnsi" w:hAnsiTheme="minorHAnsi" w:cstheme="minorHAnsi"/>
          <w:lang w:val="it-IT"/>
        </w:rPr>
        <w:t>importi dhe prodhimi vendas i karburanteve që rezultoi rreth 230 mijë ton, me një rritje prej 18 mijë ton ose +8% krahasuar me 5 mujorin e vitit 2018. Ndërkohë është rritur deklarimi i prodhimit vendas të duhanit me rreth 10 ton nga 8 ton të deklaruara në periudhën Janar-Maj 2018</w:t>
      </w:r>
      <w:r w:rsidR="00590F3B" w:rsidRPr="004E355C">
        <w:rPr>
          <w:rFonts w:asciiTheme="minorHAnsi" w:hAnsiTheme="minorHAnsi"/>
          <w:lang w:val="sq-AL"/>
        </w:rPr>
        <w:t>.</w:t>
      </w:r>
    </w:p>
    <w:p w:rsidR="00E6614B" w:rsidRPr="004E355C" w:rsidRDefault="00E6614B" w:rsidP="00B13AAA">
      <w:pPr>
        <w:pStyle w:val="Caption"/>
        <w:keepNext/>
        <w:spacing w:before="240"/>
        <w:jc w:val="both"/>
        <w:rPr>
          <w:rFonts w:asciiTheme="minorHAnsi" w:hAnsiTheme="minorHAnsi"/>
          <w:b w:val="0"/>
          <w:bCs w:val="0"/>
          <w:i/>
          <w:color w:val="auto"/>
          <w:sz w:val="24"/>
          <w:szCs w:val="24"/>
          <w:lang w:val="sq-AL"/>
        </w:rPr>
      </w:pPr>
      <w:bookmarkStart w:id="12" w:name="_Toc12449188"/>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dhëna mbi sasitë e mallrave kryesorë të akcizës</w:t>
      </w:r>
      <w:bookmarkEnd w:id="12"/>
      <w:r w:rsidRPr="004E355C">
        <w:rPr>
          <w:rFonts w:asciiTheme="minorHAnsi" w:hAnsiTheme="minorHAnsi"/>
          <w:b w:val="0"/>
          <w:bCs w:val="0"/>
          <w:i/>
          <w:color w:val="auto"/>
          <w:sz w:val="24"/>
          <w:szCs w:val="24"/>
          <w:lang w:val="sq-AL"/>
        </w:rPr>
        <w:t xml:space="preserve"> </w:t>
      </w:r>
    </w:p>
    <w:tbl>
      <w:tblPr>
        <w:tblStyle w:val="ListTable3-Accent52"/>
        <w:tblW w:w="9681" w:type="dxa"/>
        <w:jc w:val="center"/>
        <w:tblLook w:val="04A0" w:firstRow="1" w:lastRow="0" w:firstColumn="1" w:lastColumn="0" w:noHBand="0" w:noVBand="1"/>
      </w:tblPr>
      <w:tblGrid>
        <w:gridCol w:w="4226"/>
        <w:gridCol w:w="1053"/>
        <w:gridCol w:w="1053"/>
        <w:gridCol w:w="1173"/>
        <w:gridCol w:w="1123"/>
        <w:gridCol w:w="1053"/>
      </w:tblGrid>
      <w:tr w:rsidR="003D0989" w:rsidRPr="004E355C" w:rsidTr="002326C7">
        <w:trPr>
          <w:cnfStyle w:val="100000000000" w:firstRow="1" w:lastRow="0" w:firstColumn="0" w:lastColumn="0" w:oddVBand="0" w:evenVBand="0" w:oddHBand="0" w:evenHBand="0" w:firstRowFirstColumn="0" w:firstRowLastColumn="0" w:lastRowFirstColumn="0" w:lastRowLastColumn="0"/>
          <w:trHeight w:val="249"/>
          <w:jc w:val="center"/>
        </w:trPr>
        <w:tc>
          <w:tcPr>
            <w:cnfStyle w:val="001000000100" w:firstRow="0" w:lastRow="0" w:firstColumn="1" w:lastColumn="0" w:oddVBand="0" w:evenVBand="0" w:oddHBand="0" w:evenHBand="0" w:firstRowFirstColumn="1" w:firstRowLastColumn="0" w:lastRowFirstColumn="0" w:lastRowLastColumn="0"/>
            <w:tcW w:w="4226" w:type="dxa"/>
            <w:vMerge w:val="restart"/>
            <w:shd w:val="clear" w:color="auto" w:fill="92CDDC" w:themeFill="accent5" w:themeFillTint="99"/>
            <w:noWrap/>
            <w:hideMark/>
          </w:tcPr>
          <w:p w:rsidR="00DB4505" w:rsidRPr="004E355C" w:rsidRDefault="00DB4505" w:rsidP="00397C3F">
            <w:pPr>
              <w:rPr>
                <w:rFonts w:asciiTheme="minorHAnsi" w:hAnsiTheme="minorHAnsi" w:cstheme="minorHAnsi"/>
                <w:b w:val="0"/>
                <w:bCs w:val="0"/>
                <w:color w:val="auto"/>
                <w:sz w:val="18"/>
                <w:szCs w:val="18"/>
                <w14:textOutline w14:w="9525" w14:cap="rnd" w14:cmpd="sng" w14:algn="ctr">
                  <w14:solidFill>
                    <w14:schemeClr w14:val="accent1"/>
                  </w14:solidFill>
                  <w14:prstDash w14:val="solid"/>
                  <w14:bevel/>
                </w14:textOutline>
              </w:rPr>
            </w:pPr>
            <w:r w:rsidRPr="004E355C">
              <w:rPr>
                <w:rFonts w:asciiTheme="minorHAnsi" w:hAnsiTheme="minorHAnsi" w:cstheme="minorHAnsi"/>
                <w:color w:val="auto"/>
                <w:sz w:val="18"/>
                <w:szCs w:val="18"/>
              </w:rPr>
              <w:t>Mallrat kryesorë të akcizës</w:t>
            </w:r>
          </w:p>
        </w:tc>
        <w:tc>
          <w:tcPr>
            <w:tcW w:w="1053" w:type="dxa"/>
            <w:vMerge w:val="restart"/>
            <w:shd w:val="clear" w:color="auto" w:fill="92CDDC" w:themeFill="accent5" w:themeFillTint="99"/>
            <w:noWrap/>
            <w:hideMark/>
          </w:tcPr>
          <w:p w:rsidR="00DB4505" w:rsidRPr="004E355C" w:rsidRDefault="00DB4505" w:rsidP="00397C3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4E355C">
              <w:rPr>
                <w:rFonts w:asciiTheme="minorHAnsi" w:hAnsiTheme="minorHAnsi" w:cstheme="minorHAnsi"/>
                <w:color w:val="auto"/>
                <w:sz w:val="18"/>
                <w:szCs w:val="18"/>
              </w:rPr>
              <w:t>Njësia</w:t>
            </w:r>
          </w:p>
        </w:tc>
        <w:tc>
          <w:tcPr>
            <w:tcW w:w="1053" w:type="dxa"/>
            <w:vMerge w:val="restart"/>
            <w:shd w:val="clear" w:color="auto" w:fill="92CDDC" w:themeFill="accent5" w:themeFillTint="99"/>
            <w:noWrap/>
            <w:hideMark/>
          </w:tcPr>
          <w:p w:rsidR="00DB4505" w:rsidRPr="004E355C" w:rsidRDefault="00DB4505" w:rsidP="00397C3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4E355C">
              <w:rPr>
                <w:rFonts w:asciiTheme="minorHAnsi" w:hAnsiTheme="minorHAnsi" w:cstheme="minorHAnsi"/>
                <w:color w:val="auto"/>
                <w:sz w:val="18"/>
                <w:szCs w:val="18"/>
              </w:rPr>
              <w:t>5M 2018</w:t>
            </w:r>
          </w:p>
        </w:tc>
        <w:tc>
          <w:tcPr>
            <w:tcW w:w="1173" w:type="dxa"/>
            <w:shd w:val="clear" w:color="auto" w:fill="92CDDC" w:themeFill="accent5" w:themeFillTint="99"/>
            <w:noWrap/>
            <w:hideMark/>
          </w:tcPr>
          <w:p w:rsidR="00DB4505" w:rsidRPr="004E355C" w:rsidRDefault="00DB4505" w:rsidP="00397C3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p>
        </w:tc>
        <w:tc>
          <w:tcPr>
            <w:tcW w:w="1123" w:type="dxa"/>
            <w:vMerge w:val="restart"/>
            <w:shd w:val="clear" w:color="auto" w:fill="92CDDC" w:themeFill="accent5" w:themeFillTint="99"/>
            <w:noWrap/>
            <w:hideMark/>
          </w:tcPr>
          <w:p w:rsidR="00DB4505" w:rsidRPr="004E355C" w:rsidRDefault="00DB4505" w:rsidP="00397C3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4E355C">
              <w:rPr>
                <w:rFonts w:asciiTheme="minorHAnsi" w:hAnsiTheme="minorHAnsi" w:cstheme="minorHAnsi"/>
                <w:color w:val="auto"/>
                <w:sz w:val="18"/>
                <w:szCs w:val="18"/>
              </w:rPr>
              <w:t>2019/2018</w:t>
            </w:r>
          </w:p>
        </w:tc>
        <w:tc>
          <w:tcPr>
            <w:tcW w:w="1053" w:type="dxa"/>
            <w:vMerge w:val="restart"/>
            <w:shd w:val="clear" w:color="auto" w:fill="92CDDC" w:themeFill="accent5" w:themeFillTint="99"/>
            <w:noWrap/>
            <w:hideMark/>
          </w:tcPr>
          <w:p w:rsidR="00DB4505" w:rsidRPr="004E355C" w:rsidRDefault="00DB4505" w:rsidP="00397C3F">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auto"/>
                <w:sz w:val="18"/>
                <w:szCs w:val="18"/>
              </w:rPr>
            </w:pPr>
            <w:r w:rsidRPr="004E355C">
              <w:rPr>
                <w:rFonts w:asciiTheme="minorHAnsi" w:hAnsiTheme="minorHAnsi" w:cstheme="minorHAnsi"/>
                <w:color w:val="auto"/>
                <w:sz w:val="18"/>
                <w:szCs w:val="18"/>
              </w:rPr>
              <w:t>në %</w:t>
            </w:r>
          </w:p>
        </w:tc>
      </w:tr>
      <w:tr w:rsidR="003D0989" w:rsidRPr="004E355C" w:rsidTr="002326C7">
        <w:trPr>
          <w:cnfStyle w:val="000000100000" w:firstRow="0" w:lastRow="0" w:firstColumn="0" w:lastColumn="0" w:oddVBand="0" w:evenVBand="0" w:oddHBand="1" w:evenHBand="0" w:firstRowFirstColumn="0" w:firstRowLastColumn="0" w:lastRowFirstColumn="0" w:lastRowLastColumn="0"/>
          <w:trHeight w:val="262"/>
          <w:jc w:val="center"/>
        </w:trPr>
        <w:tc>
          <w:tcPr>
            <w:cnfStyle w:val="001000000000" w:firstRow="0" w:lastRow="0" w:firstColumn="1" w:lastColumn="0" w:oddVBand="0" w:evenVBand="0" w:oddHBand="0" w:evenHBand="0" w:firstRowFirstColumn="0" w:firstRowLastColumn="0" w:lastRowFirstColumn="0" w:lastRowLastColumn="0"/>
            <w:tcW w:w="4226" w:type="dxa"/>
            <w:vMerge/>
            <w:shd w:val="clear" w:color="auto" w:fill="92CDDC" w:themeFill="accent5" w:themeFillTint="99"/>
            <w:hideMark/>
          </w:tcPr>
          <w:p w:rsidR="00DB4505" w:rsidRPr="004E355C" w:rsidRDefault="00DB4505" w:rsidP="00397C3F">
            <w:pPr>
              <w:rPr>
                <w:rFonts w:asciiTheme="minorHAnsi" w:hAnsiTheme="minorHAnsi" w:cstheme="minorHAnsi"/>
                <w:b w:val="0"/>
                <w:bCs w:val="0"/>
                <w:sz w:val="18"/>
                <w:szCs w:val="18"/>
              </w:rPr>
            </w:pPr>
          </w:p>
        </w:tc>
        <w:tc>
          <w:tcPr>
            <w:tcW w:w="1053" w:type="dxa"/>
            <w:vMerge/>
            <w:shd w:val="clear" w:color="auto" w:fill="92CDDC" w:themeFill="accent5" w:themeFillTint="99"/>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p>
        </w:tc>
        <w:tc>
          <w:tcPr>
            <w:tcW w:w="1053" w:type="dxa"/>
            <w:vMerge/>
            <w:shd w:val="clear" w:color="auto" w:fill="92CDDC" w:themeFill="accent5" w:themeFillTint="99"/>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p>
        </w:tc>
        <w:tc>
          <w:tcPr>
            <w:tcW w:w="1173" w:type="dxa"/>
            <w:shd w:val="clear" w:color="auto" w:fill="92CDDC" w:themeFill="accent5" w:themeFillTint="99"/>
            <w:noWrap/>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5 M2019</w:t>
            </w:r>
          </w:p>
        </w:tc>
        <w:tc>
          <w:tcPr>
            <w:tcW w:w="1123" w:type="dxa"/>
            <w:vMerge/>
            <w:shd w:val="clear" w:color="auto" w:fill="92CDDC" w:themeFill="accent5" w:themeFillTint="99"/>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p>
        </w:tc>
        <w:tc>
          <w:tcPr>
            <w:tcW w:w="1053" w:type="dxa"/>
            <w:vMerge/>
            <w:shd w:val="clear" w:color="auto" w:fill="92CDDC" w:themeFill="accent5" w:themeFillTint="99"/>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p>
        </w:tc>
      </w:tr>
      <w:tr w:rsidR="003D0989" w:rsidRPr="004E355C" w:rsidTr="002326C7">
        <w:trPr>
          <w:trHeight w:val="262"/>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Karburant Import+ Prodhim Vendi</w:t>
            </w:r>
          </w:p>
        </w:tc>
        <w:tc>
          <w:tcPr>
            <w:tcW w:w="1053" w:type="dxa"/>
            <w:noWrap/>
            <w:hideMark/>
          </w:tcPr>
          <w:p w:rsidR="00DB4505" w:rsidRPr="004E355C" w:rsidRDefault="00DB4505"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211,637</w:t>
            </w:r>
          </w:p>
        </w:tc>
        <w:tc>
          <w:tcPr>
            <w:tcW w:w="117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229,545</w:t>
            </w:r>
          </w:p>
        </w:tc>
        <w:tc>
          <w:tcPr>
            <w:tcW w:w="112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17,909</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8%</w:t>
            </w:r>
          </w:p>
        </w:tc>
      </w:tr>
      <w:tr w:rsidR="003D0989" w:rsidRPr="004E355C" w:rsidTr="002326C7">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Cigare</w:t>
            </w:r>
          </w:p>
        </w:tc>
        <w:tc>
          <w:tcPr>
            <w:tcW w:w="1053" w:type="dxa"/>
            <w:noWrap/>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1,130</w:t>
            </w:r>
          </w:p>
        </w:tc>
        <w:tc>
          <w:tcPr>
            <w:tcW w:w="117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1,099</w:t>
            </w:r>
          </w:p>
        </w:tc>
        <w:tc>
          <w:tcPr>
            <w:tcW w:w="112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-31</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w:t>
            </w:r>
          </w:p>
        </w:tc>
      </w:tr>
      <w:tr w:rsidR="003D0989" w:rsidRPr="004E355C" w:rsidTr="002326C7">
        <w:trPr>
          <w:trHeight w:val="249"/>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Birrë Import+ Prodhim Vendi</w:t>
            </w:r>
          </w:p>
        </w:tc>
        <w:tc>
          <w:tcPr>
            <w:tcW w:w="1053" w:type="dxa"/>
            <w:noWrap/>
            <w:hideMark/>
          </w:tcPr>
          <w:p w:rsidR="00DB4505" w:rsidRPr="004E355C" w:rsidRDefault="00DB4505"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mijë litra</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24,690</w:t>
            </w:r>
          </w:p>
        </w:tc>
        <w:tc>
          <w:tcPr>
            <w:tcW w:w="117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24,344</w:t>
            </w:r>
          </w:p>
        </w:tc>
        <w:tc>
          <w:tcPr>
            <w:tcW w:w="112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-347</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w:t>
            </w:r>
          </w:p>
        </w:tc>
      </w:tr>
      <w:tr w:rsidR="003D0989" w:rsidRPr="004E355C" w:rsidTr="002326C7">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Pije alkolike Import+ Prodhim Vendi</w:t>
            </w:r>
          </w:p>
        </w:tc>
        <w:tc>
          <w:tcPr>
            <w:tcW w:w="1053" w:type="dxa"/>
            <w:noWrap/>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mijë litra</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738</w:t>
            </w:r>
          </w:p>
        </w:tc>
        <w:tc>
          <w:tcPr>
            <w:tcW w:w="117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704</w:t>
            </w:r>
          </w:p>
        </w:tc>
        <w:tc>
          <w:tcPr>
            <w:tcW w:w="112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-34</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-5%</w:t>
            </w:r>
          </w:p>
        </w:tc>
      </w:tr>
      <w:tr w:rsidR="003D0989" w:rsidRPr="004E355C" w:rsidTr="002326C7">
        <w:trPr>
          <w:trHeight w:val="249"/>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Kafe</w:t>
            </w:r>
          </w:p>
        </w:tc>
        <w:tc>
          <w:tcPr>
            <w:tcW w:w="1053" w:type="dxa"/>
            <w:noWrap/>
            <w:hideMark/>
          </w:tcPr>
          <w:p w:rsidR="00DB4505" w:rsidRPr="004E355C" w:rsidRDefault="00DB4505"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Ton</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3,697</w:t>
            </w:r>
          </w:p>
        </w:tc>
        <w:tc>
          <w:tcPr>
            <w:tcW w:w="117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3,311</w:t>
            </w:r>
          </w:p>
        </w:tc>
        <w:tc>
          <w:tcPr>
            <w:tcW w:w="112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-387</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-10%</w:t>
            </w:r>
          </w:p>
        </w:tc>
      </w:tr>
      <w:tr w:rsidR="003D0989" w:rsidRPr="004E355C" w:rsidTr="002326C7">
        <w:trPr>
          <w:cnfStyle w:val="000000100000" w:firstRow="0" w:lastRow="0" w:firstColumn="0" w:lastColumn="0" w:oddVBand="0" w:evenVBand="0" w:oddHBand="1" w:evenHBand="0" w:firstRowFirstColumn="0" w:firstRowLastColumn="0" w:lastRowFirstColumn="0" w:lastRowLastColumn="0"/>
          <w:trHeight w:val="249"/>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Verë Import+ Prodhim Vendi</w:t>
            </w:r>
          </w:p>
        </w:tc>
        <w:tc>
          <w:tcPr>
            <w:tcW w:w="1053" w:type="dxa"/>
            <w:noWrap/>
            <w:hideMark/>
          </w:tcPr>
          <w:p w:rsidR="00DB4505" w:rsidRPr="004E355C" w:rsidRDefault="00DB4505"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mijë litra</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2,493</w:t>
            </w:r>
          </w:p>
        </w:tc>
        <w:tc>
          <w:tcPr>
            <w:tcW w:w="117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2,748</w:t>
            </w:r>
          </w:p>
        </w:tc>
        <w:tc>
          <w:tcPr>
            <w:tcW w:w="112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255</w:t>
            </w:r>
          </w:p>
        </w:tc>
        <w:tc>
          <w:tcPr>
            <w:tcW w:w="1053" w:type="dxa"/>
            <w:noWrap/>
            <w:hideMark/>
          </w:tcPr>
          <w:p w:rsidR="00DB4505" w:rsidRPr="004E355C" w:rsidRDefault="00DB4505"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10%</w:t>
            </w:r>
          </w:p>
        </w:tc>
      </w:tr>
      <w:tr w:rsidR="003D0989" w:rsidRPr="004E355C" w:rsidTr="002326C7">
        <w:trPr>
          <w:trHeight w:val="262"/>
          <w:jc w:val="center"/>
        </w:trPr>
        <w:tc>
          <w:tcPr>
            <w:cnfStyle w:val="001000000000" w:firstRow="0" w:lastRow="0" w:firstColumn="1" w:lastColumn="0" w:oddVBand="0" w:evenVBand="0" w:oddHBand="0" w:evenHBand="0" w:firstRowFirstColumn="0" w:firstRowLastColumn="0" w:lastRowFirstColumn="0" w:lastRowLastColumn="0"/>
            <w:tcW w:w="4226" w:type="dxa"/>
            <w:noWrap/>
            <w:hideMark/>
          </w:tcPr>
          <w:p w:rsidR="00DB4505" w:rsidRPr="004E355C" w:rsidRDefault="00DB4505" w:rsidP="00397C3F">
            <w:pPr>
              <w:rPr>
                <w:rFonts w:asciiTheme="minorHAnsi" w:hAnsiTheme="minorHAnsi" w:cstheme="minorHAnsi"/>
                <w:sz w:val="18"/>
                <w:szCs w:val="18"/>
              </w:rPr>
            </w:pPr>
            <w:r w:rsidRPr="004E355C">
              <w:rPr>
                <w:rFonts w:asciiTheme="minorHAnsi" w:hAnsiTheme="minorHAnsi" w:cstheme="minorHAnsi"/>
                <w:sz w:val="18"/>
                <w:szCs w:val="18"/>
              </w:rPr>
              <w:t xml:space="preserve">Verë import </w:t>
            </w:r>
          </w:p>
        </w:tc>
        <w:tc>
          <w:tcPr>
            <w:tcW w:w="1053" w:type="dxa"/>
            <w:noWrap/>
            <w:hideMark/>
          </w:tcPr>
          <w:p w:rsidR="00DB4505" w:rsidRPr="004E355C" w:rsidRDefault="00DB4505"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mijë litra</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1,893</w:t>
            </w:r>
          </w:p>
        </w:tc>
        <w:tc>
          <w:tcPr>
            <w:tcW w:w="117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2,141</w:t>
            </w:r>
          </w:p>
        </w:tc>
        <w:tc>
          <w:tcPr>
            <w:tcW w:w="112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248</w:t>
            </w:r>
          </w:p>
        </w:tc>
        <w:tc>
          <w:tcPr>
            <w:tcW w:w="1053" w:type="dxa"/>
            <w:noWrap/>
            <w:hideMark/>
          </w:tcPr>
          <w:p w:rsidR="00DB4505" w:rsidRPr="004E355C" w:rsidRDefault="00DB4505" w:rsidP="00397C3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13%</w:t>
            </w:r>
          </w:p>
        </w:tc>
      </w:tr>
    </w:tbl>
    <w:p w:rsidR="00A426D6" w:rsidRPr="004E355C" w:rsidRDefault="00B24B3B" w:rsidP="0054100C">
      <w:pPr>
        <w:spacing w:line="276" w:lineRule="auto"/>
        <w:ind w:left="720"/>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B13AAA" w:rsidRPr="004E355C" w:rsidRDefault="00B13AAA" w:rsidP="00B13AAA">
      <w:pPr>
        <w:tabs>
          <w:tab w:val="left" w:pos="2511"/>
          <w:tab w:val="center" w:pos="4680"/>
        </w:tabs>
        <w:spacing w:line="276" w:lineRule="auto"/>
        <w:jc w:val="both"/>
        <w:rPr>
          <w:rFonts w:asciiTheme="minorHAnsi" w:hAnsiTheme="minorHAnsi" w:cstheme="minorHAnsi"/>
          <w:sz w:val="8"/>
          <w:szCs w:val="8"/>
        </w:rPr>
      </w:pPr>
    </w:p>
    <w:p w:rsidR="0054100C" w:rsidRPr="004E355C" w:rsidRDefault="00DB4505" w:rsidP="00B13AAA">
      <w:pPr>
        <w:tabs>
          <w:tab w:val="left" w:pos="2511"/>
          <w:tab w:val="center" w:pos="4680"/>
        </w:tabs>
        <w:spacing w:line="276" w:lineRule="auto"/>
        <w:jc w:val="both"/>
        <w:rPr>
          <w:rFonts w:asciiTheme="minorHAnsi" w:hAnsiTheme="minorHAnsi"/>
          <w:lang w:val="sq-AL"/>
        </w:rPr>
      </w:pPr>
      <w:r w:rsidRPr="004E355C">
        <w:rPr>
          <w:rFonts w:asciiTheme="minorHAnsi" w:hAnsiTheme="minorHAnsi" w:cstheme="minorHAnsi"/>
        </w:rPr>
        <w:t>Grup-produktet me kontribut pozitiv në të ardhura rezultuan: karburanti prodhim vendi, birrë prodhim vendas, cigaret, pije alkoolike prodhim vendas si dhe duhan import. Ndërsa produktet me efekt negativ në të ardhura rezultuan: karburant import, pije alkoolike prodhim vendi, gaz i lëngët dhe kafeja</w:t>
      </w:r>
      <w:r w:rsidR="0054100C" w:rsidRPr="004E355C">
        <w:rPr>
          <w:rFonts w:asciiTheme="minorHAnsi" w:hAnsiTheme="minorHAnsi"/>
          <w:lang w:val="sq-AL"/>
        </w:rPr>
        <w:t>.</w:t>
      </w:r>
    </w:p>
    <w:p w:rsidR="00B13AAA" w:rsidRPr="004E355C" w:rsidRDefault="00B13AAA" w:rsidP="00B13AAA">
      <w:pPr>
        <w:pStyle w:val="Caption"/>
        <w:keepNext/>
        <w:spacing w:after="0"/>
        <w:jc w:val="both"/>
        <w:rPr>
          <w:rFonts w:asciiTheme="minorHAnsi" w:hAnsiTheme="minorHAnsi"/>
          <w:b w:val="0"/>
          <w:bCs w:val="0"/>
          <w:i/>
          <w:color w:val="auto"/>
          <w:sz w:val="8"/>
          <w:szCs w:val="8"/>
          <w:lang w:val="sq-AL"/>
        </w:rPr>
      </w:pPr>
    </w:p>
    <w:p w:rsidR="00E6614B" w:rsidRPr="004E355C" w:rsidRDefault="00E6614B" w:rsidP="002326C7">
      <w:pPr>
        <w:pStyle w:val="Caption"/>
        <w:keepNext/>
        <w:spacing w:after="0"/>
        <w:jc w:val="both"/>
        <w:rPr>
          <w:rFonts w:asciiTheme="minorHAnsi" w:hAnsiTheme="minorHAnsi"/>
          <w:b w:val="0"/>
          <w:bCs w:val="0"/>
          <w:i/>
          <w:color w:val="auto"/>
          <w:sz w:val="24"/>
          <w:szCs w:val="24"/>
          <w:lang w:val="sq-AL"/>
        </w:rPr>
      </w:pPr>
      <w:bookmarkStart w:id="13" w:name="_Toc12449189"/>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Kontribuesit pozitivë në të ardhurat nga Akciza/Diferencat Janar-Maj 201</w:t>
      </w:r>
      <w:r w:rsidR="006D7EC7"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/201</w:t>
      </w:r>
      <w:r w:rsidR="006D7EC7" w:rsidRPr="004E355C">
        <w:rPr>
          <w:rFonts w:asciiTheme="minorHAnsi" w:hAnsiTheme="minorHAnsi"/>
          <w:b w:val="0"/>
          <w:bCs w:val="0"/>
          <w:i/>
          <w:color w:val="auto"/>
          <w:sz w:val="24"/>
          <w:szCs w:val="24"/>
          <w:lang w:val="sq-AL"/>
        </w:rPr>
        <w:t>8</w:t>
      </w:r>
      <w:bookmarkEnd w:id="13"/>
    </w:p>
    <w:tbl>
      <w:tblPr>
        <w:tblStyle w:val="GridTable4-Accent52"/>
        <w:tblW w:w="9869" w:type="dxa"/>
        <w:jc w:val="center"/>
        <w:tblLook w:val="0600" w:firstRow="0" w:lastRow="0" w:firstColumn="0" w:lastColumn="0" w:noHBand="1" w:noVBand="1"/>
      </w:tblPr>
      <w:tblGrid>
        <w:gridCol w:w="2940"/>
        <w:gridCol w:w="1183"/>
        <w:gridCol w:w="1178"/>
        <w:gridCol w:w="1031"/>
        <w:gridCol w:w="2209"/>
        <w:gridCol w:w="1328"/>
      </w:tblGrid>
      <w:tr w:rsidR="006D7EC7" w:rsidRPr="004E355C" w:rsidTr="00B13AAA">
        <w:trPr>
          <w:trHeight w:val="217"/>
          <w:jc w:val="center"/>
        </w:trPr>
        <w:tc>
          <w:tcPr>
            <w:tcW w:w="9869" w:type="dxa"/>
            <w:gridSpan w:val="6"/>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Diferencat Janar- Maj 2019/2018</w:t>
            </w:r>
          </w:p>
        </w:tc>
      </w:tr>
      <w:tr w:rsidR="006D7EC7" w:rsidRPr="004E355C" w:rsidTr="00B13AAA">
        <w:trPr>
          <w:trHeight w:val="217"/>
          <w:jc w:val="center"/>
        </w:trPr>
        <w:tc>
          <w:tcPr>
            <w:tcW w:w="9869" w:type="dxa"/>
            <w:gridSpan w:val="6"/>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Produktet me  kontribut  pozitiv</w:t>
            </w:r>
          </w:p>
        </w:tc>
      </w:tr>
      <w:tr w:rsidR="006D7EC7" w:rsidRPr="004E355C" w:rsidTr="00B13AAA">
        <w:trPr>
          <w:trHeight w:val="404"/>
          <w:jc w:val="center"/>
        </w:trPr>
        <w:tc>
          <w:tcPr>
            <w:tcW w:w="2940" w:type="dxa"/>
            <w:shd w:val="clear" w:color="auto" w:fill="92CDDC" w:themeFill="accent5" w:themeFillTint="99"/>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 </w:t>
            </w:r>
          </w:p>
        </w:tc>
        <w:tc>
          <w:tcPr>
            <w:tcW w:w="1183" w:type="dxa"/>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Njësia</w:t>
            </w:r>
          </w:p>
        </w:tc>
        <w:tc>
          <w:tcPr>
            <w:tcW w:w="1178" w:type="dxa"/>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 xml:space="preserve">Sasi </w:t>
            </w:r>
          </w:p>
        </w:tc>
        <w:tc>
          <w:tcPr>
            <w:tcW w:w="1031" w:type="dxa"/>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w:t>
            </w:r>
          </w:p>
        </w:tc>
        <w:tc>
          <w:tcPr>
            <w:tcW w:w="2209" w:type="dxa"/>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Akciza në milion lekë</w:t>
            </w:r>
          </w:p>
        </w:tc>
        <w:tc>
          <w:tcPr>
            <w:tcW w:w="1325" w:type="dxa"/>
            <w:shd w:val="clear" w:color="auto" w:fill="92CDDC" w:themeFill="accent5" w:themeFillTint="99"/>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w:t>
            </w:r>
          </w:p>
        </w:tc>
      </w:tr>
      <w:tr w:rsidR="006D7EC7" w:rsidRPr="004E355C" w:rsidTr="00B13AAA">
        <w:trPr>
          <w:trHeight w:val="217"/>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Karburante Prodhim Vendi </w:t>
            </w:r>
          </w:p>
        </w:tc>
        <w:tc>
          <w:tcPr>
            <w:tcW w:w="1183"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32,818</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443%</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1,357</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457%</w:t>
            </w:r>
          </w:p>
        </w:tc>
      </w:tr>
      <w:tr w:rsidR="006D7EC7" w:rsidRPr="004E355C" w:rsidTr="00B13AAA">
        <w:trPr>
          <w:trHeight w:val="217"/>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Cigare </w:t>
            </w:r>
          </w:p>
        </w:tc>
        <w:tc>
          <w:tcPr>
            <w:tcW w:w="1183"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Ton</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-31</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279</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w:t>
            </w:r>
          </w:p>
        </w:tc>
      </w:tr>
      <w:tr w:rsidR="006D7EC7" w:rsidRPr="004E355C" w:rsidTr="00B13AAA">
        <w:trPr>
          <w:trHeight w:val="217"/>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Birrë Prodhim Vendi </w:t>
            </w:r>
          </w:p>
        </w:tc>
        <w:tc>
          <w:tcPr>
            <w:tcW w:w="1183"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Mijë litra</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-589</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27</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11%</w:t>
            </w:r>
          </w:p>
        </w:tc>
      </w:tr>
      <w:tr w:rsidR="006D7EC7" w:rsidRPr="004E355C" w:rsidTr="00B13AAA">
        <w:trPr>
          <w:trHeight w:val="217"/>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Pije Alkolike Import </w:t>
            </w:r>
          </w:p>
        </w:tc>
        <w:tc>
          <w:tcPr>
            <w:tcW w:w="1183"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 xml:space="preserve">Mijë litra </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55</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15%</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14</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15%</w:t>
            </w:r>
          </w:p>
        </w:tc>
      </w:tr>
      <w:tr w:rsidR="006D7EC7" w:rsidRPr="004E355C" w:rsidTr="00B13AAA">
        <w:trPr>
          <w:trHeight w:val="217"/>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Duhan Importi </w:t>
            </w:r>
          </w:p>
        </w:tc>
        <w:tc>
          <w:tcPr>
            <w:tcW w:w="1183"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-6</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-18%</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10</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6%</w:t>
            </w:r>
          </w:p>
        </w:tc>
      </w:tr>
      <w:tr w:rsidR="006D7EC7" w:rsidRPr="004E355C" w:rsidTr="00B13AAA">
        <w:trPr>
          <w:trHeight w:val="348"/>
          <w:jc w:val="center"/>
        </w:trPr>
        <w:tc>
          <w:tcPr>
            <w:tcW w:w="2940" w:type="dxa"/>
            <w:hideMark/>
          </w:tcPr>
          <w:p w:rsidR="006D7EC7" w:rsidRPr="004E355C" w:rsidRDefault="006D7EC7" w:rsidP="00B13AAA">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Efekti total</w:t>
            </w:r>
          </w:p>
        </w:tc>
        <w:tc>
          <w:tcPr>
            <w:tcW w:w="1183"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i/>
                <w:iCs/>
                <w:kern w:val="24"/>
                <w:sz w:val="18"/>
                <w:szCs w:val="18"/>
              </w:rPr>
              <w:t> </w:t>
            </w:r>
          </w:p>
        </w:tc>
        <w:tc>
          <w:tcPr>
            <w:tcW w:w="1178"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1031"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2209"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1,686</w:t>
            </w:r>
          </w:p>
        </w:tc>
        <w:tc>
          <w:tcPr>
            <w:tcW w:w="1325" w:type="dxa"/>
            <w:hideMark/>
          </w:tcPr>
          <w:p w:rsidR="006D7EC7" w:rsidRPr="004E355C" w:rsidRDefault="006D7EC7" w:rsidP="00B13AAA">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 </w:t>
            </w:r>
          </w:p>
        </w:tc>
      </w:tr>
    </w:tbl>
    <w:p w:rsidR="0054100C" w:rsidRPr="004E355C" w:rsidRDefault="00B24B3B" w:rsidP="00070183">
      <w:pPr>
        <w:spacing w:line="276" w:lineRule="auto"/>
        <w:ind w:left="720"/>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B13AAA" w:rsidRPr="004E355C" w:rsidRDefault="00B13AAA" w:rsidP="00B13AAA">
      <w:pPr>
        <w:pStyle w:val="Caption"/>
        <w:keepNext/>
        <w:spacing w:after="0"/>
        <w:jc w:val="both"/>
        <w:rPr>
          <w:rFonts w:asciiTheme="minorHAnsi" w:hAnsiTheme="minorHAnsi"/>
          <w:b w:val="0"/>
          <w:bCs w:val="0"/>
          <w:i/>
          <w:color w:val="auto"/>
          <w:sz w:val="8"/>
          <w:szCs w:val="8"/>
          <w:lang w:val="sq-AL"/>
        </w:rPr>
      </w:pPr>
    </w:p>
    <w:p w:rsidR="00E6614B" w:rsidRPr="004E355C" w:rsidRDefault="00E6614B" w:rsidP="002326C7">
      <w:pPr>
        <w:pStyle w:val="Caption"/>
        <w:keepNext/>
        <w:spacing w:after="0"/>
        <w:jc w:val="both"/>
        <w:rPr>
          <w:rFonts w:asciiTheme="minorHAnsi" w:hAnsiTheme="minorHAnsi"/>
          <w:b w:val="0"/>
          <w:bCs w:val="0"/>
          <w:i/>
          <w:color w:val="auto"/>
          <w:sz w:val="24"/>
          <w:szCs w:val="24"/>
          <w:lang w:val="sq-AL"/>
        </w:rPr>
      </w:pPr>
      <w:bookmarkStart w:id="14" w:name="_Toc12449190"/>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Kontribuesit negativë në të ardhurat nga Akciza/ Diferencat Janar-Maj 201</w:t>
      </w:r>
      <w:r w:rsidR="00817D06"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/201</w:t>
      </w:r>
      <w:r w:rsidR="00817D06" w:rsidRPr="004E355C">
        <w:rPr>
          <w:rFonts w:asciiTheme="minorHAnsi" w:hAnsiTheme="minorHAnsi"/>
          <w:b w:val="0"/>
          <w:bCs w:val="0"/>
          <w:i/>
          <w:color w:val="auto"/>
          <w:sz w:val="24"/>
          <w:szCs w:val="24"/>
          <w:lang w:val="sq-AL"/>
        </w:rPr>
        <w:t>8</w:t>
      </w:r>
      <w:bookmarkEnd w:id="14"/>
    </w:p>
    <w:tbl>
      <w:tblPr>
        <w:tblStyle w:val="GridTable4-Accent52"/>
        <w:tblW w:w="9823" w:type="dxa"/>
        <w:jc w:val="center"/>
        <w:tblLook w:val="0600" w:firstRow="0" w:lastRow="0" w:firstColumn="0" w:lastColumn="0" w:noHBand="1" w:noVBand="1"/>
      </w:tblPr>
      <w:tblGrid>
        <w:gridCol w:w="2827"/>
        <w:gridCol w:w="1190"/>
        <w:gridCol w:w="1190"/>
        <w:gridCol w:w="1042"/>
        <w:gridCol w:w="2232"/>
        <w:gridCol w:w="1342"/>
      </w:tblGrid>
      <w:tr w:rsidR="00817D06" w:rsidRPr="004E355C" w:rsidTr="00B13AAA">
        <w:trPr>
          <w:trHeight w:val="229"/>
          <w:jc w:val="center"/>
        </w:trPr>
        <w:tc>
          <w:tcPr>
            <w:tcW w:w="9823" w:type="dxa"/>
            <w:gridSpan w:val="6"/>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Diferencat Janar- Maj 2019/2018</w:t>
            </w:r>
          </w:p>
        </w:tc>
      </w:tr>
      <w:tr w:rsidR="00817D06" w:rsidRPr="004E355C" w:rsidTr="00B13AAA">
        <w:trPr>
          <w:trHeight w:val="229"/>
          <w:jc w:val="center"/>
        </w:trPr>
        <w:tc>
          <w:tcPr>
            <w:tcW w:w="9823" w:type="dxa"/>
            <w:gridSpan w:val="6"/>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Produktet me  kontribut  negativ</w:t>
            </w:r>
          </w:p>
        </w:tc>
      </w:tr>
      <w:tr w:rsidR="00817D06" w:rsidRPr="004E355C" w:rsidTr="00B13AAA">
        <w:trPr>
          <w:trHeight w:val="436"/>
          <w:jc w:val="center"/>
        </w:trPr>
        <w:tc>
          <w:tcPr>
            <w:tcW w:w="2827" w:type="dxa"/>
            <w:shd w:val="clear" w:color="auto" w:fill="92CDDC" w:themeFill="accent5" w:themeFillTint="99"/>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 </w:t>
            </w:r>
          </w:p>
        </w:tc>
        <w:tc>
          <w:tcPr>
            <w:tcW w:w="1190" w:type="dxa"/>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Njësia</w:t>
            </w:r>
          </w:p>
        </w:tc>
        <w:tc>
          <w:tcPr>
            <w:tcW w:w="1190" w:type="dxa"/>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 xml:space="preserve">Sasi </w:t>
            </w:r>
          </w:p>
        </w:tc>
        <w:tc>
          <w:tcPr>
            <w:tcW w:w="1042" w:type="dxa"/>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w:t>
            </w:r>
          </w:p>
        </w:tc>
        <w:tc>
          <w:tcPr>
            <w:tcW w:w="2232" w:type="dxa"/>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Akciza në million leke</w:t>
            </w:r>
          </w:p>
        </w:tc>
        <w:tc>
          <w:tcPr>
            <w:tcW w:w="1339" w:type="dxa"/>
            <w:shd w:val="clear" w:color="auto" w:fill="92CDDC" w:themeFill="accent5" w:themeFillTint="99"/>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w:t>
            </w:r>
          </w:p>
        </w:tc>
      </w:tr>
      <w:tr w:rsidR="00817D06" w:rsidRPr="004E355C" w:rsidTr="00B13AAA">
        <w:trPr>
          <w:trHeight w:val="229"/>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Karburante Import </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Ton</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-14,909</w:t>
            </w: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-7%</w:t>
            </w: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-652</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-8%</w:t>
            </w:r>
          </w:p>
        </w:tc>
      </w:tr>
      <w:tr w:rsidR="00817D06" w:rsidRPr="004E355C" w:rsidTr="00B13AAA">
        <w:trPr>
          <w:trHeight w:val="229"/>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Pije Alkolike Prodhim Vendi </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Mije litra</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-88</w:t>
            </w: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-23%</w:t>
            </w: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-31</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-35%</w:t>
            </w:r>
          </w:p>
        </w:tc>
      </w:tr>
      <w:tr w:rsidR="00817D06" w:rsidRPr="004E355C" w:rsidTr="00B13AAA">
        <w:trPr>
          <w:trHeight w:val="229"/>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Gaz i Lëngët </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Ton</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5,099</w:t>
            </w: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11%</w:t>
            </w: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-26</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-9%</w:t>
            </w:r>
          </w:p>
        </w:tc>
      </w:tr>
      <w:tr w:rsidR="00817D06" w:rsidRPr="004E355C" w:rsidTr="00B13AAA">
        <w:trPr>
          <w:trHeight w:val="229"/>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Kafe </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Ton</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-387</w:t>
            </w: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-10%</w:t>
            </w: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-5</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w:t>
            </w:r>
          </w:p>
        </w:tc>
      </w:tr>
      <w:tr w:rsidR="00817D06" w:rsidRPr="004E355C" w:rsidTr="00B13AAA">
        <w:trPr>
          <w:trHeight w:val="229"/>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kern w:val="24"/>
                <w:sz w:val="18"/>
                <w:szCs w:val="18"/>
              </w:rPr>
              <w:t xml:space="preserve">Baterite Akumulatoret </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i/>
                <w:iCs/>
                <w:kern w:val="24"/>
                <w:sz w:val="18"/>
                <w:szCs w:val="18"/>
              </w:rPr>
              <w:t>Ton</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287</w:t>
            </w: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26%</w:t>
            </w: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-3</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kern w:val="24"/>
                <w:sz w:val="18"/>
                <w:szCs w:val="18"/>
              </w:rPr>
              <w:t>-11%</w:t>
            </w:r>
          </w:p>
        </w:tc>
      </w:tr>
      <w:tr w:rsidR="00817D06" w:rsidRPr="004E355C" w:rsidTr="00B13AAA">
        <w:trPr>
          <w:trHeight w:val="250"/>
          <w:jc w:val="center"/>
        </w:trPr>
        <w:tc>
          <w:tcPr>
            <w:tcW w:w="2827" w:type="dxa"/>
            <w:hideMark/>
          </w:tcPr>
          <w:p w:rsidR="00817D06" w:rsidRPr="004E355C" w:rsidRDefault="00817D06" w:rsidP="00397C3F">
            <w:pPr>
              <w:pStyle w:val="NormalWeb"/>
              <w:spacing w:before="0" w:beforeAutospacing="0" w:after="0" w:afterAutospacing="0"/>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Efekti total</w:t>
            </w: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p>
        </w:tc>
        <w:tc>
          <w:tcPr>
            <w:tcW w:w="1190"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p>
        </w:tc>
        <w:tc>
          <w:tcPr>
            <w:tcW w:w="104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p>
        </w:tc>
        <w:tc>
          <w:tcPr>
            <w:tcW w:w="2232"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r w:rsidRPr="004E355C">
              <w:rPr>
                <w:rFonts w:asciiTheme="minorHAnsi" w:hAnsiTheme="minorHAnsi" w:cstheme="minorHAnsi"/>
                <w:b/>
                <w:bCs/>
                <w:kern w:val="24"/>
                <w:sz w:val="18"/>
                <w:szCs w:val="18"/>
              </w:rPr>
              <w:t>-717</w:t>
            </w:r>
          </w:p>
        </w:tc>
        <w:tc>
          <w:tcPr>
            <w:tcW w:w="1339" w:type="dxa"/>
            <w:hideMark/>
          </w:tcPr>
          <w:p w:rsidR="00817D06" w:rsidRPr="004E355C" w:rsidRDefault="00817D06" w:rsidP="00397C3F">
            <w:pPr>
              <w:pStyle w:val="NormalWeb"/>
              <w:spacing w:before="0" w:beforeAutospacing="0" w:after="0" w:afterAutospacing="0"/>
              <w:jc w:val="center"/>
              <w:textAlignment w:val="bottom"/>
              <w:rPr>
                <w:rFonts w:asciiTheme="minorHAnsi" w:hAnsiTheme="minorHAnsi" w:cstheme="minorHAnsi"/>
                <w:sz w:val="18"/>
                <w:szCs w:val="18"/>
              </w:rPr>
            </w:pPr>
          </w:p>
        </w:tc>
      </w:tr>
    </w:tbl>
    <w:p w:rsidR="00A426D6" w:rsidRPr="004E355C" w:rsidRDefault="00B24B3B" w:rsidP="0054100C">
      <w:pPr>
        <w:spacing w:line="276" w:lineRule="auto"/>
        <w:ind w:firstLine="720"/>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A426D6" w:rsidRPr="004E355C" w:rsidRDefault="00B13AAA" w:rsidP="0054100C">
      <w:pPr>
        <w:tabs>
          <w:tab w:val="left" w:pos="2511"/>
          <w:tab w:val="center" w:pos="4680"/>
        </w:tabs>
        <w:spacing w:before="240" w:line="276" w:lineRule="auto"/>
        <w:jc w:val="both"/>
        <w:rPr>
          <w:rFonts w:asciiTheme="minorHAnsi" w:hAnsiTheme="minorHAnsi"/>
          <w:lang w:val="sq-AL"/>
        </w:rPr>
      </w:pPr>
      <w:r w:rsidRPr="004E355C">
        <w:rPr>
          <w:rFonts w:asciiTheme="minorHAnsi" w:hAnsiTheme="minorHAnsi" w:cstheme="minorHAnsi"/>
          <w:i/>
        </w:rPr>
        <w:lastRenderedPageBreak/>
        <w:t>Të ardhurat nga TVSH-ja në import</w:t>
      </w:r>
      <w:r w:rsidRPr="004E355C">
        <w:rPr>
          <w:rFonts w:asciiTheme="minorHAnsi" w:hAnsiTheme="minorHAnsi" w:cstheme="minorHAnsi"/>
        </w:rPr>
        <w:t xml:space="preserve"> janë realizuar në vlerën 42.2 miliardë lekë, pothuajse aq sa 5 mujori i vitit paraardhës dhe 3.5% ose rreth 1.5 miliardë lekë më pak se plani. Rënia e ndjeshme e importit të karburantit, krahasuar me 5 mujorin 2018, ka ulur sasinë e importuar të këtij produkti dhe si rrjedhojë të ardhurat nga TVSH- ja në import kanë rënë. Karburanti import mbuloi rreth 82% të konsumit gjatë 5 mujorit të parë të vitit 2019 krahasuar me 97% që ishte ky tregues vitin e kaluar. Grup-produktet me kontribut pozitiv në të ardhurat nga TVSH në import rezultuan: importi I energjisë elektrike, veshjet dhe tekstilet, detergjentët dhe parfumeritë, kompjuter dhe pajisje informatike etj. Karburanti I importuar ka dhënë efektin kryesor negativ me 0.5 miliardë lekë (për shkak të rënies së sasisë së importuar me 14900 ton)</w:t>
      </w:r>
      <w:r w:rsidR="00A426D6" w:rsidRPr="004E355C">
        <w:rPr>
          <w:rFonts w:asciiTheme="minorHAnsi" w:hAnsiTheme="minorHAnsi"/>
          <w:iCs/>
          <w:lang w:val="sq-AL"/>
        </w:rPr>
        <w:t>.</w:t>
      </w:r>
    </w:p>
    <w:p w:rsidR="00E6614B" w:rsidRPr="004E355C" w:rsidRDefault="00E6614B" w:rsidP="002326C7">
      <w:pPr>
        <w:pStyle w:val="Caption"/>
        <w:keepNext/>
        <w:spacing w:after="0"/>
        <w:jc w:val="both"/>
        <w:rPr>
          <w:rFonts w:asciiTheme="minorHAnsi" w:hAnsiTheme="minorHAnsi"/>
          <w:b w:val="0"/>
          <w:bCs w:val="0"/>
          <w:i/>
          <w:color w:val="auto"/>
          <w:sz w:val="24"/>
          <w:szCs w:val="24"/>
          <w:lang w:val="sq-AL"/>
        </w:rPr>
      </w:pPr>
      <w:bookmarkStart w:id="15" w:name="_Toc12449191"/>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Kontribuesit pozitivë në të ardhurat nga TVSH/Diferencat Janar-Maj 201</w:t>
      </w:r>
      <w:r w:rsidR="00B13AAA"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/201</w:t>
      </w:r>
      <w:r w:rsidR="00B13AAA" w:rsidRPr="004E355C">
        <w:rPr>
          <w:rFonts w:asciiTheme="minorHAnsi" w:hAnsiTheme="minorHAnsi"/>
          <w:b w:val="0"/>
          <w:bCs w:val="0"/>
          <w:i/>
          <w:color w:val="auto"/>
          <w:sz w:val="24"/>
          <w:szCs w:val="24"/>
          <w:lang w:val="sq-AL"/>
        </w:rPr>
        <w:t>8</w:t>
      </w:r>
      <w:bookmarkEnd w:id="15"/>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B13AAA" w:rsidRPr="004E355C" w:rsidTr="00B13AAA">
        <w:trPr>
          <w:cnfStyle w:val="100000000000" w:firstRow="1" w:lastRow="0" w:firstColumn="0" w:lastColumn="0" w:oddVBand="0" w:evenVBand="0" w:oddHBand="0" w:evenHBand="0" w:firstRowFirstColumn="0" w:firstRowLastColumn="0" w:lastRowFirstColumn="0" w:lastRowLastColumn="0"/>
          <w:trHeight w:val="359"/>
          <w:jc w:val="center"/>
        </w:trPr>
        <w:tc>
          <w:tcPr>
            <w:cnfStyle w:val="001000000100" w:firstRow="0" w:lastRow="0" w:firstColumn="1" w:lastColumn="0" w:oddVBand="0" w:evenVBand="0" w:oddHBand="0" w:evenHBand="0" w:firstRowFirstColumn="1" w:firstRowLastColumn="0" w:lastRowFirstColumn="0" w:lastRowLastColumn="0"/>
            <w:tcW w:w="9404" w:type="dxa"/>
            <w:gridSpan w:val="6"/>
            <w:hideMark/>
          </w:tcPr>
          <w:p w:rsidR="00B13AAA" w:rsidRPr="004E355C" w:rsidRDefault="00B13AAA" w:rsidP="00397C3F">
            <w:pPr>
              <w:jc w:val="center"/>
              <w:rPr>
                <w:rFonts w:asciiTheme="minorHAnsi" w:hAnsiTheme="minorHAnsi" w:cstheme="minorHAnsi"/>
                <w:color w:val="auto"/>
                <w:sz w:val="18"/>
                <w:szCs w:val="18"/>
              </w:rPr>
            </w:pPr>
            <w:r w:rsidRPr="004E355C">
              <w:rPr>
                <w:rFonts w:asciiTheme="minorHAnsi" w:hAnsiTheme="minorHAnsi" w:cstheme="minorHAnsi"/>
                <w:color w:val="auto"/>
                <w:sz w:val="20"/>
                <w:szCs w:val="18"/>
              </w:rPr>
              <w:t>Produktet me kontribut pozitiv</w:t>
            </w:r>
          </w:p>
        </w:tc>
      </w:tr>
      <w:tr w:rsidR="00B13AAA" w:rsidRPr="004E355C" w:rsidTr="00B13AAA">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54"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1188"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53"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c>
          <w:tcPr>
            <w:tcW w:w="1676"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753"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B13AAA" w:rsidRPr="004E355C" w:rsidTr="00B13AAA">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 xml:space="preserve">Energji Elektrike </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MGV/orë</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1,070,236</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230%</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1,656</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197%</w:t>
            </w:r>
          </w:p>
        </w:tc>
      </w:tr>
      <w:tr w:rsidR="00B13AAA" w:rsidRPr="004E355C" w:rsidTr="00B13AAA">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 xml:space="preserve">Veshje, Tekstile </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246</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3%</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196</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14%</w:t>
            </w:r>
          </w:p>
        </w:tc>
      </w:tr>
      <w:tr w:rsidR="00B13AAA" w:rsidRPr="004E355C" w:rsidTr="00B13AAA">
        <w:trPr>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Detergjentet; Parfumeri</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1,887</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8%</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90</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8%</w:t>
            </w:r>
          </w:p>
        </w:tc>
      </w:tr>
      <w:tr w:rsidR="00B13AAA" w:rsidRPr="004E355C" w:rsidTr="00B13AAA">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Kompjuter dhe pjese informatike</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-93</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-14%</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79</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23%</w:t>
            </w:r>
          </w:p>
        </w:tc>
      </w:tr>
      <w:tr w:rsidR="00B13AAA" w:rsidRPr="004E355C" w:rsidTr="00B13AAA">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Kafshe e shpend te gjalle</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i/>
                <w:iCs/>
                <w:kern w:val="24"/>
                <w:sz w:val="18"/>
                <w:szCs w:val="18"/>
              </w:rPr>
              <w:t xml:space="preserve">Ton </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1,205</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22%</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62</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33%</w:t>
            </w:r>
          </w:p>
        </w:tc>
      </w:tr>
      <w:tr w:rsidR="00B13AAA" w:rsidRPr="004E355C" w:rsidTr="00B13AAA">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rsidR="00B13AAA" w:rsidRPr="004E355C" w:rsidRDefault="00B13AAA" w:rsidP="00397C3F">
            <w:pPr>
              <w:pStyle w:val="NormalWeb"/>
              <w:spacing w:before="0" w:beforeAutospacing="0" w:after="0" w:afterAutospacing="0"/>
              <w:textAlignment w:val="bottom"/>
              <w:rPr>
                <w:rFonts w:asciiTheme="minorHAnsi" w:hAnsiTheme="minorHAnsi" w:cstheme="minorHAnsi"/>
                <w:b w:val="0"/>
                <w:sz w:val="18"/>
                <w:szCs w:val="18"/>
              </w:rPr>
            </w:pPr>
            <w:r w:rsidRPr="004E355C">
              <w:rPr>
                <w:rFonts w:asciiTheme="minorHAnsi" w:hAnsiTheme="minorHAnsi" w:cstheme="minorHAnsi"/>
                <w:kern w:val="24"/>
                <w:sz w:val="18"/>
                <w:szCs w:val="18"/>
              </w:rPr>
              <w:t>Efekti</w:t>
            </w:r>
          </w:p>
        </w:tc>
        <w:tc>
          <w:tcPr>
            <w:tcW w:w="1154"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b/>
                <w:bCs/>
                <w:i/>
                <w:iCs/>
                <w:kern w:val="24"/>
                <w:sz w:val="18"/>
                <w:szCs w:val="18"/>
              </w:rPr>
              <w:t> </w:t>
            </w:r>
          </w:p>
        </w:tc>
        <w:tc>
          <w:tcPr>
            <w:tcW w:w="1188"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c>
          <w:tcPr>
            <w:tcW w:w="1676"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b/>
                <w:bCs/>
                <w:kern w:val="24"/>
                <w:sz w:val="18"/>
                <w:szCs w:val="18"/>
              </w:rPr>
              <w:t>2,083</w:t>
            </w:r>
          </w:p>
        </w:tc>
        <w:tc>
          <w:tcPr>
            <w:tcW w:w="753" w:type="dxa"/>
            <w:hideMark/>
          </w:tcPr>
          <w:p w:rsidR="00B13AAA" w:rsidRPr="004E355C" w:rsidRDefault="00B13AAA" w:rsidP="00397C3F">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kern w:val="24"/>
                <w:sz w:val="18"/>
                <w:szCs w:val="18"/>
              </w:rPr>
              <w:t> </w:t>
            </w:r>
          </w:p>
        </w:tc>
      </w:tr>
    </w:tbl>
    <w:p w:rsidR="00070183" w:rsidRDefault="00B24B3B" w:rsidP="00070183">
      <w:pPr>
        <w:spacing w:line="276" w:lineRule="auto"/>
        <w:ind w:firstLine="720"/>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2326C7" w:rsidRPr="002326C7" w:rsidRDefault="002326C7" w:rsidP="00070183">
      <w:pPr>
        <w:spacing w:line="276" w:lineRule="auto"/>
        <w:ind w:firstLine="720"/>
        <w:jc w:val="both"/>
        <w:rPr>
          <w:rFonts w:asciiTheme="minorHAnsi" w:hAnsiTheme="minorHAnsi"/>
          <w:sz w:val="8"/>
          <w:szCs w:val="8"/>
          <w:lang w:val="sq-AL"/>
        </w:rPr>
      </w:pPr>
    </w:p>
    <w:p w:rsidR="00E6614B" w:rsidRPr="004E355C" w:rsidRDefault="00E6614B" w:rsidP="002326C7">
      <w:pPr>
        <w:pStyle w:val="Caption"/>
        <w:keepNext/>
        <w:spacing w:after="0"/>
        <w:jc w:val="both"/>
        <w:rPr>
          <w:rFonts w:asciiTheme="minorHAnsi" w:hAnsiTheme="minorHAnsi"/>
          <w:b w:val="0"/>
          <w:bCs w:val="0"/>
          <w:i/>
          <w:color w:val="auto"/>
          <w:sz w:val="24"/>
          <w:szCs w:val="24"/>
          <w:lang w:val="sq-AL"/>
        </w:rPr>
      </w:pPr>
      <w:bookmarkStart w:id="16" w:name="_Toc12449192"/>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6</w:t>
      </w:r>
      <w:r w:rsidRPr="004E355C">
        <w:rPr>
          <w:rFonts w:asciiTheme="minorHAnsi" w:hAnsiTheme="minorHAnsi"/>
          <w:b w:val="0"/>
          <w:bCs w:val="0"/>
          <w:i/>
          <w:color w:val="auto"/>
          <w:sz w:val="24"/>
          <w:szCs w:val="24"/>
          <w:lang w:val="sq-AL"/>
        </w:rPr>
        <w:fldChar w:fldCharType="end"/>
      </w:r>
      <w:r w:rsidR="00E27968" w:rsidRPr="004E355C">
        <w:rPr>
          <w:rFonts w:asciiTheme="minorHAnsi" w:hAnsiTheme="minorHAnsi"/>
          <w:b w:val="0"/>
          <w:bCs w:val="0"/>
          <w:i/>
          <w:color w:val="auto"/>
          <w:sz w:val="24"/>
          <w:szCs w:val="24"/>
          <w:lang w:val="sq-AL"/>
        </w:rPr>
        <w:t xml:space="preserve">: </w:t>
      </w:r>
      <w:r w:rsidRPr="004E355C">
        <w:rPr>
          <w:rFonts w:asciiTheme="minorHAnsi" w:hAnsiTheme="minorHAnsi"/>
          <w:b w:val="0"/>
          <w:bCs w:val="0"/>
          <w:i/>
          <w:color w:val="auto"/>
          <w:sz w:val="24"/>
          <w:szCs w:val="24"/>
          <w:lang w:val="sq-AL"/>
        </w:rPr>
        <w:t>Kontribuesit negativë në të ardhurat nga TVSH/ Diferencat Janar-Maj 201</w:t>
      </w:r>
      <w:r w:rsidR="00B13AAA"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/201</w:t>
      </w:r>
      <w:r w:rsidR="00B13AAA" w:rsidRPr="004E355C">
        <w:rPr>
          <w:rFonts w:asciiTheme="minorHAnsi" w:hAnsiTheme="minorHAnsi"/>
          <w:b w:val="0"/>
          <w:bCs w:val="0"/>
          <w:i/>
          <w:color w:val="auto"/>
          <w:sz w:val="24"/>
          <w:szCs w:val="24"/>
          <w:lang w:val="sq-AL"/>
        </w:rPr>
        <w:t>8</w:t>
      </w:r>
      <w:bookmarkEnd w:id="16"/>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B13AAA" w:rsidRPr="004E355C" w:rsidTr="002326C7">
        <w:trPr>
          <w:cnfStyle w:val="100000000000" w:firstRow="1" w:lastRow="0" w:firstColumn="0" w:lastColumn="0" w:oddVBand="0" w:evenVBand="0" w:oddHBand="0" w:evenHBand="0" w:firstRowFirstColumn="0" w:firstRowLastColumn="0" w:lastRowFirstColumn="0" w:lastRowLastColumn="0"/>
          <w:trHeight w:val="387"/>
          <w:jc w:val="center"/>
        </w:trPr>
        <w:tc>
          <w:tcPr>
            <w:cnfStyle w:val="001000000100" w:firstRow="0" w:lastRow="0" w:firstColumn="1" w:lastColumn="0" w:oddVBand="0" w:evenVBand="0" w:oddHBand="0" w:evenHBand="0" w:firstRowFirstColumn="1" w:firstRowLastColumn="0" w:lastRowFirstColumn="0" w:lastRowLastColumn="0"/>
            <w:tcW w:w="9515" w:type="dxa"/>
            <w:gridSpan w:val="6"/>
            <w:hideMark/>
          </w:tcPr>
          <w:p w:rsidR="00B13AAA" w:rsidRPr="004E355C" w:rsidRDefault="00B13AAA" w:rsidP="00397C3F">
            <w:pPr>
              <w:jc w:val="center"/>
              <w:rPr>
                <w:rFonts w:asciiTheme="minorHAnsi" w:hAnsiTheme="minorHAnsi" w:cstheme="minorHAnsi"/>
                <w:b w:val="0"/>
                <w:color w:val="auto"/>
                <w:sz w:val="18"/>
                <w:szCs w:val="18"/>
              </w:rPr>
            </w:pPr>
            <w:r w:rsidRPr="004E355C">
              <w:rPr>
                <w:rFonts w:asciiTheme="minorHAnsi" w:hAnsiTheme="minorHAnsi" w:cstheme="minorHAnsi"/>
                <w:color w:val="auto"/>
                <w:sz w:val="20"/>
                <w:szCs w:val="18"/>
              </w:rPr>
              <w:t>Produktet me kontribut negativ</w:t>
            </w:r>
          </w:p>
        </w:tc>
      </w:tr>
      <w:tr w:rsidR="00B13AAA" w:rsidRPr="004E355C" w:rsidTr="002326C7">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hideMark/>
          </w:tcPr>
          <w:p w:rsidR="00B13AAA" w:rsidRPr="004E355C" w:rsidRDefault="00B13AAA" w:rsidP="00397C3F">
            <w:pPr>
              <w:rPr>
                <w:rFonts w:asciiTheme="minorHAnsi" w:hAnsiTheme="minorHAnsi" w:cstheme="minorHAnsi"/>
                <w:b w:val="0"/>
                <w:bCs w:val="0"/>
                <w:sz w:val="18"/>
                <w:szCs w:val="18"/>
              </w:rPr>
            </w:pPr>
            <w:r w:rsidRPr="004E355C">
              <w:rPr>
                <w:rFonts w:asciiTheme="minorHAnsi" w:hAnsiTheme="minorHAnsi" w:cstheme="minorHAnsi"/>
                <w:sz w:val="18"/>
                <w:szCs w:val="18"/>
              </w:rPr>
              <w:t> </w:t>
            </w:r>
          </w:p>
        </w:tc>
        <w:tc>
          <w:tcPr>
            <w:tcW w:w="1110"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Njësia</w:t>
            </w:r>
          </w:p>
        </w:tc>
        <w:tc>
          <w:tcPr>
            <w:tcW w:w="951"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Sasi</w:t>
            </w:r>
          </w:p>
        </w:tc>
        <w:tc>
          <w:tcPr>
            <w:tcW w:w="740"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c>
          <w:tcPr>
            <w:tcW w:w="1674"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TVSH/milionë lekë</w:t>
            </w:r>
          </w:p>
        </w:tc>
        <w:tc>
          <w:tcPr>
            <w:tcW w:w="930" w:type="dxa"/>
            <w:hideMark/>
          </w:tcPr>
          <w:p w:rsidR="00B13AAA" w:rsidRPr="004E355C" w:rsidRDefault="00B13AAA" w:rsidP="00397C3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4E355C">
              <w:rPr>
                <w:rFonts w:asciiTheme="minorHAnsi" w:hAnsiTheme="minorHAnsi" w:cstheme="minorHAnsi"/>
                <w:b/>
                <w:bCs/>
                <w:sz w:val="18"/>
                <w:szCs w:val="18"/>
              </w:rPr>
              <w:t>%</w:t>
            </w:r>
          </w:p>
        </w:tc>
      </w:tr>
      <w:tr w:rsidR="00B13AAA" w:rsidRPr="004E355C" w:rsidTr="002326C7">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 xml:space="preserve">Karburante Import </w:t>
            </w:r>
          </w:p>
        </w:tc>
        <w:tc>
          <w:tcPr>
            <w:tcW w:w="111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-14,909</w:t>
            </w:r>
          </w:p>
        </w:tc>
        <w:tc>
          <w:tcPr>
            <w:tcW w:w="74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-7%</w:t>
            </w:r>
          </w:p>
        </w:tc>
        <w:tc>
          <w:tcPr>
            <w:tcW w:w="1674"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-477</w:t>
            </w:r>
          </w:p>
        </w:tc>
        <w:tc>
          <w:tcPr>
            <w:tcW w:w="93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-8%</w:t>
            </w:r>
          </w:p>
        </w:tc>
      </w:tr>
      <w:tr w:rsidR="00B13AAA" w:rsidRPr="004E355C" w:rsidTr="002326C7">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 xml:space="preserve">Pleheruesit </w:t>
            </w:r>
          </w:p>
        </w:tc>
        <w:tc>
          <w:tcPr>
            <w:tcW w:w="111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19,763</w:t>
            </w:r>
          </w:p>
        </w:tc>
        <w:tc>
          <w:tcPr>
            <w:tcW w:w="74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34%</w:t>
            </w:r>
          </w:p>
        </w:tc>
        <w:tc>
          <w:tcPr>
            <w:tcW w:w="1674"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-359</w:t>
            </w:r>
          </w:p>
        </w:tc>
        <w:tc>
          <w:tcPr>
            <w:tcW w:w="93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-97%</w:t>
            </w:r>
          </w:p>
        </w:tc>
      </w:tr>
      <w:tr w:rsidR="00B13AAA" w:rsidRPr="004E355C" w:rsidTr="002326C7">
        <w:trPr>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 xml:space="preserve">Automjeteve te perdorura </w:t>
            </w:r>
          </w:p>
        </w:tc>
        <w:tc>
          <w:tcPr>
            <w:tcW w:w="111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-7,172</w:t>
            </w:r>
          </w:p>
        </w:tc>
        <w:tc>
          <w:tcPr>
            <w:tcW w:w="74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-35%</w:t>
            </w:r>
          </w:p>
        </w:tc>
        <w:tc>
          <w:tcPr>
            <w:tcW w:w="1674"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-260</w:t>
            </w:r>
          </w:p>
        </w:tc>
        <w:tc>
          <w:tcPr>
            <w:tcW w:w="93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-11%</w:t>
            </w:r>
          </w:p>
        </w:tc>
      </w:tr>
      <w:tr w:rsidR="00B13AAA" w:rsidRPr="004E355C" w:rsidTr="002326C7">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Mielli dhe Gruri</w:t>
            </w:r>
          </w:p>
        </w:tc>
        <w:tc>
          <w:tcPr>
            <w:tcW w:w="111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-39,511</w:t>
            </w:r>
          </w:p>
        </w:tc>
        <w:tc>
          <w:tcPr>
            <w:tcW w:w="74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-33%</w:t>
            </w:r>
          </w:p>
        </w:tc>
        <w:tc>
          <w:tcPr>
            <w:tcW w:w="1674"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-159</w:t>
            </w:r>
          </w:p>
        </w:tc>
        <w:tc>
          <w:tcPr>
            <w:tcW w:w="93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-25%</w:t>
            </w:r>
          </w:p>
        </w:tc>
      </w:tr>
      <w:tr w:rsidR="00B13AAA" w:rsidRPr="004E355C" w:rsidTr="002326C7">
        <w:trPr>
          <w:trHeight w:val="201"/>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 xml:space="preserve">Plastika dhe artikujt </w:t>
            </w:r>
          </w:p>
        </w:tc>
        <w:tc>
          <w:tcPr>
            <w:tcW w:w="111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xml:space="preserve">Ton </w:t>
            </w:r>
          </w:p>
        </w:tc>
        <w:tc>
          <w:tcPr>
            <w:tcW w:w="951"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-4,098</w:t>
            </w:r>
          </w:p>
        </w:tc>
        <w:tc>
          <w:tcPr>
            <w:tcW w:w="74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-14%</w:t>
            </w:r>
          </w:p>
        </w:tc>
        <w:tc>
          <w:tcPr>
            <w:tcW w:w="1674"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-133</w:t>
            </w:r>
          </w:p>
        </w:tc>
        <w:tc>
          <w:tcPr>
            <w:tcW w:w="930" w:type="dxa"/>
          </w:tcPr>
          <w:p w:rsidR="00B13AAA" w:rsidRPr="004E355C" w:rsidRDefault="00B13AAA" w:rsidP="00397C3F">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-8%</w:t>
            </w:r>
          </w:p>
        </w:tc>
      </w:tr>
      <w:tr w:rsidR="00B13AAA" w:rsidRPr="004E355C" w:rsidTr="002326C7">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rsidR="00B13AAA" w:rsidRPr="004E355C" w:rsidRDefault="00B13AAA" w:rsidP="00397C3F">
            <w:pPr>
              <w:rPr>
                <w:rFonts w:asciiTheme="minorHAnsi" w:hAnsiTheme="minorHAnsi" w:cstheme="minorHAnsi"/>
                <w:b w:val="0"/>
                <w:sz w:val="18"/>
                <w:szCs w:val="18"/>
              </w:rPr>
            </w:pPr>
            <w:r w:rsidRPr="004E355C">
              <w:rPr>
                <w:rFonts w:asciiTheme="minorHAnsi" w:hAnsiTheme="minorHAnsi" w:cstheme="minorHAnsi"/>
                <w:sz w:val="18"/>
                <w:szCs w:val="18"/>
              </w:rPr>
              <w:t>Efekti</w:t>
            </w:r>
          </w:p>
        </w:tc>
        <w:tc>
          <w:tcPr>
            <w:tcW w:w="111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951"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74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c>
          <w:tcPr>
            <w:tcW w:w="1674"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-1,388</w:t>
            </w:r>
          </w:p>
        </w:tc>
        <w:tc>
          <w:tcPr>
            <w:tcW w:w="930" w:type="dxa"/>
          </w:tcPr>
          <w:p w:rsidR="00B13AAA" w:rsidRPr="004E355C" w:rsidRDefault="00B13AAA" w:rsidP="00397C3F">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4E355C">
              <w:rPr>
                <w:rFonts w:asciiTheme="minorHAnsi" w:hAnsiTheme="minorHAnsi" w:cstheme="minorHAnsi"/>
                <w:sz w:val="18"/>
                <w:szCs w:val="18"/>
              </w:rPr>
              <w:t> </w:t>
            </w:r>
          </w:p>
        </w:tc>
      </w:tr>
    </w:tbl>
    <w:p w:rsidR="00A426D6" w:rsidRDefault="00B13AAA" w:rsidP="00B13AAA">
      <w:pPr>
        <w:tabs>
          <w:tab w:val="left" w:pos="810"/>
          <w:tab w:val="center" w:pos="4680"/>
          <w:tab w:val="left" w:pos="9360"/>
        </w:tabs>
        <w:spacing w:line="276" w:lineRule="auto"/>
        <w:rPr>
          <w:rFonts w:asciiTheme="minorHAnsi" w:hAnsiTheme="minorHAnsi"/>
          <w:sz w:val="20"/>
          <w:szCs w:val="20"/>
          <w:lang w:val="sq-AL"/>
        </w:rPr>
      </w:pPr>
      <w:r w:rsidRPr="004E355C">
        <w:rPr>
          <w:rFonts w:asciiTheme="minorHAnsi" w:hAnsiTheme="minorHAnsi"/>
          <w:sz w:val="20"/>
          <w:szCs w:val="20"/>
          <w:lang w:val="sq-AL"/>
        </w:rPr>
        <w:tab/>
      </w:r>
      <w:r w:rsidR="00B24B3B" w:rsidRPr="004E355C">
        <w:rPr>
          <w:rFonts w:asciiTheme="minorHAnsi" w:hAnsiTheme="minorHAnsi"/>
          <w:sz w:val="20"/>
          <w:szCs w:val="20"/>
          <w:lang w:val="sq-AL"/>
        </w:rPr>
        <w:t>Burimi: Ministria e Financave dhe Ekonomisë (2019)</w:t>
      </w:r>
    </w:p>
    <w:p w:rsidR="002326C7" w:rsidRPr="002326C7" w:rsidRDefault="002326C7" w:rsidP="00B13AAA">
      <w:pPr>
        <w:tabs>
          <w:tab w:val="left" w:pos="810"/>
          <w:tab w:val="center" w:pos="4680"/>
          <w:tab w:val="left" w:pos="9360"/>
        </w:tabs>
        <w:spacing w:line="276" w:lineRule="auto"/>
        <w:rPr>
          <w:rFonts w:asciiTheme="minorHAnsi" w:hAnsiTheme="minorHAnsi"/>
          <w:sz w:val="8"/>
          <w:szCs w:val="8"/>
          <w:lang w:val="sq-AL"/>
        </w:rPr>
      </w:pPr>
    </w:p>
    <w:p w:rsidR="0054100C" w:rsidRDefault="00B13AAA" w:rsidP="002326C7">
      <w:pPr>
        <w:spacing w:line="276" w:lineRule="auto"/>
        <w:jc w:val="both"/>
        <w:rPr>
          <w:rFonts w:asciiTheme="minorHAnsi" w:hAnsiTheme="minorHAnsi"/>
          <w:lang w:val="sq-AL"/>
        </w:rPr>
      </w:pPr>
      <w:r w:rsidRPr="004E355C">
        <w:rPr>
          <w:rFonts w:asciiTheme="minorHAnsi" w:hAnsiTheme="minorHAnsi" w:cstheme="minorHAnsi"/>
          <w:i/>
        </w:rPr>
        <w:t>Të ardhurat nga renta minerare</w:t>
      </w:r>
      <w:r w:rsidRPr="004E355C">
        <w:rPr>
          <w:rFonts w:asciiTheme="minorHAnsi" w:hAnsiTheme="minorHAnsi" w:cstheme="minorHAnsi"/>
        </w:rPr>
        <w:t xml:space="preserve"> në eksport janë realizuar në vlerën 1.3 miliardë lekë, 18.2% ose 197 milionë lekë më shumë krahasuar me 5 mujorin e vitit 2018, dhe 16.8% ose 257 milionë lekë më pak se plani.</w:t>
      </w:r>
      <w:r w:rsidRPr="004E355C">
        <w:rPr>
          <w:rFonts w:asciiTheme="minorHAnsi" w:hAnsiTheme="minorHAnsi" w:cstheme="minorHAnsi"/>
          <w:lang w:val="it-IT"/>
        </w:rPr>
        <w:t xml:space="preserve"> </w:t>
      </w:r>
      <w:r w:rsidRPr="004E355C">
        <w:rPr>
          <w:rFonts w:asciiTheme="minorHAnsi" w:hAnsiTheme="minorHAnsi" w:cstheme="minorHAnsi"/>
        </w:rPr>
        <w:t>Të ardhurat nga renta minerare për naftën bruto janë rritur me 242 milionë lekë, si rezultat i rritjes së sasisë së eksportuar me rreth 80 mijë ton dhe janë rritur me 129 milionë lekë si rezultat i rritjes së çmimit të naftës bruto në tregjet ndërkombëtare krahasuar me të njëjtën periudhë të vitit të kaluar, duke sjellë rritje të rentës për njësi nga 3 lekë/kg në 3.5 lekë/kg. Ndërkohë, të ardhurat nga mineralet e eksportuara kanë pësuar rënie në masën 77 milionë lekë për shkak të rënies së sasisë së eksportuar, me rreth 155 mijë ton si dhe janë ulur me 99 milionë lekë, për shkak të rënies së çmimit të mineraleve në tregjet ndërkombëtare, krahasuar me të njëjtën periudhë të vitit të kaluar</w:t>
      </w:r>
      <w:r w:rsidR="0054100C" w:rsidRPr="004E355C">
        <w:rPr>
          <w:rFonts w:asciiTheme="minorHAnsi" w:hAnsiTheme="minorHAnsi"/>
          <w:lang w:val="sq-AL"/>
        </w:rPr>
        <w:t>.</w:t>
      </w:r>
    </w:p>
    <w:p w:rsidR="002326C7" w:rsidRPr="002326C7" w:rsidRDefault="002326C7" w:rsidP="002326C7">
      <w:pPr>
        <w:spacing w:line="276" w:lineRule="auto"/>
        <w:jc w:val="both"/>
        <w:rPr>
          <w:rFonts w:asciiTheme="minorHAnsi" w:hAnsiTheme="minorHAnsi"/>
          <w:sz w:val="8"/>
          <w:szCs w:val="8"/>
          <w:lang w:val="sq-AL"/>
        </w:rPr>
      </w:pPr>
    </w:p>
    <w:p w:rsidR="00070183" w:rsidRPr="004E355C" w:rsidRDefault="00070183" w:rsidP="002326C7">
      <w:pPr>
        <w:pStyle w:val="Caption"/>
        <w:keepNext/>
        <w:spacing w:after="0"/>
        <w:jc w:val="both"/>
        <w:rPr>
          <w:rFonts w:asciiTheme="minorHAnsi" w:hAnsiTheme="minorHAnsi"/>
          <w:b w:val="0"/>
          <w:bCs w:val="0"/>
          <w:i/>
          <w:color w:val="auto"/>
          <w:sz w:val="24"/>
          <w:szCs w:val="24"/>
          <w:lang w:val="sq-AL"/>
        </w:rPr>
      </w:pPr>
      <w:bookmarkStart w:id="17" w:name="_Toc12449193"/>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7</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dhëna për Rentën Minerare, naftë bruto dhe minerale të tjera (në milionë lekë)</w:t>
      </w:r>
      <w:bookmarkEnd w:id="17"/>
    </w:p>
    <w:tbl>
      <w:tblPr>
        <w:tblStyle w:val="GridTable4-Accent52"/>
        <w:tblW w:w="5476" w:type="pct"/>
        <w:jc w:val="center"/>
        <w:tblLayout w:type="fixed"/>
        <w:tblLook w:val="0600" w:firstRow="0" w:lastRow="0" w:firstColumn="0" w:lastColumn="0" w:noHBand="1" w:noVBand="1"/>
      </w:tblPr>
      <w:tblGrid>
        <w:gridCol w:w="1976"/>
        <w:gridCol w:w="757"/>
        <w:gridCol w:w="757"/>
        <w:gridCol w:w="757"/>
        <w:gridCol w:w="766"/>
        <w:gridCol w:w="757"/>
        <w:gridCol w:w="759"/>
        <w:gridCol w:w="759"/>
        <w:gridCol w:w="776"/>
        <w:gridCol w:w="759"/>
        <w:gridCol w:w="912"/>
        <w:gridCol w:w="1048"/>
      </w:tblGrid>
      <w:tr w:rsidR="00B13AAA" w:rsidRPr="004E355C" w:rsidTr="002326C7">
        <w:trPr>
          <w:trHeight w:val="70"/>
          <w:jc w:val="center"/>
        </w:trPr>
        <w:tc>
          <w:tcPr>
            <w:tcW w:w="916" w:type="pct"/>
            <w:vMerge w:val="restar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8"/>
                <w:szCs w:val="18"/>
              </w:rPr>
            </w:pPr>
          </w:p>
        </w:tc>
        <w:tc>
          <w:tcPr>
            <w:tcW w:w="1408" w:type="pct"/>
            <w:gridSpan w:val="4"/>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8"/>
                <w:szCs w:val="18"/>
              </w:rPr>
            </w:pPr>
            <w:r w:rsidRPr="004E355C">
              <w:rPr>
                <w:rFonts w:cstheme="minorHAnsi"/>
                <w:b/>
                <w:bCs/>
                <w:iCs/>
                <w:sz w:val="18"/>
                <w:szCs w:val="18"/>
              </w:rPr>
              <w:t>Sasia në mijë ton</w:t>
            </w:r>
          </w:p>
        </w:tc>
        <w:tc>
          <w:tcPr>
            <w:tcW w:w="1415" w:type="pct"/>
            <w:gridSpan w:val="4"/>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8"/>
                <w:szCs w:val="18"/>
              </w:rPr>
            </w:pPr>
            <w:r w:rsidRPr="004E355C">
              <w:rPr>
                <w:rFonts w:cstheme="minorHAnsi"/>
                <w:b/>
                <w:bCs/>
                <w:iCs/>
                <w:sz w:val="18"/>
                <w:szCs w:val="18"/>
              </w:rPr>
              <w:t>Të ardhura nga Renta në mijë lekë</w:t>
            </w:r>
          </w:p>
        </w:tc>
        <w:tc>
          <w:tcPr>
            <w:tcW w:w="1261" w:type="pct"/>
            <w:gridSpan w:val="3"/>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8"/>
                <w:szCs w:val="18"/>
              </w:rPr>
            </w:pPr>
            <w:r w:rsidRPr="004E355C">
              <w:rPr>
                <w:rFonts w:cstheme="minorHAnsi"/>
                <w:b/>
                <w:bCs/>
                <w:iCs/>
                <w:sz w:val="18"/>
                <w:szCs w:val="18"/>
              </w:rPr>
              <w:t>Efektet</w:t>
            </w:r>
          </w:p>
        </w:tc>
      </w:tr>
      <w:tr w:rsidR="002326C7" w:rsidRPr="004E355C" w:rsidTr="002326C7">
        <w:trPr>
          <w:trHeight w:val="471"/>
          <w:jc w:val="center"/>
        </w:trPr>
        <w:tc>
          <w:tcPr>
            <w:tcW w:w="916" w:type="pct"/>
            <w:vMerge/>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8"/>
                <w:szCs w:val="18"/>
              </w:rPr>
            </w:pPr>
          </w:p>
        </w:tc>
        <w:tc>
          <w:tcPr>
            <w:tcW w:w="351"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2019</w:t>
            </w:r>
          </w:p>
        </w:tc>
        <w:tc>
          <w:tcPr>
            <w:tcW w:w="351"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2018</w:t>
            </w:r>
          </w:p>
        </w:tc>
        <w:tc>
          <w:tcPr>
            <w:tcW w:w="351"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bCs/>
                <w:iCs/>
                <w:sz w:val="16"/>
                <w:szCs w:val="16"/>
              </w:rPr>
            </w:pPr>
            <w:r w:rsidRPr="004E355C">
              <w:rPr>
                <w:rFonts w:cstheme="minorHAnsi"/>
                <w:b/>
                <w:bCs/>
                <w:iCs/>
                <w:sz w:val="16"/>
                <w:szCs w:val="16"/>
              </w:rPr>
              <w:t xml:space="preserve">Δ </w:t>
            </w:r>
          </w:p>
          <w:p w:rsidR="00B13AAA" w:rsidRPr="004E355C" w:rsidRDefault="00B13AAA" w:rsidP="00397C3F">
            <w:pPr>
              <w:tabs>
                <w:tab w:val="left" w:pos="2511"/>
                <w:tab w:val="center" w:pos="4680"/>
              </w:tabs>
              <w:spacing w:line="276" w:lineRule="auto"/>
              <w:jc w:val="center"/>
              <w:rPr>
                <w:rFonts w:cstheme="minorHAnsi"/>
                <w:b/>
                <w:bCs/>
                <w:iCs/>
                <w:sz w:val="16"/>
                <w:szCs w:val="16"/>
              </w:rPr>
            </w:pPr>
            <w:r w:rsidRPr="004E355C">
              <w:rPr>
                <w:rFonts w:cstheme="minorHAnsi"/>
                <w:b/>
                <w:bCs/>
                <w:iCs/>
                <w:sz w:val="16"/>
                <w:szCs w:val="16"/>
              </w:rPr>
              <w:t>2019/</w:t>
            </w:r>
          </w:p>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2018</w:t>
            </w:r>
          </w:p>
        </w:tc>
        <w:tc>
          <w:tcPr>
            <w:tcW w:w="355"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në %</w:t>
            </w:r>
          </w:p>
        </w:tc>
        <w:tc>
          <w:tcPr>
            <w:tcW w:w="351"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2019</w:t>
            </w:r>
          </w:p>
        </w:tc>
        <w:tc>
          <w:tcPr>
            <w:tcW w:w="352"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2018</w:t>
            </w:r>
          </w:p>
        </w:tc>
        <w:tc>
          <w:tcPr>
            <w:tcW w:w="352"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bCs/>
                <w:iCs/>
                <w:sz w:val="16"/>
                <w:szCs w:val="16"/>
              </w:rPr>
            </w:pPr>
            <w:r w:rsidRPr="004E355C">
              <w:rPr>
                <w:rFonts w:cstheme="minorHAnsi"/>
                <w:b/>
                <w:bCs/>
                <w:iCs/>
                <w:sz w:val="16"/>
                <w:szCs w:val="16"/>
              </w:rPr>
              <w:t>Δ</w:t>
            </w:r>
          </w:p>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2019/ 2018</w:t>
            </w:r>
          </w:p>
        </w:tc>
        <w:tc>
          <w:tcPr>
            <w:tcW w:w="360"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në %</w:t>
            </w:r>
          </w:p>
        </w:tc>
        <w:tc>
          <w:tcPr>
            <w:tcW w:w="352"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Δ Sasi</w:t>
            </w:r>
          </w:p>
        </w:tc>
        <w:tc>
          <w:tcPr>
            <w:tcW w:w="423"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Δ Çmim</w:t>
            </w:r>
          </w:p>
        </w:tc>
        <w:tc>
          <w:tcPr>
            <w:tcW w:w="486" w:type="pct"/>
            <w:shd w:val="clear" w:color="auto" w:fill="92CDDC" w:themeFill="accent5" w:themeFillTint="99"/>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bCs/>
                <w:iCs/>
                <w:sz w:val="16"/>
                <w:szCs w:val="16"/>
              </w:rPr>
              <w:t>Efekt Total</w:t>
            </w:r>
          </w:p>
        </w:tc>
      </w:tr>
      <w:tr w:rsidR="00B13AAA" w:rsidRPr="004E355C" w:rsidTr="002326C7">
        <w:trPr>
          <w:trHeight w:val="138"/>
          <w:jc w:val="center"/>
        </w:trPr>
        <w:tc>
          <w:tcPr>
            <w:tcW w:w="916" w:type="pct"/>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sz w:val="16"/>
                <w:szCs w:val="16"/>
              </w:rPr>
              <w:t>Rentë minerare           Naftë Bruto</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283</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237</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-46</w:t>
            </w:r>
          </w:p>
        </w:tc>
        <w:tc>
          <w:tcPr>
            <w:tcW w:w="355"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-16.5%</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986</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831</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-155</w:t>
            </w:r>
          </w:p>
        </w:tc>
        <w:tc>
          <w:tcPr>
            <w:tcW w:w="360"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-15.8%</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-162</w:t>
            </w:r>
          </w:p>
        </w:tc>
        <w:tc>
          <w:tcPr>
            <w:tcW w:w="423"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6,8</w:t>
            </w:r>
          </w:p>
        </w:tc>
        <w:tc>
          <w:tcPr>
            <w:tcW w:w="486"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-155</w:t>
            </w:r>
          </w:p>
        </w:tc>
      </w:tr>
      <w:tr w:rsidR="00B13AAA" w:rsidRPr="004E355C" w:rsidTr="002326C7">
        <w:trPr>
          <w:trHeight w:val="118"/>
          <w:jc w:val="center"/>
        </w:trPr>
        <w:tc>
          <w:tcPr>
            <w:tcW w:w="916" w:type="pct"/>
            <w:hideMark/>
          </w:tcPr>
          <w:p w:rsidR="00B13AAA" w:rsidRPr="004E355C" w:rsidRDefault="00B13AAA" w:rsidP="00397C3F">
            <w:pPr>
              <w:tabs>
                <w:tab w:val="left" w:pos="2511"/>
                <w:tab w:val="center" w:pos="4680"/>
              </w:tabs>
              <w:spacing w:line="276" w:lineRule="auto"/>
              <w:jc w:val="center"/>
              <w:rPr>
                <w:rFonts w:cstheme="minorHAnsi"/>
                <w:b/>
                <w:sz w:val="16"/>
                <w:szCs w:val="16"/>
              </w:rPr>
            </w:pPr>
            <w:r w:rsidRPr="004E355C">
              <w:rPr>
                <w:rFonts w:cstheme="minorHAnsi"/>
                <w:b/>
                <w:sz w:val="16"/>
                <w:szCs w:val="16"/>
              </w:rPr>
              <w:t>Rentë minerare Minerale të tjera</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781</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895</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114</w:t>
            </w:r>
          </w:p>
        </w:tc>
        <w:tc>
          <w:tcPr>
            <w:tcW w:w="355"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14.7%</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287</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190</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-97</w:t>
            </w:r>
          </w:p>
        </w:tc>
        <w:tc>
          <w:tcPr>
            <w:tcW w:w="360"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-34%</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42</w:t>
            </w:r>
          </w:p>
        </w:tc>
        <w:tc>
          <w:tcPr>
            <w:tcW w:w="423"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-139</w:t>
            </w:r>
          </w:p>
        </w:tc>
        <w:tc>
          <w:tcPr>
            <w:tcW w:w="486" w:type="pct"/>
            <w:hideMark/>
          </w:tcPr>
          <w:p w:rsidR="00B13AAA" w:rsidRPr="004E355C" w:rsidRDefault="00B13AAA" w:rsidP="00397C3F">
            <w:pPr>
              <w:pStyle w:val="NormalWeb"/>
              <w:spacing w:before="0" w:beforeAutospacing="0" w:after="0" w:afterAutospacing="0"/>
              <w:jc w:val="right"/>
              <w:textAlignment w:val="bottom"/>
              <w:rPr>
                <w:rFonts w:cstheme="minorHAnsi"/>
                <w:sz w:val="18"/>
                <w:szCs w:val="18"/>
              </w:rPr>
            </w:pPr>
            <w:r w:rsidRPr="004E355C">
              <w:rPr>
                <w:rFonts w:cstheme="minorHAnsi"/>
                <w:kern w:val="24"/>
                <w:sz w:val="18"/>
                <w:szCs w:val="18"/>
              </w:rPr>
              <w:t>-98</w:t>
            </w:r>
          </w:p>
        </w:tc>
      </w:tr>
      <w:tr w:rsidR="00B13AAA" w:rsidRPr="004E355C" w:rsidTr="002326C7">
        <w:trPr>
          <w:trHeight w:val="65"/>
          <w:jc w:val="center"/>
        </w:trPr>
        <w:tc>
          <w:tcPr>
            <w:tcW w:w="916" w:type="pct"/>
            <w:hideMark/>
          </w:tcPr>
          <w:p w:rsidR="00B13AAA" w:rsidRPr="004E355C" w:rsidRDefault="00B13AAA" w:rsidP="00397C3F">
            <w:pPr>
              <w:tabs>
                <w:tab w:val="left" w:pos="2511"/>
                <w:tab w:val="center" w:pos="4680"/>
              </w:tabs>
              <w:spacing w:line="276" w:lineRule="auto"/>
              <w:jc w:val="center"/>
              <w:rPr>
                <w:rFonts w:cstheme="minorHAnsi"/>
                <w:b/>
                <w:sz w:val="18"/>
                <w:szCs w:val="18"/>
              </w:rPr>
            </w:pPr>
            <w:r w:rsidRPr="004E355C">
              <w:rPr>
                <w:rFonts w:cstheme="minorHAnsi"/>
                <w:b/>
                <w:iCs/>
                <w:sz w:val="18"/>
                <w:szCs w:val="18"/>
              </w:rPr>
              <w:t>Totali</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1,065</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1,133</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68</w:t>
            </w:r>
          </w:p>
        </w:tc>
        <w:tc>
          <w:tcPr>
            <w:tcW w:w="355"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6.4%</w:t>
            </w:r>
          </w:p>
        </w:tc>
        <w:tc>
          <w:tcPr>
            <w:tcW w:w="351"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1,274</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1,021</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-253</w:t>
            </w:r>
          </w:p>
        </w:tc>
        <w:tc>
          <w:tcPr>
            <w:tcW w:w="360"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-19.9%</w:t>
            </w:r>
          </w:p>
        </w:tc>
        <w:tc>
          <w:tcPr>
            <w:tcW w:w="352"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-120</w:t>
            </w:r>
          </w:p>
        </w:tc>
        <w:tc>
          <w:tcPr>
            <w:tcW w:w="423"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-133</w:t>
            </w:r>
          </w:p>
        </w:tc>
        <w:tc>
          <w:tcPr>
            <w:tcW w:w="486" w:type="pct"/>
            <w:hideMark/>
          </w:tcPr>
          <w:p w:rsidR="00B13AAA" w:rsidRPr="004E355C" w:rsidRDefault="00B13AAA" w:rsidP="00397C3F">
            <w:pPr>
              <w:pStyle w:val="NormalWeb"/>
              <w:spacing w:before="0" w:beforeAutospacing="0" w:after="0" w:afterAutospacing="0"/>
              <w:jc w:val="right"/>
              <w:textAlignment w:val="bottom"/>
              <w:rPr>
                <w:rFonts w:cstheme="minorHAnsi"/>
                <w:b/>
                <w:sz w:val="18"/>
                <w:szCs w:val="18"/>
              </w:rPr>
            </w:pPr>
            <w:r w:rsidRPr="004E355C">
              <w:rPr>
                <w:rFonts w:cstheme="minorHAnsi"/>
                <w:b/>
                <w:kern w:val="24"/>
                <w:sz w:val="18"/>
                <w:szCs w:val="18"/>
              </w:rPr>
              <w:t>-253</w:t>
            </w:r>
          </w:p>
        </w:tc>
      </w:tr>
    </w:tbl>
    <w:p w:rsidR="00A426D6" w:rsidRPr="004E355C" w:rsidRDefault="00B24B3B" w:rsidP="00A426D6">
      <w:pPr>
        <w:tabs>
          <w:tab w:val="left" w:pos="2511"/>
          <w:tab w:val="center" w:pos="4680"/>
          <w:tab w:val="left" w:pos="9360"/>
        </w:tabs>
        <w:spacing w:line="276" w:lineRule="auto"/>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256E9F" w:rsidRPr="004E355C" w:rsidRDefault="00A426D6" w:rsidP="00256E9F">
      <w:pPr>
        <w:spacing w:before="240" w:line="276" w:lineRule="auto"/>
        <w:jc w:val="both"/>
        <w:rPr>
          <w:rFonts w:asciiTheme="minorHAnsi" w:hAnsiTheme="minorHAnsi"/>
          <w:lang w:val="sq-AL"/>
        </w:rPr>
      </w:pPr>
      <w:r w:rsidRPr="004E355C">
        <w:rPr>
          <w:rFonts w:asciiTheme="minorHAnsi" w:hAnsiTheme="minorHAnsi"/>
          <w:b/>
          <w:bCs/>
          <w:lang w:val="sq-AL"/>
        </w:rPr>
        <w:lastRenderedPageBreak/>
        <w:t xml:space="preserve">Të Ardhurat nga Drejtoria e Përgjithshme e Tatimeve </w:t>
      </w:r>
      <w:r w:rsidRPr="004E355C">
        <w:rPr>
          <w:rFonts w:asciiTheme="minorHAnsi" w:hAnsiTheme="minorHAnsi"/>
          <w:bCs/>
          <w:lang w:val="sq-AL"/>
        </w:rPr>
        <w:t>–</w:t>
      </w:r>
      <w:r w:rsidRPr="004E355C">
        <w:rPr>
          <w:rFonts w:asciiTheme="minorHAnsi" w:hAnsiTheme="minorHAnsi"/>
          <w:lang w:val="sq-AL"/>
        </w:rPr>
        <w:t xml:space="preserve"> </w:t>
      </w:r>
      <w:r w:rsidR="00F85389" w:rsidRPr="004E355C">
        <w:rPr>
          <w:rFonts w:asciiTheme="minorHAnsi" w:hAnsiTheme="minorHAnsi" w:cstheme="minorHAnsi"/>
        </w:rPr>
        <w:t>Të ardhurat e mbledhura nga administrata tatimore (përfshirë kontributet) për 5 mujorin e vitit 2019 janë realizuar në vlerën 101 miliardë lekë, 6% ose 5.7 miliardë lekë më shumë se e njëjta periudhë e një viti më parë dhe 0.8% ose 827 milionë lekë më pak se plani i vitit 2018</w:t>
      </w:r>
      <w:r w:rsidR="00256E9F" w:rsidRPr="004E355C">
        <w:rPr>
          <w:rFonts w:asciiTheme="minorHAnsi" w:hAnsiTheme="minorHAnsi"/>
          <w:lang w:val="sq-AL"/>
        </w:rPr>
        <w:t>.</w:t>
      </w:r>
    </w:p>
    <w:p w:rsidR="00070183" w:rsidRPr="004E355C" w:rsidRDefault="00070183" w:rsidP="00F85389">
      <w:pPr>
        <w:pStyle w:val="Caption"/>
        <w:keepNext/>
        <w:spacing w:before="240"/>
        <w:jc w:val="both"/>
        <w:rPr>
          <w:rFonts w:asciiTheme="minorHAnsi" w:hAnsiTheme="minorHAnsi"/>
          <w:b w:val="0"/>
          <w:bCs w:val="0"/>
          <w:i/>
          <w:color w:val="auto"/>
          <w:sz w:val="24"/>
          <w:szCs w:val="24"/>
          <w:lang w:val="sq-AL"/>
        </w:rPr>
      </w:pPr>
      <w:bookmarkStart w:id="18" w:name="_Toc12448431"/>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nga Tatimet Janar- Maj 201</w:t>
      </w:r>
      <w:r w:rsidR="00F85389"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 Mujore dhe Progresive (në milionë lekë)</w:t>
      </w:r>
      <w:bookmarkEnd w:id="18"/>
    </w:p>
    <w:p w:rsidR="00A426D6" w:rsidRPr="004E355C" w:rsidRDefault="00F85389" w:rsidP="00F85389">
      <w:pPr>
        <w:tabs>
          <w:tab w:val="left" w:pos="1530"/>
          <w:tab w:val="center" w:pos="4680"/>
          <w:tab w:val="left" w:pos="9360"/>
        </w:tabs>
        <w:spacing w:line="276" w:lineRule="auto"/>
        <w:jc w:val="center"/>
        <w:rPr>
          <w:rFonts w:asciiTheme="minorHAnsi" w:eastAsia="SimSun" w:hAnsiTheme="minorHAnsi"/>
          <w:lang w:val="sq-AL"/>
        </w:rPr>
      </w:pPr>
      <w:r w:rsidRPr="004E355C">
        <w:rPr>
          <w:rFonts w:asciiTheme="minorHAnsi" w:eastAsia="SimSun" w:hAnsiTheme="minorHAnsi" w:cstheme="minorHAnsi"/>
          <w:noProof/>
        </w:rPr>
        <w:drawing>
          <wp:inline distT="0" distB="0" distL="0" distR="0" wp14:anchorId="1B493632" wp14:editId="62B0EB49">
            <wp:extent cx="2969895" cy="1653540"/>
            <wp:effectExtent l="0" t="0" r="1905" b="381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sidR="00397C3F" w:rsidRPr="004E355C">
        <w:rPr>
          <w:rFonts w:asciiTheme="minorHAnsi" w:eastAsia="SimSun" w:hAnsiTheme="minorHAnsi" w:cstheme="minorHAnsi"/>
          <w:noProof/>
        </w:rPr>
        <w:t xml:space="preserve">    </w:t>
      </w:r>
      <w:r w:rsidR="00397C3F" w:rsidRPr="004E355C">
        <w:rPr>
          <w:rFonts w:asciiTheme="minorHAnsi" w:eastAsia="SimSun" w:hAnsiTheme="minorHAnsi" w:cstheme="minorHAnsi"/>
          <w:noProof/>
        </w:rPr>
        <w:drawing>
          <wp:inline distT="0" distB="0" distL="0" distR="0" wp14:anchorId="383F4888" wp14:editId="6ECE4A4B">
            <wp:extent cx="2806065" cy="1630680"/>
            <wp:effectExtent l="0" t="0" r="13335" b="7620"/>
            <wp:docPr id="290" name="Chart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426D6" w:rsidRPr="004E355C" w:rsidRDefault="00F85389" w:rsidP="00F85389">
      <w:pPr>
        <w:tabs>
          <w:tab w:val="left" w:pos="630"/>
          <w:tab w:val="center" w:pos="4680"/>
        </w:tabs>
        <w:spacing w:line="276" w:lineRule="auto"/>
        <w:rPr>
          <w:rFonts w:asciiTheme="minorHAnsi" w:hAnsiTheme="minorHAnsi"/>
          <w:sz w:val="20"/>
          <w:szCs w:val="20"/>
          <w:lang w:val="sq-AL"/>
        </w:rPr>
      </w:pPr>
      <w:r w:rsidRPr="004E355C">
        <w:rPr>
          <w:rFonts w:asciiTheme="minorHAnsi" w:hAnsiTheme="minorHAnsi"/>
          <w:sz w:val="20"/>
          <w:szCs w:val="20"/>
          <w:lang w:val="sq-AL"/>
        </w:rPr>
        <w:tab/>
      </w:r>
      <w:r w:rsidR="00B24B3B" w:rsidRPr="004E355C">
        <w:rPr>
          <w:rFonts w:asciiTheme="minorHAnsi" w:hAnsiTheme="minorHAnsi"/>
          <w:sz w:val="20"/>
          <w:szCs w:val="20"/>
          <w:lang w:val="sq-AL"/>
        </w:rPr>
        <w:t>Burimi: Ministria e Financave dhe Ekonomisë (2019)</w:t>
      </w:r>
    </w:p>
    <w:p w:rsidR="00A426D6" w:rsidRPr="004E355C" w:rsidRDefault="00A607B8" w:rsidP="00471172">
      <w:pPr>
        <w:spacing w:before="240" w:line="276" w:lineRule="auto"/>
        <w:jc w:val="both"/>
        <w:rPr>
          <w:rFonts w:asciiTheme="minorHAnsi" w:hAnsiTheme="minorHAnsi"/>
          <w:lang w:val="sq-AL"/>
        </w:rPr>
      </w:pPr>
      <w:r w:rsidRPr="004E355C">
        <w:rPr>
          <w:rFonts w:asciiTheme="minorHAnsi" w:hAnsiTheme="minorHAnsi" w:cstheme="minorHAnsi"/>
          <w:i/>
        </w:rPr>
        <w:t>Të ardhurat nga TVSH-ja neto brenda vendit</w:t>
      </w:r>
      <w:r w:rsidRPr="004E355C">
        <w:rPr>
          <w:rFonts w:asciiTheme="minorHAnsi" w:hAnsiTheme="minorHAnsi" w:cstheme="minorHAnsi"/>
        </w:rPr>
        <w:t xml:space="preserve"> janë realizuar në vlerën 12.7 miliardë lekë, 11.6% ose 1.7 miliardë lekë më pak se 5 mujori i vitit 2018 dhe me një realizim të planit të periudhës në masën 82.1% ose rreth 2.8 miliardë lekë më pak. Rimbursimi i TVSH-së krahasuar me 5 mujorin e vitit të kaluar është rritur me 27.5%, ose 1.5 miliardë lekë</w:t>
      </w:r>
      <w:r w:rsidR="00A426D6" w:rsidRPr="004E355C">
        <w:rPr>
          <w:rFonts w:asciiTheme="minorHAnsi" w:hAnsiTheme="minorHAnsi"/>
          <w:lang w:val="sq-AL"/>
        </w:rPr>
        <w:t>.</w:t>
      </w:r>
    </w:p>
    <w:p w:rsidR="00A426D6" w:rsidRPr="004E355C" w:rsidRDefault="00A426D6" w:rsidP="00A426D6">
      <w:pPr>
        <w:tabs>
          <w:tab w:val="left" w:pos="1530"/>
          <w:tab w:val="center" w:pos="4680"/>
          <w:tab w:val="left" w:pos="9360"/>
        </w:tabs>
        <w:spacing w:line="276" w:lineRule="auto"/>
        <w:jc w:val="both"/>
        <w:rPr>
          <w:rFonts w:asciiTheme="minorHAnsi" w:eastAsia="SimSun" w:hAnsiTheme="minorHAnsi"/>
          <w:sz w:val="8"/>
          <w:szCs w:val="8"/>
          <w:lang w:val="sq-AL"/>
        </w:rPr>
      </w:pPr>
    </w:p>
    <w:p w:rsidR="00070183" w:rsidRPr="004E355C" w:rsidRDefault="00070183" w:rsidP="00471172">
      <w:pPr>
        <w:pStyle w:val="Caption"/>
        <w:keepNext/>
        <w:spacing w:after="0"/>
        <w:jc w:val="both"/>
        <w:rPr>
          <w:rFonts w:asciiTheme="minorHAnsi" w:hAnsiTheme="minorHAnsi"/>
          <w:b w:val="0"/>
          <w:bCs w:val="0"/>
          <w:i/>
          <w:color w:val="auto"/>
          <w:sz w:val="24"/>
          <w:szCs w:val="24"/>
          <w:lang w:val="sq-AL"/>
        </w:rPr>
      </w:pPr>
      <w:bookmarkStart w:id="19" w:name="_Toc12448432"/>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6</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 nga TVSH dhe rimbursimi i TVSH, 5 mujori në vite (në miliardë lekë)</w:t>
      </w:r>
      <w:bookmarkEnd w:id="19"/>
    </w:p>
    <w:p w:rsidR="00A426D6" w:rsidRPr="004E355C" w:rsidRDefault="00A607B8" w:rsidP="00A426D6">
      <w:pPr>
        <w:tabs>
          <w:tab w:val="left" w:pos="1530"/>
          <w:tab w:val="center" w:pos="4680"/>
          <w:tab w:val="left" w:pos="9360"/>
        </w:tabs>
        <w:spacing w:line="276" w:lineRule="auto"/>
        <w:jc w:val="center"/>
        <w:rPr>
          <w:noProof/>
          <w:lang w:val="sq-AL"/>
        </w:rPr>
      </w:pPr>
      <w:r w:rsidRPr="004E355C">
        <w:rPr>
          <w:rFonts w:asciiTheme="minorHAnsi" w:hAnsiTheme="minorHAnsi" w:cstheme="minorHAnsi"/>
          <w:noProof/>
        </w:rPr>
        <w:drawing>
          <wp:inline distT="0" distB="0" distL="0" distR="0" wp14:anchorId="7B05049F" wp14:editId="0A8F3ED4">
            <wp:extent cx="5236845" cy="1592580"/>
            <wp:effectExtent l="0" t="0" r="1905" b="762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426D6" w:rsidRPr="004E355C" w:rsidRDefault="004E49FE" w:rsidP="004E49FE">
      <w:pPr>
        <w:tabs>
          <w:tab w:val="left" w:pos="540"/>
          <w:tab w:val="center" w:pos="4680"/>
          <w:tab w:val="left" w:pos="9360"/>
        </w:tabs>
        <w:spacing w:line="276" w:lineRule="auto"/>
        <w:rPr>
          <w:rFonts w:asciiTheme="minorHAnsi" w:hAnsiTheme="minorHAnsi"/>
          <w:noProof/>
          <w:lang w:val="sq-AL"/>
        </w:rPr>
      </w:pPr>
      <w:r w:rsidRPr="004E355C">
        <w:rPr>
          <w:rFonts w:asciiTheme="minorHAnsi" w:hAnsiTheme="minorHAnsi"/>
          <w:sz w:val="20"/>
          <w:szCs w:val="20"/>
          <w:lang w:val="sq-AL"/>
        </w:rPr>
        <w:tab/>
      </w:r>
      <w:r w:rsidR="00B24B3B" w:rsidRPr="004E355C">
        <w:rPr>
          <w:rFonts w:asciiTheme="minorHAnsi" w:hAnsiTheme="minorHAnsi"/>
          <w:sz w:val="20"/>
          <w:szCs w:val="20"/>
          <w:lang w:val="sq-AL"/>
        </w:rPr>
        <w:t>Burimi: Ministria e Financave dhe Ekonomisë (2019)</w:t>
      </w:r>
    </w:p>
    <w:p w:rsidR="00A426D6" w:rsidRPr="004E355C" w:rsidRDefault="00A426D6" w:rsidP="00A426D6">
      <w:pPr>
        <w:spacing w:line="276" w:lineRule="auto"/>
        <w:jc w:val="both"/>
        <w:rPr>
          <w:rFonts w:asciiTheme="minorHAnsi" w:hAnsiTheme="minorHAnsi"/>
          <w:b/>
          <w:i/>
          <w:sz w:val="16"/>
          <w:lang w:val="sq-AL"/>
        </w:rPr>
      </w:pPr>
    </w:p>
    <w:p w:rsidR="00A426D6" w:rsidRPr="004E355C" w:rsidRDefault="00A607B8" w:rsidP="00A426D6">
      <w:pPr>
        <w:spacing w:before="80" w:line="276" w:lineRule="auto"/>
        <w:jc w:val="both"/>
        <w:rPr>
          <w:rFonts w:asciiTheme="minorHAnsi" w:hAnsiTheme="minorHAnsi"/>
          <w:lang w:val="sq-AL"/>
        </w:rPr>
      </w:pPr>
      <w:r w:rsidRPr="004E355C">
        <w:rPr>
          <w:rFonts w:asciiTheme="minorHAnsi" w:hAnsiTheme="minorHAnsi" w:cstheme="minorHAnsi"/>
          <w:i/>
        </w:rPr>
        <w:t>Të ardhurat nga tatimi mbi fitimin</w:t>
      </w:r>
      <w:r w:rsidRPr="004E355C">
        <w:rPr>
          <w:rFonts w:asciiTheme="minorHAnsi" w:hAnsiTheme="minorHAnsi" w:cstheme="minorHAnsi"/>
        </w:rPr>
        <w:t xml:space="preserve"> janë realizuar në vlerën 17.7 miliardë lekë, 13.5% ose 2.1 miliardë lekë më shumë se e njëjta periudhë e vitit të kaluar dhe 12.4% ose 2 miliardë lekë më shumë se plani i periudhës. Rezultati pozitiv financiar i kompanive në vitin 2018, reflektoi rritjen e fitimit të tatueshëm dhe tatimit të paguar nga ana e tyre në vitin 2019</w:t>
      </w:r>
      <w:r w:rsidR="00A426D6" w:rsidRPr="004E355C">
        <w:rPr>
          <w:rFonts w:asciiTheme="minorHAnsi" w:hAnsiTheme="minorHAnsi"/>
          <w:lang w:val="sq-AL"/>
        </w:rPr>
        <w:t>.</w:t>
      </w:r>
    </w:p>
    <w:p w:rsidR="00070183" w:rsidRPr="004E355C" w:rsidRDefault="00070183" w:rsidP="00471172">
      <w:pPr>
        <w:pStyle w:val="Caption"/>
        <w:keepNext/>
        <w:spacing w:before="240" w:after="0"/>
        <w:jc w:val="both"/>
        <w:rPr>
          <w:rFonts w:asciiTheme="minorHAnsi" w:hAnsiTheme="minorHAnsi"/>
          <w:b w:val="0"/>
          <w:bCs w:val="0"/>
          <w:i/>
          <w:color w:val="auto"/>
          <w:sz w:val="24"/>
          <w:szCs w:val="24"/>
          <w:lang w:val="sq-AL"/>
        </w:rPr>
      </w:pPr>
      <w:bookmarkStart w:id="20" w:name="_Toc12448433"/>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7</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nga Tatim Fitimi, 5 mujori në vite (në miliardë lekë)</w:t>
      </w:r>
      <w:bookmarkEnd w:id="20"/>
    </w:p>
    <w:p w:rsidR="00A426D6" w:rsidRPr="004E355C" w:rsidRDefault="00A607B8" w:rsidP="004E49FE">
      <w:pPr>
        <w:tabs>
          <w:tab w:val="left" w:pos="1530"/>
          <w:tab w:val="center" w:pos="4680"/>
          <w:tab w:val="left" w:pos="9360"/>
        </w:tabs>
        <w:spacing w:line="276" w:lineRule="auto"/>
        <w:jc w:val="center"/>
        <w:rPr>
          <w:rFonts w:asciiTheme="minorHAnsi" w:eastAsia="SimSun" w:hAnsiTheme="minorHAnsi"/>
          <w:lang w:val="sq-AL"/>
        </w:rPr>
      </w:pPr>
      <w:r w:rsidRPr="004E355C">
        <w:rPr>
          <w:rFonts w:asciiTheme="minorHAnsi" w:hAnsiTheme="minorHAnsi" w:cstheme="minorHAnsi"/>
          <w:noProof/>
        </w:rPr>
        <w:drawing>
          <wp:inline distT="0" distB="0" distL="0" distR="0" wp14:anchorId="3469F042" wp14:editId="5F32D204">
            <wp:extent cx="5494020" cy="1440180"/>
            <wp:effectExtent l="0" t="0" r="11430" b="762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426D6" w:rsidRPr="004E355C" w:rsidRDefault="004E49FE" w:rsidP="004E49FE">
      <w:pPr>
        <w:tabs>
          <w:tab w:val="left" w:pos="540"/>
          <w:tab w:val="center" w:pos="4680"/>
        </w:tabs>
        <w:spacing w:line="276" w:lineRule="auto"/>
        <w:rPr>
          <w:rFonts w:asciiTheme="minorHAnsi" w:hAnsiTheme="minorHAnsi"/>
          <w:sz w:val="20"/>
          <w:szCs w:val="20"/>
          <w:lang w:val="sq-AL"/>
        </w:rPr>
      </w:pPr>
      <w:r w:rsidRPr="004E355C">
        <w:rPr>
          <w:rFonts w:asciiTheme="minorHAnsi" w:hAnsiTheme="minorHAnsi"/>
          <w:sz w:val="20"/>
          <w:szCs w:val="20"/>
          <w:lang w:val="sq-AL"/>
        </w:rPr>
        <w:tab/>
      </w:r>
      <w:r w:rsidR="00B24B3B" w:rsidRPr="004E355C">
        <w:rPr>
          <w:rFonts w:asciiTheme="minorHAnsi" w:hAnsiTheme="minorHAnsi"/>
          <w:sz w:val="20"/>
          <w:szCs w:val="20"/>
          <w:lang w:val="sq-AL"/>
        </w:rPr>
        <w:t>Burimi: Ministria e Financave dhe Ekonomisë (2019)</w:t>
      </w:r>
    </w:p>
    <w:p w:rsidR="00A426D6" w:rsidRPr="004E355C" w:rsidRDefault="00A426D6" w:rsidP="00070183">
      <w:pPr>
        <w:spacing w:before="240" w:line="276" w:lineRule="auto"/>
        <w:jc w:val="both"/>
        <w:rPr>
          <w:rFonts w:asciiTheme="minorHAnsi" w:eastAsia="SimSun" w:hAnsiTheme="minorHAnsi"/>
          <w:i/>
          <w:lang w:val="sq-AL"/>
        </w:rPr>
      </w:pPr>
      <w:r w:rsidRPr="004E355C">
        <w:rPr>
          <w:rFonts w:asciiTheme="minorHAnsi" w:hAnsiTheme="minorHAnsi"/>
          <w:b/>
          <w:i/>
          <w:lang w:val="sq-AL"/>
        </w:rPr>
        <w:lastRenderedPageBreak/>
        <w:t>Nga tatimi mbi të ardhurat personale</w:t>
      </w:r>
      <w:r w:rsidRPr="004E355C">
        <w:rPr>
          <w:rFonts w:asciiTheme="minorHAnsi" w:hAnsiTheme="minorHAnsi"/>
          <w:lang w:val="sq-AL"/>
        </w:rPr>
        <w:t xml:space="preserve"> </w:t>
      </w:r>
      <w:r w:rsidR="00B20C3D" w:rsidRPr="004E355C">
        <w:rPr>
          <w:rFonts w:asciiTheme="minorHAnsi" w:hAnsiTheme="minorHAnsi" w:cstheme="minorHAnsi"/>
          <w:lang w:val="it-IT"/>
        </w:rPr>
        <w:t>janë realizuar 18.4 miliardë lekë. Kontributi i këtij zëri në të ardhura është 29.5% ose 4.2 miliardë lekë më shumë se 5 mujori i vitit 2018 dhe 11% ose 1.8 miliardë lekë më pak se plani. Rritja m</w:t>
      </w:r>
      <w:r w:rsidR="00B20C3D" w:rsidRPr="004E355C">
        <w:rPr>
          <w:rFonts w:asciiTheme="minorHAnsi" w:hAnsiTheme="minorHAnsi" w:cstheme="minorHAnsi"/>
          <w:lang w:val="it-IT" w:eastAsia="ja-JP"/>
        </w:rPr>
        <w:t>ë e madhe ka ardhur për shkak të tatimit mbi dividendin</w:t>
      </w:r>
      <w:r w:rsidR="00B20C3D" w:rsidRPr="004E355C">
        <w:rPr>
          <w:rFonts w:asciiTheme="minorHAnsi" w:hAnsiTheme="minorHAnsi" w:cstheme="minorHAnsi"/>
          <w:lang w:val="it-IT"/>
        </w:rPr>
        <w:t xml:space="preserve">. </w:t>
      </w:r>
      <w:r w:rsidR="00B20C3D" w:rsidRPr="004E355C">
        <w:rPr>
          <w:rFonts w:asciiTheme="minorHAnsi" w:hAnsiTheme="minorHAnsi" w:cstheme="minorHAnsi"/>
        </w:rPr>
        <w:t>Të ardhurat e të punësuarve në sektorin publik e privat janë rritur përkatësisht me 5.3% dhe 6.8%. Të ardhurat nga tatimi mbi dividendin ka shënuar rritje të ndjeshme krahasuar me periudhën paraardhëse të vitit 2018 si ndryshim i politikës fiskale mbi uljen e tatimit të dividendëve</w:t>
      </w:r>
      <w:r w:rsidR="000B14D4" w:rsidRPr="004E355C">
        <w:rPr>
          <w:rFonts w:asciiTheme="minorHAnsi" w:hAnsiTheme="minorHAnsi"/>
          <w:lang w:val="sq-AL"/>
        </w:rPr>
        <w:t>.</w:t>
      </w:r>
      <w:r w:rsidRPr="004E355C">
        <w:rPr>
          <w:rFonts w:asciiTheme="minorHAnsi" w:eastAsia="SimSun" w:hAnsiTheme="minorHAnsi"/>
          <w:i/>
          <w:lang w:val="sq-AL"/>
        </w:rPr>
        <w:tab/>
      </w:r>
    </w:p>
    <w:p w:rsidR="00B20C3D" w:rsidRPr="004E355C" w:rsidRDefault="00B20C3D" w:rsidP="00B20C3D">
      <w:pPr>
        <w:spacing w:line="276" w:lineRule="auto"/>
        <w:jc w:val="both"/>
        <w:rPr>
          <w:rFonts w:asciiTheme="minorHAnsi" w:hAnsiTheme="minorHAnsi"/>
          <w:sz w:val="8"/>
          <w:szCs w:val="8"/>
          <w:lang w:val="sq-AL"/>
        </w:rPr>
      </w:pPr>
    </w:p>
    <w:p w:rsidR="00D23F5E" w:rsidRPr="004E355C" w:rsidRDefault="00D23F5E" w:rsidP="00D23F5E">
      <w:pPr>
        <w:pStyle w:val="Caption"/>
        <w:keepNext/>
        <w:jc w:val="both"/>
        <w:rPr>
          <w:rFonts w:asciiTheme="minorHAnsi" w:hAnsiTheme="minorHAnsi"/>
          <w:b w:val="0"/>
          <w:bCs w:val="0"/>
          <w:i/>
          <w:color w:val="auto"/>
          <w:sz w:val="24"/>
          <w:szCs w:val="24"/>
          <w:lang w:val="sq-AL"/>
        </w:rPr>
      </w:pPr>
      <w:bookmarkStart w:id="21" w:name="_Toc12448434"/>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8</w:t>
      </w:r>
      <w:r w:rsidRPr="004E355C">
        <w:rPr>
          <w:rFonts w:asciiTheme="minorHAnsi" w:hAnsiTheme="minorHAnsi"/>
          <w:b w:val="0"/>
          <w:bCs w:val="0"/>
          <w:i/>
          <w:color w:val="auto"/>
          <w:sz w:val="24"/>
          <w:szCs w:val="24"/>
          <w:lang w:val="sq-AL"/>
        </w:rPr>
        <w:fldChar w:fldCharType="end"/>
      </w:r>
      <w:r w:rsidR="00E27968" w:rsidRPr="004E355C">
        <w:rPr>
          <w:rFonts w:asciiTheme="minorHAnsi" w:hAnsiTheme="minorHAnsi"/>
          <w:b w:val="0"/>
          <w:bCs w:val="0"/>
          <w:i/>
          <w:color w:val="auto"/>
          <w:sz w:val="24"/>
          <w:szCs w:val="24"/>
          <w:lang w:val="sq-AL"/>
        </w:rPr>
        <w:t>:</w:t>
      </w:r>
      <w:r w:rsidRPr="004E355C">
        <w:rPr>
          <w:rFonts w:asciiTheme="minorHAnsi" w:hAnsiTheme="minorHAnsi"/>
          <w:b w:val="0"/>
          <w:bCs w:val="0"/>
          <w:i/>
          <w:color w:val="auto"/>
          <w:sz w:val="24"/>
          <w:szCs w:val="24"/>
          <w:lang w:val="sq-AL"/>
        </w:rPr>
        <w:t xml:space="preserve"> Të ardhurat nga Tatimi mbi të Ardhurat Personale, në vite (në milion lekë)</w:t>
      </w:r>
      <w:bookmarkEnd w:id="21"/>
    </w:p>
    <w:p w:rsidR="00A426D6" w:rsidRPr="004E355C" w:rsidRDefault="00B20C3D" w:rsidP="004E49FE">
      <w:pPr>
        <w:tabs>
          <w:tab w:val="left" w:pos="1530"/>
          <w:tab w:val="center" w:pos="4680"/>
          <w:tab w:val="left" w:pos="9360"/>
        </w:tabs>
        <w:spacing w:line="276" w:lineRule="auto"/>
        <w:jc w:val="center"/>
        <w:rPr>
          <w:rFonts w:asciiTheme="minorHAnsi" w:eastAsia="SimSun" w:hAnsiTheme="minorHAnsi"/>
          <w:lang w:val="sq-AL"/>
        </w:rPr>
      </w:pPr>
      <w:r w:rsidRPr="004E355C">
        <w:rPr>
          <w:rFonts w:asciiTheme="minorHAnsi" w:hAnsiTheme="minorHAnsi" w:cstheme="minorHAnsi"/>
          <w:noProof/>
        </w:rPr>
        <w:drawing>
          <wp:inline distT="0" distB="0" distL="0" distR="0" wp14:anchorId="3BAFCC94" wp14:editId="62481D89">
            <wp:extent cx="5753100" cy="1645920"/>
            <wp:effectExtent l="0" t="0" r="0" b="1143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426D6" w:rsidRPr="004E355C" w:rsidRDefault="00B24B3B" w:rsidP="00070183">
      <w:pPr>
        <w:spacing w:line="276" w:lineRule="auto"/>
        <w:ind w:firstLine="720"/>
        <w:jc w:val="both"/>
        <w:rPr>
          <w:rFonts w:asciiTheme="minorHAnsi" w:eastAsia="SimSun" w:hAnsiTheme="minorHAnsi"/>
          <w:i/>
          <w:lang w:val="sq-AL"/>
        </w:rPr>
      </w:pPr>
      <w:r w:rsidRPr="004E355C">
        <w:rPr>
          <w:rFonts w:asciiTheme="minorHAnsi" w:hAnsiTheme="minorHAnsi"/>
          <w:sz w:val="20"/>
          <w:szCs w:val="20"/>
          <w:lang w:val="sq-AL"/>
        </w:rPr>
        <w:t>Burimi: Ministria e Financave dhe Ekonomisë (2019)</w:t>
      </w:r>
      <w:r w:rsidR="00A426D6" w:rsidRPr="004E355C">
        <w:rPr>
          <w:rFonts w:asciiTheme="minorHAnsi" w:eastAsia="SimSun" w:hAnsiTheme="minorHAnsi"/>
          <w:i/>
          <w:lang w:val="sq-AL"/>
        </w:rPr>
        <w:tab/>
      </w:r>
    </w:p>
    <w:p w:rsidR="00B20C3D" w:rsidRPr="004E355C" w:rsidRDefault="00B20C3D" w:rsidP="00B20C3D">
      <w:pPr>
        <w:spacing w:line="276" w:lineRule="auto"/>
        <w:jc w:val="both"/>
        <w:rPr>
          <w:rFonts w:asciiTheme="minorHAnsi" w:hAnsiTheme="minorHAnsi" w:cstheme="minorHAnsi"/>
          <w:sz w:val="8"/>
          <w:szCs w:val="8"/>
          <w:lang w:val="it-IT"/>
        </w:rPr>
      </w:pPr>
    </w:p>
    <w:p w:rsidR="00070183" w:rsidRPr="004E355C" w:rsidRDefault="00B20C3D" w:rsidP="00D23F5E">
      <w:pPr>
        <w:spacing w:line="276" w:lineRule="auto"/>
        <w:jc w:val="both"/>
        <w:rPr>
          <w:rFonts w:asciiTheme="minorHAnsi" w:hAnsiTheme="minorHAnsi"/>
          <w:lang w:val="sq-AL"/>
        </w:rPr>
      </w:pPr>
      <w:r w:rsidRPr="004E355C">
        <w:rPr>
          <w:rFonts w:asciiTheme="minorHAnsi" w:hAnsiTheme="minorHAnsi" w:cstheme="minorHAnsi"/>
          <w:lang w:val="it-IT"/>
        </w:rPr>
        <w:t>Nga “Taksat Kombëtare” janë realizuar 13 miliardë lekë, 8% ose  1.1 miliardë lekë më pak se 5-mujori i vitit 2019 dhe 12.2% ose 1.8 miliardë lekë më pak s</w:t>
      </w:r>
      <w:r w:rsidRPr="004E355C">
        <w:rPr>
          <w:rFonts w:asciiTheme="minorHAnsi" w:eastAsia="Calibri" w:hAnsiTheme="minorHAnsi" w:cstheme="minorHAnsi"/>
          <w:lang w:val="it-IT"/>
        </w:rPr>
        <w:t>e plani</w:t>
      </w:r>
      <w:r w:rsidR="00C4551D" w:rsidRPr="004E355C">
        <w:rPr>
          <w:rFonts w:asciiTheme="minorHAnsi" w:hAnsiTheme="minorHAnsi"/>
          <w:lang w:val="sq-AL"/>
        </w:rPr>
        <w:t xml:space="preserve">.    </w:t>
      </w:r>
      <w:r w:rsidR="00070183" w:rsidRPr="004E355C">
        <w:rPr>
          <w:rFonts w:asciiTheme="minorHAnsi" w:hAnsiTheme="minorHAnsi"/>
          <w:i/>
          <w:lang w:val="sq-AL"/>
        </w:rPr>
        <w:t xml:space="preserve"> </w:t>
      </w:r>
    </w:p>
    <w:p w:rsidR="00D23F5E" w:rsidRPr="004E355C" w:rsidRDefault="00D23F5E" w:rsidP="00E27968">
      <w:pPr>
        <w:pStyle w:val="Caption"/>
        <w:keepNext/>
      </w:pPr>
      <w:bookmarkStart w:id="22" w:name="_Toc12448435"/>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9</w:t>
      </w:r>
      <w:r w:rsidRPr="004E355C">
        <w:rPr>
          <w:rFonts w:asciiTheme="minorHAnsi" w:hAnsiTheme="minorHAnsi"/>
          <w:b w:val="0"/>
          <w:bCs w:val="0"/>
          <w:i/>
          <w:color w:val="auto"/>
          <w:sz w:val="24"/>
          <w:szCs w:val="24"/>
          <w:lang w:val="sq-AL"/>
        </w:rPr>
        <w:fldChar w:fldCharType="end"/>
      </w:r>
      <w:r w:rsidR="00E27968" w:rsidRPr="004E355C">
        <w:rPr>
          <w:rFonts w:asciiTheme="minorHAnsi" w:hAnsiTheme="minorHAnsi"/>
          <w:b w:val="0"/>
          <w:bCs w:val="0"/>
          <w:i/>
          <w:color w:val="auto"/>
          <w:sz w:val="24"/>
          <w:szCs w:val="24"/>
          <w:lang w:val="sq-AL"/>
        </w:rPr>
        <w:t>:</w:t>
      </w:r>
      <w:r w:rsidRPr="004E355C">
        <w:rPr>
          <w:rFonts w:asciiTheme="minorHAnsi" w:hAnsiTheme="minorHAnsi"/>
          <w:b w:val="0"/>
          <w:bCs w:val="0"/>
          <w:i/>
          <w:color w:val="auto"/>
          <w:sz w:val="24"/>
          <w:szCs w:val="24"/>
          <w:lang w:val="sq-AL"/>
        </w:rPr>
        <w:t xml:space="preserve"> Të ardhurat 5 mujore nga Taksat nacionale, në vite (në miliardë lekë)</w:t>
      </w:r>
      <w:bookmarkEnd w:id="22"/>
    </w:p>
    <w:p w:rsidR="00A426D6" w:rsidRPr="004E355C" w:rsidRDefault="00B20C3D" w:rsidP="00A426D6">
      <w:pPr>
        <w:spacing w:line="276" w:lineRule="auto"/>
        <w:jc w:val="center"/>
        <w:rPr>
          <w:rFonts w:asciiTheme="minorHAnsi" w:hAnsiTheme="minorHAnsi"/>
          <w:lang w:val="sq-AL"/>
        </w:rPr>
      </w:pPr>
      <w:r w:rsidRPr="004E355C">
        <w:rPr>
          <w:rFonts w:asciiTheme="minorHAnsi" w:hAnsiTheme="minorHAnsi" w:cstheme="minorHAnsi"/>
          <w:noProof/>
        </w:rPr>
        <w:drawing>
          <wp:inline distT="0" distB="0" distL="0" distR="0" wp14:anchorId="03A1ED76" wp14:editId="761F6F6D">
            <wp:extent cx="5654040" cy="1539240"/>
            <wp:effectExtent l="0" t="0" r="3810" b="381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426D6" w:rsidRPr="004E355C" w:rsidRDefault="00B24B3B" w:rsidP="004F1DEF">
      <w:pPr>
        <w:spacing w:line="276" w:lineRule="auto"/>
        <w:ind w:firstLine="720"/>
        <w:jc w:val="both"/>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B20C3D" w:rsidRPr="004E355C" w:rsidRDefault="00B20C3D" w:rsidP="00B20C3D">
      <w:pPr>
        <w:spacing w:line="276" w:lineRule="auto"/>
        <w:jc w:val="both"/>
        <w:rPr>
          <w:rFonts w:asciiTheme="minorHAnsi" w:eastAsia="Calibri" w:hAnsiTheme="minorHAnsi" w:cstheme="minorHAnsi"/>
          <w:i/>
          <w:sz w:val="8"/>
          <w:szCs w:val="8"/>
          <w:lang w:val="it-IT"/>
        </w:rPr>
      </w:pPr>
    </w:p>
    <w:p w:rsidR="00C4551D" w:rsidRPr="004E355C" w:rsidRDefault="00B20C3D" w:rsidP="00B20C3D">
      <w:pPr>
        <w:spacing w:line="276" w:lineRule="auto"/>
        <w:jc w:val="both"/>
        <w:rPr>
          <w:rFonts w:asciiTheme="minorHAnsi" w:hAnsiTheme="minorHAnsi"/>
          <w:lang w:val="sq-AL"/>
        </w:rPr>
      </w:pPr>
      <w:r w:rsidRPr="004E355C">
        <w:rPr>
          <w:rFonts w:asciiTheme="minorHAnsi" w:eastAsia="Calibri" w:hAnsiTheme="minorHAnsi" w:cstheme="minorHAnsi"/>
          <w:i/>
          <w:lang w:val="it-IT"/>
        </w:rPr>
        <w:t>Të ardhurat nga “Kontributet e D.P.T-së”</w:t>
      </w:r>
      <w:r w:rsidRPr="004E355C">
        <w:rPr>
          <w:rFonts w:asciiTheme="minorHAnsi" w:eastAsia="Calibri" w:hAnsiTheme="minorHAnsi" w:cstheme="minorHAnsi"/>
          <w:lang w:val="it-IT"/>
        </w:rPr>
        <w:t xml:space="preserve"> </w:t>
      </w:r>
      <w:r w:rsidRPr="004E355C">
        <w:rPr>
          <w:rFonts w:asciiTheme="minorHAnsi" w:hAnsiTheme="minorHAnsi" w:cstheme="minorHAnsi"/>
          <w:lang w:val="it-IT"/>
        </w:rPr>
        <w:t>janë realizuar në vlerën 39 miliardë lekë, 2.2 miliardë lekë ose 6% më shumë se 5-mujori i vitit 2018 dhe realizim po aq sa plani. Rezultati i lartë me rritje të qëndrueshme buron kryesisht nga situata pozitive ekonomike dhe rritja si rrjedhojë e numrit të të punësuarve. Nga ana tjetër aksioni antiinformalitet ka dhënë efekte të dukshme në formalizimin e tregut të punës, duke sjellë rritje në vlerën e kontributeve</w:t>
      </w:r>
      <w:r w:rsidR="00C4551D" w:rsidRPr="004E355C">
        <w:rPr>
          <w:rFonts w:asciiTheme="minorHAnsi" w:hAnsiTheme="minorHAnsi"/>
          <w:lang w:val="sq-AL"/>
        </w:rPr>
        <w:t>.</w:t>
      </w:r>
    </w:p>
    <w:p w:rsidR="00B20C3D" w:rsidRPr="004E355C" w:rsidRDefault="00B20C3D" w:rsidP="00471172">
      <w:pPr>
        <w:pStyle w:val="Caption"/>
        <w:keepNext/>
        <w:spacing w:after="0"/>
        <w:jc w:val="both"/>
        <w:rPr>
          <w:rFonts w:asciiTheme="minorHAnsi" w:hAnsiTheme="minorHAnsi"/>
          <w:b w:val="0"/>
          <w:bCs w:val="0"/>
          <w:i/>
          <w:color w:val="auto"/>
          <w:sz w:val="8"/>
          <w:szCs w:val="8"/>
          <w:lang w:val="sq-AL"/>
        </w:rPr>
      </w:pPr>
    </w:p>
    <w:p w:rsidR="00070183" w:rsidRPr="004E355C" w:rsidRDefault="00070183" w:rsidP="00471172">
      <w:pPr>
        <w:pStyle w:val="Caption"/>
        <w:keepNext/>
        <w:spacing w:after="0"/>
        <w:jc w:val="both"/>
        <w:rPr>
          <w:rFonts w:asciiTheme="minorHAnsi" w:hAnsiTheme="minorHAnsi"/>
          <w:b w:val="0"/>
          <w:bCs w:val="0"/>
          <w:i/>
          <w:color w:val="auto"/>
          <w:sz w:val="24"/>
          <w:szCs w:val="24"/>
          <w:lang w:val="sq-AL"/>
        </w:rPr>
      </w:pPr>
      <w:bookmarkStart w:id="23" w:name="_Toc12448436"/>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10</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nga kontributet e mbledhura nga DPT, në vite (në miliardë lekë)</w:t>
      </w:r>
      <w:bookmarkEnd w:id="23"/>
    </w:p>
    <w:p w:rsidR="00A426D6" w:rsidRPr="004E355C" w:rsidRDefault="00B20C3D" w:rsidP="00A426D6">
      <w:pPr>
        <w:spacing w:line="276" w:lineRule="auto"/>
        <w:jc w:val="center"/>
        <w:rPr>
          <w:rFonts w:asciiTheme="minorHAnsi" w:hAnsiTheme="minorHAnsi"/>
          <w:lang w:val="sq-AL"/>
        </w:rPr>
      </w:pPr>
      <w:r w:rsidRPr="004E355C">
        <w:rPr>
          <w:rFonts w:asciiTheme="minorHAnsi" w:hAnsiTheme="minorHAnsi" w:cstheme="minorHAnsi"/>
          <w:noProof/>
        </w:rPr>
        <w:drawing>
          <wp:inline distT="0" distB="0" distL="0" distR="0" wp14:anchorId="2F02A534" wp14:editId="1388986E">
            <wp:extent cx="5448300" cy="1533525"/>
            <wp:effectExtent l="0" t="0" r="19050" b="952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426D6" w:rsidRPr="004E355C" w:rsidRDefault="00B24B3B" w:rsidP="004F1DEF">
      <w:pPr>
        <w:spacing w:line="276" w:lineRule="auto"/>
        <w:ind w:firstLine="720"/>
        <w:rPr>
          <w:rFonts w:asciiTheme="minorHAnsi" w:hAnsiTheme="minorHAnsi"/>
          <w:sz w:val="20"/>
          <w:szCs w:val="20"/>
          <w:lang w:val="sq-AL"/>
        </w:rPr>
      </w:pPr>
      <w:r w:rsidRPr="004E355C">
        <w:rPr>
          <w:rFonts w:asciiTheme="minorHAnsi" w:hAnsiTheme="minorHAnsi"/>
          <w:sz w:val="20"/>
          <w:szCs w:val="20"/>
          <w:lang w:val="sq-AL"/>
        </w:rPr>
        <w:t>Burimi: Ministria e Financave dhe Ekonomisë (2019)</w:t>
      </w:r>
    </w:p>
    <w:p w:rsidR="003A1589" w:rsidRPr="004E355C" w:rsidRDefault="003A1589" w:rsidP="00BF12EE">
      <w:pPr>
        <w:pStyle w:val="Heading2"/>
        <w:spacing w:line="276" w:lineRule="auto"/>
        <w:rPr>
          <w:rFonts w:asciiTheme="minorHAnsi" w:hAnsiTheme="minorHAnsi"/>
          <w:noProof/>
          <w:color w:val="4F81BD" w:themeColor="accent1"/>
          <w:sz w:val="28"/>
          <w:szCs w:val="24"/>
          <w:lang w:val="sq-AL"/>
        </w:rPr>
      </w:pPr>
      <w:bookmarkStart w:id="24" w:name="_Toc12527220"/>
      <w:r w:rsidRPr="004E355C">
        <w:rPr>
          <w:rFonts w:asciiTheme="minorHAnsi" w:hAnsiTheme="minorHAnsi"/>
          <w:noProof/>
          <w:color w:val="4F81BD" w:themeColor="accent1"/>
          <w:sz w:val="28"/>
          <w:szCs w:val="24"/>
          <w:lang w:val="sq-AL"/>
        </w:rPr>
        <w:lastRenderedPageBreak/>
        <w:t>II.2</w:t>
      </w:r>
      <w:r w:rsidRPr="004E355C">
        <w:rPr>
          <w:rFonts w:asciiTheme="minorHAnsi" w:hAnsiTheme="minorHAnsi"/>
          <w:noProof/>
          <w:color w:val="4F81BD" w:themeColor="accent1"/>
          <w:sz w:val="28"/>
          <w:szCs w:val="24"/>
          <w:lang w:val="sq-AL"/>
        </w:rPr>
        <w:tab/>
        <w:t>Pritshmëritë fiskale deri në fund të vitit 201</w:t>
      </w:r>
      <w:r w:rsidR="00C7566B" w:rsidRPr="004E355C">
        <w:rPr>
          <w:rFonts w:asciiTheme="minorHAnsi" w:hAnsiTheme="minorHAnsi"/>
          <w:noProof/>
          <w:color w:val="4F81BD" w:themeColor="accent1"/>
          <w:sz w:val="28"/>
          <w:szCs w:val="24"/>
          <w:lang w:val="sq-AL"/>
        </w:rPr>
        <w:t>9</w:t>
      </w:r>
      <w:bookmarkEnd w:id="24"/>
    </w:p>
    <w:p w:rsidR="00886D9A" w:rsidRPr="004E355C" w:rsidRDefault="00886D9A" w:rsidP="00886D9A">
      <w:pPr>
        <w:spacing w:line="276" w:lineRule="auto"/>
        <w:jc w:val="both"/>
        <w:rPr>
          <w:rFonts w:asciiTheme="minorHAnsi" w:hAnsiTheme="minorHAnsi"/>
          <w:b/>
          <w:sz w:val="12"/>
          <w:lang w:val="sq-AL"/>
        </w:rPr>
      </w:pPr>
    </w:p>
    <w:p w:rsidR="0040263A" w:rsidRPr="004E355C" w:rsidRDefault="0040263A" w:rsidP="0040263A">
      <w:pPr>
        <w:spacing w:line="276" w:lineRule="auto"/>
        <w:jc w:val="both"/>
        <w:rPr>
          <w:rFonts w:asciiTheme="minorHAnsi" w:hAnsiTheme="minorHAnsi" w:cstheme="minorHAnsi"/>
          <w:noProof/>
          <w:lang w:val="sq-AL"/>
        </w:rPr>
      </w:pPr>
      <w:r w:rsidRPr="004E355C">
        <w:rPr>
          <w:rFonts w:asciiTheme="minorHAnsi" w:hAnsiTheme="minorHAnsi" w:cstheme="minorHAnsi"/>
          <w:lang w:val="sq-AL"/>
        </w:rPr>
        <w:t>Bazuar në performancën e 5 mujorit Janar – Maj, si dhe në analizën e faktorëve që mund të impaktojnë realizimin e të ardhurave tatimore dhe doganore në 7 mujorin në vijim të vitit 2019, vlerësojmë se të ardhurat që administrohen nga Drejtoria e Përgjithshme e Tatimeve (DPT) dhe Drejtoria e Përgjithshme e Doganave (DPD), p</w:t>
      </w:r>
      <w:r w:rsidRPr="004E355C">
        <w:rPr>
          <w:rFonts w:asciiTheme="minorHAnsi" w:hAnsiTheme="minorHAnsi" w:cstheme="minorHAnsi"/>
          <w:noProof/>
          <w:lang w:val="sq-AL"/>
        </w:rPr>
        <w:t xml:space="preserve">ërfshirë kontributet e sigurimeve shoqërore dhe shëndetësore, pritet të realizohen në nivelin 97.5% - 98%.  </w:t>
      </w:r>
    </w:p>
    <w:p w:rsidR="0040263A" w:rsidRPr="004E355C" w:rsidRDefault="0040263A" w:rsidP="0040263A">
      <w:pPr>
        <w:spacing w:before="240" w:line="276" w:lineRule="auto"/>
        <w:jc w:val="both"/>
        <w:rPr>
          <w:rFonts w:asciiTheme="minorHAnsi" w:hAnsiTheme="minorHAnsi" w:cstheme="minorHAnsi"/>
          <w:lang w:val="sq-AL"/>
        </w:rPr>
      </w:pPr>
      <w:r w:rsidRPr="004E355C">
        <w:rPr>
          <w:rFonts w:asciiTheme="minorHAnsi" w:hAnsiTheme="minorHAnsi" w:cstheme="minorHAnsi"/>
          <w:lang w:val="sq-AL"/>
        </w:rPr>
        <w:t xml:space="preserve">Ndër faktorët kryesorë të cilët do të ndikojnë në realizimin e  pritshëm të të ardhurave deri në fund të vitit 2019 janë: </w:t>
      </w:r>
    </w:p>
    <w:p w:rsidR="0040263A" w:rsidRPr="004E355C" w:rsidRDefault="0040263A" w:rsidP="00B95810">
      <w:pPr>
        <w:pStyle w:val="ListParagraph"/>
        <w:numPr>
          <w:ilvl w:val="0"/>
          <w:numId w:val="34"/>
        </w:numPr>
        <w:spacing w:line="276" w:lineRule="auto"/>
        <w:ind w:left="540"/>
        <w:jc w:val="both"/>
        <w:rPr>
          <w:rFonts w:asciiTheme="minorHAnsi" w:hAnsiTheme="minorHAnsi" w:cstheme="minorHAnsi"/>
          <w:i/>
          <w:noProof/>
          <w:lang w:val="sq-AL"/>
        </w:rPr>
      </w:pPr>
      <w:r w:rsidRPr="004E355C">
        <w:rPr>
          <w:rFonts w:asciiTheme="minorHAnsi" w:hAnsiTheme="minorHAnsi" w:cstheme="minorHAnsi"/>
          <w:i/>
          <w:lang w:val="sq-AL"/>
        </w:rPr>
        <w:t xml:space="preserve">Ecuria e kursit të këmbimit. Nëse do të vazhdojë rënia e kursit të këmbimit të monedhave të huaja kundrejt lekut, kjo do të impaktojë uljen e vlerës së tatueshme të mallrave të importit, rrjedhimisht edhe të TVSH-së mbi këto mallra. </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Ecuria e çmimit brent të naftës bruto.</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 xml:space="preserve">Efektet negative mbi ekonominë e vendit të situatave konfliktuale politike. Kjo situatë reflektohet në sjelljen e tatimpaguesve dhe nivelin e zbatimit vullnetar të ligjit nga ana e tyre. </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Thellimi i luftës kundër informalitetit, duke përmirësuar administrimin tatimor dhe atë doganor.</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Përmirësimi i performancës së administratës tatimore në administrimin e TVSH-së së brendshme, duke nxitur vetëdeklarimin dhe kontrolluar mbi bazë risku sektorët dhe industritë që gjenerojnë këtë tatim.</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Zbatimi i programeve të miratuara për rimbursimin  e stokut të TVSH-së për investitorët e mëdhenj.</w:t>
      </w:r>
    </w:p>
    <w:p w:rsidR="0040263A" w:rsidRPr="004E355C" w:rsidRDefault="0040263A" w:rsidP="00B95810">
      <w:pPr>
        <w:pStyle w:val="ListParagraph"/>
        <w:widowControl w:val="0"/>
        <w:numPr>
          <w:ilvl w:val="0"/>
          <w:numId w:val="34"/>
        </w:numPr>
        <w:spacing w:line="276" w:lineRule="auto"/>
        <w:ind w:left="540"/>
        <w:jc w:val="both"/>
        <w:rPr>
          <w:rFonts w:asciiTheme="minorHAnsi" w:hAnsiTheme="minorHAnsi" w:cstheme="minorHAnsi"/>
          <w:i/>
          <w:lang w:val="sq-AL"/>
        </w:rPr>
      </w:pPr>
      <w:r w:rsidRPr="004E355C">
        <w:rPr>
          <w:rFonts w:asciiTheme="minorHAnsi" w:hAnsiTheme="minorHAnsi" w:cstheme="minorHAnsi"/>
          <w:i/>
          <w:lang w:val="sq-AL"/>
        </w:rPr>
        <w:t>Rimbursimi n</w:t>
      </w:r>
      <w:r w:rsidRPr="004E355C">
        <w:rPr>
          <w:rFonts w:ascii="Calibri" w:hAnsi="Calibri" w:cs="Calibri"/>
          <w:i/>
          <w:lang w:val="sq-AL"/>
        </w:rPr>
        <w:t>ë</w:t>
      </w:r>
      <w:r w:rsidRPr="004E355C">
        <w:rPr>
          <w:rFonts w:asciiTheme="minorHAnsi" w:hAnsiTheme="minorHAnsi" w:cstheme="minorHAnsi"/>
          <w:i/>
          <w:lang w:val="sq-AL"/>
        </w:rPr>
        <w:t xml:space="preserve"> afatet kohore ligjore të  TVSH-së për eksportuesit dhe industrinë fasone. </w:t>
      </w:r>
    </w:p>
    <w:p w:rsidR="0099331E" w:rsidRPr="004E355C" w:rsidRDefault="0099331E" w:rsidP="0099331E">
      <w:pPr>
        <w:pStyle w:val="ListParagraph"/>
        <w:widowControl w:val="0"/>
        <w:jc w:val="both"/>
        <w:rPr>
          <w:rFonts w:asciiTheme="minorHAnsi" w:hAnsiTheme="minorHAnsi"/>
          <w:u w:val="single"/>
          <w:lang w:val="sq-AL"/>
        </w:rPr>
      </w:pPr>
    </w:p>
    <w:p w:rsidR="003575E0" w:rsidRPr="004E355C" w:rsidRDefault="003575E0" w:rsidP="003575E0">
      <w:pPr>
        <w:pStyle w:val="ListParagraph"/>
        <w:widowControl w:val="0"/>
        <w:spacing w:line="276" w:lineRule="auto"/>
        <w:ind w:left="270"/>
        <w:jc w:val="both"/>
        <w:rPr>
          <w:rFonts w:asciiTheme="minorHAnsi" w:hAnsiTheme="minorHAnsi"/>
          <w:sz w:val="2"/>
          <w:lang w:val="sq-AL"/>
        </w:rPr>
      </w:pPr>
    </w:p>
    <w:p w:rsidR="00AE3C1B" w:rsidRPr="004E355C" w:rsidRDefault="00AE3C1B" w:rsidP="00B95810">
      <w:pPr>
        <w:pStyle w:val="Heading1"/>
        <w:numPr>
          <w:ilvl w:val="0"/>
          <w:numId w:val="1"/>
        </w:numPr>
        <w:spacing w:after="240" w:line="276" w:lineRule="auto"/>
        <w:ind w:left="720"/>
        <w:rPr>
          <w:sz w:val="32"/>
          <w:u w:val="none"/>
        </w:rPr>
      </w:pPr>
      <w:bookmarkStart w:id="25" w:name="_Toc12527221"/>
      <w:r w:rsidRPr="004E355C">
        <w:rPr>
          <w:sz w:val="32"/>
          <w:u w:val="none"/>
        </w:rPr>
        <w:t>BUXHETI I VITIT 201</w:t>
      </w:r>
      <w:r w:rsidR="00343B94" w:rsidRPr="004E355C">
        <w:rPr>
          <w:sz w:val="32"/>
          <w:u w:val="none"/>
        </w:rPr>
        <w:t>9</w:t>
      </w:r>
      <w:bookmarkEnd w:id="25"/>
    </w:p>
    <w:p w:rsidR="00CE3733" w:rsidRPr="004E355C" w:rsidRDefault="009E4504" w:rsidP="00A40986">
      <w:pPr>
        <w:pStyle w:val="Heading2"/>
        <w:spacing w:line="276" w:lineRule="auto"/>
        <w:ind w:left="720" w:hanging="720"/>
        <w:rPr>
          <w:rFonts w:asciiTheme="minorHAnsi" w:hAnsiTheme="minorHAnsi"/>
          <w:noProof/>
          <w:color w:val="4F81BD" w:themeColor="accent1"/>
          <w:sz w:val="28"/>
          <w:szCs w:val="24"/>
          <w:lang w:val="sq-AL"/>
        </w:rPr>
      </w:pPr>
      <w:bookmarkStart w:id="26" w:name="_Toc12527222"/>
      <w:r w:rsidRPr="004E355C">
        <w:rPr>
          <w:rFonts w:asciiTheme="minorHAnsi" w:hAnsiTheme="minorHAnsi"/>
          <w:noProof/>
          <w:color w:val="4F81BD" w:themeColor="accent1"/>
          <w:sz w:val="28"/>
          <w:szCs w:val="24"/>
          <w:lang w:val="sq-AL"/>
        </w:rPr>
        <w:t>I</w:t>
      </w:r>
      <w:r w:rsidR="00CB4875" w:rsidRPr="004E355C">
        <w:rPr>
          <w:rFonts w:asciiTheme="minorHAnsi" w:hAnsiTheme="minorHAnsi"/>
          <w:noProof/>
          <w:color w:val="4F81BD" w:themeColor="accent1"/>
          <w:sz w:val="28"/>
          <w:szCs w:val="24"/>
          <w:lang w:val="sq-AL"/>
        </w:rPr>
        <w:t>II</w:t>
      </w:r>
      <w:r w:rsidRPr="004E355C">
        <w:rPr>
          <w:rFonts w:asciiTheme="minorHAnsi" w:hAnsiTheme="minorHAnsi"/>
          <w:noProof/>
          <w:color w:val="4F81BD" w:themeColor="accent1"/>
          <w:sz w:val="28"/>
          <w:szCs w:val="24"/>
          <w:lang w:val="sq-AL"/>
        </w:rPr>
        <w:t>.</w:t>
      </w:r>
      <w:r w:rsidR="002C13CF" w:rsidRPr="004E355C">
        <w:rPr>
          <w:rFonts w:asciiTheme="minorHAnsi" w:hAnsiTheme="minorHAnsi"/>
          <w:noProof/>
          <w:color w:val="4F81BD" w:themeColor="accent1"/>
          <w:sz w:val="28"/>
          <w:szCs w:val="24"/>
          <w:lang w:val="sq-AL"/>
        </w:rPr>
        <w:t>1</w:t>
      </w:r>
      <w:r w:rsidRPr="004E355C">
        <w:rPr>
          <w:rFonts w:asciiTheme="minorHAnsi" w:hAnsiTheme="minorHAnsi"/>
          <w:noProof/>
          <w:color w:val="4F81BD" w:themeColor="accent1"/>
          <w:sz w:val="28"/>
          <w:szCs w:val="24"/>
          <w:lang w:val="sq-AL"/>
        </w:rPr>
        <w:tab/>
      </w:r>
      <w:r w:rsidR="002570C3" w:rsidRPr="004E355C">
        <w:rPr>
          <w:rFonts w:asciiTheme="minorHAnsi" w:hAnsiTheme="minorHAnsi"/>
          <w:noProof/>
          <w:color w:val="4F81BD" w:themeColor="accent1"/>
          <w:sz w:val="28"/>
          <w:szCs w:val="24"/>
          <w:lang w:val="sq-AL"/>
        </w:rPr>
        <w:t>Shpenzimet e P</w:t>
      </w:r>
      <w:r w:rsidR="00F268DF" w:rsidRPr="004E355C">
        <w:rPr>
          <w:rFonts w:asciiTheme="minorHAnsi" w:hAnsiTheme="minorHAnsi"/>
          <w:noProof/>
          <w:color w:val="4F81BD" w:themeColor="accent1"/>
          <w:sz w:val="28"/>
          <w:szCs w:val="24"/>
          <w:lang w:val="sq-AL"/>
        </w:rPr>
        <w:t>ë</w:t>
      </w:r>
      <w:r w:rsidR="002570C3" w:rsidRPr="004E355C">
        <w:rPr>
          <w:rFonts w:asciiTheme="minorHAnsi" w:hAnsiTheme="minorHAnsi"/>
          <w:noProof/>
          <w:color w:val="4F81BD" w:themeColor="accent1"/>
          <w:sz w:val="28"/>
          <w:szCs w:val="24"/>
          <w:lang w:val="sq-AL"/>
        </w:rPr>
        <w:t>rgjithshme</w:t>
      </w:r>
      <w:r w:rsidR="005D6734" w:rsidRPr="004E355C">
        <w:rPr>
          <w:rFonts w:asciiTheme="minorHAnsi" w:hAnsiTheme="minorHAnsi"/>
          <w:noProof/>
          <w:color w:val="4F81BD" w:themeColor="accent1"/>
          <w:sz w:val="28"/>
          <w:szCs w:val="24"/>
          <w:lang w:val="sq-AL"/>
        </w:rPr>
        <w:t xml:space="preserve"> </w:t>
      </w:r>
      <w:r w:rsidR="00CB4875" w:rsidRPr="004E355C">
        <w:rPr>
          <w:rFonts w:asciiTheme="minorHAnsi" w:hAnsiTheme="minorHAnsi"/>
          <w:noProof/>
          <w:color w:val="4F81BD" w:themeColor="accent1"/>
          <w:sz w:val="28"/>
          <w:szCs w:val="24"/>
          <w:lang w:val="sq-AL"/>
        </w:rPr>
        <w:t xml:space="preserve">Buxhetore </w:t>
      </w:r>
      <w:r w:rsidR="005D6734" w:rsidRPr="004E355C">
        <w:rPr>
          <w:rFonts w:asciiTheme="minorHAnsi" w:hAnsiTheme="minorHAnsi"/>
          <w:noProof/>
          <w:color w:val="4F81BD" w:themeColor="accent1"/>
          <w:sz w:val="28"/>
          <w:szCs w:val="24"/>
          <w:lang w:val="sq-AL"/>
        </w:rPr>
        <w:t>gjat</w:t>
      </w:r>
      <w:r w:rsidR="006B2026" w:rsidRPr="004E355C">
        <w:rPr>
          <w:rFonts w:asciiTheme="minorHAnsi" w:hAnsiTheme="minorHAnsi"/>
          <w:noProof/>
          <w:color w:val="4F81BD" w:themeColor="accent1"/>
          <w:sz w:val="28"/>
          <w:szCs w:val="24"/>
          <w:lang w:val="sq-AL"/>
        </w:rPr>
        <w:t>ë</w:t>
      </w:r>
      <w:r w:rsidR="005D6734" w:rsidRPr="004E355C">
        <w:rPr>
          <w:rFonts w:asciiTheme="minorHAnsi" w:hAnsiTheme="minorHAnsi"/>
          <w:noProof/>
          <w:color w:val="4F81BD" w:themeColor="accent1"/>
          <w:sz w:val="28"/>
          <w:szCs w:val="24"/>
          <w:lang w:val="sq-AL"/>
        </w:rPr>
        <w:t xml:space="preserve"> periudh</w:t>
      </w:r>
      <w:r w:rsidR="006B2026" w:rsidRPr="004E355C">
        <w:rPr>
          <w:rFonts w:asciiTheme="minorHAnsi" w:hAnsiTheme="minorHAnsi"/>
          <w:noProof/>
          <w:color w:val="4F81BD" w:themeColor="accent1"/>
          <w:sz w:val="28"/>
          <w:szCs w:val="24"/>
          <w:lang w:val="sq-AL"/>
        </w:rPr>
        <w:t>ë</w:t>
      </w:r>
      <w:r w:rsidR="005D6734" w:rsidRPr="004E355C">
        <w:rPr>
          <w:rFonts w:asciiTheme="minorHAnsi" w:hAnsiTheme="minorHAnsi"/>
          <w:noProof/>
          <w:color w:val="4F81BD" w:themeColor="accent1"/>
          <w:sz w:val="28"/>
          <w:szCs w:val="24"/>
          <w:lang w:val="sq-AL"/>
        </w:rPr>
        <w:t>s janar-maj 201</w:t>
      </w:r>
      <w:r w:rsidR="00343B94" w:rsidRPr="004E355C">
        <w:rPr>
          <w:rFonts w:asciiTheme="minorHAnsi" w:hAnsiTheme="minorHAnsi"/>
          <w:noProof/>
          <w:color w:val="4F81BD" w:themeColor="accent1"/>
          <w:sz w:val="28"/>
          <w:szCs w:val="24"/>
          <w:lang w:val="sq-AL"/>
        </w:rPr>
        <w:t>9</w:t>
      </w:r>
      <w:bookmarkEnd w:id="26"/>
    </w:p>
    <w:p w:rsidR="0099331E" w:rsidRPr="004E355C" w:rsidRDefault="0099331E" w:rsidP="0099331E">
      <w:pPr>
        <w:spacing w:line="360" w:lineRule="auto"/>
        <w:jc w:val="both"/>
        <w:rPr>
          <w:rFonts w:asciiTheme="minorHAnsi" w:eastAsia="SimSun" w:hAnsiTheme="minorHAnsi"/>
          <w:b/>
          <w:bCs/>
          <w:sz w:val="8"/>
          <w:szCs w:val="8"/>
          <w:lang w:val="sq-AL"/>
        </w:rPr>
      </w:pPr>
    </w:p>
    <w:p w:rsidR="00637131" w:rsidRPr="004E355C" w:rsidRDefault="00343B94" w:rsidP="009949B2">
      <w:pPr>
        <w:spacing w:line="276" w:lineRule="auto"/>
        <w:jc w:val="both"/>
        <w:rPr>
          <w:rFonts w:asciiTheme="minorHAnsi" w:eastAsia="SimSun" w:hAnsiTheme="minorHAnsi"/>
          <w:lang w:val="sq-AL"/>
        </w:rPr>
      </w:pPr>
      <w:r w:rsidRPr="004E355C">
        <w:rPr>
          <w:rFonts w:asciiTheme="minorHAnsi" w:eastAsia="SimSun" w:hAnsiTheme="minorHAnsi"/>
          <w:b/>
          <w:bCs/>
          <w:lang w:val="sq-AL"/>
        </w:rPr>
        <w:t>Shpenzimet e përgjithshme publike</w:t>
      </w:r>
      <w:r w:rsidRPr="004E355C">
        <w:rPr>
          <w:rFonts w:asciiTheme="minorHAnsi" w:eastAsia="SimSun" w:hAnsiTheme="minorHAnsi"/>
          <w:bCs/>
          <w:lang w:val="sq-AL"/>
        </w:rPr>
        <w:t xml:space="preserve"> </w:t>
      </w:r>
      <w:r w:rsidRPr="004E355C">
        <w:rPr>
          <w:rFonts w:asciiTheme="minorHAnsi" w:eastAsia="SimSun" w:hAnsiTheme="minorHAnsi"/>
          <w:lang w:val="sq-AL"/>
        </w:rPr>
        <w:t xml:space="preserve">për muajin e pestë të vitit 2019, arritën në rreth 187.4 miliard LEK me një realizim në masën 97.2 përqind të planit të periudhës. Ndërkohë që, krahasuar me të njëjtën periudhë të vitit 2018, ky zë ka rezultuar 3.7 përqind më i lartë ose rreth 6.68 miliard LEK më shumë. </w:t>
      </w:r>
      <w:r w:rsidRPr="004E355C">
        <w:rPr>
          <w:rFonts w:asciiTheme="minorHAnsi" w:eastAsia="SimSun" w:hAnsiTheme="minorHAnsi"/>
          <w:i/>
          <w:lang w:val="sq-AL"/>
        </w:rPr>
        <w:t>Në terma vjetor,</w:t>
      </w:r>
      <w:r w:rsidRPr="004E355C">
        <w:rPr>
          <w:rFonts w:asciiTheme="minorHAnsi" w:eastAsia="SimSun" w:hAnsiTheme="minorHAnsi"/>
          <w:lang w:val="sq-AL"/>
        </w:rPr>
        <w:t xml:space="preserve"> shpenzimet e përgjithshme për 5 mujorin e parë të vitit 2019 u realizuan në masën 36.1 përqind të planit vjetor</w:t>
      </w:r>
      <w:r w:rsidRPr="004E355C">
        <w:rPr>
          <w:rFonts w:eastAsia="SimSun"/>
          <w:lang w:val="sq-AL"/>
        </w:rPr>
        <w:t xml:space="preserve">. </w:t>
      </w:r>
    </w:p>
    <w:p w:rsidR="00070183" w:rsidRPr="004E355C" w:rsidRDefault="007434A1" w:rsidP="007434A1">
      <w:pPr>
        <w:pStyle w:val="Caption"/>
        <w:rPr>
          <w:rFonts w:asciiTheme="minorHAnsi" w:hAnsiTheme="minorHAnsi"/>
          <w:b w:val="0"/>
          <w:bCs w:val="0"/>
          <w:i/>
          <w:color w:val="auto"/>
          <w:sz w:val="24"/>
          <w:szCs w:val="24"/>
          <w:lang w:val="sq-AL"/>
        </w:rPr>
      </w:pPr>
      <w:bookmarkStart w:id="27" w:name="_Toc12449194"/>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8</w:t>
      </w:r>
      <w:r w:rsidRPr="004E355C">
        <w:rPr>
          <w:rFonts w:asciiTheme="minorHAnsi" w:hAnsiTheme="minorHAnsi"/>
          <w:b w:val="0"/>
          <w:bCs w:val="0"/>
          <w:i/>
          <w:color w:val="auto"/>
          <w:sz w:val="24"/>
          <w:szCs w:val="24"/>
          <w:lang w:val="sq-AL"/>
        </w:rPr>
        <w:fldChar w:fldCharType="end"/>
      </w:r>
      <w:r w:rsidR="00070183" w:rsidRPr="004E355C">
        <w:rPr>
          <w:rFonts w:asciiTheme="minorHAnsi" w:hAnsiTheme="minorHAnsi"/>
          <w:b w:val="0"/>
          <w:bCs w:val="0"/>
          <w:i/>
          <w:color w:val="auto"/>
          <w:sz w:val="24"/>
          <w:szCs w:val="24"/>
          <w:lang w:val="sq-AL"/>
        </w:rPr>
        <w:t>: Treguesit fiskalë të konsoliduar për 5 mujorin e vitit 201</w:t>
      </w:r>
      <w:r w:rsidR="0099331E" w:rsidRPr="004E355C">
        <w:rPr>
          <w:rFonts w:asciiTheme="minorHAnsi" w:hAnsiTheme="minorHAnsi"/>
          <w:b w:val="0"/>
          <w:bCs w:val="0"/>
          <w:i/>
          <w:color w:val="auto"/>
          <w:sz w:val="24"/>
          <w:szCs w:val="24"/>
          <w:lang w:val="sq-AL"/>
        </w:rPr>
        <w:t>9</w:t>
      </w:r>
      <w:r w:rsidR="00070183" w:rsidRPr="004E355C">
        <w:rPr>
          <w:rFonts w:asciiTheme="minorHAnsi" w:hAnsiTheme="minorHAnsi"/>
          <w:b w:val="0"/>
          <w:bCs w:val="0"/>
          <w:i/>
          <w:color w:val="auto"/>
          <w:sz w:val="24"/>
          <w:szCs w:val="24"/>
          <w:lang w:val="sq-AL"/>
        </w:rPr>
        <w:t xml:space="preserve"> (në milion LEK)</w:t>
      </w:r>
      <w:bookmarkEnd w:id="27"/>
    </w:p>
    <w:p w:rsidR="00637131" w:rsidRPr="004E355C" w:rsidRDefault="0099331E" w:rsidP="00637131">
      <w:pPr>
        <w:spacing w:line="276" w:lineRule="auto"/>
        <w:ind w:left="90"/>
        <w:jc w:val="center"/>
        <w:rPr>
          <w:rFonts w:asciiTheme="minorHAnsi" w:eastAsia="SimSun" w:hAnsiTheme="minorHAnsi"/>
          <w:i/>
          <w:lang w:val="sq-AL"/>
        </w:rPr>
      </w:pPr>
      <w:r w:rsidRPr="004E355C">
        <w:rPr>
          <w:rFonts w:eastAsia="SimSun"/>
          <w:noProof/>
        </w:rPr>
        <w:drawing>
          <wp:inline distT="0" distB="0" distL="0" distR="0" wp14:anchorId="7A4C73F2" wp14:editId="62090FC3">
            <wp:extent cx="6115050" cy="1193547"/>
            <wp:effectExtent l="0" t="0" r="0" b="698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5050" cy="1193547"/>
                    </a:xfrm>
                    <a:prstGeom prst="rect">
                      <a:avLst/>
                    </a:prstGeom>
                    <a:noFill/>
                    <a:ln>
                      <a:noFill/>
                    </a:ln>
                  </pic:spPr>
                </pic:pic>
              </a:graphicData>
            </a:graphic>
          </wp:inline>
        </w:drawing>
      </w:r>
    </w:p>
    <w:p w:rsidR="00637131" w:rsidRPr="004E355C" w:rsidRDefault="00B24B3B" w:rsidP="00637131">
      <w:pPr>
        <w:spacing w:line="276" w:lineRule="auto"/>
        <w:ind w:firstLine="45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7434A1" w:rsidRPr="004E355C" w:rsidRDefault="007434A1" w:rsidP="00637131">
      <w:pPr>
        <w:spacing w:line="276" w:lineRule="auto"/>
        <w:ind w:firstLine="450"/>
        <w:rPr>
          <w:rFonts w:asciiTheme="minorHAnsi" w:eastAsia="SimSun" w:hAnsiTheme="minorHAnsi"/>
          <w:i/>
          <w:sz w:val="20"/>
          <w:lang w:val="sq-AL"/>
        </w:rPr>
      </w:pPr>
    </w:p>
    <w:p w:rsidR="00070183" w:rsidRPr="004E355C" w:rsidRDefault="007434A1" w:rsidP="007434A1">
      <w:pPr>
        <w:pStyle w:val="Caption"/>
        <w:rPr>
          <w:rFonts w:asciiTheme="minorHAnsi" w:hAnsiTheme="minorHAnsi"/>
          <w:b w:val="0"/>
          <w:bCs w:val="0"/>
          <w:i/>
          <w:color w:val="auto"/>
          <w:sz w:val="24"/>
          <w:szCs w:val="24"/>
          <w:lang w:val="sq-AL"/>
        </w:rPr>
      </w:pPr>
      <w:bookmarkStart w:id="28" w:name="_Toc12449195"/>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9</w:t>
      </w:r>
      <w:r w:rsidRPr="004E355C">
        <w:rPr>
          <w:rFonts w:asciiTheme="minorHAnsi" w:hAnsiTheme="minorHAnsi"/>
          <w:b w:val="0"/>
          <w:bCs w:val="0"/>
          <w:i/>
          <w:color w:val="auto"/>
          <w:sz w:val="24"/>
          <w:szCs w:val="24"/>
          <w:lang w:val="sq-AL"/>
        </w:rPr>
        <w:fldChar w:fldCharType="end"/>
      </w:r>
      <w:r w:rsidR="00070183" w:rsidRPr="004E355C">
        <w:rPr>
          <w:rFonts w:asciiTheme="minorHAnsi" w:hAnsiTheme="minorHAnsi"/>
          <w:b w:val="0"/>
          <w:bCs w:val="0"/>
          <w:i/>
          <w:color w:val="auto"/>
          <w:sz w:val="24"/>
          <w:szCs w:val="24"/>
          <w:lang w:val="sq-AL"/>
        </w:rPr>
        <w:t>: Treguesit fiskalë të konsoliduar për 5 mujorin e vitit 2017 dhe 2018 (në milion LEK)</w:t>
      </w:r>
      <w:bookmarkEnd w:id="28"/>
    </w:p>
    <w:p w:rsidR="00637131" w:rsidRPr="004E355C" w:rsidRDefault="0099331E" w:rsidP="0099331E">
      <w:pPr>
        <w:spacing w:line="276" w:lineRule="auto"/>
        <w:ind w:right="360"/>
        <w:jc w:val="center"/>
        <w:rPr>
          <w:rFonts w:asciiTheme="minorHAnsi" w:eastAsia="SimSun" w:hAnsiTheme="minorHAnsi"/>
          <w:i/>
          <w:lang w:val="sq-AL"/>
        </w:rPr>
      </w:pPr>
      <w:r w:rsidRPr="004E355C">
        <w:rPr>
          <w:rFonts w:eastAsia="SimSun"/>
          <w:noProof/>
        </w:rPr>
        <w:drawing>
          <wp:inline distT="0" distB="0" distL="0" distR="0" wp14:anchorId="10AE87A1" wp14:editId="1295F286">
            <wp:extent cx="6115050" cy="1205081"/>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15050" cy="1205081"/>
                    </a:xfrm>
                    <a:prstGeom prst="rect">
                      <a:avLst/>
                    </a:prstGeom>
                    <a:noFill/>
                    <a:ln>
                      <a:noFill/>
                    </a:ln>
                  </pic:spPr>
                </pic:pic>
              </a:graphicData>
            </a:graphic>
          </wp:inline>
        </w:drawing>
      </w:r>
    </w:p>
    <w:p w:rsidR="00637131" w:rsidRPr="004E355C" w:rsidRDefault="00B24B3B" w:rsidP="00637131">
      <w:pPr>
        <w:spacing w:line="276" w:lineRule="auto"/>
        <w:ind w:firstLine="45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99331E" w:rsidRPr="004E355C" w:rsidRDefault="0099331E" w:rsidP="0099331E">
      <w:pPr>
        <w:spacing w:before="240" w:line="276" w:lineRule="auto"/>
        <w:jc w:val="both"/>
        <w:rPr>
          <w:rFonts w:asciiTheme="minorHAnsi" w:eastAsia="SimSun" w:hAnsiTheme="minorHAnsi"/>
          <w:lang w:val="sq-AL"/>
        </w:rPr>
      </w:pPr>
      <w:r w:rsidRPr="004E355C">
        <w:rPr>
          <w:rFonts w:asciiTheme="minorHAnsi" w:eastAsia="SimSun" w:hAnsiTheme="minorHAnsi"/>
          <w:lang w:val="sq-AL"/>
        </w:rPr>
        <w:t>Shpenzimet korente dhe ato kapitale, kanë shënuar një realizim respektivisht në masën 101.8 përqind dhe 75.9 përqind të planit të periudhës. Ndërkohë që, në terma vjetorë ato janë realizuar përkatësisht në 38.8 përqind dhe 24.3 përqind të tij</w:t>
      </w:r>
      <w:r w:rsidR="00637131" w:rsidRPr="004E355C">
        <w:rPr>
          <w:rFonts w:asciiTheme="minorHAnsi" w:eastAsia="SimSun" w:hAnsiTheme="minorHAnsi"/>
          <w:lang w:val="sq-AL"/>
        </w:rPr>
        <w:t xml:space="preserve">. </w:t>
      </w:r>
    </w:p>
    <w:p w:rsidR="0099331E" w:rsidRPr="004E355C" w:rsidRDefault="0099331E" w:rsidP="00E97DCB">
      <w:pPr>
        <w:spacing w:line="276" w:lineRule="auto"/>
        <w:ind w:firstLine="720"/>
        <w:jc w:val="both"/>
        <w:rPr>
          <w:rFonts w:asciiTheme="minorHAnsi" w:eastAsia="SimSun" w:hAnsiTheme="minorHAnsi"/>
          <w:lang w:val="sq-AL"/>
        </w:rPr>
      </w:pPr>
      <w:r w:rsidRPr="004E355C">
        <w:rPr>
          <w:rFonts w:asciiTheme="minorHAnsi" w:eastAsia="SimSun" w:hAnsiTheme="minorHAnsi"/>
          <w:b/>
          <w:lang w:val="sq-AL"/>
        </w:rPr>
        <w:t>Shpenzimet korente</w:t>
      </w:r>
      <w:r w:rsidRPr="004E355C">
        <w:rPr>
          <w:rFonts w:asciiTheme="minorHAnsi" w:eastAsia="SimSun" w:hAnsiTheme="minorHAnsi"/>
          <w:lang w:val="sq-AL"/>
        </w:rPr>
        <w:t xml:space="preserve"> për periudhën 5 mujore të vitit 2019 rezultuan në rreth 165.4 miliard LEK, ndërsa krahasuar me të njëjtën periudhë të një viti më parë ky zë ka rezultuar 7.7 përqind më i lartë ose rreth 11.76 miliard LEK më shumë. Shpenzimet korente për muajin e pestë të vitit 2019 zënë 88.3 përqind të totalit të shpenzimeve. </w:t>
      </w:r>
    </w:p>
    <w:p w:rsidR="0099331E" w:rsidRPr="004E355C" w:rsidRDefault="0099331E" w:rsidP="00E97DCB">
      <w:pPr>
        <w:spacing w:line="276" w:lineRule="auto"/>
        <w:ind w:firstLine="720"/>
        <w:jc w:val="both"/>
        <w:rPr>
          <w:rFonts w:asciiTheme="minorHAnsi" w:eastAsia="SimSun" w:hAnsiTheme="minorHAnsi"/>
          <w:lang w:val="sq-AL"/>
        </w:rPr>
      </w:pPr>
      <w:r w:rsidRPr="004E355C">
        <w:rPr>
          <w:rFonts w:asciiTheme="minorHAnsi" w:eastAsia="SimSun" w:hAnsiTheme="minorHAnsi"/>
          <w:b/>
          <w:lang w:val="sq-AL"/>
        </w:rPr>
        <w:t>Shpenzimet kapitale</w:t>
      </w:r>
      <w:r w:rsidRPr="004E355C">
        <w:rPr>
          <w:rFonts w:asciiTheme="minorHAnsi" w:eastAsia="SimSun" w:hAnsiTheme="minorHAnsi"/>
          <w:lang w:val="sq-AL"/>
        </w:rPr>
        <w:t xml:space="preserve"> për muajin e pestë të vitit 2019 paraqesin një realizim në masën rreth 21.97 miliard LEK. Krahasuar me të njëjtën periudhë të vitit 2018, ky zë është 18.9 përqind më i ulët ose rreth 5.1 miliard LEK më pak. Shpenzimet kapitale për muajin e pestë të vitit 2019 zënë 11.7 përqind të totalit të shpenzimeve ndërkohë që krahasuar me PBB zënë 1.3 përqind. Për shpenzimet kapitale, për periudhën 5 mujore, niveli mesatar kundrejt PBB është 1.6 përqind.</w:t>
      </w:r>
    </w:p>
    <w:p w:rsidR="00E97DCB" w:rsidRPr="004E355C" w:rsidRDefault="00E97DCB" w:rsidP="00E97DCB">
      <w:pPr>
        <w:pStyle w:val="Caption"/>
        <w:keepNext/>
        <w:spacing w:after="0"/>
        <w:jc w:val="both"/>
        <w:rPr>
          <w:rFonts w:asciiTheme="minorHAnsi" w:hAnsiTheme="minorHAnsi"/>
          <w:b w:val="0"/>
          <w:bCs w:val="0"/>
          <w:i/>
          <w:color w:val="auto"/>
          <w:sz w:val="8"/>
          <w:szCs w:val="8"/>
          <w:lang w:val="sq-AL"/>
        </w:rPr>
      </w:pPr>
    </w:p>
    <w:p w:rsidR="00070183" w:rsidRPr="004E355C" w:rsidRDefault="00070183" w:rsidP="00E97DCB">
      <w:pPr>
        <w:pStyle w:val="Caption"/>
        <w:keepNext/>
        <w:spacing w:after="0"/>
        <w:jc w:val="both"/>
        <w:rPr>
          <w:rFonts w:asciiTheme="minorHAnsi" w:hAnsiTheme="minorHAnsi"/>
          <w:b w:val="0"/>
          <w:bCs w:val="0"/>
          <w:i/>
          <w:color w:val="auto"/>
          <w:sz w:val="24"/>
          <w:szCs w:val="24"/>
          <w:lang w:val="sq-AL"/>
        </w:rPr>
      </w:pPr>
      <w:bookmarkStart w:id="29" w:name="_Toc12448437"/>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11</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e përgjithshme dhe ritmi i rritjes së tyre (në miliardë LEK)</w:t>
      </w:r>
      <w:bookmarkEnd w:id="29"/>
      <w:r w:rsidRPr="004E355C">
        <w:rPr>
          <w:rFonts w:asciiTheme="minorHAnsi" w:hAnsiTheme="minorHAnsi"/>
          <w:b w:val="0"/>
          <w:bCs w:val="0"/>
          <w:i/>
          <w:color w:val="auto"/>
          <w:sz w:val="24"/>
          <w:szCs w:val="24"/>
          <w:lang w:val="sq-AL"/>
        </w:rPr>
        <w:t xml:space="preserve"> </w:t>
      </w:r>
    </w:p>
    <w:p w:rsidR="00637131" w:rsidRPr="004E355C" w:rsidRDefault="0099331E" w:rsidP="0099331E">
      <w:pPr>
        <w:jc w:val="center"/>
        <w:rPr>
          <w:rFonts w:asciiTheme="minorHAnsi" w:eastAsia="SimSun" w:hAnsiTheme="minorHAnsi"/>
          <w:i/>
          <w:lang w:val="sq-AL"/>
        </w:rPr>
      </w:pPr>
      <w:r w:rsidRPr="004E355C">
        <w:rPr>
          <w:rFonts w:eastAsia="SimSun"/>
          <w:i/>
          <w:noProof/>
        </w:rPr>
        <w:drawing>
          <wp:inline distT="0" distB="0" distL="0" distR="0" wp14:anchorId="1D85B9A7" wp14:editId="2E2FED46">
            <wp:extent cx="5798820" cy="1691640"/>
            <wp:effectExtent l="38100" t="38100" r="87630" b="9906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98820" cy="1691640"/>
                    </a:xfrm>
                    <a:prstGeom prst="rect">
                      <a:avLst/>
                    </a:prstGeom>
                    <a:noFill/>
                    <a:effectLst>
                      <a:outerShdw blurRad="50800" dist="38100" dir="2700000" algn="tl" rotWithShape="0">
                        <a:prstClr val="black">
                          <a:alpha val="40000"/>
                        </a:prstClr>
                      </a:outerShdw>
                    </a:effectLst>
                  </pic:spPr>
                </pic:pic>
              </a:graphicData>
            </a:graphic>
          </wp:inline>
        </w:drawing>
      </w:r>
    </w:p>
    <w:p w:rsidR="007434A1" w:rsidRPr="004E355C" w:rsidRDefault="00B24B3B" w:rsidP="007434A1">
      <w:pPr>
        <w:spacing w:line="276" w:lineRule="auto"/>
        <w:ind w:firstLine="54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r w:rsidR="00637131" w:rsidRPr="004E355C">
        <w:rPr>
          <w:rFonts w:asciiTheme="minorHAnsi" w:eastAsia="SimSun" w:hAnsiTheme="minorHAnsi"/>
          <w:i/>
          <w:sz w:val="20"/>
          <w:lang w:val="sq-AL"/>
        </w:rPr>
        <w:t xml:space="preserve"> </w:t>
      </w:r>
    </w:p>
    <w:p w:rsidR="004E355C" w:rsidRPr="004E355C" w:rsidRDefault="004E355C" w:rsidP="00D23F5E">
      <w:pPr>
        <w:rPr>
          <w:sz w:val="8"/>
          <w:szCs w:val="8"/>
        </w:rPr>
      </w:pPr>
      <w:bookmarkStart w:id="30" w:name="_Toc12448438"/>
    </w:p>
    <w:p w:rsidR="00D23F5E" w:rsidRPr="004E355C" w:rsidRDefault="00D23F5E" w:rsidP="00D23F5E">
      <w:r w:rsidRPr="004E355C">
        <w:t xml:space="preserve">Grafiku </w:t>
      </w:r>
      <w:fldSimple w:instr=" SEQ Grafiku \* ARABIC ">
        <w:r w:rsidR="00C83C78">
          <w:rPr>
            <w:noProof/>
          </w:rPr>
          <w:t>12</w:t>
        </w:r>
      </w:fldSimple>
      <w:r w:rsidR="00E27968" w:rsidRPr="004E355C">
        <w:t>:</w:t>
      </w:r>
      <w:r w:rsidRPr="004E355C">
        <w:rPr>
          <w:rFonts w:asciiTheme="minorHAnsi" w:hAnsiTheme="minorHAnsi"/>
          <w:bCs/>
          <w:i/>
          <w:lang w:val="sq-AL"/>
        </w:rPr>
        <w:t xml:space="preserve"> Struktura e shpenzimeve të përgjithshme, </w:t>
      </w:r>
      <w:r w:rsidRPr="004E355C">
        <w:rPr>
          <w:rFonts w:asciiTheme="minorHAnsi" w:hAnsiTheme="minorHAnsi"/>
          <w:bCs/>
          <w:i/>
          <w:sz w:val="22"/>
          <w:lang w:val="sq-AL"/>
        </w:rPr>
        <w:t>për periudhën 5 mujore 2019</w:t>
      </w:r>
      <w:bookmarkEnd w:id="30"/>
    </w:p>
    <w:p w:rsidR="009949B2" w:rsidRPr="004E355C" w:rsidRDefault="009949B2" w:rsidP="00E97DCB">
      <w:pPr>
        <w:jc w:val="center"/>
        <w:rPr>
          <w:rFonts w:asciiTheme="minorHAnsi" w:eastAsia="SimSun" w:hAnsiTheme="minorHAnsi"/>
          <w:b/>
          <w:lang w:val="sq-AL"/>
        </w:rPr>
      </w:pPr>
      <w:r w:rsidRPr="004E355C">
        <w:rPr>
          <w:rFonts w:eastAsia="SimSun"/>
          <w:noProof/>
        </w:rPr>
        <w:drawing>
          <wp:inline distT="0" distB="0" distL="0" distR="0" wp14:anchorId="7FAE5358" wp14:editId="5DC04AA8">
            <wp:extent cx="5749925" cy="2004060"/>
            <wp:effectExtent l="38100" t="38100" r="98425" b="9144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2707" cy="2008515"/>
                    </a:xfrm>
                    <a:prstGeom prst="rect">
                      <a:avLst/>
                    </a:prstGeom>
                    <a:noFill/>
                    <a:effectLst>
                      <a:outerShdw blurRad="50800" dist="38100" dir="2700000" algn="tl" rotWithShape="0">
                        <a:prstClr val="black">
                          <a:alpha val="40000"/>
                        </a:prstClr>
                      </a:outerShdw>
                    </a:effectLst>
                  </pic:spPr>
                </pic:pic>
              </a:graphicData>
            </a:graphic>
          </wp:inline>
        </w:drawing>
      </w:r>
    </w:p>
    <w:p w:rsidR="00E97DCB" w:rsidRPr="004E355C" w:rsidRDefault="00E97DCB" w:rsidP="00E97DCB">
      <w:pPr>
        <w:spacing w:line="276" w:lineRule="auto"/>
        <w:ind w:firstLine="540"/>
        <w:rPr>
          <w:rFonts w:asciiTheme="minorHAnsi" w:eastAsia="SimSun" w:hAnsiTheme="minorHAnsi"/>
          <w:i/>
          <w:sz w:val="20"/>
          <w:lang w:val="sq-AL"/>
        </w:rPr>
      </w:pPr>
      <w:r w:rsidRPr="004E355C">
        <w:rPr>
          <w:rFonts w:asciiTheme="minorHAnsi" w:eastAsia="SimSun" w:hAnsiTheme="minorHAnsi"/>
          <w:i/>
          <w:sz w:val="20"/>
          <w:lang w:val="sq-AL"/>
        </w:rPr>
        <w:t xml:space="preserve">Burimi: Ministria e Financave dhe Ekonomisë (2019) </w:t>
      </w:r>
    </w:p>
    <w:p w:rsidR="009949B2" w:rsidRPr="004E355C" w:rsidRDefault="009949B2" w:rsidP="009949B2">
      <w:pPr>
        <w:spacing w:before="240" w:line="276" w:lineRule="auto"/>
        <w:jc w:val="both"/>
        <w:rPr>
          <w:rFonts w:asciiTheme="minorHAnsi" w:eastAsia="SimSun" w:hAnsiTheme="minorHAnsi"/>
          <w:lang w:val="sq-AL"/>
        </w:rPr>
      </w:pPr>
      <w:r w:rsidRPr="004E355C">
        <w:rPr>
          <w:rFonts w:asciiTheme="minorHAnsi" w:eastAsia="SimSun" w:hAnsiTheme="minorHAnsi"/>
          <w:b/>
          <w:lang w:val="sq-AL"/>
        </w:rPr>
        <w:lastRenderedPageBreak/>
        <w:t>Shpenzimet korente</w:t>
      </w:r>
      <w:r w:rsidRPr="004E355C">
        <w:rPr>
          <w:rFonts w:asciiTheme="minorHAnsi" w:eastAsia="SimSun" w:hAnsiTheme="minorHAnsi"/>
          <w:lang w:val="sq-AL"/>
        </w:rPr>
        <w:t xml:space="preserve"> në raport me planin 5 mujor të këtij viti, paraqesin një realizim prej 101.8 përqind, duke rezultuar në rreth 165.4 miliard LEK. Zërat kryesorë që ndikuan në nivelin e realizimit të shpenzimeve korente, kundrejt planit 5 mujor janë përkatësisht: </w:t>
      </w:r>
    </w:p>
    <w:p w:rsidR="009949B2" w:rsidRPr="004E355C" w:rsidRDefault="009949B2" w:rsidP="00B95810">
      <w:pPr>
        <w:pStyle w:val="ListParagraph"/>
        <w:numPr>
          <w:ilvl w:val="0"/>
          <w:numId w:val="6"/>
        </w:numPr>
        <w:spacing w:line="276" w:lineRule="auto"/>
        <w:ind w:left="540"/>
        <w:jc w:val="both"/>
        <w:rPr>
          <w:rFonts w:asciiTheme="minorHAnsi" w:eastAsia="SimSun" w:hAnsiTheme="minorHAnsi"/>
          <w:i/>
          <w:lang w:val="sq-AL"/>
        </w:rPr>
      </w:pPr>
      <w:r w:rsidRPr="004E355C">
        <w:rPr>
          <w:rFonts w:asciiTheme="minorHAnsi" w:eastAsia="SimSun" w:hAnsiTheme="minorHAnsi"/>
          <w:i/>
          <w:lang w:val="sq-AL"/>
        </w:rPr>
        <w:t>Shpenzimet për Subvencione, në fund të muajit të pestë të vitit 2019, arritën nivelin 489 milion LEK, ose 318 milion LEK më shumë se plani i periudhës ose 32.8 përqind të planit vjetor.</w:t>
      </w:r>
      <w:r w:rsidRPr="004E355C">
        <w:rPr>
          <w:rFonts w:asciiTheme="minorHAnsi" w:eastAsia="SimSun" w:hAnsiTheme="minorHAnsi"/>
          <w:lang w:val="sq-AL"/>
        </w:rPr>
        <w:t xml:space="preserve"> </w:t>
      </w:r>
    </w:p>
    <w:p w:rsidR="009949B2" w:rsidRPr="004E355C" w:rsidRDefault="009949B2" w:rsidP="00B95810">
      <w:pPr>
        <w:pStyle w:val="ListParagraph"/>
        <w:numPr>
          <w:ilvl w:val="0"/>
          <w:numId w:val="6"/>
        </w:numPr>
        <w:spacing w:line="276" w:lineRule="auto"/>
        <w:ind w:left="540"/>
        <w:jc w:val="both"/>
        <w:rPr>
          <w:rFonts w:asciiTheme="minorHAnsi" w:eastAsia="SimSun" w:hAnsiTheme="minorHAnsi"/>
          <w:i/>
          <w:lang w:val="sq-AL"/>
        </w:rPr>
      </w:pPr>
      <w:r w:rsidRPr="004E355C">
        <w:rPr>
          <w:rFonts w:asciiTheme="minorHAnsi" w:eastAsia="SimSun" w:hAnsiTheme="minorHAnsi"/>
          <w:i/>
          <w:lang w:val="sq-AL"/>
        </w:rPr>
        <w:t>Shpenzimet operative mirëmbajtje me 118 përqind të planit të periudhës dhe 38.7 përqind të planit vjetor.</w:t>
      </w:r>
    </w:p>
    <w:p w:rsidR="009949B2" w:rsidRPr="004E355C" w:rsidRDefault="009949B2" w:rsidP="00B95810">
      <w:pPr>
        <w:pStyle w:val="ListParagraph"/>
        <w:numPr>
          <w:ilvl w:val="0"/>
          <w:numId w:val="6"/>
        </w:numPr>
        <w:spacing w:line="276" w:lineRule="auto"/>
        <w:ind w:left="540"/>
        <w:jc w:val="both"/>
        <w:rPr>
          <w:rFonts w:asciiTheme="minorHAnsi" w:eastAsia="SimSun" w:hAnsiTheme="minorHAnsi"/>
          <w:i/>
          <w:lang w:val="sq-AL"/>
        </w:rPr>
      </w:pPr>
      <w:r w:rsidRPr="004E355C">
        <w:rPr>
          <w:rFonts w:asciiTheme="minorHAnsi" w:eastAsia="SimSun" w:hAnsiTheme="minorHAnsi"/>
          <w:i/>
          <w:lang w:val="sq-AL"/>
        </w:rPr>
        <w:t>Shpenzimet e tjera sociale me 110 përqind të planit të periudhës dhe 41.2 përqind të planit vjetor.</w:t>
      </w:r>
    </w:p>
    <w:p w:rsidR="005D4A49" w:rsidRPr="004E355C" w:rsidRDefault="00070183" w:rsidP="00471172">
      <w:pPr>
        <w:pStyle w:val="Caption"/>
        <w:keepNext/>
        <w:spacing w:before="240" w:after="0"/>
        <w:jc w:val="both"/>
        <w:rPr>
          <w:rFonts w:asciiTheme="minorHAnsi" w:hAnsiTheme="minorHAnsi"/>
          <w:b w:val="0"/>
          <w:bCs w:val="0"/>
          <w:i/>
          <w:color w:val="auto"/>
          <w:sz w:val="24"/>
          <w:szCs w:val="24"/>
          <w:lang w:val="sq-AL"/>
        </w:rPr>
      </w:pPr>
      <w:bookmarkStart w:id="31" w:name="_Toc12448439"/>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Korente dhe ritmi i rritjes së tyre (në miliardë LEK)</w:t>
      </w:r>
      <w:bookmarkEnd w:id="31"/>
    </w:p>
    <w:p w:rsidR="00637131" w:rsidRPr="004E355C" w:rsidRDefault="009949B2" w:rsidP="00471172">
      <w:pPr>
        <w:pStyle w:val="Caption"/>
        <w:spacing w:after="0"/>
        <w:jc w:val="center"/>
        <w:rPr>
          <w:rFonts w:asciiTheme="minorHAnsi" w:eastAsia="SimSun" w:hAnsiTheme="minorHAnsi"/>
          <w:i/>
          <w:lang w:val="sq-AL"/>
        </w:rPr>
      </w:pPr>
      <w:r w:rsidRPr="004E355C">
        <w:rPr>
          <w:rFonts w:eastAsia="SimSun"/>
          <w:i/>
          <w:noProof/>
        </w:rPr>
        <w:drawing>
          <wp:inline distT="0" distB="0" distL="0" distR="0" wp14:anchorId="34FCFA41" wp14:editId="681966AE">
            <wp:extent cx="5273040" cy="1958340"/>
            <wp:effectExtent l="38100" t="38100" r="99060" b="9906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97602" cy="1967462"/>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CE0E07" w:rsidP="00637131">
      <w:pPr>
        <w:spacing w:line="276" w:lineRule="auto"/>
        <w:rPr>
          <w:rFonts w:asciiTheme="minorHAnsi" w:eastAsia="SimSun" w:hAnsiTheme="minorHAnsi"/>
          <w:i/>
          <w:sz w:val="20"/>
          <w:lang w:val="sq-AL"/>
        </w:rPr>
      </w:pPr>
      <w:r w:rsidRPr="004E355C">
        <w:rPr>
          <w:rFonts w:asciiTheme="minorHAnsi" w:eastAsia="SimSun" w:hAnsiTheme="minorHAnsi"/>
          <w:i/>
          <w:sz w:val="20"/>
          <w:lang w:val="sq-AL"/>
        </w:rPr>
        <w:t xml:space="preserve">            </w:t>
      </w:r>
      <w:r w:rsidRPr="004E355C">
        <w:rPr>
          <w:rFonts w:asciiTheme="minorHAnsi" w:eastAsia="SimSun" w:hAnsiTheme="minorHAnsi"/>
          <w:i/>
          <w:sz w:val="20"/>
          <w:lang w:val="sq-AL"/>
        </w:rPr>
        <w:tab/>
      </w:r>
      <w:r w:rsidR="00B24B3B" w:rsidRPr="004E355C">
        <w:rPr>
          <w:rFonts w:asciiTheme="minorHAnsi" w:eastAsia="SimSun" w:hAnsiTheme="minorHAnsi"/>
          <w:i/>
          <w:sz w:val="20"/>
          <w:lang w:val="sq-AL"/>
        </w:rPr>
        <w:t>Burimi: Ministria e Financave dhe Ekonomisë (2019)</w:t>
      </w:r>
    </w:p>
    <w:p w:rsidR="00BB5756" w:rsidRPr="004E355C" w:rsidRDefault="00BB5756" w:rsidP="00BB5756">
      <w:pPr>
        <w:pStyle w:val="Caption"/>
        <w:keepNext/>
        <w:spacing w:before="240" w:after="0"/>
        <w:jc w:val="both"/>
        <w:rPr>
          <w:rFonts w:asciiTheme="minorHAnsi" w:hAnsiTheme="minorHAnsi"/>
          <w:b w:val="0"/>
          <w:bCs w:val="0"/>
          <w:i/>
          <w:color w:val="auto"/>
          <w:sz w:val="22"/>
          <w:szCs w:val="24"/>
          <w:lang w:val="sq-AL"/>
        </w:rPr>
      </w:pPr>
      <w:bookmarkStart w:id="32" w:name="_Toc12448440"/>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14</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Struktura e shpenzimeve korente, për periudhën 5 mujore 2019</w:t>
      </w:r>
      <w:bookmarkEnd w:id="32"/>
    </w:p>
    <w:p w:rsidR="00BB5756" w:rsidRPr="004E355C" w:rsidRDefault="00BB5756" w:rsidP="00BB5756">
      <w:pPr>
        <w:spacing w:line="276" w:lineRule="auto"/>
        <w:jc w:val="center"/>
        <w:rPr>
          <w:rFonts w:asciiTheme="minorHAnsi" w:eastAsia="SimSun" w:hAnsiTheme="minorHAnsi"/>
          <w:i/>
          <w:lang w:val="sq-AL"/>
        </w:rPr>
      </w:pPr>
      <w:r w:rsidRPr="004E355C">
        <w:rPr>
          <w:rFonts w:eastAsia="SimSun"/>
          <w:noProof/>
        </w:rPr>
        <w:drawing>
          <wp:inline distT="0" distB="0" distL="0" distR="0" wp14:anchorId="3184FD99" wp14:editId="5601AEFF">
            <wp:extent cx="4626610" cy="2651760"/>
            <wp:effectExtent l="38100" t="38100" r="97790" b="914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41090" cy="2660059"/>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BB5756" w:rsidP="00070183">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e Personelit</w:t>
      </w:r>
      <w:r w:rsidRPr="004E355C">
        <w:rPr>
          <w:rFonts w:asciiTheme="minorHAnsi" w:eastAsia="SimSun" w:hAnsiTheme="minorHAnsi"/>
          <w:lang w:val="sq-AL"/>
        </w:rPr>
        <w:t xml:space="preserve"> gjatë muajit Maj 2019, përfaqësuan 18.8 përqind të totalit të shpenzimeve korente. Niveli i shpenzimeve faktike të personelit prej rreth 31.06 miliard LEK, realizon nivelin e parashikuar për këtë zë në planin e periudhës 5 mujore, në masën 101 përqind. Krahasuar me të njëjtën periudhë të vitit 2018, ky zë është 2.3 përqind më i lartë ose 693 milion LEK më shumë</w:t>
      </w:r>
      <w:r w:rsidR="00637131" w:rsidRPr="004E355C">
        <w:rPr>
          <w:rFonts w:asciiTheme="minorHAnsi" w:eastAsia="SimSun" w:hAnsiTheme="minorHAnsi"/>
          <w:lang w:val="sq-AL"/>
        </w:rPr>
        <w:t>.</w:t>
      </w:r>
    </w:p>
    <w:p w:rsidR="00070183" w:rsidRPr="004E355C" w:rsidRDefault="00070183" w:rsidP="00471172">
      <w:pPr>
        <w:pStyle w:val="Caption"/>
        <w:keepNext/>
        <w:spacing w:before="240" w:after="0"/>
        <w:jc w:val="both"/>
        <w:rPr>
          <w:rFonts w:asciiTheme="minorHAnsi" w:hAnsiTheme="minorHAnsi"/>
          <w:b w:val="0"/>
          <w:bCs w:val="0"/>
          <w:i/>
          <w:color w:val="auto"/>
          <w:sz w:val="24"/>
          <w:szCs w:val="24"/>
          <w:lang w:val="sq-AL"/>
        </w:rPr>
      </w:pPr>
      <w:bookmarkStart w:id="33" w:name="_Toc12448441"/>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e Personelit dhe ritmi i rritjes së tyre (në miliardë LEK)</w:t>
      </w:r>
      <w:bookmarkEnd w:id="33"/>
      <w:r w:rsidRPr="004E355C">
        <w:rPr>
          <w:rFonts w:asciiTheme="minorHAnsi" w:hAnsiTheme="minorHAnsi"/>
          <w:b w:val="0"/>
          <w:bCs w:val="0"/>
          <w:i/>
          <w:color w:val="auto"/>
          <w:sz w:val="24"/>
          <w:szCs w:val="24"/>
          <w:lang w:val="sq-AL"/>
        </w:rPr>
        <w:t xml:space="preserve"> </w:t>
      </w:r>
    </w:p>
    <w:p w:rsidR="00637131" w:rsidRPr="004E355C" w:rsidRDefault="00BB5756" w:rsidP="00CF189F">
      <w:pPr>
        <w:ind w:left="90"/>
        <w:jc w:val="center"/>
        <w:rPr>
          <w:rFonts w:asciiTheme="minorHAnsi" w:eastAsia="SimSun" w:hAnsiTheme="minorHAnsi"/>
          <w:i/>
          <w:lang w:val="sq-AL"/>
        </w:rPr>
      </w:pPr>
      <w:r w:rsidRPr="004E355C">
        <w:rPr>
          <w:rFonts w:eastAsia="SimSun"/>
          <w:i/>
          <w:noProof/>
        </w:rPr>
        <w:drawing>
          <wp:inline distT="0" distB="0" distL="0" distR="0" wp14:anchorId="19A3535E" wp14:editId="29C1F1C0">
            <wp:extent cx="5318760" cy="1706880"/>
            <wp:effectExtent l="38100" t="38100" r="91440" b="1028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3010" cy="1708244"/>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B24B3B" w:rsidP="00CF189F">
      <w:pPr>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CF189F" w:rsidRPr="004E355C" w:rsidRDefault="00CF189F" w:rsidP="00CF189F">
      <w:pPr>
        <w:spacing w:line="276" w:lineRule="auto"/>
        <w:jc w:val="both"/>
        <w:rPr>
          <w:rFonts w:asciiTheme="minorHAnsi" w:eastAsia="SimSun" w:hAnsiTheme="minorHAnsi"/>
          <w:i/>
          <w:sz w:val="8"/>
          <w:szCs w:val="8"/>
          <w:lang w:val="sq-AL"/>
        </w:rPr>
      </w:pPr>
    </w:p>
    <w:p w:rsidR="00637131" w:rsidRPr="004E355C" w:rsidRDefault="00637131" w:rsidP="00CF189F">
      <w:pPr>
        <w:spacing w:line="276" w:lineRule="auto"/>
        <w:jc w:val="both"/>
        <w:rPr>
          <w:rFonts w:asciiTheme="minorHAnsi" w:eastAsia="SimSun" w:hAnsiTheme="minorHAnsi"/>
          <w:i/>
          <w:lang w:val="sq-AL"/>
        </w:rPr>
      </w:pPr>
      <w:r w:rsidRPr="004E355C">
        <w:rPr>
          <w:rFonts w:asciiTheme="minorHAnsi" w:eastAsia="SimSun" w:hAnsiTheme="minorHAnsi"/>
          <w:i/>
          <w:lang w:val="sq-AL"/>
        </w:rPr>
        <w:t>Shpenzimet për Paga</w:t>
      </w:r>
      <w:r w:rsidRPr="004E355C">
        <w:rPr>
          <w:rFonts w:asciiTheme="minorHAnsi" w:eastAsia="SimSun" w:hAnsiTheme="minorHAnsi"/>
          <w:lang w:val="sq-AL"/>
        </w:rPr>
        <w:t xml:space="preserve"> </w:t>
      </w:r>
      <w:r w:rsidR="00BB5756" w:rsidRPr="004E355C">
        <w:rPr>
          <w:rFonts w:asciiTheme="minorHAnsi" w:eastAsia="SimSun" w:hAnsiTheme="minorHAnsi"/>
          <w:lang w:val="sq-AL"/>
        </w:rPr>
        <w:t>në fund të muajit të pestë të vitit 2019 u realizuan në masën rreth 26.6 miliard LEK, duke qenë 3.3 përqind më të larta se e njëjta periudhë e vitit 2018, ose 845 milion LEK më shumë. Për rrjedhojë, edhe shpenzimet për sigurime shoqërore rezultuan në masën 2.2 përqind më të larta se një vit më parë ose 94 milion LEK më shumë. Realizimi faktik i këtyre zërave së bashku, është në nivelin 101 përqind krahasuar me planin e periudhës, ose 38.5 përqind e planit vjetor</w:t>
      </w:r>
      <w:r w:rsidRPr="004E355C">
        <w:rPr>
          <w:rFonts w:asciiTheme="minorHAnsi" w:eastAsia="SimSun" w:hAnsiTheme="minorHAnsi"/>
          <w:lang w:val="sq-AL"/>
        </w:rPr>
        <w:t>.</w:t>
      </w:r>
      <w:r w:rsidRPr="004E355C">
        <w:rPr>
          <w:rFonts w:asciiTheme="minorHAnsi" w:eastAsia="SimSun" w:hAnsiTheme="minorHAnsi"/>
          <w:i/>
          <w:lang w:val="sq-AL"/>
        </w:rPr>
        <w:t xml:space="preserve">       </w:t>
      </w:r>
    </w:p>
    <w:p w:rsidR="00CF189F" w:rsidRPr="004E355C" w:rsidRDefault="00CF189F" w:rsidP="00CF189F">
      <w:pPr>
        <w:pStyle w:val="Caption"/>
        <w:keepNext/>
        <w:spacing w:after="0"/>
        <w:jc w:val="both"/>
        <w:rPr>
          <w:rFonts w:asciiTheme="minorHAnsi" w:hAnsiTheme="minorHAnsi"/>
          <w:b w:val="0"/>
          <w:bCs w:val="0"/>
          <w:i/>
          <w:color w:val="auto"/>
          <w:sz w:val="8"/>
          <w:szCs w:val="8"/>
          <w:lang w:val="sq-AL"/>
        </w:rPr>
      </w:pPr>
    </w:p>
    <w:p w:rsidR="00070183" w:rsidRPr="004E355C" w:rsidRDefault="00070183" w:rsidP="00CF189F">
      <w:pPr>
        <w:pStyle w:val="Caption"/>
        <w:keepNext/>
        <w:spacing w:after="0"/>
        <w:jc w:val="both"/>
        <w:rPr>
          <w:rFonts w:asciiTheme="minorHAnsi" w:hAnsiTheme="minorHAnsi"/>
          <w:b w:val="0"/>
          <w:bCs w:val="0"/>
          <w:i/>
          <w:color w:val="auto"/>
          <w:sz w:val="24"/>
          <w:szCs w:val="24"/>
          <w:lang w:val="sq-AL"/>
        </w:rPr>
      </w:pPr>
      <w:bookmarkStart w:id="34" w:name="_Toc12448442"/>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16</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e Pagave dhe ritmi i rritjes së tyre (në miliardë LEK)</w:t>
      </w:r>
      <w:bookmarkEnd w:id="34"/>
    </w:p>
    <w:p w:rsidR="00637131" w:rsidRPr="004E355C" w:rsidRDefault="00BB5756" w:rsidP="00CF189F">
      <w:pPr>
        <w:tabs>
          <w:tab w:val="left" w:pos="720"/>
        </w:tabs>
        <w:ind w:left="720" w:hanging="450"/>
        <w:jc w:val="center"/>
        <w:rPr>
          <w:rFonts w:asciiTheme="minorHAnsi" w:eastAsia="SimSun" w:hAnsiTheme="minorHAnsi"/>
          <w:i/>
          <w:lang w:val="sq-AL"/>
        </w:rPr>
      </w:pPr>
      <w:r w:rsidRPr="004E355C">
        <w:rPr>
          <w:rFonts w:eastAsia="SimSun"/>
          <w:i/>
          <w:noProof/>
        </w:rPr>
        <w:drawing>
          <wp:inline distT="0" distB="0" distL="0" distR="0" wp14:anchorId="106419DC" wp14:editId="6B40CEDB">
            <wp:extent cx="5201285" cy="1752600"/>
            <wp:effectExtent l="38100" t="38100" r="94615" b="952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17434" cy="1758041"/>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637131" w:rsidP="00CF189F">
      <w:pPr>
        <w:rPr>
          <w:rFonts w:asciiTheme="minorHAnsi" w:eastAsia="SimSun" w:hAnsiTheme="minorHAnsi"/>
          <w:i/>
          <w:sz w:val="20"/>
          <w:lang w:val="sq-AL"/>
        </w:rPr>
      </w:pPr>
      <w:r w:rsidRPr="004E355C">
        <w:rPr>
          <w:rFonts w:asciiTheme="minorHAnsi" w:eastAsia="SimSun" w:hAnsiTheme="minorHAnsi"/>
          <w:i/>
          <w:sz w:val="20"/>
          <w:lang w:val="sq-AL"/>
        </w:rPr>
        <w:t xml:space="preserve">              </w:t>
      </w:r>
      <w:r w:rsidRPr="004E355C">
        <w:rPr>
          <w:rFonts w:asciiTheme="minorHAnsi" w:eastAsia="SimSun" w:hAnsiTheme="minorHAnsi"/>
          <w:i/>
          <w:sz w:val="20"/>
          <w:lang w:val="sq-AL"/>
        </w:rPr>
        <w:tab/>
      </w:r>
      <w:r w:rsidRPr="004E355C">
        <w:rPr>
          <w:rFonts w:asciiTheme="minorHAnsi" w:eastAsia="SimSun" w:hAnsiTheme="minorHAnsi"/>
          <w:i/>
          <w:sz w:val="20"/>
          <w:lang w:val="sq-AL"/>
        </w:rPr>
        <w:tab/>
      </w:r>
      <w:r w:rsidR="00B24B3B" w:rsidRPr="004E355C">
        <w:rPr>
          <w:rFonts w:asciiTheme="minorHAnsi" w:eastAsia="SimSun" w:hAnsiTheme="minorHAnsi"/>
          <w:i/>
          <w:sz w:val="20"/>
          <w:lang w:val="sq-AL"/>
        </w:rPr>
        <w:t>Burimi: Ministria e Financave dhe Ekonomisë (2019)</w:t>
      </w:r>
    </w:p>
    <w:p w:rsidR="00637131" w:rsidRPr="004E355C" w:rsidRDefault="00637131" w:rsidP="00CE0E07">
      <w:pPr>
        <w:spacing w:before="240" w:line="276" w:lineRule="auto"/>
        <w:jc w:val="both"/>
        <w:rPr>
          <w:rFonts w:asciiTheme="minorHAnsi" w:eastAsia="SimSun" w:hAnsiTheme="minorHAnsi"/>
          <w:i/>
          <w:sz w:val="8"/>
          <w:szCs w:val="8"/>
          <w:lang w:val="sq-AL"/>
        </w:rPr>
      </w:pPr>
      <w:r w:rsidRPr="004E355C">
        <w:rPr>
          <w:rFonts w:asciiTheme="minorHAnsi" w:eastAsia="SimSun" w:hAnsiTheme="minorHAnsi"/>
          <w:i/>
          <w:lang w:val="sq-AL"/>
        </w:rPr>
        <w:t>Shpenzimet për Interesa</w:t>
      </w:r>
      <w:r w:rsidRPr="004E355C">
        <w:rPr>
          <w:rFonts w:asciiTheme="minorHAnsi" w:eastAsia="SimSun" w:hAnsiTheme="minorHAnsi"/>
          <w:lang w:val="sq-AL"/>
        </w:rPr>
        <w:t xml:space="preserve"> </w:t>
      </w:r>
      <w:r w:rsidR="009E6A76" w:rsidRPr="004E355C">
        <w:rPr>
          <w:rFonts w:asciiTheme="minorHAnsi" w:eastAsia="SimSun" w:hAnsiTheme="minorHAnsi"/>
          <w:lang w:val="sq-AL"/>
        </w:rPr>
        <w:t>gjatë periudhës 5 mujore 2019 kanë përfaqësuar rreth 8.5 përqind të shpenzimeve korente. Niveli faktik i tyre ka rezultuar në masën 96.5 përqind të planit të periudhës. Në raport me planin vjetor, në nivel 5 mujori këto shpenzime janë realizuar në masën 33.9 përqind të tij. Ndërsa krahasuar me të njëjtën periudhë të vitit 2018, ky zë ka rezultuar 8.1 përqind më i lartë ose rreth 1.06 miliard LEK më shumë</w:t>
      </w:r>
      <w:r w:rsidRPr="004E355C">
        <w:rPr>
          <w:rFonts w:asciiTheme="minorHAnsi" w:eastAsia="SimSun" w:hAnsiTheme="minorHAnsi"/>
          <w:lang w:val="sq-AL"/>
        </w:rPr>
        <w:t xml:space="preserve">. </w:t>
      </w:r>
    </w:p>
    <w:p w:rsidR="00CF189F" w:rsidRPr="004E355C" w:rsidRDefault="00CF189F" w:rsidP="00CF189F">
      <w:pPr>
        <w:pStyle w:val="Caption"/>
        <w:keepNext/>
        <w:spacing w:after="0"/>
        <w:jc w:val="both"/>
        <w:rPr>
          <w:rFonts w:asciiTheme="minorHAnsi" w:hAnsiTheme="minorHAnsi"/>
          <w:b w:val="0"/>
          <w:bCs w:val="0"/>
          <w:i/>
          <w:color w:val="auto"/>
          <w:sz w:val="8"/>
          <w:szCs w:val="8"/>
          <w:lang w:val="sq-AL"/>
        </w:rPr>
      </w:pPr>
    </w:p>
    <w:p w:rsidR="00070183" w:rsidRPr="004E355C" w:rsidRDefault="00070183" w:rsidP="00CF189F">
      <w:pPr>
        <w:pStyle w:val="Caption"/>
        <w:keepNext/>
        <w:spacing w:after="0"/>
        <w:jc w:val="both"/>
        <w:rPr>
          <w:rFonts w:asciiTheme="minorHAnsi" w:hAnsiTheme="minorHAnsi"/>
          <w:b w:val="0"/>
          <w:bCs w:val="0"/>
          <w:i/>
          <w:color w:val="auto"/>
          <w:sz w:val="24"/>
          <w:szCs w:val="24"/>
          <w:lang w:val="sq-AL"/>
        </w:rPr>
      </w:pPr>
      <w:bookmarkStart w:id="35" w:name="_Toc12448443"/>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17</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për Interesa (në miliardë LEK)</w:t>
      </w:r>
      <w:bookmarkEnd w:id="35"/>
      <w:r w:rsidRPr="004E355C">
        <w:rPr>
          <w:rFonts w:asciiTheme="minorHAnsi" w:hAnsiTheme="minorHAnsi"/>
          <w:b w:val="0"/>
          <w:bCs w:val="0"/>
          <w:i/>
          <w:color w:val="auto"/>
          <w:sz w:val="24"/>
          <w:szCs w:val="24"/>
          <w:lang w:val="sq-AL"/>
        </w:rPr>
        <w:t xml:space="preserve"> </w:t>
      </w:r>
    </w:p>
    <w:p w:rsidR="00637131" w:rsidRPr="004E355C" w:rsidRDefault="00927E64" w:rsidP="00CF189F">
      <w:pPr>
        <w:ind w:left="540" w:right="270"/>
        <w:jc w:val="center"/>
        <w:rPr>
          <w:rFonts w:asciiTheme="minorHAnsi" w:eastAsia="SimSun" w:hAnsiTheme="minorHAnsi"/>
          <w:i/>
          <w:lang w:val="sq-AL"/>
        </w:rPr>
      </w:pPr>
      <w:r w:rsidRPr="004E355C">
        <w:rPr>
          <w:rFonts w:eastAsia="SimSun"/>
          <w:i/>
          <w:noProof/>
          <w:sz w:val="20"/>
        </w:rPr>
        <w:drawing>
          <wp:inline distT="0" distB="0" distL="0" distR="0" wp14:anchorId="304CA1C5" wp14:editId="06E6BFF0">
            <wp:extent cx="5209539" cy="1661160"/>
            <wp:effectExtent l="38100" t="38100" r="86995" b="9144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1460" cy="1664961"/>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CE0E07" w:rsidP="00CF189F">
      <w:pPr>
        <w:rPr>
          <w:rFonts w:asciiTheme="minorHAnsi" w:eastAsia="SimSun" w:hAnsiTheme="minorHAnsi"/>
          <w:i/>
          <w:sz w:val="20"/>
          <w:lang w:val="sq-AL"/>
        </w:rPr>
      </w:pPr>
      <w:r w:rsidRPr="004E355C">
        <w:rPr>
          <w:rFonts w:asciiTheme="minorHAnsi" w:eastAsia="SimSun" w:hAnsiTheme="minorHAnsi"/>
          <w:i/>
          <w:sz w:val="20"/>
          <w:lang w:val="sq-AL"/>
        </w:rPr>
        <w:t xml:space="preserve">                    </w:t>
      </w:r>
      <w:r w:rsidR="00B24B3B" w:rsidRPr="004E355C">
        <w:rPr>
          <w:rFonts w:asciiTheme="minorHAnsi" w:eastAsia="SimSun" w:hAnsiTheme="minorHAnsi"/>
          <w:i/>
          <w:sz w:val="20"/>
          <w:lang w:val="sq-AL"/>
        </w:rPr>
        <w:t>Burimi: Ministria e Financave dhe Ekonomisë (2019)</w:t>
      </w:r>
    </w:p>
    <w:p w:rsidR="00637131" w:rsidRPr="004E355C" w:rsidRDefault="00637131" w:rsidP="00D3619E">
      <w:pPr>
        <w:spacing w:before="240" w:line="276" w:lineRule="auto"/>
        <w:jc w:val="both"/>
        <w:rPr>
          <w:rFonts w:asciiTheme="minorHAnsi" w:eastAsia="SimSun" w:hAnsiTheme="minorHAnsi"/>
          <w:lang w:val="sq-AL"/>
        </w:rPr>
      </w:pPr>
      <w:r w:rsidRPr="004E355C">
        <w:rPr>
          <w:rFonts w:asciiTheme="minorHAnsi" w:eastAsia="SimSun" w:hAnsiTheme="minorHAnsi"/>
          <w:i/>
          <w:lang w:val="sq-AL"/>
        </w:rPr>
        <w:lastRenderedPageBreak/>
        <w:t xml:space="preserve">Shpenzimet Operative &amp; Mirëmbajtje, </w:t>
      </w:r>
      <w:r w:rsidR="00927E64" w:rsidRPr="004E355C">
        <w:rPr>
          <w:rFonts w:asciiTheme="minorHAnsi" w:eastAsia="SimSun" w:hAnsiTheme="minorHAnsi"/>
          <w:lang w:val="sq-AL"/>
        </w:rPr>
        <w:t>gjatë periudhës 5 mujore të vitit 2019 kanë shënuar një realizim në masën rreth 18.1 miliard LEK, ose 118 përqind të planit të periudhës. Niveli faktik i tyre ka rezultuar në masën 38.7 përqind të planit vjetor. Krahasuar me të njëjtën periudhë të vitit 2018, ky zë ka rezultuar 19.7 përqind më i lartë, ose rreth 3 miliard LEK më shumë</w:t>
      </w:r>
      <w:r w:rsidRPr="004E355C">
        <w:rPr>
          <w:rFonts w:asciiTheme="minorHAnsi" w:eastAsia="SimSun" w:hAnsiTheme="minorHAnsi"/>
          <w:lang w:val="sq-AL"/>
        </w:rPr>
        <w:t xml:space="preserve">.      </w:t>
      </w:r>
    </w:p>
    <w:p w:rsidR="005D4A49" w:rsidRPr="004E355C" w:rsidRDefault="00070183" w:rsidP="004E1EC8">
      <w:pPr>
        <w:pStyle w:val="Caption"/>
        <w:keepNext/>
        <w:spacing w:before="240" w:after="0"/>
        <w:jc w:val="both"/>
        <w:rPr>
          <w:rFonts w:asciiTheme="minorHAnsi" w:hAnsiTheme="minorHAnsi"/>
          <w:b w:val="0"/>
          <w:bCs w:val="0"/>
          <w:i/>
          <w:color w:val="auto"/>
          <w:sz w:val="24"/>
          <w:szCs w:val="24"/>
          <w:lang w:val="sq-AL"/>
        </w:rPr>
      </w:pPr>
      <w:bookmarkStart w:id="36" w:name="_Toc12448444"/>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18</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Operative dhe ritmi i rritjes së tyre (në miliardë LEK)</w:t>
      </w:r>
      <w:bookmarkEnd w:id="36"/>
    </w:p>
    <w:p w:rsidR="00637131" w:rsidRPr="004E355C" w:rsidRDefault="00927E64" w:rsidP="00927E64">
      <w:pPr>
        <w:pStyle w:val="Caption"/>
        <w:spacing w:after="0"/>
        <w:ind w:right="360"/>
        <w:jc w:val="center"/>
        <w:rPr>
          <w:rFonts w:asciiTheme="minorHAnsi" w:hAnsiTheme="minorHAnsi"/>
          <w:b w:val="0"/>
          <w:bCs w:val="0"/>
          <w:i/>
          <w:color w:val="auto"/>
          <w:sz w:val="24"/>
          <w:szCs w:val="24"/>
          <w:lang w:val="sq-AL"/>
        </w:rPr>
      </w:pPr>
      <w:r w:rsidRPr="004E355C">
        <w:rPr>
          <w:rFonts w:eastAsia="SimSun"/>
          <w:i/>
          <w:noProof/>
        </w:rPr>
        <w:drawing>
          <wp:inline distT="0" distB="0" distL="0" distR="0" wp14:anchorId="5D5E0498" wp14:editId="7AE33413">
            <wp:extent cx="5347970" cy="1706880"/>
            <wp:effectExtent l="38100" t="38100" r="100330" b="1028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56558" cy="1709621"/>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637131" w:rsidP="00637131">
      <w:pPr>
        <w:spacing w:line="276" w:lineRule="auto"/>
        <w:rPr>
          <w:rFonts w:asciiTheme="minorHAnsi" w:eastAsia="SimSun" w:hAnsiTheme="minorHAnsi"/>
          <w:i/>
          <w:sz w:val="20"/>
          <w:lang w:val="sq-AL"/>
        </w:rPr>
      </w:pPr>
      <w:r w:rsidRPr="004E355C">
        <w:rPr>
          <w:rFonts w:asciiTheme="minorHAnsi" w:eastAsia="SimSun" w:hAnsiTheme="minorHAnsi"/>
          <w:i/>
          <w:sz w:val="20"/>
          <w:lang w:val="sq-AL"/>
        </w:rPr>
        <w:t xml:space="preserve">                  </w:t>
      </w:r>
      <w:r w:rsidR="00B24B3B" w:rsidRPr="004E355C">
        <w:rPr>
          <w:rFonts w:asciiTheme="minorHAnsi" w:eastAsia="SimSun" w:hAnsiTheme="minorHAnsi"/>
          <w:i/>
          <w:sz w:val="20"/>
          <w:lang w:val="sq-AL"/>
        </w:rPr>
        <w:t>Burimi: Ministria e Financave dhe Ekonomisë (2019)</w:t>
      </w:r>
    </w:p>
    <w:p w:rsidR="008611A9" w:rsidRPr="004E355C" w:rsidRDefault="00637131" w:rsidP="00CE0E07">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për Subvencione,</w:t>
      </w:r>
      <w:r w:rsidRPr="004E355C">
        <w:rPr>
          <w:rFonts w:asciiTheme="minorHAnsi" w:eastAsia="SimSun" w:hAnsiTheme="minorHAnsi"/>
          <w:lang w:val="sq-AL"/>
        </w:rPr>
        <w:t xml:space="preserve"> </w:t>
      </w:r>
      <w:r w:rsidR="008611A9" w:rsidRPr="004E355C">
        <w:rPr>
          <w:rFonts w:asciiTheme="minorHAnsi" w:eastAsia="SimSun" w:hAnsiTheme="minorHAnsi"/>
          <w:lang w:val="sq-AL"/>
        </w:rPr>
        <w:t>në fund të muajit të pestë të vitit 2019, arritën nivelin 489 milion LEK, me një realizim në masën 318 milion LEK më shumë se plani i periudhës. Në raport me planin vjetor ky zë është realizuar në masën 32.8 përqind, ndërkohë që kundrejt të njëjtës periudhë të vitit 2018 shpenzimet për subvencione rezultojnë 16.3 përqind më të larta ose 69 milion LEK më shumë</w:t>
      </w:r>
      <w:r w:rsidRPr="004E355C">
        <w:rPr>
          <w:rFonts w:asciiTheme="minorHAnsi" w:eastAsia="SimSun" w:hAnsiTheme="minorHAnsi"/>
          <w:lang w:val="sq-AL"/>
        </w:rPr>
        <w:t>.</w:t>
      </w:r>
    </w:p>
    <w:p w:rsidR="00070183" w:rsidRPr="004E355C" w:rsidRDefault="00070183" w:rsidP="008611A9">
      <w:pPr>
        <w:pStyle w:val="Caption"/>
        <w:keepNext/>
        <w:spacing w:before="240" w:after="0"/>
        <w:jc w:val="both"/>
        <w:rPr>
          <w:rFonts w:asciiTheme="minorHAnsi" w:hAnsiTheme="minorHAnsi"/>
          <w:b w:val="0"/>
          <w:bCs w:val="0"/>
          <w:i/>
          <w:color w:val="auto"/>
          <w:sz w:val="24"/>
          <w:szCs w:val="24"/>
          <w:lang w:val="sq-AL"/>
        </w:rPr>
      </w:pPr>
      <w:bookmarkStart w:id="37" w:name="_Toc12448445"/>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19</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për Subvencione dhe ritmi i rritjes së tyre (në miliardë LEK)</w:t>
      </w:r>
      <w:bookmarkEnd w:id="37"/>
      <w:r w:rsidRPr="004E355C">
        <w:rPr>
          <w:rFonts w:asciiTheme="minorHAnsi" w:hAnsiTheme="minorHAnsi"/>
          <w:b w:val="0"/>
          <w:bCs w:val="0"/>
          <w:i/>
          <w:color w:val="auto"/>
          <w:sz w:val="24"/>
          <w:szCs w:val="24"/>
          <w:lang w:val="sq-AL"/>
        </w:rPr>
        <w:t xml:space="preserve"> </w:t>
      </w:r>
    </w:p>
    <w:p w:rsidR="00637131" w:rsidRPr="004E355C" w:rsidRDefault="00B6070F" w:rsidP="00B6070F">
      <w:pPr>
        <w:spacing w:line="276" w:lineRule="auto"/>
        <w:jc w:val="center"/>
        <w:rPr>
          <w:rFonts w:asciiTheme="minorHAnsi" w:eastAsia="SimSun" w:hAnsiTheme="minorHAnsi"/>
          <w:i/>
          <w:lang w:val="sq-AL"/>
        </w:rPr>
      </w:pPr>
      <w:r w:rsidRPr="004E355C">
        <w:rPr>
          <w:rFonts w:eastAsia="SimSun"/>
          <w:i/>
          <w:noProof/>
        </w:rPr>
        <w:drawing>
          <wp:inline distT="0" distB="0" distL="0" distR="0" wp14:anchorId="7951BC94" wp14:editId="4FBC6763">
            <wp:extent cx="5317740" cy="2171700"/>
            <wp:effectExtent l="38100" t="38100" r="92710" b="952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32056" cy="2177546"/>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C12129" w:rsidP="00637131">
      <w:pPr>
        <w:spacing w:line="276" w:lineRule="auto"/>
        <w:rPr>
          <w:rFonts w:asciiTheme="minorHAnsi" w:eastAsia="SimSun" w:hAnsiTheme="minorHAnsi"/>
          <w:i/>
          <w:sz w:val="16"/>
          <w:szCs w:val="16"/>
          <w:lang w:val="sq-AL"/>
        </w:rPr>
      </w:pPr>
      <w:r w:rsidRPr="004E355C">
        <w:rPr>
          <w:rFonts w:asciiTheme="minorHAnsi" w:eastAsia="SimSun" w:hAnsiTheme="minorHAnsi"/>
          <w:i/>
          <w:sz w:val="20"/>
          <w:lang w:val="sq-AL"/>
        </w:rPr>
        <w:t xml:space="preserve">          </w:t>
      </w:r>
      <w:r w:rsidRPr="004E355C">
        <w:rPr>
          <w:rFonts w:asciiTheme="minorHAnsi" w:eastAsia="SimSun" w:hAnsiTheme="minorHAnsi"/>
          <w:i/>
          <w:sz w:val="20"/>
          <w:lang w:val="sq-AL"/>
        </w:rPr>
        <w:tab/>
        <w:t xml:space="preserve"> </w:t>
      </w:r>
      <w:r w:rsidR="00B24B3B" w:rsidRPr="004E355C">
        <w:rPr>
          <w:rFonts w:asciiTheme="minorHAnsi" w:eastAsia="SimSun" w:hAnsiTheme="minorHAnsi"/>
          <w:i/>
          <w:sz w:val="20"/>
          <w:lang w:val="sq-AL"/>
        </w:rPr>
        <w:t>Burimi: Ministria e Financave dhe Ekonomisë (2019)</w:t>
      </w:r>
    </w:p>
    <w:p w:rsidR="000675C9" w:rsidRPr="004E355C" w:rsidRDefault="000675C9" w:rsidP="000675C9">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për Fondet Speciale</w:t>
      </w:r>
      <w:r w:rsidRPr="004E355C">
        <w:rPr>
          <w:rFonts w:asciiTheme="minorHAnsi" w:eastAsia="SimSun" w:hAnsiTheme="minorHAnsi"/>
          <w:lang w:val="sq-AL"/>
        </w:rPr>
        <w:t xml:space="preserve"> </w:t>
      </w:r>
      <w:r w:rsidRPr="004E355C">
        <w:rPr>
          <w:rFonts w:asciiTheme="minorHAnsi" w:hAnsiTheme="minorHAnsi"/>
          <w:lang w:val="sq-AL"/>
        </w:rPr>
        <w:t xml:space="preserve">për muajin e pestë të vitit 2019 </w:t>
      </w:r>
      <w:r w:rsidRPr="004E355C">
        <w:rPr>
          <w:rFonts w:asciiTheme="minorHAnsi" w:eastAsia="SimSun" w:hAnsiTheme="minorHAnsi"/>
          <w:lang w:val="sq-AL"/>
        </w:rPr>
        <w:t xml:space="preserve">rezultuan në nivelin rreth 68.06 miliard LEK, me një realizim prej 99.1 përqind kundrejt planit të periudhës. Përkatësisht: </w:t>
      </w:r>
    </w:p>
    <w:p w:rsidR="000675C9" w:rsidRPr="004E355C" w:rsidRDefault="000675C9" w:rsidP="00B95810">
      <w:pPr>
        <w:pStyle w:val="ListParagraph"/>
        <w:numPr>
          <w:ilvl w:val="0"/>
          <w:numId w:val="7"/>
        </w:numPr>
        <w:spacing w:line="276" w:lineRule="auto"/>
        <w:jc w:val="both"/>
        <w:rPr>
          <w:rFonts w:asciiTheme="minorHAnsi" w:eastAsia="SimSun" w:hAnsiTheme="minorHAnsi"/>
          <w:i/>
          <w:lang w:val="sq-AL"/>
        </w:rPr>
      </w:pPr>
      <w:r w:rsidRPr="004E355C">
        <w:rPr>
          <w:rFonts w:asciiTheme="minorHAnsi" w:eastAsia="SimSun" w:hAnsiTheme="minorHAnsi"/>
          <w:i/>
          <w:lang w:val="sq-AL"/>
        </w:rPr>
        <w:t xml:space="preserve">shpenzimet për sigurime shoqërore </w:t>
      </w:r>
      <w:r w:rsidRPr="004E355C">
        <w:rPr>
          <w:rFonts w:asciiTheme="minorHAnsi" w:hAnsiTheme="minorHAnsi"/>
          <w:i/>
          <w:lang w:val="sq-AL"/>
        </w:rPr>
        <w:t>u realizuan në masën</w:t>
      </w:r>
      <w:r w:rsidRPr="004E355C">
        <w:rPr>
          <w:rFonts w:asciiTheme="minorHAnsi" w:eastAsia="SimSun" w:hAnsiTheme="minorHAnsi"/>
          <w:i/>
          <w:lang w:val="sq-AL"/>
        </w:rPr>
        <w:t xml:space="preserve"> 50.44 miliard LEK, </w:t>
      </w:r>
    </w:p>
    <w:p w:rsidR="000675C9" w:rsidRPr="004E355C" w:rsidRDefault="000675C9" w:rsidP="00B95810">
      <w:pPr>
        <w:pStyle w:val="ListParagraph"/>
        <w:numPr>
          <w:ilvl w:val="0"/>
          <w:numId w:val="7"/>
        </w:numPr>
        <w:spacing w:line="276" w:lineRule="auto"/>
        <w:jc w:val="both"/>
        <w:rPr>
          <w:rFonts w:asciiTheme="minorHAnsi" w:eastAsia="SimSun" w:hAnsiTheme="minorHAnsi"/>
          <w:i/>
          <w:lang w:val="sq-AL"/>
        </w:rPr>
      </w:pPr>
      <w:r w:rsidRPr="004E355C">
        <w:rPr>
          <w:rFonts w:asciiTheme="minorHAnsi" w:hAnsiTheme="minorHAnsi"/>
          <w:i/>
          <w:lang w:val="sq-AL"/>
        </w:rPr>
        <w:t>shpenzimet</w:t>
      </w:r>
      <w:r w:rsidRPr="004E355C">
        <w:rPr>
          <w:rFonts w:asciiTheme="minorHAnsi" w:eastAsia="SimSun" w:hAnsiTheme="minorHAnsi"/>
          <w:i/>
          <w:lang w:val="sq-AL"/>
        </w:rPr>
        <w:t xml:space="preserve"> për sigurime shëndetësore në rreth 16.5 miliard LEK dhe </w:t>
      </w:r>
    </w:p>
    <w:p w:rsidR="000675C9" w:rsidRPr="004E355C" w:rsidRDefault="000675C9" w:rsidP="00B95810">
      <w:pPr>
        <w:pStyle w:val="ListParagraph"/>
        <w:numPr>
          <w:ilvl w:val="0"/>
          <w:numId w:val="7"/>
        </w:numPr>
        <w:spacing w:line="276" w:lineRule="auto"/>
        <w:jc w:val="both"/>
        <w:rPr>
          <w:rFonts w:asciiTheme="minorHAnsi" w:eastAsia="SimSun" w:hAnsiTheme="minorHAnsi"/>
          <w:i/>
          <w:lang w:val="sq-AL"/>
        </w:rPr>
      </w:pPr>
      <w:r w:rsidRPr="004E355C">
        <w:rPr>
          <w:rFonts w:asciiTheme="minorHAnsi" w:eastAsia="SimSun" w:hAnsiTheme="minorHAnsi"/>
          <w:i/>
          <w:lang w:val="sq-AL"/>
        </w:rPr>
        <w:t xml:space="preserve">shpenzimet për kompensimin e pronarëve 1.11 miliard LEK. </w:t>
      </w:r>
    </w:p>
    <w:p w:rsidR="000675C9" w:rsidRPr="004E355C" w:rsidRDefault="000675C9" w:rsidP="000675C9">
      <w:pPr>
        <w:spacing w:line="276" w:lineRule="auto"/>
        <w:jc w:val="both"/>
        <w:rPr>
          <w:rFonts w:asciiTheme="minorHAnsi" w:eastAsia="SimSun" w:hAnsiTheme="minorHAnsi"/>
          <w:sz w:val="8"/>
          <w:szCs w:val="4"/>
          <w:lang w:val="sq-AL"/>
        </w:rPr>
      </w:pPr>
    </w:p>
    <w:p w:rsidR="000675C9" w:rsidRPr="004E355C" w:rsidRDefault="000675C9" w:rsidP="000675C9">
      <w:pPr>
        <w:spacing w:line="276" w:lineRule="auto"/>
        <w:jc w:val="both"/>
        <w:rPr>
          <w:rFonts w:asciiTheme="minorHAnsi" w:hAnsiTheme="minorHAnsi"/>
          <w:lang w:val="sq-AL"/>
        </w:rPr>
      </w:pPr>
      <w:r w:rsidRPr="004E355C">
        <w:rPr>
          <w:rFonts w:asciiTheme="minorHAnsi" w:eastAsia="SimSun" w:hAnsiTheme="minorHAnsi"/>
          <w:lang w:val="sq-AL"/>
        </w:rPr>
        <w:t xml:space="preserve">Kundrejt të njëjtës periudhë të vitit 2018, shpenzimet për sigurime shoqërore janë rreth 2.9 miliard LEK më të larta, </w:t>
      </w:r>
      <w:r w:rsidRPr="004E355C">
        <w:rPr>
          <w:rFonts w:asciiTheme="minorHAnsi" w:hAnsiTheme="minorHAnsi"/>
          <w:lang w:val="sq-AL"/>
        </w:rPr>
        <w:t xml:space="preserve">shpenzimet </w:t>
      </w:r>
      <w:r w:rsidRPr="004E355C">
        <w:rPr>
          <w:rFonts w:asciiTheme="minorHAnsi" w:eastAsia="SimSun" w:hAnsiTheme="minorHAnsi"/>
          <w:lang w:val="sq-AL"/>
        </w:rPr>
        <w:t xml:space="preserve">për sigurime shëndetësore janë 331 milion LEK më të larta, </w:t>
      </w:r>
      <w:r w:rsidRPr="004E355C">
        <w:rPr>
          <w:rFonts w:asciiTheme="minorHAnsi" w:hAnsiTheme="minorHAnsi"/>
          <w:lang w:val="sq-AL"/>
        </w:rPr>
        <w:t>ndërsa shpenzimet për kompensimin e pronarëve 240 milion LEK më të larta.</w:t>
      </w:r>
    </w:p>
    <w:p w:rsidR="00070183" w:rsidRPr="004E355C" w:rsidRDefault="00070183" w:rsidP="004E1EC8">
      <w:pPr>
        <w:pStyle w:val="Caption"/>
        <w:keepNext/>
        <w:spacing w:before="240" w:after="0"/>
        <w:jc w:val="both"/>
        <w:rPr>
          <w:rFonts w:asciiTheme="minorHAnsi" w:hAnsiTheme="minorHAnsi"/>
          <w:b w:val="0"/>
          <w:bCs w:val="0"/>
          <w:i/>
          <w:color w:val="auto"/>
          <w:sz w:val="24"/>
          <w:szCs w:val="24"/>
          <w:lang w:val="sq-AL"/>
        </w:rPr>
      </w:pPr>
      <w:bookmarkStart w:id="38" w:name="_Toc12448446"/>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20</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për Sigurime Shoqërore dhe Shëndetësore (në miliardë LEK)</w:t>
      </w:r>
      <w:bookmarkEnd w:id="38"/>
    </w:p>
    <w:p w:rsidR="00637131" w:rsidRPr="004E355C" w:rsidRDefault="000675C9" w:rsidP="000675C9">
      <w:pPr>
        <w:spacing w:line="276" w:lineRule="auto"/>
        <w:jc w:val="center"/>
        <w:rPr>
          <w:rFonts w:asciiTheme="minorHAnsi" w:eastAsia="SimSun" w:hAnsiTheme="minorHAnsi"/>
          <w:i/>
          <w:lang w:val="sq-AL"/>
        </w:rPr>
      </w:pPr>
      <w:r w:rsidRPr="004E355C">
        <w:rPr>
          <w:rFonts w:eastAsia="SimSun"/>
          <w:i/>
          <w:noProof/>
        </w:rPr>
        <w:drawing>
          <wp:inline distT="0" distB="0" distL="0" distR="0" wp14:anchorId="09D710EB" wp14:editId="1AB0B395">
            <wp:extent cx="5629910" cy="1813560"/>
            <wp:effectExtent l="38100" t="38100" r="104140" b="914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44150" cy="1818147"/>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637131" w:rsidP="00637131">
      <w:pPr>
        <w:spacing w:line="276" w:lineRule="auto"/>
        <w:rPr>
          <w:rFonts w:asciiTheme="minorHAnsi" w:eastAsia="SimSun" w:hAnsiTheme="minorHAnsi"/>
          <w:i/>
          <w:sz w:val="20"/>
          <w:lang w:val="sq-AL"/>
        </w:rPr>
      </w:pPr>
      <w:r w:rsidRPr="004E355C">
        <w:rPr>
          <w:rFonts w:asciiTheme="minorHAnsi" w:eastAsia="SimSun" w:hAnsiTheme="minorHAnsi"/>
          <w:i/>
          <w:sz w:val="20"/>
          <w:lang w:val="sq-AL"/>
        </w:rPr>
        <w:t xml:space="preserve">                  </w:t>
      </w:r>
      <w:r w:rsidR="00B24B3B" w:rsidRPr="004E355C">
        <w:rPr>
          <w:rFonts w:asciiTheme="minorHAnsi" w:eastAsia="SimSun" w:hAnsiTheme="minorHAnsi"/>
          <w:i/>
          <w:sz w:val="20"/>
          <w:lang w:val="sq-AL"/>
        </w:rPr>
        <w:t>Burimi: Ministria e Financave dhe Ekonomisë (2019)</w:t>
      </w:r>
    </w:p>
    <w:p w:rsidR="000675C9" w:rsidRPr="004E355C" w:rsidRDefault="000675C9" w:rsidP="007F32B7">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për Papunësinë</w:t>
      </w:r>
      <w:r w:rsidRPr="004E355C">
        <w:rPr>
          <w:rFonts w:asciiTheme="minorHAnsi" w:eastAsia="SimSun" w:hAnsiTheme="minorHAnsi"/>
          <w:lang w:val="sq-AL"/>
        </w:rPr>
        <w:t xml:space="preserve"> </w:t>
      </w:r>
      <w:r w:rsidRPr="004E355C">
        <w:rPr>
          <w:rFonts w:asciiTheme="minorHAnsi" w:hAnsiTheme="minorHAnsi"/>
          <w:lang w:val="sq-AL"/>
        </w:rPr>
        <w:t xml:space="preserve">për 5 mujorin e vitit 2019 </w:t>
      </w:r>
      <w:r w:rsidRPr="004E355C">
        <w:rPr>
          <w:rFonts w:asciiTheme="minorHAnsi" w:eastAsia="SimSun" w:hAnsiTheme="minorHAnsi"/>
          <w:lang w:val="sq-AL"/>
        </w:rPr>
        <w:t xml:space="preserve">janë realizuar në masën 176.1 përqind e planit të periudhës ose 45.1 përqind e planit vjetor. Kundrejt të njëjtës periudhë të vitit 2018 </w:t>
      </w:r>
      <w:r w:rsidRPr="004E355C">
        <w:rPr>
          <w:rFonts w:asciiTheme="minorHAnsi" w:hAnsiTheme="minorHAnsi"/>
          <w:lang w:val="sq-AL"/>
        </w:rPr>
        <w:t>shpenzimet për këtë zë</w:t>
      </w:r>
      <w:r w:rsidRPr="004E355C">
        <w:rPr>
          <w:rFonts w:asciiTheme="minorHAnsi" w:eastAsia="SimSun" w:hAnsiTheme="minorHAnsi"/>
          <w:lang w:val="sq-AL"/>
        </w:rPr>
        <w:t xml:space="preserve"> rezultojnë me një rritje në masën 75.8 përqind, ose 97 milion LEK në terma nominalë. </w:t>
      </w:r>
    </w:p>
    <w:p w:rsidR="000675C9" w:rsidRPr="004E355C" w:rsidRDefault="000675C9" w:rsidP="007F32B7">
      <w:pPr>
        <w:spacing w:line="276" w:lineRule="auto"/>
        <w:jc w:val="both"/>
        <w:rPr>
          <w:rFonts w:asciiTheme="minorHAnsi" w:eastAsia="SimSun" w:hAnsiTheme="minorHAnsi"/>
          <w:lang w:val="sq-AL"/>
        </w:rPr>
      </w:pPr>
      <w:r w:rsidRPr="004E355C">
        <w:rPr>
          <w:rFonts w:asciiTheme="minorHAnsi" w:eastAsia="SimSun" w:hAnsiTheme="minorHAnsi"/>
          <w:i/>
          <w:lang w:val="sq-AL"/>
        </w:rPr>
        <w:t>Shpenzimet për Ndihmën Ekonomike dhe Pagesën e Paaftësisë</w:t>
      </w:r>
      <w:r w:rsidRPr="004E355C">
        <w:rPr>
          <w:rFonts w:asciiTheme="minorHAnsi" w:eastAsia="SimSun" w:hAnsiTheme="minorHAnsi"/>
          <w:lang w:val="sq-AL"/>
        </w:rPr>
        <w:t xml:space="preserve"> (PAK) </w:t>
      </w:r>
      <w:r w:rsidRPr="004E355C">
        <w:rPr>
          <w:rFonts w:asciiTheme="minorHAnsi" w:hAnsiTheme="minorHAnsi"/>
          <w:lang w:val="sq-AL"/>
        </w:rPr>
        <w:t xml:space="preserve">për periudhën 5 mujore të vitit 2019 u realizuan në masën rreth 8.4 miliard LEK duke rezultuar 106 </w:t>
      </w:r>
      <w:r w:rsidRPr="004E355C">
        <w:rPr>
          <w:rFonts w:asciiTheme="minorHAnsi" w:eastAsia="SimSun" w:hAnsiTheme="minorHAnsi"/>
          <w:lang w:val="sq-AL"/>
        </w:rPr>
        <w:t xml:space="preserve">përqind e planit të periudhës ose 475 milion LEK më shumë në terma nominalë. </w:t>
      </w:r>
      <w:r w:rsidRPr="004E355C">
        <w:rPr>
          <w:rFonts w:asciiTheme="minorHAnsi" w:hAnsiTheme="minorHAnsi"/>
          <w:lang w:val="sq-AL"/>
        </w:rPr>
        <w:t xml:space="preserve">Në raport me planin vjetor ato janë realizuar </w:t>
      </w:r>
      <w:r w:rsidRPr="004E355C">
        <w:rPr>
          <w:rFonts w:asciiTheme="minorHAnsi" w:eastAsia="SimSun" w:hAnsiTheme="minorHAnsi"/>
          <w:lang w:val="sq-AL"/>
        </w:rPr>
        <w:t xml:space="preserve">në masën 40.9 përqind të tij. Kundrejt të njëjtës periudhë të vitit 2018 </w:t>
      </w:r>
      <w:r w:rsidRPr="004E355C">
        <w:rPr>
          <w:rFonts w:asciiTheme="minorHAnsi" w:hAnsiTheme="minorHAnsi"/>
          <w:lang w:val="sq-AL"/>
        </w:rPr>
        <w:t>shpenzimet për këtë zë</w:t>
      </w:r>
      <w:r w:rsidRPr="004E355C">
        <w:rPr>
          <w:rFonts w:asciiTheme="minorHAnsi" w:eastAsia="SimSun" w:hAnsiTheme="minorHAnsi"/>
          <w:lang w:val="sq-AL"/>
        </w:rPr>
        <w:t xml:space="preserve"> rezultojnë me një rritje në masën 6 përqind ose 475 milion LEK më shumë në terma nominalë.</w:t>
      </w:r>
    </w:p>
    <w:p w:rsidR="000675C9" w:rsidRPr="004E355C" w:rsidRDefault="000675C9" w:rsidP="007F32B7">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për kompensimin e ish-të përndjekurve politik</w:t>
      </w:r>
      <w:r w:rsidRPr="004E355C">
        <w:rPr>
          <w:rFonts w:asciiTheme="minorHAnsi" w:eastAsia="SimSun" w:hAnsiTheme="minorHAnsi"/>
          <w:lang w:val="sq-AL"/>
        </w:rPr>
        <w:t xml:space="preserve"> </w:t>
      </w:r>
      <w:r w:rsidRPr="004E355C">
        <w:rPr>
          <w:rFonts w:asciiTheme="minorHAnsi" w:hAnsiTheme="minorHAnsi"/>
          <w:lang w:val="sq-AL"/>
        </w:rPr>
        <w:t xml:space="preserve">për periudhën 5 mujore të vitit 2019 u realizuan në masën </w:t>
      </w:r>
      <w:r w:rsidRPr="004E355C">
        <w:rPr>
          <w:rFonts w:asciiTheme="minorHAnsi" w:eastAsia="SimSun" w:hAnsiTheme="minorHAnsi"/>
          <w:lang w:val="sq-AL"/>
        </w:rPr>
        <w:t xml:space="preserve">542 milion LEK duke rezultuar 321 milion LEK më shumë se plani i periudhës. </w:t>
      </w:r>
      <w:r w:rsidRPr="004E355C">
        <w:rPr>
          <w:rFonts w:asciiTheme="minorHAnsi" w:hAnsiTheme="minorHAnsi"/>
          <w:lang w:val="sq-AL"/>
        </w:rPr>
        <w:t xml:space="preserve">Në raport me planin vjetor ato janë realizuar </w:t>
      </w:r>
      <w:r w:rsidRPr="004E355C">
        <w:rPr>
          <w:rFonts w:asciiTheme="minorHAnsi" w:eastAsia="SimSun" w:hAnsiTheme="minorHAnsi"/>
          <w:lang w:val="sq-AL"/>
        </w:rPr>
        <w:t xml:space="preserve">në masën 54.2 përqind të tij. Kundrejt të njëjtës periudhë të vitit 2018 </w:t>
      </w:r>
      <w:r w:rsidRPr="004E355C">
        <w:rPr>
          <w:rFonts w:asciiTheme="minorHAnsi" w:hAnsiTheme="minorHAnsi"/>
          <w:lang w:val="sq-AL"/>
        </w:rPr>
        <w:t>shpenzimet për këtë zë</w:t>
      </w:r>
      <w:r w:rsidRPr="004E355C">
        <w:rPr>
          <w:rFonts w:asciiTheme="minorHAnsi" w:eastAsia="SimSun" w:hAnsiTheme="minorHAnsi"/>
          <w:lang w:val="sq-AL"/>
        </w:rPr>
        <w:t xml:space="preserve"> rezultojnë me një rritje në masën 322 milion LEK më shumë në terma nominalë.</w:t>
      </w:r>
    </w:p>
    <w:p w:rsidR="000675C9" w:rsidRPr="004E355C" w:rsidRDefault="000675C9" w:rsidP="007F32B7">
      <w:pPr>
        <w:spacing w:before="240" w:line="276" w:lineRule="auto"/>
        <w:jc w:val="both"/>
        <w:rPr>
          <w:rFonts w:asciiTheme="minorHAnsi" w:eastAsia="SimSun" w:hAnsiTheme="minorHAnsi"/>
          <w:lang w:val="sq-AL"/>
        </w:rPr>
      </w:pPr>
      <w:r w:rsidRPr="004E355C">
        <w:rPr>
          <w:rFonts w:asciiTheme="minorHAnsi" w:eastAsia="SimSun" w:hAnsiTheme="minorHAnsi"/>
          <w:i/>
          <w:lang w:val="sq-AL"/>
        </w:rPr>
        <w:t>Shpenzimet për bonusin e lindjeve</w:t>
      </w:r>
      <w:r w:rsidRPr="004E355C">
        <w:rPr>
          <w:rFonts w:asciiTheme="minorHAnsi" w:eastAsia="SimSun" w:hAnsiTheme="minorHAnsi"/>
          <w:lang w:val="sq-AL"/>
        </w:rPr>
        <w:t xml:space="preserve"> </w:t>
      </w:r>
      <w:r w:rsidRPr="004E355C">
        <w:rPr>
          <w:rFonts w:asciiTheme="minorHAnsi" w:hAnsiTheme="minorHAnsi"/>
          <w:lang w:val="sq-AL"/>
        </w:rPr>
        <w:t xml:space="preserve">për periudhën 5 mujore të vitit 2019 u realizuan në masën </w:t>
      </w:r>
      <w:r w:rsidRPr="004E355C">
        <w:rPr>
          <w:rFonts w:asciiTheme="minorHAnsi" w:eastAsia="SimSun" w:hAnsiTheme="minorHAnsi"/>
          <w:lang w:val="sq-AL"/>
        </w:rPr>
        <w:t xml:space="preserve">750 milion LEK duke rezultuar 15 milion LEK më shumë se plani i periudhës. </w:t>
      </w:r>
      <w:r w:rsidRPr="004E355C">
        <w:rPr>
          <w:rFonts w:asciiTheme="minorHAnsi" w:hAnsiTheme="minorHAnsi"/>
          <w:lang w:val="sq-AL"/>
        </w:rPr>
        <w:t xml:space="preserve">Në raport me planin vjetor ato janë realizuar </w:t>
      </w:r>
      <w:r w:rsidRPr="004E355C">
        <w:rPr>
          <w:rFonts w:asciiTheme="minorHAnsi" w:eastAsia="SimSun" w:hAnsiTheme="minorHAnsi"/>
          <w:lang w:val="sq-AL"/>
        </w:rPr>
        <w:t xml:space="preserve">në masën 37.5 përqind të tij. </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39" w:name="_Toc12448447"/>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21</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për Ndihmën Ekonomike, PAK dhe Papunësinë (në miliardë LEK)</w:t>
      </w:r>
      <w:bookmarkEnd w:id="39"/>
      <w:r w:rsidRPr="004E355C">
        <w:rPr>
          <w:rFonts w:asciiTheme="minorHAnsi" w:hAnsiTheme="minorHAnsi"/>
          <w:b w:val="0"/>
          <w:bCs w:val="0"/>
          <w:i/>
          <w:color w:val="auto"/>
          <w:sz w:val="24"/>
          <w:szCs w:val="24"/>
          <w:lang w:val="sq-AL"/>
        </w:rPr>
        <w:t xml:space="preserve"> </w:t>
      </w:r>
    </w:p>
    <w:p w:rsidR="00637131" w:rsidRPr="004E355C" w:rsidRDefault="000675C9" w:rsidP="00C12129">
      <w:pPr>
        <w:spacing w:line="276" w:lineRule="auto"/>
        <w:jc w:val="center"/>
        <w:rPr>
          <w:rFonts w:asciiTheme="minorHAnsi" w:eastAsia="SimSun" w:hAnsiTheme="minorHAnsi"/>
          <w:i/>
          <w:lang w:val="sq-AL"/>
        </w:rPr>
      </w:pPr>
      <w:r w:rsidRPr="004E355C">
        <w:rPr>
          <w:rFonts w:eastAsia="SimSun"/>
          <w:i/>
          <w:noProof/>
        </w:rPr>
        <w:drawing>
          <wp:inline distT="0" distB="0" distL="0" distR="0" wp14:anchorId="07E6150D" wp14:editId="20C256DC">
            <wp:extent cx="5414010" cy="1882140"/>
            <wp:effectExtent l="38100" t="38100" r="91440" b="990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4010" cy="1882140"/>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637131" w:rsidP="00637131">
      <w:pPr>
        <w:spacing w:line="276" w:lineRule="auto"/>
        <w:ind w:firstLine="720"/>
        <w:jc w:val="both"/>
        <w:rPr>
          <w:rFonts w:asciiTheme="minorHAnsi" w:eastAsia="SimSun" w:hAnsiTheme="minorHAnsi"/>
          <w:i/>
          <w:sz w:val="20"/>
          <w:lang w:val="sq-AL"/>
        </w:rPr>
      </w:pPr>
      <w:r w:rsidRPr="004E355C">
        <w:rPr>
          <w:rFonts w:asciiTheme="minorHAnsi" w:eastAsia="SimSun" w:hAnsiTheme="minorHAnsi"/>
          <w:lang w:val="sq-AL"/>
        </w:rPr>
        <w:t xml:space="preserve"> </w:t>
      </w:r>
      <w:r w:rsidR="00B24B3B" w:rsidRPr="004E355C">
        <w:rPr>
          <w:rFonts w:asciiTheme="minorHAnsi" w:eastAsia="SimSun" w:hAnsiTheme="minorHAnsi"/>
          <w:i/>
          <w:sz w:val="20"/>
          <w:lang w:val="sq-AL"/>
        </w:rPr>
        <w:t>Burimi: Ministria e Financave dhe Ekonomisë (2019)</w:t>
      </w:r>
    </w:p>
    <w:p w:rsidR="000675C9" w:rsidRPr="004E355C" w:rsidRDefault="000675C9" w:rsidP="0071361F">
      <w:pPr>
        <w:spacing w:before="240" w:line="276" w:lineRule="auto"/>
        <w:jc w:val="both"/>
        <w:rPr>
          <w:rFonts w:asciiTheme="minorHAnsi" w:eastAsia="SimSun" w:hAnsiTheme="minorHAnsi"/>
          <w:lang w:val="sq-AL"/>
        </w:rPr>
      </w:pPr>
      <w:r w:rsidRPr="004E355C">
        <w:rPr>
          <w:rFonts w:asciiTheme="minorHAnsi" w:eastAsia="SimSun" w:hAnsiTheme="minorHAnsi"/>
          <w:b/>
          <w:lang w:val="sq-AL"/>
        </w:rPr>
        <w:lastRenderedPageBreak/>
        <w:t>Shpenzimet kapitale</w:t>
      </w:r>
      <w:r w:rsidRPr="004E355C">
        <w:rPr>
          <w:rFonts w:asciiTheme="minorHAnsi" w:eastAsia="SimSun" w:hAnsiTheme="minorHAnsi"/>
          <w:lang w:val="sq-AL"/>
        </w:rPr>
        <w:t xml:space="preserve">, për muajin e pestë të vitit 2019 kanë një realizim në masën rreth 21.97 miliard LEK ose 75.9 përqind në raport me fondet e planifikuara për këtë periudhë. Respektivisht, projektet e investimeve me financim të brendshëm kanë shënuar një realizim në masën 15.95 miliard LEK duke rezultuar 89.6 përqind krahasuar me planin e periudhës ose 1.86 miliard LEK më pak, ndërkohë që ato me financim të huaj kanë shënuar një realizim në masën rreth 5.72 miliard LEK duke rezultuar 53.6 përqind krahasuar me planin e periudhës ose rreth 4.96 miliard LEK më pak në terma nominalë. </w:t>
      </w:r>
      <w:r w:rsidRPr="004E355C">
        <w:rPr>
          <w:rFonts w:asciiTheme="minorHAnsi" w:hAnsiTheme="minorHAnsi"/>
          <w:i/>
          <w:lang w:val="sq-AL"/>
        </w:rPr>
        <w:t>Krahasuar me planin vjetor</w:t>
      </w:r>
      <w:r w:rsidRPr="004E355C">
        <w:rPr>
          <w:rFonts w:asciiTheme="minorHAnsi" w:hAnsiTheme="minorHAnsi"/>
          <w:lang w:val="sq-AL"/>
        </w:rPr>
        <w:t>, për 5 mujorin e vitit 2019 është konstatuar një realizim i përgjithshëm i investimeve publike në masën 24.3 përqind të planit vjetor. Financimi i brendshëm dhe financimi i huaj janë realizuar respektivisht në masën 28 përqind dhe 17.6 përqind të planit vjetor</w:t>
      </w:r>
      <w:r w:rsidR="007F32B7" w:rsidRPr="004E355C">
        <w:rPr>
          <w:rStyle w:val="FootnoteReference"/>
          <w:rFonts w:asciiTheme="minorHAnsi" w:hAnsiTheme="minorHAnsi"/>
          <w:lang w:val="sq-AL"/>
        </w:rPr>
        <w:footnoteReference w:id="2"/>
      </w:r>
      <w:r w:rsidRPr="004E355C">
        <w:rPr>
          <w:rFonts w:asciiTheme="minorHAnsi" w:eastAsia="SimSun" w:hAnsiTheme="minorHAnsi"/>
          <w:lang w:val="sq-AL"/>
        </w:rPr>
        <w:t xml:space="preserve">. </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40" w:name="_Toc12448448"/>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Kapitale dhe ritmi i rritjes së tyre (në miliardë LEK)</w:t>
      </w:r>
      <w:bookmarkEnd w:id="40"/>
    </w:p>
    <w:p w:rsidR="00637131" w:rsidRPr="004E355C" w:rsidRDefault="000675C9" w:rsidP="000675C9">
      <w:pPr>
        <w:spacing w:line="276" w:lineRule="auto"/>
        <w:jc w:val="center"/>
        <w:rPr>
          <w:rFonts w:asciiTheme="minorHAnsi" w:eastAsia="SimSun" w:hAnsiTheme="minorHAnsi"/>
          <w:i/>
          <w:lang w:val="sq-AL"/>
        </w:rPr>
      </w:pPr>
      <w:r w:rsidRPr="004E355C">
        <w:rPr>
          <w:rFonts w:eastAsia="SimSun"/>
          <w:i/>
          <w:noProof/>
        </w:rPr>
        <w:drawing>
          <wp:inline distT="0" distB="0" distL="0" distR="0" wp14:anchorId="5A8B062B" wp14:editId="22788E11">
            <wp:extent cx="5367019" cy="2225040"/>
            <wp:effectExtent l="38100" t="38100" r="100965" b="9906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74805" cy="2228268"/>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B24B3B" w:rsidP="00637131">
      <w:pPr>
        <w:spacing w:line="276" w:lineRule="auto"/>
        <w:ind w:left="720" w:firstLine="720"/>
        <w:rPr>
          <w:rFonts w:asciiTheme="minorHAnsi" w:eastAsia="SimSun" w:hAnsiTheme="minorHAnsi"/>
          <w:i/>
          <w:lang w:val="sq-AL"/>
        </w:rPr>
      </w:pPr>
      <w:r w:rsidRPr="004E355C">
        <w:rPr>
          <w:rFonts w:asciiTheme="minorHAnsi" w:eastAsia="SimSun" w:hAnsiTheme="minorHAnsi"/>
          <w:i/>
          <w:sz w:val="20"/>
          <w:lang w:val="sq-AL"/>
        </w:rPr>
        <w:t>Burimi: Ministria e Financave dhe Ekonomisë (2019)</w:t>
      </w:r>
      <w:r w:rsidR="00637131" w:rsidRPr="004E355C">
        <w:rPr>
          <w:rFonts w:asciiTheme="minorHAnsi" w:eastAsia="SimSun" w:hAnsiTheme="minorHAnsi"/>
          <w:i/>
          <w:lang w:val="sq-AL"/>
        </w:rPr>
        <w:t xml:space="preserve">          </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41" w:name="_Toc12448449"/>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Kapitale dhe burimi i financimit të tyre (në miliardë LEK)</w:t>
      </w:r>
      <w:bookmarkEnd w:id="41"/>
    </w:p>
    <w:p w:rsidR="00637131" w:rsidRPr="004E355C" w:rsidRDefault="00332B68" w:rsidP="00332B68">
      <w:pPr>
        <w:spacing w:line="276" w:lineRule="auto"/>
        <w:jc w:val="center"/>
        <w:rPr>
          <w:rFonts w:asciiTheme="minorHAnsi" w:eastAsia="SimSun" w:hAnsiTheme="minorHAnsi"/>
          <w:i/>
          <w:lang w:val="sq-AL"/>
        </w:rPr>
      </w:pPr>
      <w:r w:rsidRPr="004E355C">
        <w:rPr>
          <w:rFonts w:eastAsia="SimSun"/>
          <w:i/>
          <w:noProof/>
        </w:rPr>
        <w:drawing>
          <wp:inline distT="0" distB="0" distL="0" distR="0" wp14:anchorId="05EEF1FA" wp14:editId="3AC5C875">
            <wp:extent cx="5410200" cy="2209800"/>
            <wp:effectExtent l="38100" t="38100" r="95250" b="9525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22765" cy="2214932"/>
                    </a:xfrm>
                    <a:prstGeom prst="rect">
                      <a:avLst/>
                    </a:prstGeom>
                    <a:noFill/>
                    <a:effectLst>
                      <a:outerShdw blurRad="50800" dist="38100" dir="2700000" algn="tl" rotWithShape="0">
                        <a:prstClr val="black">
                          <a:alpha val="40000"/>
                        </a:prstClr>
                      </a:outerShdw>
                    </a:effectLst>
                  </pic:spPr>
                </pic:pic>
              </a:graphicData>
            </a:graphic>
          </wp:inline>
        </w:drawing>
      </w:r>
    </w:p>
    <w:p w:rsidR="00637131" w:rsidRPr="004E355C" w:rsidRDefault="00637131" w:rsidP="00637131">
      <w:pPr>
        <w:spacing w:line="276" w:lineRule="auto"/>
        <w:rPr>
          <w:rFonts w:asciiTheme="minorHAnsi" w:eastAsia="SimSun" w:hAnsiTheme="minorHAnsi"/>
          <w:i/>
          <w:sz w:val="20"/>
          <w:lang w:val="sq-AL"/>
        </w:rPr>
      </w:pPr>
      <w:r w:rsidRPr="004E355C">
        <w:rPr>
          <w:rFonts w:asciiTheme="minorHAnsi" w:eastAsia="SimSun" w:hAnsiTheme="minorHAnsi"/>
          <w:lang w:val="sq-AL"/>
        </w:rPr>
        <w:tab/>
      </w:r>
      <w:r w:rsidRPr="004E355C">
        <w:rPr>
          <w:rFonts w:asciiTheme="minorHAnsi" w:eastAsia="SimSun" w:hAnsiTheme="minorHAnsi"/>
          <w:lang w:val="sq-AL"/>
        </w:rPr>
        <w:tab/>
      </w:r>
      <w:r w:rsidR="00B24B3B" w:rsidRPr="004E355C">
        <w:rPr>
          <w:rFonts w:asciiTheme="minorHAnsi" w:eastAsia="SimSun" w:hAnsiTheme="minorHAnsi"/>
          <w:i/>
          <w:sz w:val="20"/>
          <w:lang w:val="sq-AL"/>
        </w:rPr>
        <w:t>Burimi: Ministria e Financave dhe Ekonomisë (2019)</w:t>
      </w:r>
    </w:p>
    <w:p w:rsidR="00637131" w:rsidRPr="004E355C" w:rsidRDefault="00332B68" w:rsidP="006D3836">
      <w:pPr>
        <w:spacing w:before="240" w:line="276" w:lineRule="auto"/>
        <w:jc w:val="both"/>
        <w:rPr>
          <w:rFonts w:asciiTheme="minorHAnsi" w:eastAsia="SimSun" w:hAnsiTheme="minorHAnsi"/>
          <w:lang w:val="sq-AL"/>
        </w:rPr>
      </w:pPr>
      <w:r w:rsidRPr="004E355C">
        <w:rPr>
          <w:rFonts w:asciiTheme="minorHAnsi" w:eastAsia="SimSun" w:hAnsiTheme="minorHAnsi"/>
          <w:lang w:val="sq-AL"/>
        </w:rPr>
        <w:t>Grafiku i mëposhtëm paraqet ndarjen e shpenzimeve publike faktike për muajin Maj të vitit 2019. Shpenzimet korente për këtë periudhë përbëjnë pjesën më të madhe të shpenzimeve totale faktike me 88.3 përqind, ndërsa shpenzimet kapitale përbëjnë 11.7 përqind</w:t>
      </w:r>
      <w:r w:rsidR="00637131" w:rsidRPr="004E355C">
        <w:rPr>
          <w:rFonts w:asciiTheme="minorHAnsi" w:eastAsia="SimSun" w:hAnsiTheme="minorHAnsi"/>
          <w:lang w:val="sq-AL"/>
        </w:rPr>
        <w:t>.</w:t>
      </w:r>
    </w:p>
    <w:p w:rsidR="00070183" w:rsidRPr="004E355C" w:rsidRDefault="00070183" w:rsidP="00332B68">
      <w:pPr>
        <w:pStyle w:val="Caption"/>
        <w:keepNext/>
        <w:spacing w:before="240" w:after="0"/>
        <w:jc w:val="both"/>
        <w:rPr>
          <w:rFonts w:asciiTheme="minorHAnsi" w:hAnsiTheme="minorHAnsi"/>
          <w:b w:val="0"/>
          <w:bCs w:val="0"/>
          <w:i/>
          <w:color w:val="auto"/>
          <w:sz w:val="24"/>
          <w:szCs w:val="24"/>
          <w:lang w:val="sq-AL"/>
        </w:rPr>
      </w:pPr>
      <w:bookmarkStart w:id="42" w:name="_Toc12448450"/>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24</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Detajimi i Shpenzimeve Buxhetore (në milion LEK)</w:t>
      </w:r>
      <w:bookmarkEnd w:id="42"/>
      <w:r w:rsidRPr="004E355C">
        <w:rPr>
          <w:rFonts w:asciiTheme="minorHAnsi" w:hAnsiTheme="minorHAnsi"/>
          <w:b w:val="0"/>
          <w:bCs w:val="0"/>
          <w:i/>
          <w:color w:val="auto"/>
          <w:sz w:val="24"/>
          <w:szCs w:val="24"/>
          <w:lang w:val="sq-AL"/>
        </w:rPr>
        <w:t xml:space="preserve"> </w:t>
      </w:r>
    </w:p>
    <w:p w:rsidR="00637131" w:rsidRPr="004E355C" w:rsidRDefault="00332B68" w:rsidP="00637131">
      <w:pPr>
        <w:spacing w:line="276" w:lineRule="auto"/>
        <w:ind w:left="-450"/>
        <w:jc w:val="center"/>
        <w:rPr>
          <w:rFonts w:asciiTheme="minorHAnsi" w:eastAsia="SimSun" w:hAnsiTheme="minorHAnsi"/>
          <w:i/>
          <w:lang w:val="sq-AL"/>
        </w:rPr>
      </w:pPr>
      <w:r w:rsidRPr="004E355C">
        <w:rPr>
          <w:rFonts w:eastAsia="SimSun"/>
          <w:b/>
          <w:i/>
          <w:noProof/>
        </w:rPr>
        <w:drawing>
          <wp:inline distT="0" distB="0" distL="0" distR="0" wp14:anchorId="50A7F2AA" wp14:editId="56154C82">
            <wp:extent cx="4152900" cy="211836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71859" cy="2128031"/>
                    </a:xfrm>
                    <a:prstGeom prst="rect">
                      <a:avLst/>
                    </a:prstGeom>
                    <a:noFill/>
                  </pic:spPr>
                </pic:pic>
              </a:graphicData>
            </a:graphic>
          </wp:inline>
        </w:drawing>
      </w:r>
    </w:p>
    <w:p w:rsidR="00637131" w:rsidRPr="004E355C" w:rsidRDefault="00637131" w:rsidP="00637131">
      <w:pPr>
        <w:spacing w:line="276" w:lineRule="auto"/>
        <w:rPr>
          <w:rFonts w:asciiTheme="minorHAnsi" w:eastAsia="SimSun" w:hAnsiTheme="minorHAnsi"/>
          <w:i/>
          <w:sz w:val="20"/>
          <w:lang w:val="sq-AL"/>
        </w:rPr>
      </w:pPr>
      <w:r w:rsidRPr="004E355C">
        <w:rPr>
          <w:rFonts w:asciiTheme="minorHAnsi" w:eastAsia="SimSun" w:hAnsiTheme="minorHAnsi"/>
          <w:i/>
          <w:lang w:val="sq-AL"/>
        </w:rPr>
        <w:t xml:space="preserve">                                  </w:t>
      </w:r>
      <w:r w:rsidR="00B24B3B" w:rsidRPr="004E355C">
        <w:rPr>
          <w:rFonts w:asciiTheme="minorHAnsi" w:eastAsia="SimSun" w:hAnsiTheme="minorHAnsi"/>
          <w:i/>
          <w:sz w:val="20"/>
          <w:lang w:val="sq-AL"/>
        </w:rPr>
        <w:t>Burimi: Ministria e Financave dhe Ekonomisë (2019)</w:t>
      </w:r>
    </w:p>
    <w:p w:rsidR="00637131" w:rsidRPr="004E355C" w:rsidRDefault="005D35B0" w:rsidP="002B0043">
      <w:pPr>
        <w:spacing w:before="240" w:line="276" w:lineRule="auto"/>
        <w:jc w:val="both"/>
        <w:rPr>
          <w:rFonts w:asciiTheme="minorHAnsi" w:eastAsia="SimSun" w:hAnsiTheme="minorHAnsi"/>
          <w:lang w:val="sq-AL"/>
        </w:rPr>
      </w:pPr>
      <w:r w:rsidRPr="004E355C">
        <w:rPr>
          <w:rFonts w:asciiTheme="minorHAnsi" w:eastAsia="SimSun" w:hAnsiTheme="minorHAnsi"/>
          <w:lang w:val="sq-AL"/>
        </w:rPr>
        <w:t>Sikurse evidentohet nga tabela e treguesve fiskal të konsoliduar, realizimi i shpenzimeve të përgjithshme për muajin e pestë të vitit 2019 është rreth 187.4 miliard LEK ose 97.2 përqind kundrejt planit të periudhës. Kjo situatë është shoqëruar me një suficit buxhetor prej 866 milion LEK. Grafiku i mëposhtëm tregon tendencat pozitive të treguesve kryesorë të  buxhetit të shtetit</w:t>
      </w:r>
      <w:r w:rsidR="00637131" w:rsidRPr="004E355C">
        <w:rPr>
          <w:rFonts w:asciiTheme="minorHAnsi" w:eastAsia="SimSun" w:hAnsiTheme="minorHAnsi"/>
          <w:lang w:val="sq-AL"/>
        </w:rPr>
        <w:t xml:space="preserve">. </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43" w:name="_Toc12448451"/>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xml:space="preserve">: </w:t>
      </w:r>
      <w:r w:rsidR="005D35B0" w:rsidRPr="004E355C">
        <w:rPr>
          <w:rFonts w:asciiTheme="minorHAnsi" w:hAnsiTheme="minorHAnsi"/>
          <w:b w:val="0"/>
          <w:bCs w:val="0"/>
          <w:i/>
          <w:color w:val="auto"/>
          <w:sz w:val="24"/>
          <w:szCs w:val="24"/>
          <w:lang w:val="sq-AL"/>
        </w:rPr>
        <w:t>Të ardhurat, shpenzimet dhe deficiti/suficiti - Plan vs Fakt 5 Mujori 2019 (në milion LEK)</w:t>
      </w:r>
      <w:bookmarkEnd w:id="43"/>
    </w:p>
    <w:p w:rsidR="00637131" w:rsidRPr="004E355C" w:rsidRDefault="005D35B0" w:rsidP="002B0043">
      <w:pPr>
        <w:spacing w:line="276" w:lineRule="auto"/>
        <w:jc w:val="center"/>
        <w:rPr>
          <w:rFonts w:asciiTheme="minorHAnsi" w:eastAsia="SimSun" w:hAnsiTheme="minorHAnsi"/>
          <w:i/>
          <w:lang w:val="sq-AL"/>
        </w:rPr>
      </w:pPr>
      <w:r w:rsidRPr="004E355C">
        <w:rPr>
          <w:rFonts w:eastAsia="SimSun"/>
          <w:i/>
          <w:noProof/>
        </w:rPr>
        <w:drawing>
          <wp:inline distT="0" distB="0" distL="0" distR="0" wp14:anchorId="0A24EE86" wp14:editId="45DF2F3F">
            <wp:extent cx="5524500" cy="20193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33550" cy="2022608"/>
                    </a:xfrm>
                    <a:prstGeom prst="rect">
                      <a:avLst/>
                    </a:prstGeom>
                    <a:noFill/>
                  </pic:spPr>
                </pic:pic>
              </a:graphicData>
            </a:graphic>
          </wp:inline>
        </w:drawing>
      </w:r>
    </w:p>
    <w:p w:rsidR="00637131" w:rsidRPr="004E355C" w:rsidRDefault="00637131" w:rsidP="00637131">
      <w:pPr>
        <w:spacing w:line="276" w:lineRule="auto"/>
        <w:rPr>
          <w:rFonts w:asciiTheme="minorHAnsi" w:eastAsia="SimSun" w:hAnsiTheme="minorHAnsi"/>
          <w:i/>
          <w:sz w:val="22"/>
          <w:lang w:val="sq-AL"/>
        </w:rPr>
      </w:pPr>
      <w:r w:rsidRPr="004E355C">
        <w:rPr>
          <w:rFonts w:asciiTheme="minorHAnsi" w:eastAsia="SimSun" w:hAnsiTheme="minorHAnsi"/>
          <w:i/>
          <w:lang w:val="sq-AL"/>
        </w:rPr>
        <w:t xml:space="preserve">    </w:t>
      </w:r>
      <w:r w:rsidRPr="004E355C">
        <w:rPr>
          <w:rFonts w:asciiTheme="minorHAnsi" w:eastAsia="SimSun" w:hAnsiTheme="minorHAnsi"/>
          <w:i/>
          <w:lang w:val="sq-AL"/>
        </w:rPr>
        <w:tab/>
        <w:t xml:space="preserve">     </w:t>
      </w:r>
      <w:r w:rsidR="00B24B3B" w:rsidRPr="004E355C">
        <w:rPr>
          <w:rFonts w:asciiTheme="minorHAnsi" w:eastAsia="SimSun" w:hAnsiTheme="minorHAnsi"/>
          <w:i/>
          <w:sz w:val="20"/>
          <w:lang w:val="sq-AL"/>
        </w:rPr>
        <w:t>Burimi: Ministria e Financave dhe Ekonomisë (2019)</w:t>
      </w:r>
      <w:r w:rsidRPr="004E355C">
        <w:rPr>
          <w:rFonts w:asciiTheme="minorHAnsi" w:eastAsia="SimSun" w:hAnsiTheme="minorHAnsi"/>
          <w:i/>
          <w:sz w:val="22"/>
          <w:lang w:val="sq-AL"/>
        </w:rPr>
        <w:t xml:space="preserve"> </w:t>
      </w:r>
    </w:p>
    <w:p w:rsidR="00C75D59" w:rsidRPr="004E355C" w:rsidRDefault="00C75D59" w:rsidP="0056643D">
      <w:pPr>
        <w:spacing w:before="240" w:line="276" w:lineRule="auto"/>
        <w:jc w:val="both"/>
        <w:rPr>
          <w:rFonts w:asciiTheme="minorHAnsi" w:eastAsia="SimSun" w:hAnsiTheme="minorHAnsi"/>
          <w:b/>
          <w:sz w:val="8"/>
          <w:szCs w:val="12"/>
          <w:lang w:val="sq-AL"/>
        </w:rPr>
      </w:pPr>
    </w:p>
    <w:p w:rsidR="00C75D59" w:rsidRPr="004E355C" w:rsidRDefault="00E6481D" w:rsidP="00E6481D">
      <w:pPr>
        <w:pStyle w:val="Heading2"/>
        <w:spacing w:line="276" w:lineRule="auto"/>
        <w:ind w:left="720" w:hanging="720"/>
        <w:rPr>
          <w:rFonts w:asciiTheme="minorHAnsi" w:hAnsiTheme="minorHAnsi"/>
          <w:noProof/>
          <w:color w:val="4F81BD" w:themeColor="accent1"/>
          <w:sz w:val="28"/>
          <w:szCs w:val="24"/>
          <w:lang w:val="sq-AL"/>
        </w:rPr>
      </w:pPr>
      <w:bookmarkStart w:id="44" w:name="_Toc12527223"/>
      <w:r w:rsidRPr="004E355C">
        <w:rPr>
          <w:rFonts w:asciiTheme="minorHAnsi" w:hAnsiTheme="minorHAnsi"/>
          <w:noProof/>
          <w:color w:val="4F81BD" w:themeColor="accent1"/>
          <w:sz w:val="28"/>
          <w:szCs w:val="24"/>
          <w:lang w:val="sq-AL"/>
        </w:rPr>
        <w:t>III.2</w:t>
      </w:r>
      <w:r w:rsidRPr="004E355C">
        <w:rPr>
          <w:rFonts w:asciiTheme="minorHAnsi" w:hAnsiTheme="minorHAnsi"/>
          <w:noProof/>
          <w:color w:val="4F81BD" w:themeColor="accent1"/>
          <w:sz w:val="28"/>
          <w:szCs w:val="24"/>
          <w:lang w:val="sq-AL"/>
        </w:rPr>
        <w:tab/>
      </w:r>
      <w:r w:rsidR="0056643D" w:rsidRPr="004E355C">
        <w:rPr>
          <w:rFonts w:asciiTheme="minorHAnsi" w:hAnsiTheme="minorHAnsi"/>
          <w:noProof/>
          <w:color w:val="4F81BD" w:themeColor="accent1"/>
          <w:sz w:val="28"/>
          <w:szCs w:val="24"/>
          <w:lang w:val="sq-AL"/>
        </w:rPr>
        <w:t>Financat</w:t>
      </w:r>
      <w:r w:rsidR="000E14D0" w:rsidRPr="004E355C">
        <w:rPr>
          <w:rFonts w:asciiTheme="minorHAnsi" w:hAnsiTheme="minorHAnsi"/>
          <w:noProof/>
          <w:color w:val="4F81BD" w:themeColor="accent1"/>
          <w:sz w:val="28"/>
          <w:szCs w:val="24"/>
          <w:lang w:val="sq-AL"/>
        </w:rPr>
        <w:t xml:space="preserve"> Vendor</w:t>
      </w:r>
      <w:r w:rsidR="0056643D" w:rsidRPr="004E355C">
        <w:rPr>
          <w:rFonts w:asciiTheme="minorHAnsi" w:hAnsiTheme="minorHAnsi"/>
          <w:noProof/>
          <w:color w:val="4F81BD" w:themeColor="accent1"/>
          <w:sz w:val="28"/>
          <w:szCs w:val="24"/>
          <w:lang w:val="sq-AL"/>
        </w:rPr>
        <w:t xml:space="preserve">e </w:t>
      </w:r>
      <w:r w:rsidR="00A61AD8" w:rsidRPr="004E355C">
        <w:rPr>
          <w:rFonts w:asciiTheme="minorHAnsi" w:hAnsiTheme="minorHAnsi"/>
          <w:noProof/>
          <w:color w:val="4F81BD" w:themeColor="accent1"/>
          <w:sz w:val="28"/>
          <w:szCs w:val="24"/>
          <w:lang w:val="sq-AL"/>
        </w:rPr>
        <w:t>gjat</w:t>
      </w:r>
      <w:r w:rsidR="002D2B0D" w:rsidRPr="004E355C">
        <w:rPr>
          <w:rFonts w:asciiTheme="minorHAnsi" w:hAnsiTheme="minorHAnsi"/>
          <w:noProof/>
          <w:color w:val="4F81BD" w:themeColor="accent1"/>
          <w:sz w:val="28"/>
          <w:szCs w:val="24"/>
          <w:lang w:val="sq-AL"/>
        </w:rPr>
        <w:t>ë</w:t>
      </w:r>
      <w:r w:rsidR="00A61AD8" w:rsidRPr="004E355C">
        <w:rPr>
          <w:rFonts w:asciiTheme="minorHAnsi" w:hAnsiTheme="minorHAnsi"/>
          <w:noProof/>
          <w:color w:val="4F81BD" w:themeColor="accent1"/>
          <w:sz w:val="28"/>
          <w:szCs w:val="24"/>
          <w:lang w:val="sq-AL"/>
        </w:rPr>
        <w:t xml:space="preserve"> </w:t>
      </w:r>
      <w:r w:rsidRPr="004E355C">
        <w:rPr>
          <w:rFonts w:asciiTheme="minorHAnsi" w:hAnsiTheme="minorHAnsi"/>
          <w:noProof/>
          <w:color w:val="4F81BD" w:themeColor="accent1"/>
          <w:sz w:val="28"/>
          <w:szCs w:val="24"/>
          <w:lang w:val="sq-AL"/>
        </w:rPr>
        <w:t>janar-maj 2019</w:t>
      </w:r>
      <w:bookmarkEnd w:id="44"/>
    </w:p>
    <w:p w:rsidR="00C75D59" w:rsidRPr="004E355C" w:rsidRDefault="00444E32" w:rsidP="00CF189F">
      <w:pPr>
        <w:spacing w:line="276" w:lineRule="auto"/>
        <w:jc w:val="both"/>
        <w:rPr>
          <w:rFonts w:asciiTheme="minorHAnsi" w:hAnsiTheme="minorHAnsi"/>
          <w:lang w:val="sq-AL"/>
        </w:rPr>
      </w:pPr>
      <w:r w:rsidRPr="004E355C">
        <w:rPr>
          <w:rFonts w:asciiTheme="minorHAnsi" w:hAnsiTheme="minorHAnsi"/>
          <w:lang w:val="sq-AL"/>
        </w:rPr>
        <w:t>Procesi i menaxhimit të financave publike në nivel vendor ka hyrë në një fazë të re konsolidimi nën regjimin e ligjit nr. 68, datë 27.04.2018 “Për financat e vetëqverisjes vendore”. Në këtë kuadër Ministria e Financave dhe Ekonomisë po ndjek vazhdimisht treguesit e të ardhurave dhe shpenzimeve të buxhetit vendor me qëllim monitorimin dhe asistencën e njësive të vetëqeverisjes vendore për përmirësmin e këti procesi. Prandaj referuar të dhënave fiskale të Sistemit Informatik Financiar të Qeverisë është realizuar analiza e të adhurave dhe shpenzimeve të 5 mujorit 2019 në nivel kombëtar të buxhetit vendor</w:t>
      </w:r>
      <w:r w:rsidR="0056643D" w:rsidRPr="004E355C">
        <w:rPr>
          <w:rFonts w:asciiTheme="minorHAnsi" w:hAnsiTheme="minorHAnsi"/>
          <w:lang w:val="sq-AL"/>
        </w:rPr>
        <w:t>.</w:t>
      </w:r>
      <w:r w:rsidR="00CF189F" w:rsidRPr="004E355C">
        <w:rPr>
          <w:rFonts w:asciiTheme="minorHAnsi" w:hAnsiTheme="minorHAnsi"/>
          <w:lang w:val="sq-AL"/>
        </w:rPr>
        <w:t xml:space="preserve"> </w:t>
      </w:r>
      <w:r w:rsidR="00C75D59" w:rsidRPr="004E355C">
        <w:rPr>
          <w:rFonts w:asciiTheme="minorHAnsi" w:hAnsiTheme="minorHAnsi"/>
        </w:rPr>
        <w:t>Në tërësi konstatohet një performancë pozitive si në drejtim të të ardhurave ashtu edhe të shpenzimeve që pushteti vendor ka zhvilluar gjatë 5 mujorit të vitit 2019. Rritja e mbledhshmërisë së të ardhurave vendore me rreth 29% më shumë se e njëjta periudhë e një vitit më parë dhe rritja e shpenzimeve për investime me rreth 22% më shumë se 5 mujori i vitit 2018 tregon kosolidimin fiskal që reflektohet në tregues financiarë nga qeverisja vendore</w:t>
      </w:r>
    </w:p>
    <w:p w:rsidR="000E14D0" w:rsidRPr="004E355C" w:rsidRDefault="0056643D" w:rsidP="000E14D0">
      <w:pPr>
        <w:spacing w:before="240" w:line="276" w:lineRule="auto"/>
        <w:jc w:val="both"/>
        <w:rPr>
          <w:rFonts w:asciiTheme="minorHAnsi" w:hAnsiTheme="minorHAnsi"/>
          <w:lang w:val="sq-AL"/>
        </w:rPr>
      </w:pPr>
      <w:r w:rsidRPr="004E355C">
        <w:rPr>
          <w:rFonts w:asciiTheme="minorHAnsi" w:eastAsia="SimSun" w:hAnsiTheme="minorHAnsi"/>
          <w:b/>
          <w:lang w:val="sq-AL"/>
        </w:rPr>
        <w:lastRenderedPageBreak/>
        <w:t>Shpenzimet për Pushtetin Vendor</w:t>
      </w:r>
      <w:r w:rsidRPr="004E355C">
        <w:rPr>
          <w:rFonts w:asciiTheme="minorHAnsi" w:eastAsia="SimSun" w:hAnsiTheme="minorHAnsi"/>
          <w:lang w:val="sq-AL"/>
        </w:rPr>
        <w:t xml:space="preserve">, </w:t>
      </w:r>
      <w:r w:rsidR="005D35B0" w:rsidRPr="004E355C">
        <w:rPr>
          <w:rFonts w:asciiTheme="minorHAnsi" w:eastAsia="SimSun" w:hAnsiTheme="minorHAnsi"/>
          <w:lang w:val="sq-AL"/>
        </w:rPr>
        <w:t>gjatë periudhës 5 mujore të vitit 2019 kanë arritur në masën  rreth 23.65 miliard LEK duke përbërë 14.3 përqind të shpenzimeve korente. Kundrejt të njëjtës periudhë të vitit 2018 ky nivel rezulton 8.5 përqind më i lartë ose 1.84 miliard LEK më shumë</w:t>
      </w:r>
      <w:r w:rsidR="000E14D0" w:rsidRPr="004E355C">
        <w:rPr>
          <w:rFonts w:asciiTheme="minorHAnsi" w:hAnsiTheme="minorHAnsi"/>
          <w:lang w:val="sq-AL"/>
        </w:rPr>
        <w:t>.</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45" w:name="_Toc12448452"/>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26</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e Pushtetit Vendor dhe ritmi i rritjes së tyre (në miliardë LEK)</w:t>
      </w:r>
      <w:bookmarkEnd w:id="45"/>
    </w:p>
    <w:p w:rsidR="000E14D0" w:rsidRPr="004E355C" w:rsidRDefault="005D35B0" w:rsidP="000E14D0">
      <w:pPr>
        <w:spacing w:line="276" w:lineRule="auto"/>
        <w:ind w:left="270"/>
        <w:jc w:val="center"/>
        <w:rPr>
          <w:rFonts w:asciiTheme="minorHAnsi" w:eastAsia="SimSun" w:hAnsiTheme="minorHAnsi"/>
          <w:i/>
          <w:lang w:val="sq-AL"/>
        </w:rPr>
      </w:pPr>
      <w:r w:rsidRPr="004E355C">
        <w:rPr>
          <w:rFonts w:eastAsia="SimSun"/>
          <w:i/>
          <w:noProof/>
          <w:sz w:val="20"/>
        </w:rPr>
        <w:drawing>
          <wp:inline distT="0" distB="0" distL="0" distR="0" wp14:anchorId="1E244FF1" wp14:editId="721B9209">
            <wp:extent cx="5322570" cy="1889760"/>
            <wp:effectExtent l="38100" t="38100" r="87630" b="914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2570" cy="1889760"/>
                    </a:xfrm>
                    <a:prstGeom prst="rect">
                      <a:avLst/>
                    </a:prstGeom>
                    <a:noFill/>
                    <a:effectLst>
                      <a:outerShdw blurRad="50800" dist="38100" dir="2700000" algn="tl" rotWithShape="0">
                        <a:prstClr val="black">
                          <a:alpha val="40000"/>
                        </a:prstClr>
                      </a:outerShdw>
                    </a:effectLst>
                  </pic:spPr>
                </pic:pic>
              </a:graphicData>
            </a:graphic>
          </wp:inline>
        </w:drawing>
      </w:r>
    </w:p>
    <w:p w:rsidR="000E14D0" w:rsidRPr="004E355C" w:rsidRDefault="00B24B3B" w:rsidP="000E14D0">
      <w:pPr>
        <w:spacing w:line="276" w:lineRule="auto"/>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0E14D0" w:rsidRPr="004E355C" w:rsidRDefault="007E30AA" w:rsidP="000E14D0">
      <w:pPr>
        <w:spacing w:before="240" w:line="276" w:lineRule="auto"/>
        <w:jc w:val="both"/>
        <w:rPr>
          <w:rFonts w:asciiTheme="minorHAnsi" w:hAnsiTheme="minorHAnsi"/>
          <w:lang w:val="sq-AL"/>
        </w:rPr>
      </w:pPr>
      <w:r w:rsidRPr="004E355C">
        <w:rPr>
          <w:rFonts w:asciiTheme="minorHAnsi" w:hAnsiTheme="minorHAnsi"/>
        </w:rPr>
        <w:t>Nga analiza vihet re që pjesa më e madhe e kësaj rritje të konsiderueshme me një vit më pare, lidhet me ekzekutimin e fondeve të trashëguara si pasojë e bllokimit të limitit të përdorimit të shpenzimeve vendore në muajn nëntor dhe dhjetor 2018. Kjo evidentohet qartë nëse analizojmë në nivel llogarie, ku pjesën më të madhe të rritjes së shpenzimeve e ka zëri i shpenzimeve për investime i cili është rritur rreth 22% më shumë se 5 mujori i vitit 2018</w:t>
      </w:r>
      <w:r w:rsidR="00CF189F" w:rsidRPr="004E355C">
        <w:rPr>
          <w:rFonts w:asciiTheme="minorHAnsi" w:hAnsiTheme="minorHAnsi"/>
        </w:rPr>
        <w:t xml:space="preserve">. </w:t>
      </w:r>
      <w:r w:rsidR="000E14D0" w:rsidRPr="004E355C">
        <w:rPr>
          <w:rFonts w:asciiTheme="minorHAnsi" w:hAnsiTheme="minorHAnsi"/>
          <w:lang w:val="sq-AL"/>
        </w:rPr>
        <w:t xml:space="preserve">Shpenzimet e pushtetit vendor sipas strukturës nuk kanë pësuar ndryshime të mëdha, por vihet re një tendencë pozitive e qendrueshmërisë së shpenzimeve për investime dhe zgjerimi i shpenzimeve të mirëmbajtjes së aseteve që njësitë e vetëqeverisjes vendore zotërojnë përmes përdorimit në formën e shpenzimeve operative. </w:t>
      </w:r>
    </w:p>
    <w:p w:rsidR="00070183" w:rsidRPr="004E355C" w:rsidRDefault="00070183" w:rsidP="00545DE5">
      <w:pPr>
        <w:pStyle w:val="Caption"/>
        <w:keepNext/>
        <w:spacing w:before="240" w:after="0"/>
        <w:jc w:val="both"/>
        <w:rPr>
          <w:rFonts w:asciiTheme="minorHAnsi" w:hAnsiTheme="minorHAnsi"/>
          <w:b w:val="0"/>
          <w:bCs w:val="0"/>
          <w:i/>
          <w:color w:val="auto"/>
          <w:sz w:val="24"/>
          <w:szCs w:val="24"/>
          <w:lang w:val="sq-AL"/>
        </w:rPr>
      </w:pPr>
      <w:bookmarkStart w:id="46" w:name="_Toc12448453"/>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27</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Shpenzimet e Pushtetit Vendor sipas strukturës (në milionë LEK)</w:t>
      </w:r>
      <w:bookmarkEnd w:id="46"/>
    </w:p>
    <w:p w:rsidR="000E14D0" w:rsidRPr="004E355C" w:rsidRDefault="00252196" w:rsidP="00545DE5">
      <w:pPr>
        <w:spacing w:line="276" w:lineRule="auto"/>
        <w:jc w:val="center"/>
        <w:rPr>
          <w:rFonts w:asciiTheme="minorHAnsi" w:eastAsia="SimSun" w:hAnsiTheme="minorHAnsi"/>
          <w:b/>
          <w:lang w:val="sq-AL"/>
        </w:rPr>
      </w:pPr>
      <w:r w:rsidRPr="004E355C">
        <w:rPr>
          <w:rFonts w:asciiTheme="minorHAnsi" w:hAnsiTheme="minorHAnsi"/>
          <w:noProof/>
          <w:sz w:val="18"/>
          <w:szCs w:val="18"/>
        </w:rPr>
        <w:drawing>
          <wp:inline distT="0" distB="0" distL="0" distR="0" wp14:anchorId="26BE5A08" wp14:editId="6F90BAFF">
            <wp:extent cx="5772150" cy="1950720"/>
            <wp:effectExtent l="0" t="0" r="0" b="11430"/>
            <wp:docPr id="281" name="Chart 28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45DE5" w:rsidRPr="004E355C" w:rsidRDefault="00B24B3B" w:rsidP="00545DE5">
      <w:pPr>
        <w:spacing w:line="276" w:lineRule="auto"/>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0E14D0" w:rsidRPr="004E355C" w:rsidRDefault="000E14D0" w:rsidP="000E14D0">
      <w:pPr>
        <w:spacing w:before="240" w:line="276" w:lineRule="auto"/>
        <w:jc w:val="both"/>
        <w:rPr>
          <w:rFonts w:asciiTheme="minorHAnsi" w:hAnsiTheme="minorHAnsi"/>
          <w:lang w:val="sq-AL"/>
        </w:rPr>
      </w:pPr>
      <w:r w:rsidRPr="004E355C">
        <w:rPr>
          <w:rFonts w:asciiTheme="minorHAnsi" w:hAnsiTheme="minorHAnsi"/>
          <w:i/>
          <w:lang w:val="sq-AL"/>
        </w:rPr>
        <w:t>Shpenzimet e Personelit Vendor</w:t>
      </w:r>
      <w:r w:rsidRPr="004E355C">
        <w:rPr>
          <w:rFonts w:asciiTheme="minorHAnsi" w:hAnsiTheme="minorHAnsi"/>
          <w:lang w:val="sq-AL"/>
        </w:rPr>
        <w:t xml:space="preserve">, </w:t>
      </w:r>
      <w:r w:rsidR="00E10C62" w:rsidRPr="004E355C">
        <w:rPr>
          <w:rFonts w:asciiTheme="minorHAnsi" w:hAnsiTheme="minorHAnsi"/>
        </w:rPr>
        <w:t>përbëjnë një pjesë të konsiderueshme të shpenzimeve totale të njësive të veqeverisjes vendore. Për 5 mujorin e vitit 2019 këto shpenzime janë realizuar në masën 8.9 miliard lekë ose rreth 404 milion lekë më shumë se e njëjta periudhë e një vitit më parë. Rritja e këtyre shpenzimeve për vitin 2019 argumentohet me faktin se tashmë njësitë vendore me shtimin e kompetencave dhe funksioneve që ata duhet të ushtrojnë kanë të domosdoshëm shtimin e personelit që ofron këto shërbime</w:t>
      </w:r>
      <w:r w:rsidRPr="004E355C">
        <w:rPr>
          <w:rFonts w:asciiTheme="minorHAnsi" w:hAnsiTheme="minorHAnsi"/>
          <w:lang w:val="sq-AL"/>
        </w:rPr>
        <w:t>.</w:t>
      </w:r>
    </w:p>
    <w:p w:rsidR="000E14D0" w:rsidRPr="004E355C" w:rsidRDefault="000E14D0" w:rsidP="000E14D0">
      <w:pPr>
        <w:spacing w:before="240" w:line="276" w:lineRule="auto"/>
        <w:jc w:val="both"/>
        <w:rPr>
          <w:rFonts w:asciiTheme="minorHAnsi" w:hAnsiTheme="minorHAnsi"/>
          <w:lang w:val="sq-AL"/>
        </w:rPr>
      </w:pPr>
      <w:r w:rsidRPr="004E355C">
        <w:rPr>
          <w:rFonts w:asciiTheme="minorHAnsi" w:hAnsiTheme="minorHAnsi"/>
          <w:i/>
          <w:lang w:val="sq-AL"/>
        </w:rPr>
        <w:lastRenderedPageBreak/>
        <w:t>Shpenzimet Operative Vendore</w:t>
      </w:r>
      <w:r w:rsidRPr="004E355C">
        <w:rPr>
          <w:rFonts w:asciiTheme="minorHAnsi" w:hAnsiTheme="minorHAnsi"/>
          <w:lang w:val="sq-AL"/>
        </w:rPr>
        <w:t xml:space="preserve">, </w:t>
      </w:r>
      <w:r w:rsidR="00E10C62" w:rsidRPr="004E355C">
        <w:rPr>
          <w:rFonts w:asciiTheme="minorHAnsi" w:hAnsiTheme="minorHAnsi"/>
        </w:rPr>
        <w:t xml:space="preserve">përbëjnë rreth 39.9% të shpenzimeve korrente në total për 5 mujorin e vitit 2019, një pjesë kjo jo e vogël për buxhetin njësive vendore. Këto shpenzime gjatë periudhës 5 mujore të vitit 2019 janë realizuar afërsisht në masën 6.3 miliard lekë ose pothuajse sa e njëjta vlerë e një viti më parë. Në këtë mënyrë rezulton se </w:t>
      </w:r>
      <w:r w:rsidR="00C75D59" w:rsidRPr="004E355C">
        <w:rPr>
          <w:rFonts w:asciiTheme="minorHAnsi" w:hAnsiTheme="minorHAnsi"/>
        </w:rPr>
        <w:t>ato</w:t>
      </w:r>
      <w:r w:rsidR="00E10C62" w:rsidRPr="004E355C">
        <w:rPr>
          <w:rFonts w:asciiTheme="minorHAnsi" w:hAnsiTheme="minorHAnsi"/>
        </w:rPr>
        <w:t xml:space="preserve"> nuk kanë patur ndryshime krahasuar me të njëjtën periudhë të një viti më parë</w:t>
      </w:r>
      <w:r w:rsidRPr="004E355C">
        <w:rPr>
          <w:rFonts w:asciiTheme="minorHAnsi" w:hAnsiTheme="minorHAnsi"/>
          <w:lang w:val="sq-AL"/>
        </w:rPr>
        <w:t>.</w:t>
      </w:r>
    </w:p>
    <w:p w:rsidR="000E14D0" w:rsidRPr="004E355C" w:rsidRDefault="000E14D0" w:rsidP="000E14D0">
      <w:pPr>
        <w:spacing w:before="240" w:line="276" w:lineRule="auto"/>
        <w:jc w:val="both"/>
        <w:rPr>
          <w:rFonts w:asciiTheme="minorHAnsi" w:hAnsiTheme="minorHAnsi"/>
          <w:lang w:val="sq-AL"/>
        </w:rPr>
      </w:pPr>
      <w:r w:rsidRPr="004E355C">
        <w:rPr>
          <w:rFonts w:asciiTheme="minorHAnsi" w:hAnsiTheme="minorHAnsi"/>
          <w:i/>
          <w:lang w:val="sq-AL"/>
        </w:rPr>
        <w:t>Shpenzimet Vendore për Subvencione</w:t>
      </w:r>
      <w:r w:rsidRPr="004E355C">
        <w:rPr>
          <w:rFonts w:asciiTheme="minorHAnsi" w:hAnsiTheme="minorHAnsi"/>
          <w:lang w:val="sq-AL"/>
        </w:rPr>
        <w:t xml:space="preserve"> </w:t>
      </w:r>
      <w:r w:rsidRPr="004E355C">
        <w:rPr>
          <w:rFonts w:asciiTheme="minorHAnsi" w:hAnsiTheme="minorHAnsi"/>
          <w:i/>
          <w:lang w:val="sq-AL"/>
        </w:rPr>
        <w:t>dhe të tjera</w:t>
      </w:r>
      <w:r w:rsidRPr="004E355C">
        <w:rPr>
          <w:rFonts w:asciiTheme="minorHAnsi" w:hAnsiTheme="minorHAnsi"/>
          <w:lang w:val="sq-AL"/>
        </w:rPr>
        <w:t xml:space="preserve">, </w:t>
      </w:r>
      <w:r w:rsidR="00E10C62" w:rsidRPr="004E355C">
        <w:rPr>
          <w:rFonts w:asciiTheme="minorHAnsi" w:hAnsiTheme="minorHAnsi"/>
        </w:rPr>
        <w:t>në raport me 5 mujorin e vitit 2018, këto shpenzime për të njëjtën periudhë në vitin 2019 kanë rënie në zërin të tjera me 3% dhe në zërin subvencione kanë rritje me 7%. Në vlerë absolute shpenzimet për subvencione shpenzimet faktike të pushtetit vendor për subvencione gjatë 5 mujorit të parë 2019 janë realizuar rreth 61 milion lekë ose 4 milion lekë më shumë se e njëjta periudhë e vitit 2018</w:t>
      </w:r>
      <w:r w:rsidRPr="004E355C">
        <w:rPr>
          <w:rFonts w:asciiTheme="minorHAnsi" w:hAnsiTheme="minorHAnsi"/>
          <w:lang w:val="sq-AL"/>
        </w:rPr>
        <w:t>.</w:t>
      </w:r>
      <w:r w:rsidR="00E10C62" w:rsidRPr="004E355C">
        <w:rPr>
          <w:rFonts w:asciiTheme="minorHAnsi" w:hAnsiTheme="minorHAnsi"/>
          <w:lang w:val="sq-AL"/>
        </w:rPr>
        <w:t xml:space="preserve"> </w:t>
      </w:r>
      <w:r w:rsidR="00E10C62" w:rsidRPr="004E355C">
        <w:rPr>
          <w:rFonts w:asciiTheme="minorHAnsi" w:hAnsiTheme="minorHAnsi"/>
        </w:rPr>
        <w:t>Gjithashtu shpenzimet e tjera janë realizuar në masën 508 milion lekë ose 15 milion lekë më pak se 5 mujori i parë i vitit 2018</w:t>
      </w:r>
    </w:p>
    <w:p w:rsidR="000E14D0" w:rsidRPr="004E355C" w:rsidRDefault="000E14D0" w:rsidP="000E14D0">
      <w:pPr>
        <w:spacing w:before="240" w:line="276" w:lineRule="auto"/>
        <w:jc w:val="both"/>
        <w:rPr>
          <w:rFonts w:asciiTheme="minorHAnsi" w:hAnsiTheme="minorHAnsi"/>
          <w:lang w:val="sq-AL"/>
        </w:rPr>
      </w:pPr>
      <w:r w:rsidRPr="004E355C">
        <w:rPr>
          <w:rFonts w:asciiTheme="minorHAnsi" w:hAnsiTheme="minorHAnsi"/>
          <w:i/>
          <w:lang w:val="sq-AL"/>
        </w:rPr>
        <w:t>Shpenzimet Kapitale Vendore</w:t>
      </w:r>
      <w:r w:rsidRPr="004E355C">
        <w:rPr>
          <w:rFonts w:asciiTheme="minorHAnsi" w:hAnsiTheme="minorHAnsi"/>
          <w:lang w:val="sq-AL"/>
        </w:rPr>
        <w:t xml:space="preserve"> </w:t>
      </w:r>
      <w:r w:rsidR="00E10C62" w:rsidRPr="004E355C">
        <w:rPr>
          <w:rFonts w:asciiTheme="minorHAnsi" w:hAnsiTheme="minorHAnsi"/>
        </w:rPr>
        <w:t xml:space="preserve">janë një zë mjaft i rëndësishëm jo vetëm për faktin që përbëjnë pjesën më të madhe të buxhetit vendor por edhe për shkak sepse këto shpenzime janë ato çfarë prek drejtpërdrejt qytetari. </w:t>
      </w:r>
      <w:r w:rsidR="00C75D59" w:rsidRPr="004E355C">
        <w:rPr>
          <w:rFonts w:asciiTheme="minorHAnsi" w:hAnsiTheme="minorHAnsi"/>
        </w:rPr>
        <w:t>N</w:t>
      </w:r>
      <w:r w:rsidR="00E10C62" w:rsidRPr="004E355C">
        <w:rPr>
          <w:rFonts w:asciiTheme="minorHAnsi" w:hAnsiTheme="minorHAnsi"/>
        </w:rPr>
        <w:t xml:space="preserve">ë krahasim me një vit më </w:t>
      </w:r>
      <w:r w:rsidR="00C75D59" w:rsidRPr="004E355C">
        <w:rPr>
          <w:rFonts w:asciiTheme="minorHAnsi" w:hAnsiTheme="minorHAnsi"/>
        </w:rPr>
        <w:t>pare,</w:t>
      </w:r>
      <w:r w:rsidR="00E10C62" w:rsidRPr="004E355C">
        <w:rPr>
          <w:rFonts w:asciiTheme="minorHAnsi" w:hAnsiTheme="minorHAnsi"/>
        </w:rPr>
        <w:t xml:space="preserve"> gjatë 5 mujorit të parë të vitit 2019 shpenzimet për investime janë rritur me rreth 1.4 miliard lekë ose 22% më shumë. Në këtë kuptim, rritja e shpenzimeve për investime do të ndikojë drejtpërdrejtë në rritjen e infrastrukturës dhe shërbimit ndaj qytetarëve. Prandaj, rritja e peshës së tyre në raport me totalin e shpenzimeve vendore përbën një shtysë të rëndësishme në angazhimin për zhvillimin infrastrukturor përmes pushtetit vendor</w:t>
      </w:r>
      <w:r w:rsidRPr="004E355C">
        <w:rPr>
          <w:rFonts w:asciiTheme="minorHAnsi" w:hAnsiTheme="minorHAnsi"/>
          <w:lang w:val="sq-AL"/>
        </w:rPr>
        <w:t>.</w:t>
      </w:r>
    </w:p>
    <w:p w:rsidR="00444E32" w:rsidRPr="004E355C" w:rsidRDefault="00444E32" w:rsidP="00444E32">
      <w:pPr>
        <w:spacing w:before="240" w:line="276" w:lineRule="auto"/>
        <w:jc w:val="both"/>
        <w:rPr>
          <w:rFonts w:asciiTheme="minorHAnsi" w:eastAsia="SimSun" w:hAnsiTheme="minorHAnsi"/>
          <w:b/>
          <w:sz w:val="8"/>
          <w:szCs w:val="8"/>
          <w:lang w:val="sq-AL"/>
        </w:rPr>
      </w:pPr>
    </w:p>
    <w:p w:rsidR="00444E32" w:rsidRPr="004E355C" w:rsidRDefault="00444E32" w:rsidP="00444E32">
      <w:pPr>
        <w:spacing w:before="240" w:line="276" w:lineRule="auto"/>
        <w:jc w:val="both"/>
        <w:rPr>
          <w:rFonts w:asciiTheme="minorHAnsi" w:hAnsiTheme="minorHAnsi"/>
          <w:lang w:val="sq-AL"/>
        </w:rPr>
      </w:pPr>
      <w:r w:rsidRPr="004E355C">
        <w:rPr>
          <w:rFonts w:asciiTheme="minorHAnsi" w:eastAsia="SimSun" w:hAnsiTheme="minorHAnsi"/>
          <w:b/>
          <w:lang w:val="sq-AL"/>
        </w:rPr>
        <w:t>T</w:t>
      </w:r>
      <w:r w:rsidR="007F32B7" w:rsidRPr="004E355C">
        <w:rPr>
          <w:rFonts w:asciiTheme="minorHAnsi" w:eastAsia="SimSun" w:hAnsiTheme="minorHAnsi"/>
          <w:b/>
          <w:lang w:val="sq-AL"/>
        </w:rPr>
        <w:t>ë</w:t>
      </w:r>
      <w:r w:rsidRPr="004E355C">
        <w:rPr>
          <w:rFonts w:asciiTheme="minorHAnsi" w:eastAsia="SimSun" w:hAnsiTheme="minorHAnsi"/>
          <w:b/>
          <w:lang w:val="sq-AL"/>
        </w:rPr>
        <w:t xml:space="preserve"> Ardhurat e Pushtetit Vendor</w:t>
      </w:r>
      <w:r w:rsidR="00C75D59" w:rsidRPr="004E355C">
        <w:rPr>
          <w:rFonts w:asciiTheme="minorHAnsi" w:eastAsia="SimSun" w:hAnsiTheme="minorHAnsi"/>
          <w:lang w:val="sq-AL"/>
        </w:rPr>
        <w:t>,</w:t>
      </w:r>
      <w:r w:rsidR="003D557E" w:rsidRPr="004E355C">
        <w:rPr>
          <w:rFonts w:asciiTheme="minorHAnsi" w:eastAsia="SimSun" w:hAnsiTheme="minorHAnsi"/>
          <w:lang w:val="sq-AL"/>
        </w:rPr>
        <w:t xml:space="preserve"> </w:t>
      </w:r>
      <w:r w:rsidR="00C75D59" w:rsidRPr="004E355C">
        <w:rPr>
          <w:rFonts w:asciiTheme="minorHAnsi" w:eastAsia="SimSun" w:hAnsiTheme="minorHAnsi"/>
          <w:lang w:val="sq-AL"/>
        </w:rPr>
        <w:t>p</w:t>
      </w:r>
      <w:r w:rsidR="003D557E" w:rsidRPr="004E355C">
        <w:rPr>
          <w:rFonts w:asciiTheme="minorHAnsi" w:hAnsiTheme="minorHAnsi"/>
          <w:lang w:val="sq-AL"/>
        </w:rPr>
        <w:t>ër 5 mujorin e par</w:t>
      </w:r>
      <w:r w:rsidR="007F32B7" w:rsidRPr="004E355C">
        <w:rPr>
          <w:rFonts w:asciiTheme="minorHAnsi" w:hAnsiTheme="minorHAnsi"/>
          <w:lang w:val="sq-AL"/>
        </w:rPr>
        <w:t>ë</w:t>
      </w:r>
      <w:r w:rsidR="003D557E" w:rsidRPr="004E355C">
        <w:rPr>
          <w:rFonts w:asciiTheme="minorHAnsi" w:hAnsiTheme="minorHAnsi"/>
          <w:lang w:val="sq-AL"/>
        </w:rPr>
        <w:t xml:space="preserve"> 2019, njësitë e vetëqeverisjes vendore në shkallë kombëtare kanë mbledhur të ardhura masën 11.349 milionë lekë, shifër kjo që është rreth 2.5 miliard lekë më shumë ose rreth 29 për qind më e lartë se vlera e të ardhurave të mbledhura gjatë të njëjtës periudhë të vitit 2018. Edhe në raport me planin e periudhës ka një tejkalim të lehtë të të ardhurave të pushtetit vendor prej afro 2.2 miliard lekë ose 24% më shum</w:t>
      </w:r>
      <w:r w:rsidR="007F32B7" w:rsidRPr="004E355C">
        <w:rPr>
          <w:rFonts w:asciiTheme="minorHAnsi" w:hAnsiTheme="minorHAnsi"/>
          <w:lang w:val="sq-AL"/>
        </w:rPr>
        <w:t>ë</w:t>
      </w:r>
      <w:r w:rsidR="003D557E" w:rsidRPr="004E355C">
        <w:rPr>
          <w:rFonts w:asciiTheme="minorHAnsi" w:hAnsiTheme="minorHAnsi"/>
          <w:lang w:val="sq-AL"/>
        </w:rPr>
        <w:t xml:space="preserve"> se plani i miratuar për 5 mujorin 2019</w:t>
      </w:r>
      <w:r w:rsidRPr="004E355C">
        <w:rPr>
          <w:rFonts w:asciiTheme="minorHAnsi" w:hAnsiTheme="minorHAnsi"/>
          <w:lang w:val="sq-AL"/>
        </w:rPr>
        <w:t>.</w:t>
      </w:r>
    </w:p>
    <w:p w:rsidR="003D557E" w:rsidRPr="004E355C" w:rsidRDefault="003D557E" w:rsidP="003D557E">
      <w:pPr>
        <w:pStyle w:val="Caption"/>
        <w:keepNext/>
        <w:spacing w:before="240" w:after="0"/>
        <w:jc w:val="both"/>
        <w:rPr>
          <w:rFonts w:asciiTheme="minorHAnsi" w:hAnsiTheme="minorHAnsi"/>
          <w:b w:val="0"/>
          <w:bCs w:val="0"/>
          <w:i/>
          <w:color w:val="auto"/>
          <w:sz w:val="24"/>
          <w:szCs w:val="24"/>
          <w:lang w:val="sq-AL"/>
        </w:rPr>
      </w:pPr>
      <w:bookmarkStart w:id="47" w:name="_Toc12448454"/>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28</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sipas burimit për njësitë vendore (në milionë LEK)</w:t>
      </w:r>
      <w:bookmarkEnd w:id="47"/>
    </w:p>
    <w:p w:rsidR="00444E32" w:rsidRPr="004E355C" w:rsidRDefault="003D557E" w:rsidP="00C75D59">
      <w:pPr>
        <w:jc w:val="center"/>
        <w:rPr>
          <w:rFonts w:asciiTheme="minorHAnsi" w:eastAsia="SimSun" w:hAnsiTheme="minorHAnsi"/>
          <w:i/>
          <w:lang w:val="sq-AL"/>
        </w:rPr>
      </w:pPr>
      <w:r w:rsidRPr="004E355C">
        <w:rPr>
          <w:rFonts w:asciiTheme="minorHAnsi" w:hAnsiTheme="minorHAnsi"/>
          <w:noProof/>
        </w:rPr>
        <w:drawing>
          <wp:inline distT="0" distB="0" distL="0" distR="0" wp14:anchorId="1E62BD87" wp14:editId="4D0DA54E">
            <wp:extent cx="5981700" cy="2735580"/>
            <wp:effectExtent l="0" t="0" r="0" b="7620"/>
            <wp:docPr id="279" name="Chart 2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D557E" w:rsidRPr="004E355C" w:rsidRDefault="003D557E" w:rsidP="003D557E">
      <w:pPr>
        <w:spacing w:line="276" w:lineRule="auto"/>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444E32" w:rsidRPr="004E355C" w:rsidRDefault="00692679" w:rsidP="00692679">
      <w:pPr>
        <w:spacing w:before="240" w:line="276" w:lineRule="auto"/>
        <w:jc w:val="both"/>
        <w:rPr>
          <w:rFonts w:asciiTheme="minorHAnsi" w:eastAsia="SimSun" w:hAnsiTheme="minorHAnsi"/>
          <w:lang w:val="sq-AL"/>
        </w:rPr>
      </w:pPr>
      <w:r w:rsidRPr="004E355C">
        <w:rPr>
          <w:rFonts w:asciiTheme="minorHAnsi" w:eastAsia="SimSun" w:hAnsiTheme="minorHAnsi"/>
          <w:lang w:val="sq-AL"/>
        </w:rPr>
        <w:lastRenderedPageBreak/>
        <w:t>Të ardhurat që siguron njësia vendore për 5 mujorin e parë të vitit nga taksat lokale janë ato që zënë pjesën më të madhe ose 72% për vitin 2018 dhe 74% për vitin 2019 të shumës totale të këtyrë të ardhurave. Nga ana tjetër realizimi faktik i 5 mujorit të parë të vitit 2019 rezulton se nga taksa e biznesit të vogël janë mbledhur 282 milion lekë dhe nga taksa e pasurisë (ndërtesa) janë mbledhur 2.665 milion lekë. Parë në këtë këndvështrim rritja e efektshërisë së mbledhjes së taksave nga pushteti vendor bën që ato të sigurojnë një nivel më të lartë decentralizimi dhe gjithashtu kjo tregon që në tërësi gjatë vitit 2019 kemi një rritje të mbledhshmërisë së të ardhurave të pushtetit vendor, ku vetëm taksat vendore janë rreth 2 miliard lekë më shumë se njëjta periudhë e një vitit më parë. Gjithashtu duke ju referuar totalit të këtyre të ardhurave kemi një rritje të konsiderueshme e cila vjen si pasojë e taksave vendore dhe taska mbi pasurinë, ku janë mbledhur përkatësisht rreth 32% dhe 21% më shumë se e njëjta periudhë e një viti më parë</w:t>
      </w:r>
    </w:p>
    <w:p w:rsidR="00B770CC" w:rsidRPr="004E355C" w:rsidRDefault="00B770CC" w:rsidP="00B770CC">
      <w:pPr>
        <w:pStyle w:val="Caption"/>
        <w:keepNext/>
        <w:spacing w:before="240" w:after="0"/>
        <w:jc w:val="both"/>
        <w:rPr>
          <w:rFonts w:asciiTheme="minorHAnsi" w:hAnsiTheme="minorHAnsi"/>
          <w:b w:val="0"/>
          <w:bCs w:val="0"/>
          <w:i/>
          <w:color w:val="auto"/>
          <w:sz w:val="24"/>
          <w:szCs w:val="24"/>
          <w:lang w:val="sq-AL"/>
        </w:rPr>
      </w:pPr>
      <w:bookmarkStart w:id="48" w:name="_Toc12448455"/>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29</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Të ardhurat e përgjithshme të pushtetit e pushtetit vendor (në miliard LEK)</w:t>
      </w:r>
      <w:bookmarkEnd w:id="48"/>
    </w:p>
    <w:p w:rsidR="00B770CC" w:rsidRPr="004E355C" w:rsidRDefault="00B770CC" w:rsidP="00B770CC">
      <w:pPr>
        <w:spacing w:before="240" w:line="276" w:lineRule="auto"/>
        <w:jc w:val="center"/>
        <w:rPr>
          <w:rFonts w:asciiTheme="minorHAnsi" w:eastAsia="SimSun" w:hAnsiTheme="minorHAnsi"/>
          <w:lang w:val="sq-AL"/>
        </w:rPr>
      </w:pPr>
      <w:r w:rsidRPr="004E355C">
        <w:rPr>
          <w:rFonts w:asciiTheme="minorHAnsi" w:hAnsiTheme="minorHAnsi"/>
          <w:noProof/>
        </w:rPr>
        <w:drawing>
          <wp:inline distT="0" distB="0" distL="0" distR="0" wp14:anchorId="1F8B8332" wp14:editId="4634D12E">
            <wp:extent cx="5810250" cy="2186940"/>
            <wp:effectExtent l="0" t="0" r="0" b="3810"/>
            <wp:docPr id="280" name="Chart 28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B770CC" w:rsidRPr="004E355C" w:rsidRDefault="00B770CC" w:rsidP="00B770CC">
      <w:pPr>
        <w:spacing w:line="276" w:lineRule="auto"/>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AD3FCB" w:rsidRPr="004E355C" w:rsidRDefault="00AD3FCB" w:rsidP="00AD3FCB">
      <w:pPr>
        <w:spacing w:before="240" w:line="276" w:lineRule="auto"/>
        <w:jc w:val="both"/>
        <w:rPr>
          <w:rFonts w:asciiTheme="minorHAnsi" w:hAnsiTheme="minorHAnsi"/>
          <w:lang w:val="sq-AL"/>
        </w:rPr>
      </w:pPr>
      <w:r w:rsidRPr="004E355C">
        <w:rPr>
          <w:rFonts w:asciiTheme="minorHAnsi" w:hAnsiTheme="minorHAnsi"/>
          <w:lang w:val="sq-AL"/>
        </w:rPr>
        <w:t>Duke marrë në analizë të ardhurat e NJVQV-ve sipas burimit, konstatohet sa mëposhtë vijon:</w:t>
      </w:r>
    </w:p>
    <w:p w:rsidR="00AD3FCB" w:rsidRPr="004E355C" w:rsidRDefault="00AD3FCB" w:rsidP="00AD3FCB">
      <w:pPr>
        <w:spacing w:before="240" w:line="276" w:lineRule="auto"/>
        <w:jc w:val="both"/>
        <w:rPr>
          <w:rFonts w:asciiTheme="minorHAnsi" w:hAnsiTheme="minorHAnsi"/>
          <w:b/>
          <w:lang w:val="sq-AL"/>
        </w:rPr>
      </w:pPr>
      <w:r w:rsidRPr="004E355C">
        <w:rPr>
          <w:rFonts w:asciiTheme="minorHAnsi" w:hAnsiTheme="minorHAnsi"/>
          <w:b/>
          <w:lang w:val="sq-AL"/>
        </w:rPr>
        <w:t xml:space="preserve">Taksa mbi pasurinë </w:t>
      </w:r>
    </w:p>
    <w:p w:rsidR="00AD3FCB" w:rsidRPr="004E355C" w:rsidRDefault="00AD3FCB" w:rsidP="00AD3FCB">
      <w:pPr>
        <w:spacing w:line="276" w:lineRule="auto"/>
        <w:jc w:val="both"/>
        <w:rPr>
          <w:rFonts w:asciiTheme="minorHAnsi" w:hAnsiTheme="minorHAnsi"/>
          <w:lang w:val="sq-AL"/>
        </w:rPr>
      </w:pPr>
      <w:r w:rsidRPr="004E355C">
        <w:rPr>
          <w:rFonts w:asciiTheme="minorHAnsi" w:hAnsiTheme="minorHAnsi"/>
          <w:lang w:val="sq-AL"/>
        </w:rPr>
        <w:t>Duke analizuar në raport me një vit më parë, nga taksa mbi pasurinë është siguruar rreth 468 milion lekë më shumë të ardhura, duke konsolizuar në këtë mënyrë këtë taksë si një burim i rëndësishëm financimi. Në total për 5 mujorin e vitit 2019 nga taksa mbi pasurinë pushteti vendor ka siguruara rreth 2.6 miliard lekë e thënë ndryshe, rritja me 21% në raport me një vit më parë e të ardhurave të kësaj takse, do të vazhdojë të jetë një mënyrë e rëndësishme për zhvillimin e prioriteteve dhe konsolidimin fiskal në nivel vendor.</w:t>
      </w:r>
    </w:p>
    <w:p w:rsidR="00AD3FCB" w:rsidRPr="004E355C" w:rsidRDefault="00AD3FCB" w:rsidP="00B55813">
      <w:pPr>
        <w:spacing w:before="240" w:line="276" w:lineRule="auto"/>
        <w:jc w:val="both"/>
        <w:rPr>
          <w:rFonts w:asciiTheme="minorHAnsi" w:hAnsiTheme="minorHAnsi"/>
          <w:b/>
          <w:lang w:val="sq-AL"/>
        </w:rPr>
      </w:pPr>
      <w:r w:rsidRPr="004E355C">
        <w:rPr>
          <w:rFonts w:asciiTheme="minorHAnsi" w:hAnsiTheme="minorHAnsi"/>
          <w:b/>
          <w:lang w:val="sq-AL"/>
        </w:rPr>
        <w:t>Taksa e Biznesit të vogël</w:t>
      </w:r>
    </w:p>
    <w:p w:rsidR="00AD3FCB" w:rsidRPr="004E355C" w:rsidRDefault="00AD3FCB" w:rsidP="00AD3FCB">
      <w:pPr>
        <w:spacing w:line="276" w:lineRule="auto"/>
        <w:jc w:val="both"/>
        <w:rPr>
          <w:rFonts w:asciiTheme="minorHAnsi" w:hAnsiTheme="minorHAnsi"/>
          <w:lang w:val="sq-AL"/>
        </w:rPr>
      </w:pPr>
      <w:r w:rsidRPr="004E355C">
        <w:rPr>
          <w:rFonts w:asciiTheme="minorHAnsi" w:hAnsiTheme="minorHAnsi"/>
          <w:lang w:val="sq-AL"/>
        </w:rPr>
        <w:t>Tatimi mbi biznesin e vogël në vite si pasojë e ndryshimeve fiskale ka patur një rënie në peshën që zë në buxhetin vendor kjo e ardhur. Në këto kushte mund të evidentohet lehtësisht në grafikun e mëposhtëm nr. 4, ndryshimi në vite i këtij burimi:</w:t>
      </w:r>
    </w:p>
    <w:p w:rsidR="00AD3FCB" w:rsidRPr="004E355C" w:rsidRDefault="00AD3FCB" w:rsidP="00AD3FCB">
      <w:pPr>
        <w:spacing w:line="276" w:lineRule="auto"/>
        <w:jc w:val="both"/>
        <w:rPr>
          <w:rFonts w:asciiTheme="minorHAnsi" w:hAnsiTheme="minorHAnsi"/>
          <w:lang w:val="sq-AL"/>
        </w:rPr>
      </w:pPr>
      <w:r w:rsidRPr="004E355C">
        <w:rPr>
          <w:rFonts w:asciiTheme="minorHAnsi" w:hAnsiTheme="minorHAnsi"/>
          <w:lang w:val="sq-AL"/>
        </w:rPr>
        <w:t>Duke analizuar trendin e ndryshimit, në krahasim me 5 mujorin e vitit 2018, gjatë vitit 2019 nga kjo taskë janë siguruar rreth 282 milion lekë ose 9% më shumë. Ky burim pamvarësisht se zë vetëm 2.5% të të ardhura vendore, ka pësuar një rritje me rreth 24 milion lekë.</w:t>
      </w:r>
    </w:p>
    <w:p w:rsidR="00C75D59" w:rsidRPr="004E355C" w:rsidRDefault="00C75D59" w:rsidP="00B55813">
      <w:pPr>
        <w:spacing w:before="240" w:line="276" w:lineRule="auto"/>
        <w:jc w:val="both"/>
        <w:rPr>
          <w:rFonts w:asciiTheme="minorHAnsi" w:hAnsiTheme="minorHAnsi"/>
          <w:b/>
          <w:lang w:val="sq-AL"/>
        </w:rPr>
      </w:pPr>
    </w:p>
    <w:p w:rsidR="00AD3FCB" w:rsidRPr="004E355C" w:rsidRDefault="00AD3FCB" w:rsidP="00B55813">
      <w:pPr>
        <w:spacing w:before="240" w:line="276" w:lineRule="auto"/>
        <w:jc w:val="both"/>
        <w:rPr>
          <w:rFonts w:asciiTheme="minorHAnsi" w:hAnsiTheme="minorHAnsi"/>
          <w:b/>
          <w:lang w:val="sq-AL"/>
        </w:rPr>
      </w:pPr>
      <w:r w:rsidRPr="004E355C">
        <w:rPr>
          <w:rFonts w:asciiTheme="minorHAnsi" w:hAnsiTheme="minorHAnsi"/>
          <w:b/>
          <w:lang w:val="sq-AL"/>
        </w:rPr>
        <w:lastRenderedPageBreak/>
        <w:t>Taksat Lokale</w:t>
      </w:r>
    </w:p>
    <w:p w:rsidR="00AD3FCB" w:rsidRPr="004E355C" w:rsidRDefault="00AD3FCB" w:rsidP="00AD3FCB">
      <w:pPr>
        <w:spacing w:line="276" w:lineRule="auto"/>
        <w:jc w:val="both"/>
        <w:rPr>
          <w:rFonts w:asciiTheme="minorHAnsi" w:hAnsiTheme="minorHAnsi"/>
          <w:lang w:val="sq-AL"/>
        </w:rPr>
      </w:pPr>
      <w:r w:rsidRPr="004E355C">
        <w:rPr>
          <w:rFonts w:asciiTheme="minorHAnsi" w:hAnsiTheme="minorHAnsi"/>
          <w:lang w:val="sq-AL"/>
        </w:rPr>
        <w:t>Njësitë e vetëqeverisjes vendore gjithmonë e më shumë po konsolidohen në këndvështimin financiar dhe për këtë e dëshmon rritja e të ardhurave nga takasta lokale si një ndër burimet më të rëndësishme të financimit. Në total, të ardhurat nga taksat vendore zënë rreth 74% të të ardhurave të veta vendore, tregues ky i cili reflektohet si në grafikun 5 e mëposhtëm:</w:t>
      </w:r>
    </w:p>
    <w:p w:rsidR="00AD3FCB" w:rsidRPr="004E355C" w:rsidRDefault="00AD3FCB" w:rsidP="00AD3FCB">
      <w:pPr>
        <w:spacing w:line="276" w:lineRule="auto"/>
        <w:jc w:val="both"/>
        <w:rPr>
          <w:rFonts w:asciiTheme="minorHAnsi" w:hAnsiTheme="minorHAnsi"/>
          <w:lang w:val="sq-AL"/>
        </w:rPr>
      </w:pPr>
      <w:r w:rsidRPr="004E355C">
        <w:rPr>
          <w:rFonts w:asciiTheme="minorHAnsi" w:hAnsiTheme="minorHAnsi"/>
          <w:lang w:val="sq-AL"/>
        </w:rPr>
        <w:t>Të ardhurat nga taksat lokale në 5 mujorin e vitit 2019 kanë arritur në rreth 8.4 miliard lekë, ose rreth 2 miliard lekë më shumë se një vit më parë. Kjo rritje me rreth 32% tregon qëndrueshmërinë në vite të të ardhurave të veta vendore dhe gjithashtu tendencën pozitive që ka pushteti vendor për të thelluar reformën në konoslidimin fiskal. Në të gjithë proceset e menaxhimit financiar në nivel vendor është vënë theksi jo vetëm në mënyrën e përdorimit të fondeve publike por edhe në rëndësinë që ka rritja e të ardhurave të veta vendore në zhvillimin cilësorë të shërbimeve që ofron pushteti vendor për qytetarët.</w:t>
      </w:r>
    </w:p>
    <w:p w:rsidR="00692679" w:rsidRPr="004E355C" w:rsidRDefault="00692679" w:rsidP="00070183">
      <w:pPr>
        <w:pStyle w:val="ListParagraph"/>
        <w:spacing w:before="240"/>
        <w:jc w:val="both"/>
        <w:rPr>
          <w:rFonts w:asciiTheme="minorHAnsi" w:eastAsia="SimSun" w:hAnsiTheme="minorHAnsi"/>
          <w:i/>
          <w:sz w:val="8"/>
          <w:szCs w:val="8"/>
          <w:lang w:val="sq-AL"/>
        </w:rPr>
      </w:pPr>
    </w:p>
    <w:p w:rsidR="00B55813" w:rsidRPr="004E355C" w:rsidRDefault="007532D4" w:rsidP="007532D4">
      <w:pPr>
        <w:pStyle w:val="Heading2"/>
        <w:spacing w:line="276" w:lineRule="auto"/>
        <w:ind w:left="720" w:hanging="720"/>
        <w:jc w:val="both"/>
        <w:rPr>
          <w:rFonts w:asciiTheme="minorHAnsi" w:eastAsia="SimSun" w:hAnsiTheme="minorHAnsi"/>
          <w:i/>
          <w:sz w:val="27"/>
          <w:szCs w:val="27"/>
          <w:lang w:val="sq-AL"/>
        </w:rPr>
      </w:pPr>
      <w:bookmarkStart w:id="49" w:name="_Toc12527224"/>
      <w:r w:rsidRPr="004E355C">
        <w:rPr>
          <w:rFonts w:asciiTheme="minorHAnsi" w:hAnsiTheme="minorHAnsi"/>
          <w:noProof/>
          <w:color w:val="4F81BD" w:themeColor="accent1"/>
          <w:sz w:val="28"/>
          <w:szCs w:val="28"/>
          <w:lang w:val="sq-AL"/>
        </w:rPr>
        <w:t>III.3</w:t>
      </w:r>
      <w:r w:rsidRPr="004E355C">
        <w:rPr>
          <w:rFonts w:asciiTheme="minorHAnsi" w:hAnsiTheme="minorHAnsi"/>
          <w:noProof/>
          <w:color w:val="4F81BD" w:themeColor="accent1"/>
          <w:sz w:val="28"/>
          <w:szCs w:val="28"/>
          <w:lang w:val="sq-AL"/>
        </w:rPr>
        <w:tab/>
      </w:r>
      <w:r w:rsidRPr="00C34452">
        <w:rPr>
          <w:rFonts w:asciiTheme="minorHAnsi" w:hAnsiTheme="minorHAnsi"/>
          <w:noProof/>
          <w:color w:val="4F81BD" w:themeColor="accent1"/>
          <w:sz w:val="26"/>
          <w:lang w:val="sq-AL"/>
        </w:rPr>
        <w:t>Fondi Rezervë, Fondi i Kontigjencës, Fondi i Veçantë &amp; Fondi për Rritjen e Pagave</w:t>
      </w:r>
      <w:bookmarkEnd w:id="49"/>
      <w:r w:rsidRPr="004E355C">
        <w:rPr>
          <w:rFonts w:asciiTheme="minorHAnsi" w:hAnsiTheme="minorHAnsi"/>
          <w:noProof/>
          <w:color w:val="4F81BD" w:themeColor="accent1"/>
          <w:sz w:val="27"/>
          <w:szCs w:val="27"/>
          <w:lang w:val="sq-AL"/>
        </w:rPr>
        <w:t xml:space="preserve"> </w:t>
      </w:r>
    </w:p>
    <w:p w:rsidR="00A61AD8" w:rsidRPr="004E355C" w:rsidRDefault="00A61AD8" w:rsidP="00666B9F">
      <w:pPr>
        <w:spacing w:line="276" w:lineRule="auto"/>
        <w:jc w:val="both"/>
        <w:rPr>
          <w:rFonts w:asciiTheme="minorHAnsi" w:hAnsiTheme="minorHAnsi"/>
          <w:lang w:val="sq-AL"/>
        </w:rPr>
      </w:pPr>
      <w:r w:rsidRPr="004E355C">
        <w:rPr>
          <w:rFonts w:asciiTheme="minorHAnsi" w:hAnsiTheme="minorHAnsi"/>
          <w:lang w:val="sq-AL"/>
        </w:rPr>
        <w:t>Në analizën e shpenzimeve për periudhën janar-maj 2019, janë përfshirë edhe shpenzimet e realizuara nga përdorimet e fondit rezervë të buxhetit të shtetit, të fondit të kontigjencës, dhe fondit për rritjen e pagave. Më konkretisht:</w:t>
      </w:r>
    </w:p>
    <w:p w:rsidR="00077ACE" w:rsidRPr="004E355C" w:rsidRDefault="00077ACE" w:rsidP="00077ACE">
      <w:pPr>
        <w:pStyle w:val="ListParagraph"/>
        <w:widowControl w:val="0"/>
        <w:autoSpaceDE w:val="0"/>
        <w:autoSpaceDN w:val="0"/>
        <w:adjustRightInd w:val="0"/>
        <w:spacing w:line="276" w:lineRule="auto"/>
        <w:ind w:left="360"/>
        <w:jc w:val="both"/>
        <w:rPr>
          <w:rFonts w:asciiTheme="minorHAnsi" w:hAnsiTheme="minorHAnsi"/>
          <w:sz w:val="8"/>
          <w:szCs w:val="8"/>
          <w:lang w:val="sq-AL"/>
        </w:rPr>
      </w:pPr>
    </w:p>
    <w:p w:rsidR="000D582B" w:rsidRPr="004E355C" w:rsidRDefault="00A61AD8" w:rsidP="00B95810">
      <w:pPr>
        <w:pStyle w:val="ListParagraph"/>
        <w:widowControl w:val="0"/>
        <w:numPr>
          <w:ilvl w:val="0"/>
          <w:numId w:val="2"/>
        </w:numPr>
        <w:autoSpaceDE w:val="0"/>
        <w:autoSpaceDN w:val="0"/>
        <w:adjustRightInd w:val="0"/>
        <w:spacing w:line="276" w:lineRule="auto"/>
        <w:ind w:left="360"/>
        <w:jc w:val="both"/>
        <w:rPr>
          <w:rFonts w:asciiTheme="minorHAnsi" w:hAnsiTheme="minorHAnsi"/>
          <w:lang w:val="sq-AL"/>
        </w:rPr>
      </w:pPr>
      <w:r w:rsidRPr="004E355C">
        <w:rPr>
          <w:rFonts w:asciiTheme="minorHAnsi" w:hAnsiTheme="minorHAnsi"/>
          <w:b/>
          <w:lang w:val="sq-AL"/>
        </w:rPr>
        <w:t>Fondi Rezervë i buxhetit të shtetit</w:t>
      </w:r>
      <w:r w:rsidRPr="004E355C">
        <w:rPr>
          <w:rFonts w:asciiTheme="minorHAnsi" w:hAnsiTheme="minorHAnsi"/>
          <w:lang w:val="sq-AL"/>
        </w:rPr>
        <w:t xml:space="preserve"> për vitin 2019 është miratuar në masën 1.5 miliard LEK. Deri në datën 30 qershor 2019 ai është përdorur nëpërmjet 14 Vendimeve të Këshillit të Ministrave, për një shumë prej rreth 1 434 milionë LEK ose rreth 95.6 përqind e tij. Nga këto</w:t>
      </w:r>
      <w:r w:rsidR="000D582B" w:rsidRPr="004E355C">
        <w:rPr>
          <w:rFonts w:asciiTheme="minorHAnsi" w:hAnsiTheme="minorHAnsi"/>
          <w:lang w:val="sq-AL"/>
        </w:rPr>
        <w:t>:</w:t>
      </w:r>
      <w:r w:rsidRPr="004E355C">
        <w:rPr>
          <w:rFonts w:asciiTheme="minorHAnsi" w:hAnsiTheme="minorHAnsi"/>
          <w:lang w:val="sq-AL"/>
        </w:rPr>
        <w:t xml:space="preserve"> </w:t>
      </w:r>
    </w:p>
    <w:p w:rsidR="000D582B" w:rsidRPr="004E355C" w:rsidRDefault="00A61AD8" w:rsidP="00B95810">
      <w:pPr>
        <w:pStyle w:val="ListParagraph"/>
        <w:widowControl w:val="0"/>
        <w:numPr>
          <w:ilvl w:val="1"/>
          <w:numId w:val="2"/>
        </w:numPr>
        <w:autoSpaceDE w:val="0"/>
        <w:autoSpaceDN w:val="0"/>
        <w:adjustRightInd w:val="0"/>
        <w:spacing w:before="240" w:line="276" w:lineRule="auto"/>
        <w:ind w:left="990"/>
        <w:jc w:val="both"/>
        <w:rPr>
          <w:rFonts w:asciiTheme="minorHAnsi" w:hAnsiTheme="minorHAnsi"/>
          <w:i/>
          <w:lang w:val="sq-AL"/>
        </w:rPr>
      </w:pPr>
      <w:r w:rsidRPr="004E355C">
        <w:rPr>
          <w:rFonts w:asciiTheme="minorHAnsi" w:hAnsiTheme="minorHAnsi"/>
          <w:i/>
          <w:lang w:val="sq-AL"/>
        </w:rPr>
        <w:t xml:space="preserve">rreth 1 338 milionë LEK janë përdorur për shpenzime korente (shpenzime operative dhe transferta të brendshme), </w:t>
      </w:r>
    </w:p>
    <w:p w:rsidR="000D582B" w:rsidRPr="004E355C" w:rsidRDefault="000D582B" w:rsidP="00B95810">
      <w:pPr>
        <w:pStyle w:val="ListParagraph"/>
        <w:widowControl w:val="0"/>
        <w:numPr>
          <w:ilvl w:val="1"/>
          <w:numId w:val="2"/>
        </w:numPr>
        <w:autoSpaceDE w:val="0"/>
        <w:autoSpaceDN w:val="0"/>
        <w:adjustRightInd w:val="0"/>
        <w:spacing w:before="240" w:line="276" w:lineRule="auto"/>
        <w:ind w:left="990"/>
        <w:jc w:val="both"/>
        <w:rPr>
          <w:rFonts w:asciiTheme="minorHAnsi" w:hAnsiTheme="minorHAnsi"/>
          <w:i/>
          <w:lang w:val="sq-AL"/>
        </w:rPr>
      </w:pPr>
      <w:r w:rsidRPr="004E355C">
        <w:rPr>
          <w:rFonts w:asciiTheme="minorHAnsi" w:hAnsiTheme="minorHAnsi"/>
          <w:i/>
          <w:lang w:val="sq-AL"/>
        </w:rPr>
        <w:t xml:space="preserve">rreth </w:t>
      </w:r>
      <w:r w:rsidR="00A61AD8" w:rsidRPr="004E355C">
        <w:rPr>
          <w:rFonts w:asciiTheme="minorHAnsi" w:hAnsiTheme="minorHAnsi"/>
          <w:i/>
          <w:lang w:val="sq-AL"/>
        </w:rPr>
        <w:t>91.25 milionë LEK për shpenzime personeli dhe</w:t>
      </w:r>
    </w:p>
    <w:p w:rsidR="00A61AD8" w:rsidRPr="004E355C" w:rsidRDefault="00A61AD8" w:rsidP="00B95810">
      <w:pPr>
        <w:pStyle w:val="ListParagraph"/>
        <w:widowControl w:val="0"/>
        <w:numPr>
          <w:ilvl w:val="1"/>
          <w:numId w:val="2"/>
        </w:numPr>
        <w:autoSpaceDE w:val="0"/>
        <w:autoSpaceDN w:val="0"/>
        <w:adjustRightInd w:val="0"/>
        <w:spacing w:before="240" w:line="276" w:lineRule="auto"/>
        <w:ind w:left="990"/>
        <w:jc w:val="both"/>
        <w:rPr>
          <w:rFonts w:asciiTheme="minorHAnsi" w:hAnsiTheme="minorHAnsi"/>
          <w:i/>
          <w:lang w:val="sq-AL"/>
        </w:rPr>
      </w:pPr>
      <w:r w:rsidRPr="004E355C">
        <w:rPr>
          <w:rFonts w:asciiTheme="minorHAnsi" w:hAnsiTheme="minorHAnsi"/>
          <w:i/>
          <w:lang w:val="sq-AL"/>
        </w:rPr>
        <w:t xml:space="preserve">rreth 4.2 milionë LEK për investime publike. </w:t>
      </w:r>
    </w:p>
    <w:p w:rsidR="00A61AD8" w:rsidRPr="004E355C" w:rsidRDefault="00A61AD8" w:rsidP="00A61AD8">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A61AD8" w:rsidRPr="004E355C" w:rsidRDefault="00A61AD8" w:rsidP="000D582B">
      <w:pPr>
        <w:pStyle w:val="ListParagraph"/>
        <w:widowControl w:val="0"/>
        <w:autoSpaceDE w:val="0"/>
        <w:autoSpaceDN w:val="0"/>
        <w:adjustRightInd w:val="0"/>
        <w:spacing w:before="240" w:line="276" w:lineRule="auto"/>
        <w:ind w:left="360"/>
        <w:jc w:val="both"/>
        <w:rPr>
          <w:rFonts w:asciiTheme="minorHAnsi" w:hAnsiTheme="minorHAnsi"/>
          <w:lang w:val="sq-AL"/>
        </w:rPr>
      </w:pPr>
      <w:r w:rsidRPr="004E355C">
        <w:rPr>
          <w:rFonts w:asciiTheme="minorHAnsi" w:hAnsiTheme="minorHAnsi"/>
          <w:b/>
          <w:lang w:val="sq-AL"/>
        </w:rPr>
        <w:t>Gjendja e papërdorur</w:t>
      </w:r>
      <w:r w:rsidRPr="004E355C">
        <w:rPr>
          <w:rFonts w:asciiTheme="minorHAnsi" w:hAnsiTheme="minorHAnsi"/>
          <w:lang w:val="sq-AL"/>
        </w:rPr>
        <w:t xml:space="preserve"> e fondit rezervë të buxhetit të shtetit, </w:t>
      </w:r>
      <w:r w:rsidRPr="004E355C">
        <w:rPr>
          <w:rFonts w:asciiTheme="minorHAnsi" w:hAnsiTheme="minorHAnsi"/>
          <w:b/>
          <w:lang w:val="sq-AL"/>
        </w:rPr>
        <w:t>në datën 30 qershor 2019</w:t>
      </w:r>
      <w:r w:rsidRPr="004E355C">
        <w:rPr>
          <w:rFonts w:asciiTheme="minorHAnsi" w:hAnsiTheme="minorHAnsi"/>
          <w:lang w:val="sq-AL"/>
        </w:rPr>
        <w:t xml:space="preserve">, rezulton </w:t>
      </w:r>
      <w:r w:rsidRPr="004E355C">
        <w:rPr>
          <w:rFonts w:asciiTheme="minorHAnsi" w:hAnsiTheme="minorHAnsi"/>
          <w:b/>
          <w:lang w:val="sq-AL"/>
        </w:rPr>
        <w:t>25.6 milionë LEK</w:t>
      </w:r>
      <w:r w:rsidRPr="004E355C">
        <w:rPr>
          <w:rFonts w:asciiTheme="minorHAnsi" w:hAnsiTheme="minorHAnsi"/>
          <w:lang w:val="sq-AL"/>
        </w:rPr>
        <w:t xml:space="preserve">. </w:t>
      </w:r>
    </w:p>
    <w:p w:rsidR="00A61AD8" w:rsidRPr="004E355C" w:rsidRDefault="00A61AD8" w:rsidP="00A61AD8">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0D582B" w:rsidRPr="004E355C" w:rsidRDefault="000D582B" w:rsidP="000D582B">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0D582B" w:rsidRPr="004E355C" w:rsidRDefault="00A61AD8" w:rsidP="00B95810">
      <w:pPr>
        <w:pStyle w:val="ListParagraph"/>
        <w:widowControl w:val="0"/>
        <w:numPr>
          <w:ilvl w:val="0"/>
          <w:numId w:val="2"/>
        </w:numPr>
        <w:autoSpaceDE w:val="0"/>
        <w:autoSpaceDN w:val="0"/>
        <w:adjustRightInd w:val="0"/>
        <w:spacing w:before="240" w:line="276" w:lineRule="auto"/>
        <w:ind w:left="360"/>
        <w:jc w:val="both"/>
        <w:rPr>
          <w:rFonts w:asciiTheme="minorHAnsi" w:hAnsiTheme="minorHAnsi"/>
          <w:lang w:val="sq-AL"/>
        </w:rPr>
      </w:pPr>
      <w:r w:rsidRPr="004E355C">
        <w:rPr>
          <w:rFonts w:asciiTheme="minorHAnsi" w:hAnsiTheme="minorHAnsi"/>
          <w:b/>
          <w:lang w:val="sq-AL"/>
        </w:rPr>
        <w:t xml:space="preserve">Fondi Rezervë </w:t>
      </w:r>
      <w:r w:rsidR="000D582B" w:rsidRPr="004E355C">
        <w:rPr>
          <w:rFonts w:asciiTheme="minorHAnsi" w:hAnsiTheme="minorHAnsi"/>
          <w:b/>
          <w:lang w:val="sq-AL"/>
        </w:rPr>
        <w:t>për Sistemin e Drejtësisë</w:t>
      </w:r>
      <w:r w:rsidR="000D582B" w:rsidRPr="004E355C">
        <w:rPr>
          <w:rFonts w:asciiTheme="minorHAnsi" w:hAnsiTheme="minorHAnsi"/>
          <w:lang w:val="sq-AL"/>
        </w:rPr>
        <w:t xml:space="preserve"> </w:t>
      </w:r>
      <w:r w:rsidRPr="004E355C">
        <w:rPr>
          <w:rFonts w:asciiTheme="minorHAnsi" w:hAnsiTheme="minorHAnsi"/>
          <w:lang w:val="sq-AL"/>
        </w:rPr>
        <w:t xml:space="preserve">prej 1.4 miliard LEK, </w:t>
      </w:r>
      <w:r w:rsidR="000D582B" w:rsidRPr="004E355C">
        <w:rPr>
          <w:rFonts w:asciiTheme="minorHAnsi" w:hAnsiTheme="minorHAnsi"/>
          <w:lang w:val="sq-AL"/>
        </w:rPr>
        <w:t xml:space="preserve">është </w:t>
      </w:r>
      <w:r w:rsidRPr="004E355C">
        <w:rPr>
          <w:rFonts w:asciiTheme="minorHAnsi" w:hAnsiTheme="minorHAnsi"/>
          <w:lang w:val="sq-AL"/>
        </w:rPr>
        <w:t xml:space="preserve">planifikuar për t’u përdorur: </w:t>
      </w:r>
    </w:p>
    <w:p w:rsidR="000D582B" w:rsidRPr="004E355C" w:rsidRDefault="00077ACE" w:rsidP="00B95810">
      <w:pPr>
        <w:pStyle w:val="ListParagraph"/>
        <w:widowControl w:val="0"/>
        <w:numPr>
          <w:ilvl w:val="1"/>
          <w:numId w:val="2"/>
        </w:numPr>
        <w:autoSpaceDE w:val="0"/>
        <w:autoSpaceDN w:val="0"/>
        <w:adjustRightInd w:val="0"/>
        <w:spacing w:before="240" w:line="276" w:lineRule="auto"/>
        <w:ind w:left="990"/>
        <w:jc w:val="both"/>
        <w:rPr>
          <w:rFonts w:asciiTheme="minorHAnsi" w:hAnsiTheme="minorHAnsi"/>
          <w:i/>
          <w:lang w:val="sq-AL"/>
        </w:rPr>
      </w:pPr>
      <w:r w:rsidRPr="004E355C">
        <w:rPr>
          <w:rFonts w:asciiTheme="minorHAnsi" w:hAnsiTheme="minorHAnsi"/>
          <w:i/>
          <w:lang w:val="sq-AL"/>
        </w:rPr>
        <w:t xml:space="preserve">(i) </w:t>
      </w:r>
      <w:r w:rsidR="00A61AD8" w:rsidRPr="004E355C">
        <w:rPr>
          <w:rFonts w:asciiTheme="minorHAnsi" w:hAnsiTheme="minorHAnsi"/>
          <w:i/>
          <w:lang w:val="sq-AL"/>
        </w:rPr>
        <w:t xml:space="preserve">deri në 1 miliard lekë nga Ministria e Financave dhe Ekonomise, për financimin e pagave  të reja të magjistratëve; dhe </w:t>
      </w:r>
    </w:p>
    <w:p w:rsidR="000D582B" w:rsidRPr="004E355C" w:rsidRDefault="00077ACE" w:rsidP="00B95810">
      <w:pPr>
        <w:pStyle w:val="ListParagraph"/>
        <w:widowControl w:val="0"/>
        <w:numPr>
          <w:ilvl w:val="1"/>
          <w:numId w:val="2"/>
        </w:numPr>
        <w:autoSpaceDE w:val="0"/>
        <w:autoSpaceDN w:val="0"/>
        <w:adjustRightInd w:val="0"/>
        <w:spacing w:before="240" w:line="276" w:lineRule="auto"/>
        <w:ind w:left="990"/>
        <w:jc w:val="both"/>
        <w:rPr>
          <w:rFonts w:asciiTheme="minorHAnsi" w:hAnsiTheme="minorHAnsi"/>
          <w:i/>
          <w:lang w:val="sq-AL"/>
        </w:rPr>
      </w:pPr>
      <w:r w:rsidRPr="004E355C">
        <w:rPr>
          <w:rFonts w:asciiTheme="minorHAnsi" w:hAnsiTheme="minorHAnsi"/>
          <w:i/>
          <w:lang w:val="sq-AL"/>
        </w:rPr>
        <w:t xml:space="preserve">(ii) </w:t>
      </w:r>
      <w:r w:rsidR="00A61AD8" w:rsidRPr="004E355C">
        <w:rPr>
          <w:rFonts w:asciiTheme="minorHAnsi" w:hAnsiTheme="minorHAnsi"/>
          <w:i/>
          <w:lang w:val="sq-AL"/>
        </w:rPr>
        <w:t>deri në 400 milionë lekë nga Këshilli i Ministrave, për krijimin dhe funksionimin e  institucioneve të reja të sistemit të drejtësisë</w:t>
      </w:r>
      <w:r w:rsidR="000D582B" w:rsidRPr="004E355C">
        <w:rPr>
          <w:rFonts w:asciiTheme="minorHAnsi" w:hAnsiTheme="minorHAnsi"/>
          <w:i/>
          <w:lang w:val="sq-AL"/>
        </w:rPr>
        <w:t>.</w:t>
      </w:r>
      <w:r w:rsidR="00A61AD8" w:rsidRPr="004E355C">
        <w:rPr>
          <w:rFonts w:asciiTheme="minorHAnsi" w:hAnsiTheme="minorHAnsi"/>
          <w:i/>
          <w:lang w:val="sq-AL"/>
        </w:rPr>
        <w:t xml:space="preserve"> </w:t>
      </w:r>
    </w:p>
    <w:p w:rsidR="000D582B" w:rsidRPr="004E355C" w:rsidRDefault="000D582B" w:rsidP="000D582B">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A61AD8" w:rsidRPr="004E355C" w:rsidRDefault="000D582B" w:rsidP="000D582B">
      <w:pPr>
        <w:pStyle w:val="ListParagraph"/>
        <w:widowControl w:val="0"/>
        <w:autoSpaceDE w:val="0"/>
        <w:autoSpaceDN w:val="0"/>
        <w:adjustRightInd w:val="0"/>
        <w:spacing w:before="240" w:line="276" w:lineRule="auto"/>
        <w:ind w:left="360"/>
        <w:jc w:val="both"/>
        <w:rPr>
          <w:rFonts w:asciiTheme="minorHAnsi" w:hAnsiTheme="minorHAnsi"/>
          <w:lang w:val="sq-AL"/>
        </w:rPr>
      </w:pPr>
      <w:r w:rsidRPr="004E355C">
        <w:rPr>
          <w:rFonts w:asciiTheme="minorHAnsi" w:hAnsiTheme="minorHAnsi"/>
          <w:b/>
          <w:lang w:val="sq-AL"/>
        </w:rPr>
        <w:t>N</w:t>
      </w:r>
      <w:r w:rsidR="00A61AD8" w:rsidRPr="004E355C">
        <w:rPr>
          <w:rFonts w:asciiTheme="minorHAnsi" w:hAnsiTheme="minorHAnsi"/>
          <w:b/>
          <w:lang w:val="sq-AL"/>
        </w:rPr>
        <w:t>ë</w:t>
      </w:r>
      <w:r w:rsidRPr="004E355C">
        <w:rPr>
          <w:rFonts w:asciiTheme="minorHAnsi" w:hAnsiTheme="minorHAnsi"/>
          <w:b/>
          <w:lang w:val="sq-AL"/>
        </w:rPr>
        <w:t xml:space="preserve"> datën</w:t>
      </w:r>
      <w:r w:rsidR="00A61AD8" w:rsidRPr="004E355C">
        <w:rPr>
          <w:rFonts w:asciiTheme="minorHAnsi" w:hAnsiTheme="minorHAnsi"/>
          <w:b/>
          <w:lang w:val="sq-AL"/>
        </w:rPr>
        <w:t xml:space="preserve"> 30 qershor</w:t>
      </w:r>
      <w:r w:rsidR="00077ACE" w:rsidRPr="004E355C">
        <w:rPr>
          <w:rFonts w:asciiTheme="minorHAnsi" w:hAnsiTheme="minorHAnsi"/>
          <w:b/>
          <w:lang w:val="sq-AL"/>
        </w:rPr>
        <w:t xml:space="preserve"> 2019</w:t>
      </w:r>
      <w:r w:rsidRPr="004E355C">
        <w:rPr>
          <w:rFonts w:asciiTheme="minorHAnsi" w:hAnsiTheme="minorHAnsi"/>
          <w:lang w:val="sq-AL"/>
        </w:rPr>
        <w:t>, ai</w:t>
      </w:r>
      <w:r w:rsidR="00A61AD8" w:rsidRPr="004E355C">
        <w:rPr>
          <w:rFonts w:asciiTheme="minorHAnsi" w:hAnsiTheme="minorHAnsi"/>
          <w:lang w:val="sq-AL"/>
        </w:rPr>
        <w:t xml:space="preserve"> </w:t>
      </w:r>
      <w:r w:rsidRPr="004E355C">
        <w:rPr>
          <w:rFonts w:asciiTheme="minorHAnsi" w:hAnsiTheme="minorHAnsi"/>
          <w:lang w:val="sq-AL"/>
        </w:rPr>
        <w:t xml:space="preserve">rezulton me një disponueshmëri të mbetur </w:t>
      </w:r>
      <w:r w:rsidRPr="004E355C">
        <w:rPr>
          <w:rFonts w:asciiTheme="minorHAnsi" w:hAnsiTheme="minorHAnsi"/>
          <w:b/>
          <w:lang w:val="sq-AL"/>
        </w:rPr>
        <w:t>papërdorur prej</w:t>
      </w:r>
      <w:r w:rsidRPr="004E355C">
        <w:rPr>
          <w:rFonts w:asciiTheme="minorHAnsi" w:hAnsiTheme="minorHAnsi"/>
          <w:lang w:val="sq-AL"/>
        </w:rPr>
        <w:t xml:space="preserve">       </w:t>
      </w:r>
      <w:r w:rsidRPr="004E355C">
        <w:rPr>
          <w:rFonts w:asciiTheme="minorHAnsi" w:hAnsiTheme="minorHAnsi"/>
          <w:b/>
          <w:lang w:val="sq-AL"/>
        </w:rPr>
        <w:t>196.8 milionë LEK</w:t>
      </w:r>
      <w:r w:rsidRPr="004E355C">
        <w:rPr>
          <w:rFonts w:asciiTheme="minorHAnsi" w:hAnsiTheme="minorHAnsi"/>
          <w:lang w:val="sq-AL"/>
        </w:rPr>
        <w:t xml:space="preserve">, dhe me një përdorim prej </w:t>
      </w:r>
      <w:r w:rsidR="00077ACE" w:rsidRPr="004E355C">
        <w:rPr>
          <w:rFonts w:asciiTheme="minorHAnsi" w:hAnsiTheme="minorHAnsi"/>
          <w:lang w:val="sq-AL"/>
        </w:rPr>
        <w:t>1 203 milionë LEK</w:t>
      </w:r>
      <w:r w:rsidR="00A61AD8" w:rsidRPr="004E355C">
        <w:rPr>
          <w:rFonts w:asciiTheme="minorHAnsi" w:hAnsiTheme="minorHAnsi"/>
          <w:lang w:val="sq-AL"/>
        </w:rPr>
        <w:t>.</w:t>
      </w:r>
    </w:p>
    <w:p w:rsidR="000D582B" w:rsidRPr="004E355C" w:rsidRDefault="000D582B" w:rsidP="000D582B">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A61AD8" w:rsidRPr="004E355C" w:rsidRDefault="00A61AD8" w:rsidP="00B95810">
      <w:pPr>
        <w:pStyle w:val="ListParagraph"/>
        <w:widowControl w:val="0"/>
        <w:numPr>
          <w:ilvl w:val="0"/>
          <w:numId w:val="2"/>
        </w:numPr>
        <w:autoSpaceDE w:val="0"/>
        <w:autoSpaceDN w:val="0"/>
        <w:adjustRightInd w:val="0"/>
        <w:spacing w:before="240" w:line="276" w:lineRule="auto"/>
        <w:ind w:left="360"/>
        <w:jc w:val="both"/>
        <w:rPr>
          <w:rFonts w:asciiTheme="minorHAnsi" w:hAnsiTheme="minorHAnsi"/>
          <w:lang w:val="sq-AL"/>
        </w:rPr>
      </w:pPr>
      <w:r w:rsidRPr="004E355C">
        <w:rPr>
          <w:rFonts w:asciiTheme="minorHAnsi" w:hAnsiTheme="minorHAnsi"/>
          <w:b/>
          <w:lang w:val="sq-AL"/>
        </w:rPr>
        <w:t>Fondi Kontigjencë</w:t>
      </w:r>
      <w:r w:rsidRPr="004E355C">
        <w:rPr>
          <w:rFonts w:asciiTheme="minorHAnsi" w:hAnsiTheme="minorHAnsi"/>
          <w:lang w:val="sq-AL"/>
        </w:rPr>
        <w:t xml:space="preserve"> </w:t>
      </w:r>
      <w:r w:rsidR="00077ACE" w:rsidRPr="004E355C">
        <w:rPr>
          <w:rFonts w:asciiTheme="minorHAnsi" w:hAnsiTheme="minorHAnsi"/>
          <w:lang w:val="sq-AL"/>
        </w:rPr>
        <w:t xml:space="preserve">i planifikuar </w:t>
      </w:r>
      <w:r w:rsidRPr="004E355C">
        <w:rPr>
          <w:rFonts w:asciiTheme="minorHAnsi" w:hAnsiTheme="minorHAnsi"/>
          <w:lang w:val="sq-AL"/>
        </w:rPr>
        <w:t xml:space="preserve">në masën 4.3 miliardë lekë, për tu përdorur për të kompensuar rreziqe potenciale nga luhatjet në kurset e këmbimit ose normat e interesit, me ndikim në shpenzimet për interesa”, </w:t>
      </w:r>
      <w:r w:rsidRPr="004E355C">
        <w:rPr>
          <w:rFonts w:asciiTheme="minorHAnsi" w:hAnsiTheme="minorHAnsi"/>
          <w:b/>
          <w:lang w:val="sq-AL"/>
        </w:rPr>
        <w:t xml:space="preserve">rezulton </w:t>
      </w:r>
      <w:r w:rsidR="00077ACE" w:rsidRPr="004E355C">
        <w:rPr>
          <w:rFonts w:asciiTheme="minorHAnsi" w:hAnsiTheme="minorHAnsi"/>
          <w:b/>
          <w:lang w:val="sq-AL"/>
        </w:rPr>
        <w:t>i</w:t>
      </w:r>
      <w:r w:rsidRPr="004E355C">
        <w:rPr>
          <w:rFonts w:asciiTheme="minorHAnsi" w:hAnsiTheme="minorHAnsi"/>
          <w:b/>
          <w:lang w:val="sq-AL"/>
        </w:rPr>
        <w:t xml:space="preserve"> papërdorur</w:t>
      </w:r>
      <w:r w:rsidR="00077ACE" w:rsidRPr="004E355C">
        <w:rPr>
          <w:rFonts w:asciiTheme="minorHAnsi" w:hAnsiTheme="minorHAnsi"/>
          <w:b/>
          <w:lang w:val="sq-AL"/>
        </w:rPr>
        <w:t xml:space="preserve"> deri në 30.06.2019</w:t>
      </w:r>
      <w:r w:rsidRPr="004E355C">
        <w:rPr>
          <w:rFonts w:asciiTheme="minorHAnsi" w:hAnsiTheme="minorHAnsi"/>
          <w:lang w:val="sq-AL"/>
        </w:rPr>
        <w:t xml:space="preserve">. </w:t>
      </w:r>
    </w:p>
    <w:p w:rsidR="00077ACE" w:rsidRPr="004E355C" w:rsidRDefault="00077ACE" w:rsidP="00077ACE">
      <w:pPr>
        <w:pStyle w:val="ListParagraph"/>
        <w:widowControl w:val="0"/>
        <w:autoSpaceDE w:val="0"/>
        <w:autoSpaceDN w:val="0"/>
        <w:adjustRightInd w:val="0"/>
        <w:spacing w:before="240" w:line="276" w:lineRule="auto"/>
        <w:ind w:left="360"/>
        <w:jc w:val="both"/>
        <w:rPr>
          <w:rFonts w:asciiTheme="minorHAnsi" w:hAnsiTheme="minorHAnsi"/>
          <w:sz w:val="8"/>
          <w:szCs w:val="8"/>
          <w:lang w:val="sq-AL"/>
        </w:rPr>
      </w:pPr>
    </w:p>
    <w:p w:rsidR="00A61AD8" w:rsidRPr="004E355C" w:rsidRDefault="00A61AD8" w:rsidP="00B95810">
      <w:pPr>
        <w:pStyle w:val="ListParagraph"/>
        <w:widowControl w:val="0"/>
        <w:numPr>
          <w:ilvl w:val="0"/>
          <w:numId w:val="2"/>
        </w:numPr>
        <w:autoSpaceDE w:val="0"/>
        <w:autoSpaceDN w:val="0"/>
        <w:adjustRightInd w:val="0"/>
        <w:spacing w:before="240" w:line="276" w:lineRule="auto"/>
        <w:ind w:left="360"/>
        <w:jc w:val="both"/>
        <w:rPr>
          <w:rFonts w:asciiTheme="minorHAnsi" w:hAnsiTheme="minorHAnsi"/>
          <w:lang w:val="sq-AL"/>
        </w:rPr>
      </w:pPr>
      <w:r w:rsidRPr="004E355C">
        <w:rPr>
          <w:rFonts w:asciiTheme="minorHAnsi" w:hAnsiTheme="minorHAnsi"/>
          <w:b/>
          <w:lang w:val="sq-AL"/>
        </w:rPr>
        <w:t xml:space="preserve">Fondi </w:t>
      </w:r>
      <w:r w:rsidR="000D582B" w:rsidRPr="004E355C">
        <w:rPr>
          <w:rFonts w:asciiTheme="minorHAnsi" w:hAnsiTheme="minorHAnsi"/>
          <w:b/>
          <w:lang w:val="sq-AL"/>
        </w:rPr>
        <w:t xml:space="preserve">rezervë </w:t>
      </w:r>
      <w:r w:rsidRPr="004E355C">
        <w:rPr>
          <w:rFonts w:asciiTheme="minorHAnsi" w:hAnsiTheme="minorHAnsi"/>
          <w:b/>
          <w:lang w:val="sq-AL"/>
        </w:rPr>
        <w:t>për rritjen e pagave</w:t>
      </w:r>
      <w:r w:rsidRPr="004E355C">
        <w:rPr>
          <w:rFonts w:asciiTheme="minorHAnsi" w:hAnsiTheme="minorHAnsi"/>
          <w:lang w:val="sq-AL"/>
        </w:rPr>
        <w:t xml:space="preserve"> për vitin 2019, i miratuar në masën 2 miliardë LEK, deri në datën 30 Qershor 2019 është përdorur</w:t>
      </w:r>
      <w:r w:rsidR="00077ACE" w:rsidRPr="004E355C">
        <w:rPr>
          <w:rFonts w:asciiTheme="minorHAnsi" w:hAnsiTheme="minorHAnsi"/>
          <w:lang w:val="sq-AL"/>
        </w:rPr>
        <w:t xml:space="preserve"> në masën 1.</w:t>
      </w:r>
      <w:r w:rsidRPr="004E355C">
        <w:rPr>
          <w:rFonts w:asciiTheme="minorHAnsi" w:hAnsiTheme="minorHAnsi"/>
          <w:lang w:val="sq-AL"/>
        </w:rPr>
        <w:t xml:space="preserve">89 miliardë lekë, </w:t>
      </w:r>
      <w:r w:rsidR="00077ACE" w:rsidRPr="004E355C">
        <w:rPr>
          <w:rFonts w:asciiTheme="minorHAnsi" w:hAnsiTheme="minorHAnsi"/>
          <w:lang w:val="sq-AL"/>
        </w:rPr>
        <w:t>me nj</w:t>
      </w:r>
      <w:r w:rsidR="002D2B0D" w:rsidRPr="004E355C">
        <w:rPr>
          <w:rFonts w:asciiTheme="minorHAnsi" w:hAnsiTheme="minorHAnsi"/>
          <w:lang w:val="sq-AL"/>
        </w:rPr>
        <w:t>ë</w:t>
      </w:r>
      <w:r w:rsidR="00077ACE" w:rsidRPr="004E355C">
        <w:rPr>
          <w:rFonts w:asciiTheme="minorHAnsi" w:hAnsiTheme="minorHAnsi"/>
          <w:lang w:val="sq-AL"/>
        </w:rPr>
        <w:t xml:space="preserve"> nivel t</w:t>
      </w:r>
      <w:r w:rsidR="002D2B0D" w:rsidRPr="004E355C">
        <w:rPr>
          <w:rFonts w:asciiTheme="minorHAnsi" w:hAnsiTheme="minorHAnsi"/>
          <w:lang w:val="sq-AL"/>
        </w:rPr>
        <w:t>ë</w:t>
      </w:r>
      <w:r w:rsidRPr="004E355C">
        <w:rPr>
          <w:rFonts w:asciiTheme="minorHAnsi" w:hAnsiTheme="minorHAnsi"/>
          <w:lang w:val="sq-AL"/>
        </w:rPr>
        <w:t xml:space="preserve"> </w:t>
      </w:r>
      <w:r w:rsidRPr="004E355C">
        <w:rPr>
          <w:rFonts w:asciiTheme="minorHAnsi" w:hAnsiTheme="minorHAnsi"/>
          <w:b/>
          <w:lang w:val="sq-AL"/>
        </w:rPr>
        <w:t xml:space="preserve">mbetur pa përdorur </w:t>
      </w:r>
      <w:r w:rsidR="00077ACE" w:rsidRPr="004E355C">
        <w:rPr>
          <w:rFonts w:asciiTheme="minorHAnsi" w:hAnsiTheme="minorHAnsi"/>
          <w:b/>
          <w:lang w:val="sq-AL"/>
        </w:rPr>
        <w:t xml:space="preserve">prej </w:t>
      </w:r>
      <w:r w:rsidRPr="004E355C">
        <w:rPr>
          <w:rFonts w:asciiTheme="minorHAnsi" w:hAnsiTheme="minorHAnsi"/>
          <w:b/>
          <w:lang w:val="sq-AL"/>
        </w:rPr>
        <w:t>109.2 milionë lekë</w:t>
      </w:r>
      <w:r w:rsidRPr="004E355C">
        <w:rPr>
          <w:rFonts w:asciiTheme="minorHAnsi" w:hAnsiTheme="minorHAnsi"/>
          <w:lang w:val="sq-AL"/>
        </w:rPr>
        <w:t>.</w:t>
      </w:r>
    </w:p>
    <w:p w:rsidR="00956F90" w:rsidRPr="004E355C" w:rsidRDefault="00956F90" w:rsidP="00956F90">
      <w:pPr>
        <w:pStyle w:val="Heading2"/>
        <w:spacing w:line="276" w:lineRule="auto"/>
        <w:ind w:left="720" w:hanging="720"/>
        <w:rPr>
          <w:rFonts w:asciiTheme="minorHAnsi" w:hAnsiTheme="minorHAnsi"/>
          <w:noProof/>
          <w:color w:val="4F81BD" w:themeColor="accent1"/>
          <w:sz w:val="28"/>
          <w:szCs w:val="24"/>
          <w:lang w:val="sq-AL"/>
        </w:rPr>
      </w:pPr>
      <w:bookmarkStart w:id="50" w:name="_Toc12527225"/>
      <w:r w:rsidRPr="004E355C">
        <w:rPr>
          <w:rFonts w:asciiTheme="minorHAnsi" w:hAnsiTheme="minorHAnsi"/>
          <w:noProof/>
          <w:color w:val="4F81BD" w:themeColor="accent1"/>
          <w:sz w:val="28"/>
          <w:szCs w:val="24"/>
          <w:lang w:val="sq-AL"/>
        </w:rPr>
        <w:lastRenderedPageBreak/>
        <w:t>III.2</w:t>
      </w:r>
      <w:r w:rsidRPr="004E355C">
        <w:rPr>
          <w:rFonts w:asciiTheme="minorHAnsi" w:hAnsiTheme="minorHAnsi"/>
          <w:noProof/>
          <w:color w:val="4F81BD" w:themeColor="accent1"/>
          <w:sz w:val="28"/>
          <w:szCs w:val="24"/>
          <w:lang w:val="sq-AL"/>
        </w:rPr>
        <w:tab/>
        <w:t>Pritshm</w:t>
      </w:r>
      <w:r w:rsidR="007E20C2" w:rsidRPr="004E355C">
        <w:rPr>
          <w:rFonts w:asciiTheme="minorHAnsi" w:hAnsiTheme="minorHAnsi"/>
          <w:noProof/>
          <w:color w:val="4F81BD" w:themeColor="accent1"/>
          <w:sz w:val="28"/>
          <w:szCs w:val="24"/>
          <w:lang w:val="sq-AL"/>
        </w:rPr>
        <w:t>ë</w:t>
      </w:r>
      <w:r w:rsidRPr="004E355C">
        <w:rPr>
          <w:rFonts w:asciiTheme="minorHAnsi" w:hAnsiTheme="minorHAnsi"/>
          <w:noProof/>
          <w:color w:val="4F81BD" w:themeColor="accent1"/>
          <w:sz w:val="28"/>
          <w:szCs w:val="24"/>
          <w:lang w:val="sq-AL"/>
        </w:rPr>
        <w:t>ri</w:t>
      </w:r>
      <w:r w:rsidR="00FC337D" w:rsidRPr="004E355C">
        <w:rPr>
          <w:rFonts w:asciiTheme="minorHAnsi" w:hAnsiTheme="minorHAnsi"/>
          <w:noProof/>
          <w:color w:val="4F81BD" w:themeColor="accent1"/>
          <w:sz w:val="28"/>
          <w:szCs w:val="24"/>
          <w:lang w:val="sq-AL"/>
        </w:rPr>
        <w:t>a</w:t>
      </w:r>
      <w:r w:rsidRPr="004E355C">
        <w:rPr>
          <w:rFonts w:asciiTheme="minorHAnsi" w:hAnsiTheme="minorHAnsi"/>
          <w:noProof/>
          <w:color w:val="4F81BD" w:themeColor="accent1"/>
          <w:sz w:val="28"/>
          <w:szCs w:val="24"/>
          <w:lang w:val="sq-AL"/>
        </w:rPr>
        <w:t xml:space="preserve"> e Shpenzimeve Buxhetore </w:t>
      </w:r>
      <w:r w:rsidR="00FC337D" w:rsidRPr="004E355C">
        <w:rPr>
          <w:rFonts w:asciiTheme="minorHAnsi" w:hAnsiTheme="minorHAnsi"/>
          <w:noProof/>
          <w:color w:val="4F81BD" w:themeColor="accent1"/>
          <w:sz w:val="28"/>
          <w:szCs w:val="24"/>
          <w:lang w:val="sq-AL"/>
        </w:rPr>
        <w:t>deri n</w:t>
      </w:r>
      <w:r w:rsidR="000960BA" w:rsidRPr="004E355C">
        <w:rPr>
          <w:rFonts w:asciiTheme="minorHAnsi" w:hAnsiTheme="minorHAnsi"/>
          <w:noProof/>
          <w:color w:val="4F81BD" w:themeColor="accent1"/>
          <w:sz w:val="28"/>
          <w:szCs w:val="24"/>
          <w:lang w:val="sq-AL"/>
        </w:rPr>
        <w:t>ë</w:t>
      </w:r>
      <w:r w:rsidR="00FC337D" w:rsidRPr="004E355C">
        <w:rPr>
          <w:rFonts w:asciiTheme="minorHAnsi" w:hAnsiTheme="minorHAnsi"/>
          <w:noProof/>
          <w:color w:val="4F81BD" w:themeColor="accent1"/>
          <w:sz w:val="28"/>
          <w:szCs w:val="24"/>
          <w:lang w:val="sq-AL"/>
        </w:rPr>
        <w:t xml:space="preserve"> fund t</w:t>
      </w:r>
      <w:r w:rsidR="000960BA" w:rsidRPr="004E355C">
        <w:rPr>
          <w:rFonts w:asciiTheme="minorHAnsi" w:hAnsiTheme="minorHAnsi"/>
          <w:noProof/>
          <w:color w:val="4F81BD" w:themeColor="accent1"/>
          <w:sz w:val="28"/>
          <w:szCs w:val="24"/>
          <w:lang w:val="sq-AL"/>
        </w:rPr>
        <w:t>ë</w:t>
      </w:r>
      <w:r w:rsidR="00FC337D" w:rsidRPr="004E355C">
        <w:rPr>
          <w:rFonts w:asciiTheme="minorHAnsi" w:hAnsiTheme="minorHAnsi"/>
          <w:noProof/>
          <w:color w:val="4F81BD" w:themeColor="accent1"/>
          <w:sz w:val="28"/>
          <w:szCs w:val="24"/>
          <w:lang w:val="sq-AL"/>
        </w:rPr>
        <w:t xml:space="preserve"> vitit</w:t>
      </w:r>
      <w:r w:rsidRPr="004E355C">
        <w:rPr>
          <w:rFonts w:asciiTheme="minorHAnsi" w:hAnsiTheme="minorHAnsi"/>
          <w:noProof/>
          <w:color w:val="4F81BD" w:themeColor="accent1"/>
          <w:sz w:val="28"/>
          <w:szCs w:val="24"/>
          <w:lang w:val="sq-AL"/>
        </w:rPr>
        <w:t xml:space="preserve"> 201</w:t>
      </w:r>
      <w:r w:rsidR="008B7AC8" w:rsidRPr="004E355C">
        <w:rPr>
          <w:rFonts w:asciiTheme="minorHAnsi" w:hAnsiTheme="minorHAnsi"/>
          <w:noProof/>
          <w:color w:val="4F81BD" w:themeColor="accent1"/>
          <w:sz w:val="28"/>
          <w:szCs w:val="24"/>
          <w:lang w:val="sq-AL"/>
        </w:rPr>
        <w:t>9</w:t>
      </w:r>
      <w:bookmarkEnd w:id="50"/>
    </w:p>
    <w:p w:rsidR="00FC337D" w:rsidRPr="004E355C" w:rsidRDefault="00FC337D" w:rsidP="00F63C35">
      <w:pPr>
        <w:spacing w:before="240" w:line="276" w:lineRule="auto"/>
        <w:jc w:val="both"/>
        <w:rPr>
          <w:rFonts w:asciiTheme="minorHAnsi" w:hAnsiTheme="minorHAnsi"/>
          <w:noProof/>
          <w:lang w:val="sq-AL"/>
        </w:rPr>
      </w:pPr>
      <w:r w:rsidRPr="004E355C">
        <w:rPr>
          <w:rFonts w:asciiTheme="minorHAnsi" w:hAnsiTheme="minorHAnsi"/>
          <w:lang w:val="sq-AL"/>
        </w:rPr>
        <w:t>Shpenzimet</w:t>
      </w:r>
      <w:r w:rsidRPr="004E355C">
        <w:rPr>
          <w:rFonts w:asciiTheme="minorHAnsi" w:hAnsiTheme="minorHAnsi"/>
          <w:noProof/>
          <w:lang w:val="sq-AL"/>
        </w:rPr>
        <w:t xml:space="preserve"> e p</w:t>
      </w:r>
      <w:r w:rsidR="000960BA" w:rsidRPr="004E355C">
        <w:rPr>
          <w:rFonts w:asciiTheme="minorHAnsi" w:hAnsiTheme="minorHAnsi"/>
          <w:noProof/>
          <w:lang w:val="sq-AL"/>
        </w:rPr>
        <w:t>ë</w:t>
      </w:r>
      <w:r w:rsidRPr="004E355C">
        <w:rPr>
          <w:rFonts w:asciiTheme="minorHAnsi" w:hAnsiTheme="minorHAnsi"/>
          <w:noProof/>
          <w:lang w:val="sq-AL"/>
        </w:rPr>
        <w:t>rgjithshme për vitin 201</w:t>
      </w:r>
      <w:r w:rsidR="00FA7107" w:rsidRPr="004E355C">
        <w:rPr>
          <w:rFonts w:asciiTheme="minorHAnsi" w:hAnsiTheme="minorHAnsi"/>
          <w:noProof/>
          <w:lang w:val="sq-AL"/>
        </w:rPr>
        <w:t>9</w:t>
      </w:r>
      <w:r w:rsidRPr="004E355C">
        <w:rPr>
          <w:rFonts w:asciiTheme="minorHAnsi" w:hAnsiTheme="minorHAnsi"/>
          <w:noProof/>
          <w:lang w:val="sq-AL"/>
        </w:rPr>
        <w:t>, vlerësuar mbi bazën e ecuris</w:t>
      </w:r>
      <w:r w:rsidR="000960BA" w:rsidRPr="004E355C">
        <w:rPr>
          <w:rFonts w:asciiTheme="minorHAnsi" w:hAnsiTheme="minorHAnsi"/>
          <w:noProof/>
          <w:lang w:val="sq-AL"/>
        </w:rPr>
        <w:t>ë</w:t>
      </w:r>
      <w:r w:rsidRPr="004E355C">
        <w:rPr>
          <w:rFonts w:asciiTheme="minorHAnsi" w:hAnsiTheme="minorHAnsi"/>
          <w:noProof/>
          <w:lang w:val="sq-AL"/>
        </w:rPr>
        <w:t xml:space="preserve"> dhe performancës së tyre gjat</w:t>
      </w:r>
      <w:r w:rsidR="000960BA" w:rsidRPr="004E355C">
        <w:rPr>
          <w:rFonts w:asciiTheme="minorHAnsi" w:hAnsiTheme="minorHAnsi"/>
          <w:noProof/>
          <w:lang w:val="sq-AL"/>
        </w:rPr>
        <w:t>ë</w:t>
      </w:r>
      <w:r w:rsidRPr="004E355C">
        <w:rPr>
          <w:rFonts w:asciiTheme="minorHAnsi" w:hAnsiTheme="minorHAnsi"/>
          <w:noProof/>
          <w:lang w:val="sq-AL"/>
        </w:rPr>
        <w:t xml:space="preserve"> periudhës Janar-Maj 201</w:t>
      </w:r>
      <w:r w:rsidR="00FA7107" w:rsidRPr="004E355C">
        <w:rPr>
          <w:rFonts w:asciiTheme="minorHAnsi" w:hAnsiTheme="minorHAnsi"/>
          <w:noProof/>
          <w:lang w:val="sq-AL"/>
        </w:rPr>
        <w:t>9</w:t>
      </w:r>
      <w:r w:rsidRPr="004E355C">
        <w:rPr>
          <w:rFonts w:asciiTheme="minorHAnsi" w:hAnsiTheme="minorHAnsi"/>
          <w:noProof/>
          <w:lang w:val="sq-AL"/>
        </w:rPr>
        <w:t>, paraqesin nj</w:t>
      </w:r>
      <w:r w:rsidR="000960BA" w:rsidRPr="004E355C">
        <w:rPr>
          <w:rFonts w:asciiTheme="minorHAnsi" w:hAnsiTheme="minorHAnsi"/>
          <w:noProof/>
          <w:lang w:val="sq-AL"/>
        </w:rPr>
        <w:t>ë</w:t>
      </w:r>
      <w:r w:rsidRPr="004E355C">
        <w:rPr>
          <w:rFonts w:asciiTheme="minorHAnsi" w:hAnsiTheme="minorHAnsi"/>
          <w:noProof/>
          <w:lang w:val="sq-AL"/>
        </w:rPr>
        <w:t xml:space="preserve"> pritshm</w:t>
      </w:r>
      <w:r w:rsidR="000960BA" w:rsidRPr="004E355C">
        <w:rPr>
          <w:rFonts w:asciiTheme="minorHAnsi" w:hAnsiTheme="minorHAnsi"/>
          <w:noProof/>
          <w:lang w:val="sq-AL"/>
        </w:rPr>
        <w:t>ë</w:t>
      </w:r>
      <w:r w:rsidRPr="004E355C">
        <w:rPr>
          <w:rFonts w:asciiTheme="minorHAnsi" w:hAnsiTheme="minorHAnsi"/>
          <w:noProof/>
          <w:lang w:val="sq-AL"/>
        </w:rPr>
        <w:t>ri p</w:t>
      </w:r>
      <w:r w:rsidR="000960BA" w:rsidRPr="004E355C">
        <w:rPr>
          <w:rFonts w:asciiTheme="minorHAnsi" w:hAnsiTheme="minorHAnsi"/>
          <w:noProof/>
          <w:lang w:val="sq-AL"/>
        </w:rPr>
        <w:t>ë</w:t>
      </w:r>
      <w:r w:rsidRPr="004E355C">
        <w:rPr>
          <w:rFonts w:asciiTheme="minorHAnsi" w:hAnsiTheme="minorHAnsi"/>
          <w:noProof/>
          <w:lang w:val="sq-AL"/>
        </w:rPr>
        <w:t>rgjith</w:t>
      </w:r>
      <w:r w:rsidR="000960BA" w:rsidRPr="004E355C">
        <w:rPr>
          <w:rFonts w:asciiTheme="minorHAnsi" w:hAnsiTheme="minorHAnsi"/>
          <w:noProof/>
          <w:lang w:val="sq-AL"/>
        </w:rPr>
        <w:t>ë</w:t>
      </w:r>
      <w:r w:rsidRPr="004E355C">
        <w:rPr>
          <w:rFonts w:asciiTheme="minorHAnsi" w:hAnsiTheme="minorHAnsi"/>
          <w:noProof/>
          <w:lang w:val="sq-AL"/>
        </w:rPr>
        <w:t>sisht n</w:t>
      </w:r>
      <w:r w:rsidR="000960BA" w:rsidRPr="004E355C">
        <w:rPr>
          <w:rFonts w:asciiTheme="minorHAnsi" w:hAnsiTheme="minorHAnsi"/>
          <w:noProof/>
          <w:lang w:val="sq-AL"/>
        </w:rPr>
        <w:t>ë</w:t>
      </w:r>
      <w:r w:rsidRPr="004E355C">
        <w:rPr>
          <w:rFonts w:asciiTheme="minorHAnsi" w:hAnsiTheme="minorHAnsi"/>
          <w:noProof/>
          <w:lang w:val="sq-AL"/>
        </w:rPr>
        <w:t xml:space="preserve"> linj</w:t>
      </w:r>
      <w:r w:rsidR="000960BA" w:rsidRPr="004E355C">
        <w:rPr>
          <w:rFonts w:asciiTheme="minorHAnsi" w:hAnsiTheme="minorHAnsi"/>
          <w:noProof/>
          <w:lang w:val="sq-AL"/>
        </w:rPr>
        <w:t>ë</w:t>
      </w:r>
      <w:r w:rsidRPr="004E355C">
        <w:rPr>
          <w:rFonts w:asciiTheme="minorHAnsi" w:hAnsiTheme="minorHAnsi"/>
          <w:noProof/>
          <w:lang w:val="sq-AL"/>
        </w:rPr>
        <w:t xml:space="preserve"> me parashik</w:t>
      </w:r>
      <w:r w:rsidR="00FA7107" w:rsidRPr="004E355C">
        <w:rPr>
          <w:rFonts w:asciiTheme="minorHAnsi" w:hAnsiTheme="minorHAnsi"/>
          <w:noProof/>
          <w:lang w:val="sq-AL"/>
        </w:rPr>
        <w:t>i</w:t>
      </w:r>
      <w:r w:rsidRPr="004E355C">
        <w:rPr>
          <w:rFonts w:asciiTheme="minorHAnsi" w:hAnsiTheme="minorHAnsi"/>
          <w:noProof/>
          <w:lang w:val="sq-AL"/>
        </w:rPr>
        <w:t>met ligjit t</w:t>
      </w:r>
      <w:r w:rsidR="000960BA" w:rsidRPr="004E355C">
        <w:rPr>
          <w:rFonts w:asciiTheme="minorHAnsi" w:hAnsiTheme="minorHAnsi"/>
          <w:noProof/>
          <w:lang w:val="sq-AL"/>
        </w:rPr>
        <w:t>ë</w:t>
      </w:r>
      <w:r w:rsidRPr="004E355C">
        <w:rPr>
          <w:rFonts w:asciiTheme="minorHAnsi" w:hAnsiTheme="minorHAnsi"/>
          <w:noProof/>
          <w:lang w:val="sq-AL"/>
        </w:rPr>
        <w:t xml:space="preserve"> buxhetit 201</w:t>
      </w:r>
      <w:r w:rsidR="0071361F" w:rsidRPr="004E355C">
        <w:rPr>
          <w:rFonts w:asciiTheme="minorHAnsi" w:hAnsiTheme="minorHAnsi"/>
          <w:noProof/>
          <w:lang w:val="sq-AL"/>
        </w:rPr>
        <w:t>9</w:t>
      </w:r>
      <w:r w:rsidRPr="004E355C">
        <w:rPr>
          <w:rFonts w:asciiTheme="minorHAnsi" w:hAnsiTheme="minorHAnsi"/>
          <w:noProof/>
          <w:lang w:val="sq-AL"/>
        </w:rPr>
        <w:t>. Me z</w:t>
      </w:r>
      <w:r w:rsidR="000960BA" w:rsidRPr="004E355C">
        <w:rPr>
          <w:rFonts w:asciiTheme="minorHAnsi" w:hAnsiTheme="minorHAnsi"/>
          <w:noProof/>
          <w:lang w:val="sq-AL"/>
        </w:rPr>
        <w:t>ë</w:t>
      </w:r>
      <w:r w:rsidRPr="004E355C">
        <w:rPr>
          <w:rFonts w:asciiTheme="minorHAnsi" w:hAnsiTheme="minorHAnsi"/>
          <w:noProof/>
          <w:lang w:val="sq-AL"/>
        </w:rPr>
        <w:t>ra specifik</w:t>
      </w:r>
      <w:r w:rsidR="000960BA" w:rsidRPr="004E355C">
        <w:rPr>
          <w:rFonts w:asciiTheme="minorHAnsi" w:hAnsiTheme="minorHAnsi"/>
          <w:noProof/>
          <w:lang w:val="sq-AL"/>
        </w:rPr>
        <w:t>ë</w:t>
      </w:r>
      <w:r w:rsidRPr="004E355C">
        <w:rPr>
          <w:rFonts w:asciiTheme="minorHAnsi" w:hAnsiTheme="minorHAnsi"/>
          <w:noProof/>
          <w:lang w:val="sq-AL"/>
        </w:rPr>
        <w:t xml:space="preserve">, </w:t>
      </w:r>
      <w:r w:rsidR="0071361F" w:rsidRPr="004E355C">
        <w:rPr>
          <w:rFonts w:asciiTheme="minorHAnsi" w:hAnsiTheme="minorHAnsi"/>
          <w:noProof/>
          <w:lang w:val="sq-AL"/>
        </w:rPr>
        <w:t>p</w:t>
      </w:r>
      <w:r w:rsidR="00F63C35" w:rsidRPr="004E355C">
        <w:rPr>
          <w:rFonts w:asciiTheme="minorHAnsi" w:hAnsiTheme="minorHAnsi"/>
          <w:noProof/>
          <w:lang w:val="sq-AL"/>
        </w:rPr>
        <w:t>ë</w:t>
      </w:r>
      <w:r w:rsidR="0071361F" w:rsidRPr="004E355C">
        <w:rPr>
          <w:rFonts w:asciiTheme="minorHAnsi" w:hAnsiTheme="minorHAnsi"/>
          <w:noProof/>
          <w:lang w:val="sq-AL"/>
        </w:rPr>
        <w:t>rgjith</w:t>
      </w:r>
      <w:r w:rsidR="00F63C35" w:rsidRPr="004E355C">
        <w:rPr>
          <w:rFonts w:asciiTheme="minorHAnsi" w:hAnsiTheme="minorHAnsi"/>
          <w:noProof/>
          <w:lang w:val="sq-AL"/>
        </w:rPr>
        <w:t>ë</w:t>
      </w:r>
      <w:r w:rsidR="0071361F" w:rsidRPr="004E355C">
        <w:rPr>
          <w:rFonts w:asciiTheme="minorHAnsi" w:hAnsiTheme="minorHAnsi"/>
          <w:noProof/>
          <w:lang w:val="sq-AL"/>
        </w:rPr>
        <w:t>sisht rezulton sa vijon</w:t>
      </w:r>
      <w:r w:rsidRPr="004E355C">
        <w:rPr>
          <w:rFonts w:asciiTheme="minorHAnsi" w:hAnsiTheme="minorHAnsi"/>
          <w:noProof/>
          <w:lang w:val="sq-AL"/>
        </w:rPr>
        <w:t>:</w:t>
      </w:r>
      <w:r w:rsidRPr="004E355C">
        <w:rPr>
          <w:rFonts w:asciiTheme="minorHAnsi" w:hAnsiTheme="minorHAnsi"/>
          <w:lang w:val="sq-AL"/>
        </w:rPr>
        <w:t xml:space="preserve"> </w:t>
      </w:r>
    </w:p>
    <w:p w:rsidR="00FC337D" w:rsidRPr="004E355C" w:rsidRDefault="00FC337D" w:rsidP="00F63C35">
      <w:pPr>
        <w:spacing w:line="276" w:lineRule="auto"/>
        <w:jc w:val="both"/>
        <w:rPr>
          <w:rFonts w:asciiTheme="minorHAnsi" w:hAnsiTheme="minorHAnsi"/>
          <w:sz w:val="8"/>
          <w:szCs w:val="8"/>
          <w:lang w:val="sq-AL"/>
        </w:rPr>
      </w:pPr>
    </w:p>
    <w:p w:rsidR="00A27156" w:rsidRPr="004E355C" w:rsidRDefault="00A27156" w:rsidP="00B95810">
      <w:pPr>
        <w:pStyle w:val="ListParagraph"/>
        <w:widowControl w:val="0"/>
        <w:numPr>
          <w:ilvl w:val="0"/>
          <w:numId w:val="4"/>
        </w:numPr>
        <w:spacing w:line="276" w:lineRule="auto"/>
        <w:ind w:left="360" w:hanging="270"/>
        <w:jc w:val="both"/>
        <w:rPr>
          <w:rFonts w:asciiTheme="minorHAnsi" w:hAnsiTheme="minorHAnsi"/>
          <w:lang w:val="sq-AL"/>
        </w:rPr>
      </w:pPr>
      <w:r w:rsidRPr="004E355C">
        <w:rPr>
          <w:rFonts w:asciiTheme="minorHAnsi" w:hAnsiTheme="minorHAnsi"/>
          <w:u w:val="single"/>
          <w:lang w:val="sq-AL"/>
        </w:rPr>
        <w:t>Shpenzimet e personelit</w:t>
      </w:r>
      <w:r w:rsidRPr="004E355C">
        <w:rPr>
          <w:rFonts w:asciiTheme="minorHAnsi" w:hAnsiTheme="minorHAnsi"/>
          <w:lang w:val="sq-AL"/>
        </w:rPr>
        <w:t xml:space="preserve"> paraqesin p</w:t>
      </w:r>
      <w:r w:rsidR="004B2482" w:rsidRPr="004E355C">
        <w:rPr>
          <w:rFonts w:asciiTheme="minorHAnsi" w:hAnsiTheme="minorHAnsi"/>
          <w:lang w:val="sq-AL"/>
        </w:rPr>
        <w:t>ë</w:t>
      </w:r>
      <w:r w:rsidRPr="004E355C">
        <w:rPr>
          <w:rFonts w:asciiTheme="minorHAnsi" w:hAnsiTheme="minorHAnsi"/>
          <w:lang w:val="sq-AL"/>
        </w:rPr>
        <w:t>rgjith</w:t>
      </w:r>
      <w:r w:rsidR="004B2482" w:rsidRPr="004E355C">
        <w:rPr>
          <w:rFonts w:asciiTheme="minorHAnsi" w:hAnsiTheme="minorHAnsi"/>
          <w:lang w:val="sq-AL"/>
        </w:rPr>
        <w:t>ë</w:t>
      </w:r>
      <w:r w:rsidRPr="004E355C">
        <w:rPr>
          <w:rFonts w:asciiTheme="minorHAnsi" w:hAnsiTheme="minorHAnsi"/>
          <w:lang w:val="sq-AL"/>
        </w:rPr>
        <w:t>sisht nj</w:t>
      </w:r>
      <w:r w:rsidR="004B2482" w:rsidRPr="004E355C">
        <w:rPr>
          <w:rFonts w:asciiTheme="minorHAnsi" w:hAnsiTheme="minorHAnsi"/>
          <w:lang w:val="sq-AL"/>
        </w:rPr>
        <w:t>ë</w:t>
      </w:r>
      <w:r w:rsidRPr="004E355C">
        <w:rPr>
          <w:rFonts w:asciiTheme="minorHAnsi" w:hAnsiTheme="minorHAnsi"/>
          <w:lang w:val="sq-AL"/>
        </w:rPr>
        <w:t xml:space="preserve"> ecuri t</w:t>
      </w:r>
      <w:r w:rsidR="004B2482" w:rsidRPr="004E355C">
        <w:rPr>
          <w:rFonts w:asciiTheme="minorHAnsi" w:hAnsiTheme="minorHAnsi"/>
          <w:lang w:val="sq-AL"/>
        </w:rPr>
        <w:t>ë</w:t>
      </w:r>
      <w:r w:rsidRPr="004E355C">
        <w:rPr>
          <w:rFonts w:asciiTheme="minorHAnsi" w:hAnsiTheme="minorHAnsi"/>
          <w:lang w:val="sq-AL"/>
        </w:rPr>
        <w:t xml:space="preserve"> k</w:t>
      </w:r>
      <w:r w:rsidR="004B2482" w:rsidRPr="004E355C">
        <w:rPr>
          <w:rFonts w:asciiTheme="minorHAnsi" w:hAnsiTheme="minorHAnsi"/>
          <w:lang w:val="sq-AL"/>
        </w:rPr>
        <w:t>ë</w:t>
      </w:r>
      <w:r w:rsidRPr="004E355C">
        <w:rPr>
          <w:rFonts w:asciiTheme="minorHAnsi" w:hAnsiTheme="minorHAnsi"/>
          <w:lang w:val="sq-AL"/>
        </w:rPr>
        <w:t>naqshme, n</w:t>
      </w:r>
      <w:r w:rsidR="004B2482" w:rsidRPr="004E355C">
        <w:rPr>
          <w:rFonts w:asciiTheme="minorHAnsi" w:hAnsiTheme="minorHAnsi"/>
          <w:lang w:val="sq-AL"/>
        </w:rPr>
        <w:t>ë</w:t>
      </w:r>
      <w:r w:rsidRPr="004E355C">
        <w:rPr>
          <w:rFonts w:asciiTheme="minorHAnsi" w:hAnsiTheme="minorHAnsi"/>
          <w:lang w:val="sq-AL"/>
        </w:rPr>
        <w:t xml:space="preserve"> l</w:t>
      </w:r>
      <w:r w:rsidR="000B5A01" w:rsidRPr="004E355C">
        <w:rPr>
          <w:rFonts w:asciiTheme="minorHAnsi" w:hAnsiTheme="minorHAnsi"/>
          <w:lang w:val="sq-AL"/>
        </w:rPr>
        <w:t>i</w:t>
      </w:r>
      <w:r w:rsidRPr="004E355C">
        <w:rPr>
          <w:rFonts w:asciiTheme="minorHAnsi" w:hAnsiTheme="minorHAnsi"/>
          <w:lang w:val="sq-AL"/>
        </w:rPr>
        <w:t>nj</w:t>
      </w:r>
      <w:r w:rsidR="004B2482" w:rsidRPr="004E355C">
        <w:rPr>
          <w:rFonts w:asciiTheme="minorHAnsi" w:hAnsiTheme="minorHAnsi"/>
          <w:lang w:val="sq-AL"/>
        </w:rPr>
        <w:t>ë</w:t>
      </w:r>
      <w:r w:rsidRPr="004E355C">
        <w:rPr>
          <w:rFonts w:asciiTheme="minorHAnsi" w:hAnsiTheme="minorHAnsi"/>
          <w:lang w:val="sq-AL"/>
        </w:rPr>
        <w:t xml:space="preserve"> me planin 5 mujor dhe at</w:t>
      </w:r>
      <w:r w:rsidR="004B2482" w:rsidRPr="004E355C">
        <w:rPr>
          <w:rFonts w:asciiTheme="minorHAnsi" w:hAnsiTheme="minorHAnsi"/>
          <w:lang w:val="sq-AL"/>
        </w:rPr>
        <w:t>ë</w:t>
      </w:r>
      <w:r w:rsidRPr="004E355C">
        <w:rPr>
          <w:rFonts w:asciiTheme="minorHAnsi" w:hAnsiTheme="minorHAnsi"/>
          <w:lang w:val="sq-AL"/>
        </w:rPr>
        <w:t xml:space="preserve"> vjetor, si edhe me vler</w:t>
      </w:r>
      <w:r w:rsidR="004B2482" w:rsidRPr="004E355C">
        <w:rPr>
          <w:rFonts w:asciiTheme="minorHAnsi" w:hAnsiTheme="minorHAnsi"/>
          <w:lang w:val="sq-AL"/>
        </w:rPr>
        <w:t>ë</w:t>
      </w:r>
      <w:r w:rsidRPr="004E355C">
        <w:rPr>
          <w:rFonts w:asciiTheme="minorHAnsi" w:hAnsiTheme="minorHAnsi"/>
          <w:lang w:val="sq-AL"/>
        </w:rPr>
        <w:t>simet p</w:t>
      </w:r>
      <w:r w:rsidR="004B2482" w:rsidRPr="004E355C">
        <w:rPr>
          <w:rFonts w:asciiTheme="minorHAnsi" w:hAnsiTheme="minorHAnsi"/>
          <w:lang w:val="sq-AL"/>
        </w:rPr>
        <w:t>ë</w:t>
      </w:r>
      <w:r w:rsidRPr="004E355C">
        <w:rPr>
          <w:rFonts w:asciiTheme="minorHAnsi" w:hAnsiTheme="minorHAnsi"/>
          <w:lang w:val="sq-AL"/>
        </w:rPr>
        <w:t>r t</w:t>
      </w:r>
      <w:r w:rsidR="004B2482" w:rsidRPr="004E355C">
        <w:rPr>
          <w:rFonts w:asciiTheme="minorHAnsi" w:hAnsiTheme="minorHAnsi"/>
          <w:lang w:val="sq-AL"/>
        </w:rPr>
        <w:t>ë</w:t>
      </w:r>
      <w:r w:rsidRPr="004E355C">
        <w:rPr>
          <w:rFonts w:asciiTheme="minorHAnsi" w:hAnsiTheme="minorHAnsi"/>
          <w:lang w:val="sq-AL"/>
        </w:rPr>
        <w:t xml:space="preserve"> nj</w:t>
      </w:r>
      <w:r w:rsidR="004B2482" w:rsidRPr="004E355C">
        <w:rPr>
          <w:rFonts w:asciiTheme="minorHAnsi" w:hAnsiTheme="minorHAnsi"/>
          <w:lang w:val="sq-AL"/>
        </w:rPr>
        <w:t>ë</w:t>
      </w:r>
      <w:r w:rsidRPr="004E355C">
        <w:rPr>
          <w:rFonts w:asciiTheme="minorHAnsi" w:hAnsiTheme="minorHAnsi"/>
          <w:lang w:val="sq-AL"/>
        </w:rPr>
        <w:t>jt</w:t>
      </w:r>
      <w:r w:rsidR="004B2482" w:rsidRPr="004E355C">
        <w:rPr>
          <w:rFonts w:asciiTheme="minorHAnsi" w:hAnsiTheme="minorHAnsi"/>
          <w:lang w:val="sq-AL"/>
        </w:rPr>
        <w:t>ë</w:t>
      </w:r>
      <w:r w:rsidRPr="004E355C">
        <w:rPr>
          <w:rFonts w:asciiTheme="minorHAnsi" w:hAnsiTheme="minorHAnsi"/>
          <w:lang w:val="sq-AL"/>
        </w:rPr>
        <w:t>n periudh</w:t>
      </w:r>
      <w:r w:rsidR="004B2482" w:rsidRPr="004E355C">
        <w:rPr>
          <w:rFonts w:asciiTheme="minorHAnsi" w:hAnsiTheme="minorHAnsi"/>
          <w:lang w:val="sq-AL"/>
        </w:rPr>
        <w:t>ë</w:t>
      </w:r>
      <w:r w:rsidRPr="004E355C">
        <w:rPr>
          <w:rFonts w:asciiTheme="minorHAnsi" w:hAnsiTheme="minorHAnsi"/>
          <w:lang w:val="sq-AL"/>
        </w:rPr>
        <w:t xml:space="preserve"> t</w:t>
      </w:r>
      <w:r w:rsidR="004B2482" w:rsidRPr="004E355C">
        <w:rPr>
          <w:rFonts w:asciiTheme="minorHAnsi" w:hAnsiTheme="minorHAnsi"/>
          <w:lang w:val="sq-AL"/>
        </w:rPr>
        <w:t>ë</w:t>
      </w:r>
      <w:r w:rsidRPr="004E355C">
        <w:rPr>
          <w:rFonts w:asciiTheme="minorHAnsi" w:hAnsiTheme="minorHAnsi"/>
          <w:lang w:val="sq-AL"/>
        </w:rPr>
        <w:t xml:space="preserve"> vitit parardh</w:t>
      </w:r>
      <w:r w:rsidR="004B2482" w:rsidRPr="004E355C">
        <w:rPr>
          <w:rFonts w:asciiTheme="minorHAnsi" w:hAnsiTheme="minorHAnsi"/>
          <w:lang w:val="sq-AL"/>
        </w:rPr>
        <w:t>ë</w:t>
      </w:r>
      <w:r w:rsidRPr="004E355C">
        <w:rPr>
          <w:rFonts w:asciiTheme="minorHAnsi" w:hAnsiTheme="minorHAnsi"/>
          <w:lang w:val="sq-AL"/>
        </w:rPr>
        <w:t>s.</w:t>
      </w:r>
      <w:r w:rsidR="00F63C35" w:rsidRPr="004E355C">
        <w:rPr>
          <w:rFonts w:asciiTheme="minorHAnsi" w:hAnsiTheme="minorHAnsi"/>
          <w:lang w:val="sq-AL"/>
        </w:rPr>
        <w:t xml:space="preserve"> Sidoqofte, në vijim të rishikimit të strukturave organizative të një sërë institucioneve, pas miratimit të ligjit të buxhetit 2019, nevoja për fonde shtesë në këtë zë deri në fund të vitit 2019 përllogaritet në afro 100-150 milionë lekë.</w:t>
      </w:r>
    </w:p>
    <w:p w:rsidR="00A27156" w:rsidRPr="004E355C" w:rsidRDefault="00A27156" w:rsidP="00F63C35">
      <w:pPr>
        <w:pStyle w:val="ListParagraph"/>
        <w:widowControl w:val="0"/>
        <w:spacing w:line="276" w:lineRule="auto"/>
        <w:ind w:left="360" w:hanging="270"/>
        <w:jc w:val="both"/>
        <w:rPr>
          <w:rFonts w:asciiTheme="minorHAnsi" w:hAnsiTheme="minorHAnsi"/>
          <w:sz w:val="8"/>
          <w:szCs w:val="8"/>
          <w:lang w:val="sq-AL"/>
        </w:rPr>
      </w:pPr>
    </w:p>
    <w:p w:rsidR="00A27156" w:rsidRPr="004E355C" w:rsidRDefault="00A27156" w:rsidP="00B95810">
      <w:pPr>
        <w:pStyle w:val="ListParagraph"/>
        <w:widowControl w:val="0"/>
        <w:numPr>
          <w:ilvl w:val="0"/>
          <w:numId w:val="4"/>
        </w:numPr>
        <w:spacing w:before="240" w:line="276" w:lineRule="auto"/>
        <w:ind w:left="360" w:hanging="270"/>
        <w:jc w:val="both"/>
        <w:rPr>
          <w:rFonts w:asciiTheme="minorHAnsi" w:hAnsiTheme="minorHAnsi"/>
          <w:lang w:val="sq-AL"/>
        </w:rPr>
      </w:pPr>
      <w:r w:rsidRPr="004E355C">
        <w:rPr>
          <w:rFonts w:asciiTheme="minorHAnsi" w:hAnsiTheme="minorHAnsi"/>
          <w:u w:val="single"/>
          <w:lang w:val="sq-AL"/>
        </w:rPr>
        <w:t>Shpenzimet korente</w:t>
      </w:r>
      <w:r w:rsidRPr="004E355C">
        <w:rPr>
          <w:rFonts w:asciiTheme="minorHAnsi" w:hAnsiTheme="minorHAnsi"/>
          <w:lang w:val="sq-AL"/>
        </w:rPr>
        <w:t>, nisur nga performanca 5 mujore e tyre, parashikohen gjithashtu me nj</w:t>
      </w:r>
      <w:r w:rsidR="004B2482" w:rsidRPr="004E355C">
        <w:rPr>
          <w:rFonts w:asciiTheme="minorHAnsi" w:hAnsiTheme="minorHAnsi"/>
          <w:lang w:val="sq-AL"/>
        </w:rPr>
        <w:t>ë</w:t>
      </w:r>
      <w:r w:rsidRPr="004E355C">
        <w:rPr>
          <w:rFonts w:asciiTheme="minorHAnsi" w:hAnsiTheme="minorHAnsi"/>
          <w:lang w:val="sq-AL"/>
        </w:rPr>
        <w:t xml:space="preserve"> ecuri optimale p</w:t>
      </w:r>
      <w:r w:rsidR="004B2482" w:rsidRPr="004E355C">
        <w:rPr>
          <w:rFonts w:asciiTheme="minorHAnsi" w:hAnsiTheme="minorHAnsi"/>
          <w:lang w:val="sq-AL"/>
        </w:rPr>
        <w:t>ë</w:t>
      </w:r>
      <w:r w:rsidRPr="004E355C">
        <w:rPr>
          <w:rFonts w:asciiTheme="minorHAnsi" w:hAnsiTheme="minorHAnsi"/>
          <w:lang w:val="sq-AL"/>
        </w:rPr>
        <w:t>rsa i p</w:t>
      </w:r>
      <w:r w:rsidR="004B2482" w:rsidRPr="004E355C">
        <w:rPr>
          <w:rFonts w:asciiTheme="minorHAnsi" w:hAnsiTheme="minorHAnsi"/>
          <w:lang w:val="sq-AL"/>
        </w:rPr>
        <w:t>ë</w:t>
      </w:r>
      <w:r w:rsidRPr="004E355C">
        <w:rPr>
          <w:rFonts w:asciiTheme="minorHAnsi" w:hAnsiTheme="minorHAnsi"/>
          <w:lang w:val="sq-AL"/>
        </w:rPr>
        <w:t xml:space="preserve">rket </w:t>
      </w:r>
      <w:r w:rsidR="00F63C35" w:rsidRPr="004E355C">
        <w:rPr>
          <w:rFonts w:asciiTheme="minorHAnsi" w:hAnsiTheme="minorHAnsi"/>
          <w:lang w:val="sq-AL"/>
        </w:rPr>
        <w:t>realizmit vjetor, në linjë si me trendin vjetor ashtu edhe me atë të së njëjtës periudhë të vitit pararendës.</w:t>
      </w:r>
    </w:p>
    <w:p w:rsidR="00895813" w:rsidRPr="004E355C" w:rsidRDefault="00895813" w:rsidP="00F63C35">
      <w:pPr>
        <w:pStyle w:val="ListParagraph"/>
        <w:widowControl w:val="0"/>
        <w:spacing w:before="240" w:line="276" w:lineRule="auto"/>
        <w:jc w:val="both"/>
        <w:rPr>
          <w:rFonts w:asciiTheme="minorHAnsi" w:hAnsiTheme="minorHAnsi"/>
          <w:sz w:val="8"/>
          <w:szCs w:val="8"/>
          <w:lang w:val="sq-AL"/>
        </w:rPr>
      </w:pPr>
    </w:p>
    <w:p w:rsidR="004B2482" w:rsidRPr="004E355C" w:rsidRDefault="004B2482" w:rsidP="00B95810">
      <w:pPr>
        <w:pStyle w:val="ListParagraph"/>
        <w:widowControl w:val="0"/>
        <w:numPr>
          <w:ilvl w:val="0"/>
          <w:numId w:val="4"/>
        </w:numPr>
        <w:spacing w:line="276" w:lineRule="auto"/>
        <w:ind w:left="360" w:hanging="270"/>
        <w:jc w:val="both"/>
        <w:rPr>
          <w:rFonts w:asciiTheme="minorHAnsi" w:hAnsiTheme="minorHAnsi"/>
          <w:lang w:val="sq-AL"/>
        </w:rPr>
      </w:pPr>
      <w:r w:rsidRPr="004E355C">
        <w:rPr>
          <w:rFonts w:asciiTheme="minorHAnsi" w:hAnsiTheme="minorHAnsi"/>
          <w:u w:val="single"/>
          <w:lang w:val="sq-AL"/>
        </w:rPr>
        <w:t>Shpenzimet kapitale</w:t>
      </w:r>
      <w:r w:rsidRPr="004E355C">
        <w:rPr>
          <w:rFonts w:asciiTheme="minorHAnsi" w:hAnsiTheme="minorHAnsi"/>
          <w:lang w:val="sq-AL"/>
        </w:rPr>
        <w:t>, nisur nga performanca 5 mujore e tyre, parashikohen përgjithësisht në linjë me planin vjetor. Sidoqoftë, një parashikim më i saktë lidhur me pritshmërinë e realizmit të tyre deri në fund të vitit 201</w:t>
      </w:r>
      <w:r w:rsidR="00F63C35" w:rsidRPr="004E355C">
        <w:rPr>
          <w:rFonts w:asciiTheme="minorHAnsi" w:hAnsiTheme="minorHAnsi"/>
          <w:lang w:val="sq-AL"/>
        </w:rPr>
        <w:t>9</w:t>
      </w:r>
      <w:r w:rsidRPr="004E355C">
        <w:rPr>
          <w:rFonts w:asciiTheme="minorHAnsi" w:hAnsiTheme="minorHAnsi"/>
          <w:lang w:val="sq-AL"/>
        </w:rPr>
        <w:t xml:space="preserve"> do të jetë i mundshë</w:t>
      </w:r>
      <w:r w:rsidR="00F63C35" w:rsidRPr="004E355C">
        <w:rPr>
          <w:rFonts w:asciiTheme="minorHAnsi" w:hAnsiTheme="minorHAnsi"/>
          <w:lang w:val="sq-AL"/>
        </w:rPr>
        <w:t>m</w:t>
      </w:r>
      <w:r w:rsidRPr="004E355C">
        <w:rPr>
          <w:rFonts w:asciiTheme="minorHAnsi" w:hAnsiTheme="minorHAnsi"/>
          <w:lang w:val="sq-AL"/>
        </w:rPr>
        <w:t xml:space="preserve"> vetëm pas analizës së ecurisë 7 mujore të tyre. Kjo, duke konsideruar dymujorin qershor-korrik të çdo viti buxhetor, si periudhën me performancë më të lartë përsa i përket investimeve </w:t>
      </w:r>
      <w:r w:rsidR="00F63C35" w:rsidRPr="004E355C">
        <w:rPr>
          <w:rFonts w:asciiTheme="minorHAnsi" w:hAnsiTheme="minorHAnsi"/>
          <w:lang w:val="sq-AL"/>
        </w:rPr>
        <w:t xml:space="preserve">publike </w:t>
      </w:r>
      <w:r w:rsidRPr="004E355C">
        <w:rPr>
          <w:rFonts w:asciiTheme="minorHAnsi" w:hAnsiTheme="minorHAnsi"/>
          <w:lang w:val="sq-AL"/>
        </w:rPr>
        <w:t>në tërësi dhe atyre në</w:t>
      </w:r>
      <w:r w:rsidR="004E7C1E" w:rsidRPr="004E355C">
        <w:rPr>
          <w:rFonts w:asciiTheme="minorHAnsi" w:hAnsiTheme="minorHAnsi"/>
          <w:lang w:val="sq-AL"/>
        </w:rPr>
        <w:t xml:space="preserve"> i</w:t>
      </w:r>
      <w:r w:rsidRPr="004E355C">
        <w:rPr>
          <w:rFonts w:asciiTheme="minorHAnsi" w:hAnsiTheme="minorHAnsi"/>
          <w:lang w:val="sq-AL"/>
        </w:rPr>
        <w:t>nfrastrukturë në veçanti.</w:t>
      </w:r>
    </w:p>
    <w:p w:rsidR="00C27213" w:rsidRPr="004E355C" w:rsidRDefault="00C27213" w:rsidP="00C27213">
      <w:pPr>
        <w:widowControl w:val="0"/>
        <w:spacing w:line="276" w:lineRule="auto"/>
        <w:jc w:val="both"/>
        <w:rPr>
          <w:rFonts w:asciiTheme="minorHAnsi" w:hAnsiTheme="minorHAnsi"/>
          <w:lang w:val="sq-AL"/>
        </w:rPr>
      </w:pPr>
    </w:p>
    <w:p w:rsidR="00E812EF" w:rsidRPr="004E355C" w:rsidRDefault="002570C3" w:rsidP="00B95810">
      <w:pPr>
        <w:pStyle w:val="Heading1"/>
        <w:numPr>
          <w:ilvl w:val="0"/>
          <w:numId w:val="1"/>
        </w:numPr>
        <w:spacing w:line="276" w:lineRule="auto"/>
        <w:ind w:left="720"/>
        <w:jc w:val="both"/>
        <w:rPr>
          <w:sz w:val="32"/>
          <w:u w:val="none"/>
        </w:rPr>
      </w:pPr>
      <w:bookmarkStart w:id="51" w:name="_Toc12527226"/>
      <w:r w:rsidRPr="004E355C">
        <w:rPr>
          <w:sz w:val="32"/>
          <w:u w:val="none"/>
        </w:rPr>
        <w:t xml:space="preserve">MENAXHIMI I BORXHIT </w:t>
      </w:r>
      <w:r w:rsidR="00A14825" w:rsidRPr="004E355C">
        <w:rPr>
          <w:sz w:val="32"/>
          <w:u w:val="none"/>
        </w:rPr>
        <w:t>PUBLIK</w:t>
      </w:r>
      <w:bookmarkEnd w:id="51"/>
      <w:r w:rsidR="00A14825" w:rsidRPr="004E355C">
        <w:rPr>
          <w:sz w:val="32"/>
          <w:u w:val="none"/>
        </w:rPr>
        <w:t xml:space="preserve"> </w:t>
      </w:r>
      <w:bookmarkEnd w:id="0"/>
    </w:p>
    <w:p w:rsidR="00996855" w:rsidRPr="004E355C" w:rsidRDefault="00E66EEB" w:rsidP="00E66EEB">
      <w:pPr>
        <w:spacing w:before="240" w:line="276" w:lineRule="auto"/>
        <w:jc w:val="both"/>
        <w:rPr>
          <w:rFonts w:asciiTheme="minorHAnsi" w:eastAsia="MS Mincho" w:hAnsiTheme="minorHAnsi"/>
          <w:lang w:val="sq-AL"/>
        </w:rPr>
      </w:pPr>
      <w:r w:rsidRPr="004E355C">
        <w:rPr>
          <w:rFonts w:asciiTheme="minorHAnsi" w:eastAsia="MS Mincho" w:hAnsiTheme="minorHAnsi"/>
          <w:lang w:val="sq-AL"/>
        </w:rPr>
        <w:t>Borxhi publik gjatë periudhës janar-maj 2019 përgjithësisht u karakterizua nga një ecuri pozitive, duke qenë në përputhje me buxhetin e planifikuar për vitin 2019 dhe objektivat e Strategjisë Afatmesme të Menaxhimit të Borxhit (SAMB). Në linjë me buxhetin e vitit 2019 u realizua me sukses huamarrja e cila mundësoi rifinancimin e borxhit ekzistues, si edhe menaxhimin e nevojave për likuiditet. Financimi i përgjithshëm në terma bruto u realizua në vlerën 153.4 miliard Lekë, nga të cilat 94.9% (145.5 miliard Lekë) u financuan nëpërmjet burimeve të brendshme dhe 5.1% (7.9 miliard Lekë) nëpërmjet burimeve të huaja.</w:t>
      </w:r>
      <w:r w:rsidR="00E75D71">
        <w:rPr>
          <w:rFonts w:asciiTheme="minorHAnsi" w:eastAsia="MS Mincho" w:hAnsiTheme="minorHAnsi"/>
          <w:lang w:val="sq-AL"/>
        </w:rPr>
        <w:t xml:space="preserve"> </w:t>
      </w:r>
      <w:r w:rsidR="00E75D71" w:rsidRPr="004E355C">
        <w:rPr>
          <w:rFonts w:asciiTheme="minorHAnsi" w:eastAsia="MS Mincho" w:hAnsiTheme="minorHAnsi"/>
          <w:lang w:val="sq-AL"/>
        </w:rPr>
        <w:t>Në përputhje me objektivat e Strategjisë Afatmesme të Menaxhimit të Borxhit, gjatë periudhës janar-maj të vitit 2019 u menaxhua ulja e mëtejshme e ekspozimit ndaj risqeve në portofoli</w:t>
      </w:r>
      <w:r w:rsidR="00E75D71">
        <w:rPr>
          <w:rFonts w:asciiTheme="minorHAnsi" w:eastAsia="MS Mincho" w:hAnsiTheme="minorHAnsi"/>
          <w:lang w:val="sq-AL"/>
        </w:rPr>
        <w:t>n</w:t>
      </w:r>
      <w:r w:rsidR="00E75D71" w:rsidRPr="004E355C">
        <w:rPr>
          <w:rFonts w:asciiTheme="minorHAnsi" w:eastAsia="MS Mincho" w:hAnsiTheme="minorHAnsi"/>
          <w:lang w:val="sq-AL"/>
        </w:rPr>
        <w:t xml:space="preserve"> e borxhit të brendshëm. Në drejtim të reduktimit të risqeve ndikim ka pasur realizimi i huamarrjes së brendshme neto totalisht nëpërmjet titujve afatgjatë me norma interesi fikse, duke mundësuar rritjen e peshës së këtyre titujve në portofolin e borxhit. Kosto mesatare e portofolit të borxhit të brendshëm ka vijuar të ulet edhe përgjatë këtij pesëmujori për shkak të rifinancimit të titujve që maturohen (kryesisht të titujve afatgjatë) me tituj me norma interesi më të favorshme. Për sa i përket zhvillimeve në tregun primar, përgjithësisht është karakterizuar nga zhvillime pozitive, ndër të cilat mund të përmenden: kërkesa e kënaqshme e tregut në raport me nevojat e qeverisë për huamarrje dhe rënia e normave të interesit në krahasim me ato të fundit të vitit 2018</w:t>
      </w:r>
      <w:r w:rsidR="00E75D71">
        <w:rPr>
          <w:rFonts w:asciiTheme="minorHAnsi" w:eastAsia="MS Mincho" w:hAnsiTheme="minorHAnsi"/>
          <w:lang w:val="sq-AL"/>
        </w:rPr>
        <w:t>.</w:t>
      </w:r>
      <w:r w:rsidR="00E75D71" w:rsidRPr="004E355C">
        <w:rPr>
          <w:rFonts w:asciiTheme="minorHAnsi" w:eastAsia="MS Mincho" w:hAnsiTheme="minorHAnsi"/>
          <w:lang w:val="sq-AL"/>
        </w:rPr>
        <w:t xml:space="preserve"> Rënia e normave të interesit gjatë kësaj periudhe ka reflektuar politikën monetare të Bankës së Shqipërisë, nivelin e kënaqshëm të kërkesës dhe presionin e ulët për huamarrje të re nga qeveria qendrore</w:t>
      </w:r>
      <w:r w:rsidR="00996855" w:rsidRPr="004E355C">
        <w:rPr>
          <w:rFonts w:asciiTheme="minorHAnsi" w:eastAsia="MS Mincho" w:hAnsiTheme="minorHAnsi"/>
          <w:lang w:val="sq-AL"/>
        </w:rPr>
        <w:t>.</w:t>
      </w:r>
    </w:p>
    <w:p w:rsidR="006C73CF" w:rsidRPr="004E355C" w:rsidRDefault="00CB4875" w:rsidP="006C73CF">
      <w:pPr>
        <w:pStyle w:val="Heading2"/>
        <w:spacing w:line="276" w:lineRule="auto"/>
        <w:ind w:left="720" w:hanging="720"/>
        <w:rPr>
          <w:rFonts w:asciiTheme="minorHAnsi" w:hAnsiTheme="minorHAnsi"/>
          <w:noProof/>
          <w:color w:val="4F81BD" w:themeColor="accent1"/>
          <w:sz w:val="28"/>
          <w:szCs w:val="24"/>
          <w:lang w:val="sq-AL"/>
        </w:rPr>
      </w:pPr>
      <w:bookmarkStart w:id="52" w:name="_Toc12527227"/>
      <w:r w:rsidRPr="004E355C">
        <w:rPr>
          <w:rFonts w:asciiTheme="minorHAnsi" w:hAnsiTheme="minorHAnsi"/>
          <w:noProof/>
          <w:color w:val="4F81BD" w:themeColor="accent1"/>
          <w:sz w:val="28"/>
          <w:szCs w:val="24"/>
          <w:lang w:val="sq-AL"/>
        </w:rPr>
        <w:lastRenderedPageBreak/>
        <w:t>I</w:t>
      </w:r>
      <w:r w:rsidR="006C73CF" w:rsidRPr="004E355C">
        <w:rPr>
          <w:rFonts w:asciiTheme="minorHAnsi" w:hAnsiTheme="minorHAnsi"/>
          <w:noProof/>
          <w:color w:val="4F81BD" w:themeColor="accent1"/>
          <w:sz w:val="28"/>
          <w:szCs w:val="24"/>
          <w:lang w:val="sq-AL"/>
        </w:rPr>
        <w:t>V.1</w:t>
      </w:r>
      <w:r w:rsidR="006C73CF" w:rsidRPr="004E355C">
        <w:rPr>
          <w:rFonts w:asciiTheme="minorHAnsi" w:hAnsiTheme="minorHAnsi"/>
          <w:noProof/>
          <w:color w:val="4F81BD" w:themeColor="accent1"/>
          <w:sz w:val="28"/>
          <w:szCs w:val="24"/>
          <w:lang w:val="sq-AL"/>
        </w:rPr>
        <w:tab/>
        <w:t xml:space="preserve">Stoku i Borxhit </w:t>
      </w:r>
      <w:r w:rsidR="00996855" w:rsidRPr="004E355C">
        <w:rPr>
          <w:rFonts w:asciiTheme="minorHAnsi" w:hAnsiTheme="minorHAnsi"/>
          <w:noProof/>
          <w:color w:val="4F81BD" w:themeColor="accent1"/>
          <w:sz w:val="28"/>
          <w:szCs w:val="24"/>
          <w:lang w:val="sq-AL"/>
        </w:rPr>
        <w:t>Publik</w:t>
      </w:r>
      <w:bookmarkEnd w:id="52"/>
      <w:r w:rsidR="006C73CF" w:rsidRPr="004E355C">
        <w:rPr>
          <w:rFonts w:asciiTheme="minorHAnsi" w:hAnsiTheme="minorHAnsi"/>
          <w:noProof/>
          <w:color w:val="4F81BD" w:themeColor="accent1"/>
          <w:sz w:val="28"/>
          <w:szCs w:val="24"/>
          <w:lang w:val="sq-AL"/>
        </w:rPr>
        <w:t xml:space="preserve"> </w:t>
      </w:r>
    </w:p>
    <w:p w:rsidR="00996855" w:rsidRPr="004E355C" w:rsidRDefault="009B547A" w:rsidP="00996855">
      <w:pPr>
        <w:spacing w:before="240" w:line="276" w:lineRule="auto"/>
        <w:ind w:right="-46"/>
        <w:jc w:val="both"/>
        <w:rPr>
          <w:rFonts w:asciiTheme="minorHAnsi" w:hAnsiTheme="minorHAnsi"/>
          <w:noProof/>
          <w:color w:val="4F81BD" w:themeColor="accent1"/>
          <w:sz w:val="28"/>
          <w:lang w:val="sq-AL"/>
        </w:rPr>
      </w:pPr>
      <w:r w:rsidRPr="004E355C">
        <w:rPr>
          <w:rFonts w:asciiTheme="minorHAnsi" w:eastAsia="MS Mincho" w:hAnsiTheme="minorHAnsi"/>
          <w:lang w:val="sq-AL"/>
        </w:rPr>
        <w:t>Në fund të muajit maj 2019, Borxhi Publik u vlerësua në nivelin 1,105.8 miliard Lekë ose 63.1% e PBB</w:t>
      </w:r>
      <w:r>
        <w:rPr>
          <w:rFonts w:asciiTheme="minorHAnsi" w:eastAsia="MS Mincho" w:hAnsiTheme="minorHAnsi"/>
          <w:lang w:val="sq-AL"/>
        </w:rPr>
        <w:t xml:space="preserve"> (referuar PBB-së me bazë vjetore)</w:t>
      </w:r>
      <w:r w:rsidRPr="004E355C">
        <w:rPr>
          <w:rFonts w:asciiTheme="minorHAnsi" w:eastAsia="MS Mincho" w:hAnsiTheme="minorHAnsi"/>
          <w:lang w:val="sq-AL"/>
        </w:rPr>
        <w:t>. Gjatë periudhës janar-maj të vitit 2019, borxhi publik në vlerë absolute ka shënuar rënie me rreth 1.5 miliard Lekë krahasuar me fundin e vitit 2018</w:t>
      </w:r>
      <w:r>
        <w:rPr>
          <w:rFonts w:asciiTheme="minorHAnsi" w:eastAsia="MS Mincho" w:hAnsiTheme="minorHAnsi"/>
          <w:lang w:val="sq-AL"/>
        </w:rPr>
        <w:t>.</w:t>
      </w:r>
      <w:r w:rsidRPr="004E355C">
        <w:rPr>
          <w:rFonts w:asciiTheme="minorHAnsi" w:eastAsia="MS Mincho" w:hAnsiTheme="minorHAnsi"/>
          <w:lang w:val="sq-AL"/>
        </w:rPr>
        <w:t xml:space="preserve"> Rënia i atribuohet kryesisht borxhit të huaj, si rezultat i nivelit më të lartë të ripagesave në raport me disbursimet</w:t>
      </w:r>
      <w:r w:rsidR="00996855" w:rsidRPr="004E355C">
        <w:rPr>
          <w:rFonts w:asciiTheme="minorHAnsi" w:eastAsia="MS Mincho" w:hAnsiTheme="minorHAnsi"/>
          <w:lang w:val="sq-AL"/>
        </w:rPr>
        <w:t xml:space="preserve">. </w:t>
      </w:r>
    </w:p>
    <w:p w:rsidR="00070183" w:rsidRPr="004E355C" w:rsidRDefault="00070183" w:rsidP="000B5A01">
      <w:pPr>
        <w:pStyle w:val="Caption"/>
        <w:keepNext/>
        <w:spacing w:before="240" w:after="0"/>
        <w:jc w:val="both"/>
        <w:rPr>
          <w:rFonts w:asciiTheme="minorHAnsi" w:hAnsiTheme="minorHAnsi"/>
          <w:b w:val="0"/>
          <w:bCs w:val="0"/>
          <w:i/>
          <w:color w:val="auto"/>
          <w:sz w:val="24"/>
          <w:szCs w:val="24"/>
          <w:lang w:val="sq-AL"/>
        </w:rPr>
      </w:pPr>
      <w:bookmarkStart w:id="53" w:name="_Toc12448456"/>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30</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Borxhi publik në vlerë absolute dhe relative ndaj PBB (2014 – Maj 201</w:t>
      </w:r>
      <w:r w:rsidR="00E66EEB"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w:t>
      </w:r>
      <w:bookmarkEnd w:id="53"/>
    </w:p>
    <w:p w:rsidR="00996855" w:rsidRPr="004E355C" w:rsidRDefault="00B24B3B" w:rsidP="00996855">
      <w:pPr>
        <w:tabs>
          <w:tab w:val="left" w:pos="2730"/>
        </w:tabs>
        <w:spacing w:line="276" w:lineRule="auto"/>
        <w:jc w:val="center"/>
        <w:rPr>
          <w:rFonts w:asciiTheme="minorHAnsi" w:hAnsiTheme="minorHAnsi"/>
          <w:lang w:val="sq-AL"/>
        </w:rPr>
      </w:pPr>
      <w:r w:rsidRPr="004E355C">
        <w:rPr>
          <w:noProof/>
          <w:shd w:val="clear" w:color="auto" w:fill="4F81BD" w:themeFill="accent1"/>
        </w:rPr>
        <w:drawing>
          <wp:inline distT="0" distB="0" distL="0" distR="0" wp14:anchorId="7349BE81" wp14:editId="6F1E512C">
            <wp:extent cx="5943600" cy="1729740"/>
            <wp:effectExtent l="0" t="0" r="0" b="38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96855" w:rsidRPr="004E355C" w:rsidRDefault="00B24B3B" w:rsidP="00996855">
      <w:pPr>
        <w:tabs>
          <w:tab w:val="left" w:pos="540"/>
        </w:tabs>
        <w:spacing w:line="276" w:lineRule="auto"/>
        <w:rPr>
          <w:rFonts w:asciiTheme="minorHAnsi" w:hAnsiTheme="minorHAnsi"/>
          <w:i/>
          <w:sz w:val="20"/>
          <w:lang w:val="sq-AL"/>
        </w:rPr>
      </w:pPr>
      <w:r w:rsidRPr="004E355C">
        <w:rPr>
          <w:rFonts w:asciiTheme="minorHAnsi" w:hAnsiTheme="minorHAnsi"/>
          <w:i/>
          <w:sz w:val="20"/>
          <w:lang w:val="sq-AL"/>
        </w:rPr>
        <w:t>Burimi: Ministria e Financave dhe Ekonomisë (2019)</w:t>
      </w:r>
    </w:p>
    <w:p w:rsidR="00996855" w:rsidRPr="004E355C" w:rsidRDefault="00B24B3B" w:rsidP="00996855">
      <w:pPr>
        <w:spacing w:before="240" w:line="276" w:lineRule="auto"/>
        <w:ind w:right="-46"/>
        <w:jc w:val="both"/>
        <w:rPr>
          <w:rFonts w:asciiTheme="minorHAnsi" w:eastAsia="MS Mincho" w:hAnsiTheme="minorHAnsi"/>
          <w:lang w:val="sq-AL"/>
        </w:rPr>
      </w:pPr>
      <w:r w:rsidRPr="004E355C">
        <w:rPr>
          <w:rFonts w:asciiTheme="minorHAnsi" w:eastAsia="MS Mincho" w:hAnsiTheme="minorHAnsi"/>
          <w:lang w:val="sq-AL"/>
        </w:rPr>
        <w:t>Peshën më të madhe në stokun e borxhit publik vazhdojnë ta mbajnë instrumentet e tregtueshme (bono thesari, obligacione, eurobond) dhe huatë e huaja me destinacion financimin e projekteve. Niveli i borxhit të brendshëm dhe atij të jashtëm në raport me totalin e borxhit publik janë përkatësisht rreth 53% dhe 47%, duke ruajtur pothuajse të njëjtat raporte me fundin e vitit të kaluar, si edhe duke qenë në linjë me objektivat e vendosura në SAMB në kuadër të menaxhimit të riskut të kursit të këmbimit</w:t>
      </w:r>
      <w:r w:rsidR="00996855" w:rsidRPr="004E355C">
        <w:rPr>
          <w:rFonts w:asciiTheme="minorHAnsi" w:eastAsia="MS Mincho" w:hAnsiTheme="minorHAnsi"/>
          <w:lang w:val="sq-AL"/>
        </w:rPr>
        <w:t>.</w:t>
      </w:r>
    </w:p>
    <w:p w:rsidR="00070183" w:rsidRPr="004E355C" w:rsidRDefault="00070183" w:rsidP="000B5A01">
      <w:pPr>
        <w:pStyle w:val="Caption"/>
        <w:keepNext/>
        <w:spacing w:before="240" w:after="0"/>
        <w:jc w:val="both"/>
        <w:rPr>
          <w:rFonts w:asciiTheme="minorHAnsi" w:hAnsiTheme="minorHAnsi"/>
          <w:b w:val="0"/>
          <w:bCs w:val="0"/>
          <w:i/>
          <w:color w:val="auto"/>
          <w:sz w:val="24"/>
          <w:szCs w:val="24"/>
          <w:lang w:val="sq-AL"/>
        </w:rPr>
      </w:pPr>
      <w:bookmarkStart w:id="54" w:name="_Toc12448457"/>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31</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Përbërja e borxhit të Qeverisjes Qendrore në raport me totalin (2014 – Maj 201</w:t>
      </w:r>
      <w:r w:rsidR="00B24B3B"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w:t>
      </w:r>
      <w:bookmarkEnd w:id="54"/>
    </w:p>
    <w:p w:rsidR="00996855" w:rsidRPr="004E355C" w:rsidRDefault="00B24B3B" w:rsidP="00996855">
      <w:pPr>
        <w:spacing w:line="276" w:lineRule="auto"/>
        <w:ind w:right="-46"/>
        <w:jc w:val="center"/>
        <w:rPr>
          <w:rFonts w:asciiTheme="minorHAnsi" w:eastAsia="MS Mincho" w:hAnsiTheme="minorHAnsi"/>
          <w:sz w:val="10"/>
          <w:szCs w:val="10"/>
          <w:lang w:val="sq-AL"/>
        </w:rPr>
      </w:pPr>
      <w:r w:rsidRPr="004E355C">
        <w:rPr>
          <w:noProof/>
        </w:rPr>
        <w:drawing>
          <wp:inline distT="0" distB="0" distL="0" distR="0" wp14:anchorId="791CFDFE" wp14:editId="6848E099">
            <wp:extent cx="6050280" cy="1889760"/>
            <wp:effectExtent l="0" t="0" r="7620" b="1524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96855" w:rsidRPr="004E355C" w:rsidRDefault="00B24B3B" w:rsidP="00996855">
      <w:pPr>
        <w:spacing w:line="276" w:lineRule="auto"/>
        <w:ind w:right="-46" w:firstLine="720"/>
        <w:rPr>
          <w:rFonts w:asciiTheme="minorHAnsi" w:eastAsia="MS Mincho" w:hAnsiTheme="minorHAnsi"/>
          <w:i/>
          <w:sz w:val="20"/>
          <w:szCs w:val="20"/>
          <w:lang w:val="sq-AL"/>
        </w:rPr>
      </w:pPr>
      <w:r w:rsidRPr="004E355C">
        <w:rPr>
          <w:rFonts w:asciiTheme="minorHAnsi" w:eastAsia="MS Mincho" w:hAnsiTheme="minorHAnsi"/>
          <w:i/>
          <w:sz w:val="20"/>
          <w:szCs w:val="20"/>
          <w:lang w:val="sq-AL"/>
        </w:rPr>
        <w:t>Burimi: Ministria e Financave dhe Ekonomisë (2019)</w:t>
      </w:r>
    </w:p>
    <w:p w:rsidR="00996855" w:rsidRPr="004E355C" w:rsidRDefault="00996855" w:rsidP="00996855">
      <w:pPr>
        <w:spacing w:before="240" w:line="276" w:lineRule="auto"/>
        <w:jc w:val="both"/>
        <w:rPr>
          <w:rFonts w:asciiTheme="minorHAnsi" w:hAnsiTheme="minorHAnsi"/>
          <w:b/>
          <w:lang w:val="sq-AL"/>
        </w:rPr>
      </w:pPr>
      <w:r w:rsidRPr="004E355C">
        <w:rPr>
          <w:rFonts w:asciiTheme="minorHAnsi" w:hAnsiTheme="minorHAnsi"/>
          <w:b/>
          <w:lang w:val="sq-AL"/>
        </w:rPr>
        <w:t>Përbërja e Borxhit Shtetëror</w:t>
      </w:r>
    </w:p>
    <w:p w:rsidR="00996855" w:rsidRPr="004E355C" w:rsidRDefault="009B547A" w:rsidP="00996855">
      <w:pPr>
        <w:spacing w:before="240" w:line="276" w:lineRule="auto"/>
        <w:ind w:right="-46"/>
        <w:jc w:val="both"/>
        <w:rPr>
          <w:rFonts w:asciiTheme="minorHAnsi" w:eastAsia="MS Mincho" w:hAnsiTheme="minorHAnsi"/>
          <w:lang w:val="sq-AL"/>
        </w:rPr>
      </w:pPr>
      <w:r w:rsidRPr="004E355C">
        <w:rPr>
          <w:rFonts w:asciiTheme="minorHAnsi" w:eastAsia="MS Mincho" w:hAnsiTheme="minorHAnsi"/>
          <w:lang w:val="sq-AL"/>
        </w:rPr>
        <w:t>Gjatë periudhës janar-maj të vitit 2019, ashtu si edhe gjatë vitit paraardhës, në përputhje me politikat menaxhuese për uljen e ekspozimit ndaj risqeve, ka vazhduar tendenca e rritjes së peshës së titujve afatgjatë (</w:t>
      </w:r>
      <w:r>
        <w:rPr>
          <w:rFonts w:asciiTheme="minorHAnsi" w:eastAsia="MS Mincho" w:hAnsiTheme="minorHAnsi"/>
          <w:lang w:val="sq-AL"/>
        </w:rPr>
        <w:t xml:space="preserve">kryesisht me afat maturimi </w:t>
      </w:r>
      <w:r w:rsidRPr="004E355C">
        <w:rPr>
          <w:rFonts w:asciiTheme="minorHAnsi" w:eastAsia="MS Mincho" w:hAnsiTheme="minorHAnsi"/>
          <w:lang w:val="sq-AL"/>
        </w:rPr>
        <w:t>mbi 5 vite) në portofolin e borxhit të brendshëm. Gjithashtu, pesha e titujve me norma interesi të ndryshueshme është reduktuar, pasi edhe gjatë kësaj periudhe nuk ka pasur asnjë emetim të titujve me norma interesi të ndryshueshme</w:t>
      </w:r>
      <w:r w:rsidR="00996855" w:rsidRPr="004E355C">
        <w:rPr>
          <w:rFonts w:asciiTheme="minorHAnsi" w:eastAsia="MS Mincho" w:hAnsiTheme="minorHAnsi"/>
          <w:lang w:val="sq-AL"/>
        </w:rPr>
        <w:t>.</w:t>
      </w:r>
    </w:p>
    <w:p w:rsidR="005D4A49" w:rsidRPr="004E355C" w:rsidRDefault="007F3ADC" w:rsidP="000B5A01">
      <w:pPr>
        <w:pStyle w:val="Caption"/>
        <w:keepNext/>
        <w:spacing w:before="240" w:after="0"/>
        <w:jc w:val="both"/>
        <w:rPr>
          <w:rFonts w:asciiTheme="minorHAnsi" w:hAnsiTheme="minorHAnsi"/>
          <w:b w:val="0"/>
          <w:bCs w:val="0"/>
          <w:i/>
          <w:color w:val="auto"/>
          <w:sz w:val="24"/>
          <w:szCs w:val="24"/>
          <w:lang w:val="sq-AL"/>
        </w:rPr>
      </w:pPr>
      <w:bookmarkStart w:id="55" w:name="_Toc12448458"/>
      <w:r w:rsidRPr="004E355C">
        <w:rPr>
          <w:noProof/>
          <w:sz w:val="20"/>
        </w:rPr>
        <w:lastRenderedPageBreak/>
        <w:drawing>
          <wp:anchor distT="0" distB="0" distL="114300" distR="114300" simplePos="0" relativeHeight="251657216" behindDoc="1" locked="0" layoutInCell="1" allowOverlap="1" wp14:anchorId="4EDD3A01" wp14:editId="18070BD6">
            <wp:simplePos x="0" y="0"/>
            <wp:positionH relativeFrom="column">
              <wp:posOffset>3112770</wp:posOffset>
            </wp:positionH>
            <wp:positionV relativeFrom="paragraph">
              <wp:posOffset>254000</wp:posOffset>
            </wp:positionV>
            <wp:extent cx="3052445" cy="1638300"/>
            <wp:effectExtent l="0" t="0" r="14605" b="0"/>
            <wp:wrapTight wrapText="bothSides">
              <wp:wrapPolygon edited="0">
                <wp:start x="0" y="0"/>
                <wp:lineTo x="0" y="21349"/>
                <wp:lineTo x="21569" y="21349"/>
                <wp:lineTo x="21569" y="0"/>
                <wp:lineTo x="0" y="0"/>
              </wp:wrapPolygon>
            </wp:wrapTight>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r w:rsidRPr="004E355C">
        <w:rPr>
          <w:noProof/>
          <w:sz w:val="20"/>
        </w:rPr>
        <w:drawing>
          <wp:anchor distT="0" distB="0" distL="114300" distR="114300" simplePos="0" relativeHeight="251653120" behindDoc="1" locked="0" layoutInCell="1" allowOverlap="1" wp14:anchorId="615DD18E" wp14:editId="673D12FE">
            <wp:simplePos x="0" y="0"/>
            <wp:positionH relativeFrom="column">
              <wp:posOffset>57150</wp:posOffset>
            </wp:positionH>
            <wp:positionV relativeFrom="paragraph">
              <wp:posOffset>254000</wp:posOffset>
            </wp:positionV>
            <wp:extent cx="2882900" cy="1638300"/>
            <wp:effectExtent l="0" t="0" r="12700" b="0"/>
            <wp:wrapTight wrapText="bothSides">
              <wp:wrapPolygon edited="0">
                <wp:start x="0" y="0"/>
                <wp:lineTo x="0" y="21349"/>
                <wp:lineTo x="21552" y="21349"/>
                <wp:lineTo x="21552" y="0"/>
                <wp:lineTo x="0" y="0"/>
              </wp:wrapPolygon>
            </wp:wrapTight>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5D4A49" w:rsidRPr="004E355C">
        <w:rPr>
          <w:rFonts w:asciiTheme="minorHAnsi" w:hAnsiTheme="minorHAnsi"/>
          <w:b w:val="0"/>
          <w:bCs w:val="0"/>
          <w:i/>
          <w:color w:val="auto"/>
          <w:sz w:val="24"/>
          <w:szCs w:val="24"/>
          <w:lang w:val="sq-AL"/>
        </w:rPr>
        <w:t xml:space="preserve">Grafiku </w:t>
      </w:r>
      <w:r w:rsidR="005D4A49" w:rsidRPr="004E355C">
        <w:rPr>
          <w:rFonts w:asciiTheme="minorHAnsi" w:hAnsiTheme="minorHAnsi"/>
          <w:b w:val="0"/>
          <w:bCs w:val="0"/>
          <w:i/>
          <w:color w:val="auto"/>
          <w:sz w:val="24"/>
          <w:szCs w:val="24"/>
          <w:lang w:val="sq-AL"/>
        </w:rPr>
        <w:fldChar w:fldCharType="begin"/>
      </w:r>
      <w:r w:rsidR="005D4A49" w:rsidRPr="004E355C">
        <w:rPr>
          <w:rFonts w:asciiTheme="minorHAnsi" w:hAnsiTheme="minorHAnsi"/>
          <w:b w:val="0"/>
          <w:bCs w:val="0"/>
          <w:i/>
          <w:color w:val="auto"/>
          <w:sz w:val="24"/>
          <w:szCs w:val="24"/>
          <w:lang w:val="sq-AL"/>
        </w:rPr>
        <w:instrText xml:space="preserve"> SEQ Grafiku \* ARABIC </w:instrText>
      </w:r>
      <w:r w:rsidR="005D4A49"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32</w:t>
      </w:r>
      <w:r w:rsidR="005D4A49" w:rsidRPr="004E355C">
        <w:rPr>
          <w:rFonts w:asciiTheme="minorHAnsi" w:hAnsiTheme="minorHAnsi"/>
          <w:b w:val="0"/>
          <w:bCs w:val="0"/>
          <w:i/>
          <w:color w:val="auto"/>
          <w:sz w:val="24"/>
          <w:szCs w:val="24"/>
          <w:lang w:val="sq-AL"/>
        </w:rPr>
        <w:fldChar w:fldCharType="end"/>
      </w:r>
      <w:r w:rsidR="005D4A49" w:rsidRPr="004E355C">
        <w:rPr>
          <w:rFonts w:asciiTheme="minorHAnsi" w:hAnsiTheme="minorHAnsi"/>
          <w:b w:val="0"/>
          <w:bCs w:val="0"/>
          <w:i/>
          <w:color w:val="auto"/>
          <w:sz w:val="24"/>
          <w:szCs w:val="24"/>
          <w:lang w:val="sq-AL"/>
        </w:rPr>
        <w:t>: Kompozimi i Borxhit të Brendshëm Shtetëror</w:t>
      </w:r>
      <w:r w:rsidR="00B24B3B" w:rsidRPr="004E355C">
        <w:rPr>
          <w:rFonts w:asciiTheme="minorHAnsi" w:hAnsiTheme="minorHAnsi"/>
          <w:b w:val="0"/>
          <w:bCs w:val="0"/>
          <w:i/>
          <w:color w:val="auto"/>
          <w:sz w:val="24"/>
          <w:szCs w:val="24"/>
          <w:lang w:val="sq-AL"/>
        </w:rPr>
        <w:t xml:space="preserve"> (2015-Maj 2019)</w:t>
      </w:r>
      <w:bookmarkEnd w:id="55"/>
    </w:p>
    <w:p w:rsidR="00996855" w:rsidRPr="004E355C" w:rsidRDefault="00B24B3B" w:rsidP="00B24B3B">
      <w:pPr>
        <w:spacing w:line="276" w:lineRule="auto"/>
        <w:rPr>
          <w:rFonts w:asciiTheme="minorHAnsi" w:eastAsia="MS Mincho" w:hAnsiTheme="minorHAnsi"/>
          <w:i/>
          <w:sz w:val="20"/>
          <w:szCs w:val="20"/>
          <w:lang w:val="sq-AL"/>
        </w:rPr>
      </w:pPr>
      <w:r w:rsidRPr="004E355C">
        <w:rPr>
          <w:rFonts w:asciiTheme="minorHAnsi" w:eastAsia="MS Mincho" w:hAnsiTheme="minorHAnsi"/>
          <w:i/>
          <w:sz w:val="20"/>
          <w:szCs w:val="20"/>
          <w:lang w:val="sq-AL"/>
        </w:rPr>
        <w:t>Burimi: Ministria e Financave dhe Ekonomisë (2019)</w:t>
      </w:r>
    </w:p>
    <w:p w:rsidR="00996855" w:rsidRPr="004E355C" w:rsidRDefault="00B24B3B" w:rsidP="00D3619E">
      <w:pPr>
        <w:spacing w:before="240" w:line="276" w:lineRule="auto"/>
        <w:ind w:right="-46"/>
        <w:jc w:val="both"/>
        <w:rPr>
          <w:rFonts w:asciiTheme="minorHAnsi" w:eastAsia="MS Mincho" w:hAnsiTheme="minorHAnsi"/>
          <w:lang w:val="sq-AL"/>
        </w:rPr>
      </w:pPr>
      <w:r w:rsidRPr="004E355C">
        <w:rPr>
          <w:rFonts w:asciiTheme="minorHAnsi" w:eastAsia="MS Mincho" w:hAnsiTheme="minorHAnsi"/>
          <w:lang w:val="sq-AL"/>
        </w:rPr>
        <w:t>Në portofolin e borxhit të jashtëm, mbi 50% të peshës e mban borxhi me normë interesi fiks. Ndërkohë, për sa i përket kompozimit sipas instrumenteve, pavarësisht diversifikimit të portofolit drejt instrumenteve të tregtueshme (Eurobond-i), peshën më të madhe vazhdojnë ta mbajnë kreditë me burim dypalësh dhe shumëpalësh me destinacion financimin e projekteve me natyrë zhvillimore</w:t>
      </w:r>
      <w:r w:rsidR="00996855" w:rsidRPr="004E355C">
        <w:rPr>
          <w:rFonts w:asciiTheme="minorHAnsi" w:eastAsia="MS Mincho" w:hAnsiTheme="minorHAnsi"/>
          <w:lang w:val="sq-AL"/>
        </w:rPr>
        <w:t>.</w:t>
      </w:r>
    </w:p>
    <w:p w:rsidR="005D4A49" w:rsidRPr="004E355C" w:rsidRDefault="00666B9F" w:rsidP="000B5A01">
      <w:pPr>
        <w:pStyle w:val="Caption"/>
        <w:keepNext/>
        <w:spacing w:before="240" w:after="0"/>
        <w:jc w:val="both"/>
        <w:rPr>
          <w:rFonts w:asciiTheme="minorHAnsi" w:hAnsiTheme="minorHAnsi"/>
          <w:b w:val="0"/>
          <w:bCs w:val="0"/>
          <w:i/>
          <w:color w:val="auto"/>
          <w:sz w:val="14"/>
          <w:szCs w:val="24"/>
          <w:lang w:val="sq-AL"/>
        </w:rPr>
      </w:pPr>
      <w:bookmarkStart w:id="56" w:name="_Toc12448459"/>
      <w:r w:rsidRPr="004E355C">
        <w:rPr>
          <w:noProof/>
          <w:sz w:val="20"/>
        </w:rPr>
        <w:drawing>
          <wp:anchor distT="0" distB="0" distL="114300" distR="114300" simplePos="0" relativeHeight="251665408" behindDoc="1" locked="0" layoutInCell="1" allowOverlap="1" wp14:anchorId="5D9B87B9" wp14:editId="32B2A7F0">
            <wp:simplePos x="0" y="0"/>
            <wp:positionH relativeFrom="margin">
              <wp:posOffset>3021330</wp:posOffset>
            </wp:positionH>
            <wp:positionV relativeFrom="paragraph">
              <wp:posOffset>383540</wp:posOffset>
            </wp:positionV>
            <wp:extent cx="3064510" cy="1417320"/>
            <wp:effectExtent l="0" t="0" r="2540" b="11430"/>
            <wp:wrapTight wrapText="bothSides">
              <wp:wrapPolygon edited="0">
                <wp:start x="0" y="0"/>
                <wp:lineTo x="0" y="21484"/>
                <wp:lineTo x="21484" y="21484"/>
                <wp:lineTo x="21484" y="0"/>
                <wp:lineTo x="0" y="0"/>
              </wp:wrapPolygon>
            </wp:wrapTight>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Pr="004E355C">
        <w:rPr>
          <w:noProof/>
        </w:rPr>
        <w:drawing>
          <wp:anchor distT="0" distB="0" distL="114300" distR="114300" simplePos="0" relativeHeight="251660288" behindDoc="1" locked="0" layoutInCell="1" allowOverlap="1" wp14:anchorId="698D801B" wp14:editId="74788DA8">
            <wp:simplePos x="0" y="0"/>
            <wp:positionH relativeFrom="column">
              <wp:posOffset>57150</wp:posOffset>
            </wp:positionH>
            <wp:positionV relativeFrom="paragraph">
              <wp:posOffset>375920</wp:posOffset>
            </wp:positionV>
            <wp:extent cx="2806700" cy="1424940"/>
            <wp:effectExtent l="0" t="0" r="12700" b="3810"/>
            <wp:wrapTight wrapText="bothSides">
              <wp:wrapPolygon edited="0">
                <wp:start x="0" y="0"/>
                <wp:lineTo x="0" y="21369"/>
                <wp:lineTo x="21551" y="21369"/>
                <wp:lineTo x="21551" y="0"/>
                <wp:lineTo x="0"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r w:rsidR="005D4A49" w:rsidRPr="004E355C">
        <w:rPr>
          <w:rFonts w:asciiTheme="minorHAnsi" w:hAnsiTheme="minorHAnsi"/>
          <w:b w:val="0"/>
          <w:bCs w:val="0"/>
          <w:i/>
          <w:color w:val="auto"/>
          <w:sz w:val="24"/>
          <w:szCs w:val="24"/>
          <w:lang w:val="sq-AL"/>
        </w:rPr>
        <w:t xml:space="preserve">Grafiku </w:t>
      </w:r>
      <w:r w:rsidR="005D4A49" w:rsidRPr="004E355C">
        <w:rPr>
          <w:rFonts w:asciiTheme="minorHAnsi" w:hAnsiTheme="minorHAnsi"/>
          <w:b w:val="0"/>
          <w:bCs w:val="0"/>
          <w:i/>
          <w:color w:val="auto"/>
          <w:sz w:val="24"/>
          <w:szCs w:val="24"/>
          <w:lang w:val="sq-AL"/>
        </w:rPr>
        <w:fldChar w:fldCharType="begin"/>
      </w:r>
      <w:r w:rsidR="005D4A49" w:rsidRPr="004E355C">
        <w:rPr>
          <w:rFonts w:asciiTheme="minorHAnsi" w:hAnsiTheme="minorHAnsi"/>
          <w:b w:val="0"/>
          <w:bCs w:val="0"/>
          <w:i/>
          <w:color w:val="auto"/>
          <w:sz w:val="24"/>
          <w:szCs w:val="24"/>
          <w:lang w:val="sq-AL"/>
        </w:rPr>
        <w:instrText xml:space="preserve"> SEQ Grafiku \* ARABIC </w:instrText>
      </w:r>
      <w:r w:rsidR="005D4A49"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33</w:t>
      </w:r>
      <w:r w:rsidR="005D4A49" w:rsidRPr="004E355C">
        <w:rPr>
          <w:rFonts w:asciiTheme="minorHAnsi" w:hAnsiTheme="minorHAnsi"/>
          <w:b w:val="0"/>
          <w:bCs w:val="0"/>
          <w:i/>
          <w:color w:val="auto"/>
          <w:sz w:val="24"/>
          <w:szCs w:val="24"/>
          <w:lang w:val="sq-AL"/>
        </w:rPr>
        <w:fldChar w:fldCharType="end"/>
      </w:r>
      <w:r w:rsidR="005D4A49" w:rsidRPr="004E355C">
        <w:rPr>
          <w:rFonts w:asciiTheme="minorHAnsi" w:hAnsiTheme="minorHAnsi"/>
          <w:b w:val="0"/>
          <w:bCs w:val="0"/>
          <w:i/>
          <w:color w:val="auto"/>
          <w:sz w:val="24"/>
          <w:szCs w:val="24"/>
          <w:lang w:val="sq-AL"/>
        </w:rPr>
        <w:t xml:space="preserve">: </w:t>
      </w:r>
      <w:r w:rsidR="005D4A49" w:rsidRPr="004E355C">
        <w:rPr>
          <w:rFonts w:asciiTheme="minorHAnsi" w:hAnsiTheme="minorHAnsi"/>
          <w:b w:val="0"/>
          <w:bCs w:val="0"/>
          <w:i/>
          <w:color w:val="auto"/>
          <w:sz w:val="22"/>
          <w:szCs w:val="24"/>
          <w:lang w:val="sq-AL"/>
        </w:rPr>
        <w:t xml:space="preserve">Kompozimi i borxhit të jashtëm shtetëror sipas </w:t>
      </w:r>
      <w:r w:rsidR="00B24B3B" w:rsidRPr="004E355C">
        <w:rPr>
          <w:rFonts w:asciiTheme="minorHAnsi" w:hAnsiTheme="minorHAnsi"/>
          <w:b w:val="0"/>
          <w:bCs w:val="0"/>
          <w:i/>
          <w:color w:val="auto"/>
          <w:sz w:val="22"/>
          <w:szCs w:val="24"/>
          <w:lang w:val="sq-AL"/>
        </w:rPr>
        <w:t xml:space="preserve">sipas interesit dhe instrumenteve </w:t>
      </w:r>
      <w:r w:rsidR="00B24B3B" w:rsidRPr="004E355C">
        <w:rPr>
          <w:rFonts w:asciiTheme="minorHAnsi" w:hAnsiTheme="minorHAnsi"/>
          <w:b w:val="0"/>
          <w:bCs w:val="0"/>
          <w:i/>
          <w:color w:val="auto"/>
          <w:sz w:val="20"/>
          <w:szCs w:val="24"/>
          <w:lang w:val="sq-AL"/>
        </w:rPr>
        <w:t>(2015-Maj</w:t>
      </w:r>
      <w:r>
        <w:rPr>
          <w:rFonts w:asciiTheme="minorHAnsi" w:hAnsiTheme="minorHAnsi"/>
          <w:b w:val="0"/>
          <w:bCs w:val="0"/>
          <w:i/>
          <w:color w:val="auto"/>
          <w:sz w:val="20"/>
          <w:szCs w:val="24"/>
          <w:lang w:val="sq-AL"/>
        </w:rPr>
        <w:t xml:space="preserve"> 2019</w:t>
      </w:r>
      <w:r w:rsidR="00B24B3B" w:rsidRPr="004E355C">
        <w:rPr>
          <w:rFonts w:asciiTheme="minorHAnsi" w:hAnsiTheme="minorHAnsi"/>
          <w:b w:val="0"/>
          <w:bCs w:val="0"/>
          <w:i/>
          <w:color w:val="auto"/>
          <w:sz w:val="20"/>
          <w:szCs w:val="24"/>
          <w:lang w:val="sq-AL"/>
        </w:rPr>
        <w:t xml:space="preserve"> </w:t>
      </w:r>
      <w:bookmarkEnd w:id="56"/>
    </w:p>
    <w:p w:rsidR="00797C25" w:rsidRPr="004E355C" w:rsidRDefault="00797C25" w:rsidP="00797C25">
      <w:pPr>
        <w:spacing w:line="276" w:lineRule="auto"/>
        <w:rPr>
          <w:rFonts w:asciiTheme="minorHAnsi" w:eastAsia="MS Mincho" w:hAnsiTheme="minorHAnsi"/>
          <w:i/>
          <w:sz w:val="20"/>
          <w:szCs w:val="20"/>
          <w:lang w:val="sq-AL"/>
        </w:rPr>
      </w:pPr>
      <w:r w:rsidRPr="004E355C">
        <w:rPr>
          <w:rFonts w:asciiTheme="minorHAnsi" w:eastAsia="MS Mincho" w:hAnsiTheme="minorHAnsi"/>
          <w:i/>
          <w:sz w:val="20"/>
          <w:szCs w:val="20"/>
          <w:lang w:val="sq-AL"/>
        </w:rPr>
        <w:t>Burimi: Ministria e Financave dhe Ekonomisë (2019)</w:t>
      </w:r>
    </w:p>
    <w:p w:rsidR="00590D54" w:rsidRPr="00666B9F" w:rsidRDefault="00590D54" w:rsidP="00797C25">
      <w:pPr>
        <w:spacing w:line="276" w:lineRule="auto"/>
        <w:rPr>
          <w:rFonts w:asciiTheme="minorHAnsi" w:eastAsia="MS Mincho" w:hAnsiTheme="minorHAnsi"/>
          <w:i/>
          <w:sz w:val="8"/>
          <w:szCs w:val="20"/>
          <w:lang w:val="sq-AL"/>
        </w:rPr>
      </w:pPr>
    </w:p>
    <w:p w:rsidR="00D85320" w:rsidRPr="004E355C" w:rsidRDefault="006654D7" w:rsidP="00D85320">
      <w:pPr>
        <w:pStyle w:val="Heading2"/>
        <w:spacing w:line="276" w:lineRule="auto"/>
        <w:ind w:left="720" w:hanging="720"/>
        <w:rPr>
          <w:rFonts w:asciiTheme="minorHAnsi" w:hAnsiTheme="minorHAnsi"/>
          <w:noProof/>
          <w:color w:val="4F81BD" w:themeColor="accent1"/>
          <w:sz w:val="28"/>
          <w:szCs w:val="24"/>
          <w:lang w:val="sq-AL"/>
        </w:rPr>
      </w:pPr>
      <w:bookmarkStart w:id="57" w:name="_Toc12527228"/>
      <w:r w:rsidRPr="004E355C">
        <w:rPr>
          <w:rFonts w:asciiTheme="minorHAnsi" w:hAnsiTheme="minorHAnsi"/>
          <w:noProof/>
          <w:color w:val="4F81BD" w:themeColor="accent1"/>
          <w:sz w:val="28"/>
          <w:szCs w:val="24"/>
          <w:lang w:val="sq-AL"/>
        </w:rPr>
        <w:t>I</w:t>
      </w:r>
      <w:r w:rsidR="00D85320" w:rsidRPr="004E355C">
        <w:rPr>
          <w:rFonts w:asciiTheme="minorHAnsi" w:hAnsiTheme="minorHAnsi"/>
          <w:noProof/>
          <w:color w:val="4F81BD" w:themeColor="accent1"/>
          <w:sz w:val="28"/>
          <w:szCs w:val="24"/>
          <w:lang w:val="sq-AL"/>
        </w:rPr>
        <w:t>V.2</w:t>
      </w:r>
      <w:r w:rsidR="00D85320" w:rsidRPr="004E355C">
        <w:rPr>
          <w:rFonts w:asciiTheme="minorHAnsi" w:hAnsiTheme="minorHAnsi"/>
          <w:noProof/>
          <w:color w:val="4F81BD" w:themeColor="accent1"/>
          <w:sz w:val="28"/>
          <w:szCs w:val="24"/>
          <w:lang w:val="sq-AL"/>
        </w:rPr>
        <w:tab/>
        <w:t>Menaxhimi i Borxhit</w:t>
      </w:r>
      <w:bookmarkEnd w:id="57"/>
    </w:p>
    <w:p w:rsidR="008972B2" w:rsidRPr="004E355C" w:rsidRDefault="00797C25" w:rsidP="008972B2">
      <w:pPr>
        <w:tabs>
          <w:tab w:val="left" w:pos="360"/>
        </w:tabs>
        <w:spacing w:line="276" w:lineRule="auto"/>
        <w:jc w:val="both"/>
        <w:rPr>
          <w:rFonts w:asciiTheme="minorHAnsi" w:hAnsiTheme="minorHAnsi"/>
          <w:b/>
          <w:lang w:val="sq-AL"/>
        </w:rPr>
      </w:pPr>
      <w:r w:rsidRPr="004E355C">
        <w:rPr>
          <w:rFonts w:asciiTheme="minorHAnsi" w:hAnsiTheme="minorHAnsi"/>
          <w:lang w:val="sq-AL"/>
        </w:rPr>
        <w:t>Huamarrja gjatë periudhës janar-maj 2019 ka mundësuar rifinancimin e borxhit ekzistues dhe mbulimin e nevojave të qeverisë për likuiditet në përputhje me objektivat strategjikë për ruajtjen e qëndrueshmërisë së raporteve ndërmjet kostos dhe risqeve. Financimi i përgjithshëm në terma bruto u realizua në vlerën 153.4 miliard Lekë, nga të cilat 94.9% (145.5 miliard Lekë) u financuan nëpërmjet burimeve të brendshme dhe 5.1% (7.9 miliard Lekë) nëpërmjet burimeve të huaja</w:t>
      </w:r>
      <w:r w:rsidR="008972B2" w:rsidRPr="004E355C">
        <w:rPr>
          <w:rFonts w:asciiTheme="minorHAnsi" w:hAnsiTheme="minorHAnsi"/>
          <w:lang w:val="sq-AL"/>
        </w:rPr>
        <w:t>.</w:t>
      </w:r>
    </w:p>
    <w:p w:rsidR="008972B2" w:rsidRPr="004E355C" w:rsidRDefault="008972B2" w:rsidP="008972B2">
      <w:pPr>
        <w:tabs>
          <w:tab w:val="left" w:pos="360"/>
        </w:tabs>
        <w:spacing w:before="240" w:line="276" w:lineRule="auto"/>
        <w:jc w:val="both"/>
        <w:rPr>
          <w:rFonts w:asciiTheme="minorHAnsi" w:hAnsiTheme="minorHAnsi"/>
          <w:b/>
          <w:lang w:val="sq-AL"/>
        </w:rPr>
      </w:pPr>
      <w:r w:rsidRPr="004E355C">
        <w:rPr>
          <w:rFonts w:asciiTheme="minorHAnsi" w:hAnsiTheme="minorHAnsi"/>
          <w:b/>
          <w:lang w:val="sq-AL"/>
        </w:rPr>
        <w:t>Huamarrja e Brendshme</w:t>
      </w:r>
    </w:p>
    <w:p w:rsidR="008972B2" w:rsidRPr="004E355C" w:rsidRDefault="009B547A" w:rsidP="00797C25">
      <w:pPr>
        <w:tabs>
          <w:tab w:val="left" w:pos="360"/>
        </w:tabs>
        <w:spacing w:line="276" w:lineRule="auto"/>
        <w:jc w:val="both"/>
        <w:rPr>
          <w:rFonts w:asciiTheme="minorHAnsi" w:hAnsiTheme="minorHAnsi"/>
          <w:lang w:val="sq-AL"/>
        </w:rPr>
      </w:pPr>
      <w:r w:rsidRPr="004E355C">
        <w:rPr>
          <w:rFonts w:asciiTheme="minorHAnsi" w:hAnsiTheme="minorHAnsi"/>
          <w:lang w:val="sq-AL"/>
        </w:rPr>
        <w:t>Gjatë periudhës janar-maj të vitit 2019, Ministria e Financave dhe Ekonomisë ka emetuar në tregun e brendshëm tituj shtetërorë në vlerën 145.5 miliard Lekë, nga të cilat 142.7 miliard Lekë kanë shërbyer për rifinancimin e titujve ekzistues dhe pjesa tjetër (2.8 miliard Lekë) për financimin e deficitit buxhetor të planifikuar. Financimi neto në raport me planin vjetor është realizuar në nivelin 12.2%. Ritmet e ulëta në realizimin e financimit reflektojnë politikat e MFE në kuadër të reduktimit të kostove të humarrjes, nisur nga niveli i konsiderueshëm i likuiditetit</w:t>
      </w:r>
      <w:r>
        <w:rPr>
          <w:rFonts w:asciiTheme="minorHAnsi" w:hAnsiTheme="minorHAnsi"/>
          <w:lang w:val="sq-AL"/>
        </w:rPr>
        <w:t xml:space="preserve"> të</w:t>
      </w:r>
      <w:r w:rsidRPr="004E355C">
        <w:rPr>
          <w:rFonts w:asciiTheme="minorHAnsi" w:hAnsiTheme="minorHAnsi"/>
          <w:lang w:val="sq-AL"/>
        </w:rPr>
        <w:t xml:space="preserve"> trashëguar nga viti 2018. Në linjë me objektivin për reduktimin e ekspozimit ndaj risqeve, financimi neto është siguruar në masën 146.4% nëpërmjet titujve afatgjatë, ndërkohë që është shoqëruar me maturim të titujve afatshkurtër</w:t>
      </w:r>
      <w:r w:rsidR="008972B2" w:rsidRPr="004E355C">
        <w:rPr>
          <w:rFonts w:asciiTheme="minorHAnsi" w:hAnsiTheme="minorHAnsi"/>
          <w:lang w:val="sq-AL"/>
        </w:rPr>
        <w:t>.</w:t>
      </w:r>
    </w:p>
    <w:p w:rsidR="005D4A49" w:rsidRPr="004E355C" w:rsidRDefault="007434A1" w:rsidP="00666B9F">
      <w:pPr>
        <w:pStyle w:val="Caption"/>
        <w:jc w:val="both"/>
        <w:rPr>
          <w:rFonts w:asciiTheme="minorHAnsi" w:hAnsiTheme="minorHAnsi"/>
          <w:b w:val="0"/>
          <w:bCs w:val="0"/>
          <w:i/>
          <w:color w:val="auto"/>
          <w:sz w:val="24"/>
          <w:szCs w:val="24"/>
          <w:lang w:val="sq-AL"/>
        </w:rPr>
      </w:pPr>
      <w:bookmarkStart w:id="58" w:name="_Toc12449196"/>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10</w:t>
      </w:r>
      <w:r w:rsidRPr="004E355C">
        <w:rPr>
          <w:rFonts w:asciiTheme="minorHAnsi" w:hAnsiTheme="minorHAnsi"/>
          <w:b w:val="0"/>
          <w:bCs w:val="0"/>
          <w:i/>
          <w:color w:val="auto"/>
          <w:sz w:val="24"/>
          <w:szCs w:val="24"/>
          <w:lang w:val="sq-AL"/>
        </w:rPr>
        <w:fldChar w:fldCharType="end"/>
      </w:r>
      <w:r w:rsidR="005D4A49" w:rsidRPr="004E355C">
        <w:rPr>
          <w:rFonts w:asciiTheme="minorHAnsi" w:hAnsiTheme="minorHAnsi"/>
          <w:b w:val="0"/>
          <w:bCs w:val="0"/>
          <w:i/>
          <w:color w:val="auto"/>
          <w:sz w:val="24"/>
          <w:szCs w:val="24"/>
          <w:lang w:val="sq-AL"/>
        </w:rPr>
        <w:t xml:space="preserve">: Huamarrja shtetërore nga burime të brendshme </w:t>
      </w:r>
      <w:r w:rsidR="002B2044" w:rsidRPr="004E355C">
        <w:rPr>
          <w:rFonts w:asciiTheme="minorHAnsi" w:hAnsiTheme="minorHAnsi"/>
          <w:b w:val="0"/>
          <w:bCs w:val="0"/>
          <w:i/>
          <w:color w:val="auto"/>
          <w:sz w:val="22"/>
          <w:szCs w:val="24"/>
          <w:lang w:val="sq-AL"/>
        </w:rPr>
        <w:t>(Janar-Maj 2019)</w:t>
      </w:r>
      <w:bookmarkEnd w:id="58"/>
    </w:p>
    <w:tbl>
      <w:tblPr>
        <w:tblW w:w="9593" w:type="dxa"/>
        <w:jc w:val="center"/>
        <w:tblLook w:val="04A0" w:firstRow="1" w:lastRow="0" w:firstColumn="1" w:lastColumn="0" w:noHBand="0" w:noVBand="1"/>
      </w:tblPr>
      <w:tblGrid>
        <w:gridCol w:w="2617"/>
        <w:gridCol w:w="1744"/>
        <w:gridCol w:w="1453"/>
        <w:gridCol w:w="1744"/>
        <w:gridCol w:w="2035"/>
      </w:tblGrid>
      <w:tr w:rsidR="002B2044" w:rsidRPr="004E355C" w:rsidTr="002B2044">
        <w:trPr>
          <w:trHeight w:val="449"/>
          <w:jc w:val="center"/>
        </w:trPr>
        <w:tc>
          <w:tcPr>
            <w:tcW w:w="2617" w:type="dxa"/>
            <w:tcBorders>
              <w:top w:val="nil"/>
              <w:left w:val="nil"/>
              <w:bottom w:val="single" w:sz="8" w:space="0" w:color="FFFFFF"/>
              <w:right w:val="single" w:sz="8" w:space="0" w:color="FFFFFF"/>
            </w:tcBorders>
            <w:shd w:val="clear" w:color="auto" w:fill="0070C0"/>
            <w:vAlign w:val="center"/>
            <w:hideMark/>
          </w:tcPr>
          <w:p w:rsidR="002B2044" w:rsidRPr="004E355C" w:rsidRDefault="002B2044" w:rsidP="002B2044">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Lloji i Titullit</w:t>
            </w:r>
          </w:p>
        </w:tc>
        <w:tc>
          <w:tcPr>
            <w:tcW w:w="1744" w:type="dxa"/>
            <w:tcBorders>
              <w:top w:val="single" w:sz="8" w:space="0" w:color="FFFFFF"/>
              <w:left w:val="nil"/>
              <w:bottom w:val="single" w:sz="8" w:space="0" w:color="FFFFFF"/>
              <w:right w:val="nil"/>
            </w:tcBorders>
            <w:shd w:val="clear" w:color="auto" w:fill="0070C0"/>
            <w:vAlign w:val="center"/>
            <w:hideMark/>
          </w:tcPr>
          <w:p w:rsidR="002B2044" w:rsidRPr="004E355C" w:rsidRDefault="002B2044"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Emetim                                          </w:t>
            </w:r>
            <w:r w:rsidRPr="004E355C">
              <w:rPr>
                <w:rFonts w:ascii="Cambria" w:hAnsi="Cambria"/>
                <w:color w:val="FFFFFF"/>
                <w:sz w:val="18"/>
                <w:szCs w:val="18"/>
                <w:lang w:val="sq-AL"/>
              </w:rPr>
              <w:t>(në mld Lekë)</w:t>
            </w:r>
          </w:p>
        </w:tc>
        <w:tc>
          <w:tcPr>
            <w:tcW w:w="1453" w:type="dxa"/>
            <w:tcBorders>
              <w:top w:val="single" w:sz="8" w:space="0" w:color="FFFFFF"/>
              <w:left w:val="single" w:sz="8" w:space="0" w:color="FFFFFF"/>
              <w:bottom w:val="single" w:sz="8" w:space="0" w:color="FFFFFF"/>
              <w:right w:val="nil"/>
            </w:tcBorders>
            <w:shd w:val="clear" w:color="auto" w:fill="0070C0"/>
            <w:vAlign w:val="center"/>
            <w:hideMark/>
          </w:tcPr>
          <w:p w:rsidR="002B2044" w:rsidRPr="004E355C" w:rsidRDefault="002B2044"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Maturim                                        </w:t>
            </w:r>
            <w:r w:rsidRPr="004E355C">
              <w:rPr>
                <w:rFonts w:ascii="Cambria" w:hAnsi="Cambria"/>
                <w:color w:val="FFFFFF"/>
                <w:sz w:val="18"/>
                <w:szCs w:val="18"/>
                <w:lang w:val="sq-AL"/>
              </w:rPr>
              <w:t>(në mld Lekë)</w:t>
            </w:r>
          </w:p>
        </w:tc>
        <w:tc>
          <w:tcPr>
            <w:tcW w:w="1744" w:type="dxa"/>
            <w:tcBorders>
              <w:top w:val="single" w:sz="8" w:space="0" w:color="FFFFFF"/>
              <w:left w:val="single" w:sz="8" w:space="0" w:color="FFFFFF"/>
              <w:bottom w:val="single" w:sz="8" w:space="0" w:color="FFFFFF"/>
              <w:right w:val="single" w:sz="8" w:space="0" w:color="FFFFFF"/>
            </w:tcBorders>
            <w:shd w:val="clear" w:color="auto" w:fill="0070C0"/>
            <w:vAlign w:val="center"/>
            <w:hideMark/>
          </w:tcPr>
          <w:p w:rsidR="002B2044" w:rsidRPr="004E355C" w:rsidRDefault="002B2044"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Huamarrja Neto                                       </w:t>
            </w:r>
            <w:r w:rsidRPr="004E355C">
              <w:rPr>
                <w:rFonts w:ascii="Cambria" w:hAnsi="Cambria"/>
                <w:color w:val="FFFFFF"/>
                <w:sz w:val="18"/>
                <w:szCs w:val="18"/>
                <w:lang w:val="sq-AL"/>
              </w:rPr>
              <w:t>(në mld Lekë)</w:t>
            </w:r>
          </w:p>
        </w:tc>
        <w:tc>
          <w:tcPr>
            <w:tcW w:w="2035" w:type="dxa"/>
            <w:tcBorders>
              <w:top w:val="single" w:sz="8" w:space="0" w:color="FFFFFF"/>
              <w:left w:val="nil"/>
              <w:bottom w:val="single" w:sz="8" w:space="0" w:color="FFFFFF"/>
              <w:right w:val="single" w:sz="8" w:space="0" w:color="FFFFFF"/>
            </w:tcBorders>
            <w:shd w:val="clear" w:color="auto" w:fill="0070C0"/>
            <w:vAlign w:val="center"/>
            <w:hideMark/>
          </w:tcPr>
          <w:p w:rsidR="002B2044" w:rsidRPr="004E355C" w:rsidRDefault="002B2044"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Huamarrja Neto                                       </w:t>
            </w:r>
            <w:r w:rsidRPr="004E355C">
              <w:rPr>
                <w:rFonts w:ascii="Cambria" w:hAnsi="Cambria"/>
                <w:color w:val="FFFFFF"/>
                <w:sz w:val="18"/>
                <w:szCs w:val="18"/>
                <w:lang w:val="sq-AL"/>
              </w:rPr>
              <w:t>(në %)</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b/>
                <w:bCs/>
                <w:sz w:val="18"/>
                <w:szCs w:val="18"/>
                <w:lang w:val="sq-AL"/>
              </w:rPr>
            </w:pPr>
            <w:r w:rsidRPr="004E355C">
              <w:rPr>
                <w:rFonts w:ascii="Cambria" w:hAnsi="Cambria"/>
                <w:b/>
                <w:bCs/>
                <w:sz w:val="18"/>
                <w:szCs w:val="18"/>
                <w:lang w:val="sq-AL"/>
              </w:rPr>
              <w:t>Tituj Afatshkurtër</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98.7</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100.0</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-1.3</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-46.4%</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Bono Thesari në Lekë</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98.7</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100.0</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-1.3</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-46.4%</w:t>
            </w:r>
          </w:p>
        </w:tc>
      </w:tr>
      <w:tr w:rsidR="002B2044" w:rsidRPr="004E355C" w:rsidTr="002B2044">
        <w:trPr>
          <w:trHeight w:val="269"/>
          <w:jc w:val="center"/>
        </w:trPr>
        <w:tc>
          <w:tcPr>
            <w:tcW w:w="2617" w:type="dxa"/>
            <w:tcBorders>
              <w:top w:val="nil"/>
              <w:left w:val="nil"/>
              <w:bottom w:val="single" w:sz="8" w:space="0" w:color="auto"/>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sz w:val="18"/>
                <w:szCs w:val="18"/>
                <w:lang w:val="sq-AL"/>
              </w:rPr>
            </w:pPr>
            <w:r w:rsidRPr="004E355C">
              <w:rPr>
                <w:rFonts w:ascii="Cambria" w:hAnsi="Cambria"/>
                <w:sz w:val="18"/>
                <w:szCs w:val="18"/>
                <w:lang w:val="sq-AL"/>
              </w:rPr>
              <w:t xml:space="preserve">    Bono Thesari në Euro</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0.0</w:t>
            </w:r>
          </w:p>
        </w:tc>
        <w:tc>
          <w:tcPr>
            <w:tcW w:w="1453"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0.0</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0.0</w:t>
            </w:r>
          </w:p>
        </w:tc>
        <w:tc>
          <w:tcPr>
            <w:tcW w:w="2035"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sz w:val="18"/>
                <w:szCs w:val="18"/>
                <w:lang w:val="sq-AL"/>
              </w:rPr>
            </w:pPr>
            <w:r w:rsidRPr="004E355C">
              <w:rPr>
                <w:rFonts w:ascii="Cambria" w:hAnsi="Cambria"/>
                <w:sz w:val="18"/>
                <w:szCs w:val="18"/>
                <w:lang w:val="sq-AL"/>
              </w:rPr>
              <w:t>0.0%</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b/>
                <w:bCs/>
                <w:color w:val="000000"/>
                <w:sz w:val="18"/>
                <w:szCs w:val="18"/>
                <w:lang w:val="sq-AL"/>
              </w:rPr>
            </w:pPr>
            <w:r w:rsidRPr="004E355C">
              <w:rPr>
                <w:rFonts w:ascii="Cambria" w:hAnsi="Cambria"/>
                <w:b/>
                <w:bCs/>
                <w:color w:val="000000"/>
                <w:sz w:val="18"/>
                <w:szCs w:val="18"/>
                <w:lang w:val="sq-AL"/>
              </w:rPr>
              <w:t>Tituj Afatgjatë</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46.8</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42.7</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4.1</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146.4%</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Obligacione 2 vjeçare</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17.6</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29.4</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-11.8</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-423.3%</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Obligacione 3 vjeçare</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7.7</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6.0</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1.7</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60.4%</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Obligacione 5 vjeçare</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12.0</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7.3</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4.6</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166.0%</w:t>
            </w:r>
          </w:p>
        </w:tc>
      </w:tr>
      <w:tr w:rsidR="002B2044" w:rsidRPr="004E355C" w:rsidTr="002B2044">
        <w:trPr>
          <w:trHeight w:val="256"/>
          <w:jc w:val="center"/>
        </w:trPr>
        <w:tc>
          <w:tcPr>
            <w:tcW w:w="2617" w:type="dxa"/>
            <w:tcBorders>
              <w:top w:val="nil"/>
              <w:left w:val="nil"/>
              <w:bottom w:val="nil"/>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Obligacione 7 vjeçare</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3.0</w:t>
            </w:r>
          </w:p>
        </w:tc>
        <w:tc>
          <w:tcPr>
            <w:tcW w:w="1453"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0.0</w:t>
            </w:r>
          </w:p>
        </w:tc>
        <w:tc>
          <w:tcPr>
            <w:tcW w:w="1744"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3.0</w:t>
            </w:r>
          </w:p>
        </w:tc>
        <w:tc>
          <w:tcPr>
            <w:tcW w:w="2035" w:type="dxa"/>
            <w:tcBorders>
              <w:top w:val="nil"/>
              <w:left w:val="nil"/>
              <w:bottom w:val="nil"/>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107.4%</w:t>
            </w:r>
          </w:p>
        </w:tc>
      </w:tr>
      <w:tr w:rsidR="002B2044" w:rsidRPr="004E355C" w:rsidTr="002B2044">
        <w:trPr>
          <w:trHeight w:val="269"/>
          <w:jc w:val="center"/>
        </w:trPr>
        <w:tc>
          <w:tcPr>
            <w:tcW w:w="2617" w:type="dxa"/>
            <w:tcBorders>
              <w:top w:val="nil"/>
              <w:left w:val="nil"/>
              <w:bottom w:val="single" w:sz="8" w:space="0" w:color="auto"/>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 xml:space="preserve">    Obligacione 10 vjeçare</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6.6</w:t>
            </w:r>
          </w:p>
        </w:tc>
        <w:tc>
          <w:tcPr>
            <w:tcW w:w="1453"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0.0</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6.6</w:t>
            </w:r>
          </w:p>
        </w:tc>
        <w:tc>
          <w:tcPr>
            <w:tcW w:w="2035"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235.9%</w:t>
            </w:r>
          </w:p>
        </w:tc>
      </w:tr>
      <w:tr w:rsidR="002B2044" w:rsidRPr="004E355C" w:rsidTr="002B2044">
        <w:trPr>
          <w:trHeight w:val="269"/>
          <w:jc w:val="center"/>
        </w:trPr>
        <w:tc>
          <w:tcPr>
            <w:tcW w:w="2617" w:type="dxa"/>
            <w:tcBorders>
              <w:top w:val="single" w:sz="8" w:space="0" w:color="FFFFFF"/>
              <w:left w:val="nil"/>
              <w:bottom w:val="single" w:sz="8" w:space="0" w:color="auto"/>
              <w:right w:val="single" w:sz="8" w:space="0" w:color="FFFFFF"/>
            </w:tcBorders>
            <w:shd w:val="clear" w:color="000000" w:fill="FFFFFF"/>
            <w:noWrap/>
            <w:vAlign w:val="bottom"/>
            <w:hideMark/>
          </w:tcPr>
          <w:p w:rsidR="002B2044" w:rsidRPr="004E355C" w:rsidRDefault="002B2044" w:rsidP="00BB5756">
            <w:pPr>
              <w:spacing w:line="276" w:lineRule="auto"/>
              <w:rPr>
                <w:rFonts w:ascii="Cambria" w:hAnsi="Cambria"/>
                <w:b/>
                <w:bCs/>
                <w:sz w:val="18"/>
                <w:szCs w:val="18"/>
                <w:lang w:val="sq-AL"/>
              </w:rPr>
            </w:pPr>
            <w:r w:rsidRPr="004E355C">
              <w:rPr>
                <w:rFonts w:ascii="Cambria" w:hAnsi="Cambria"/>
                <w:b/>
                <w:bCs/>
                <w:sz w:val="18"/>
                <w:szCs w:val="18"/>
                <w:lang w:val="sq-AL"/>
              </w:rPr>
              <w:t xml:space="preserve">Gjithsej Tituj Shtetërorë </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145.5</w:t>
            </w:r>
          </w:p>
        </w:tc>
        <w:tc>
          <w:tcPr>
            <w:tcW w:w="1453"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142.7</w:t>
            </w:r>
          </w:p>
        </w:tc>
        <w:tc>
          <w:tcPr>
            <w:tcW w:w="1744"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2.8</w:t>
            </w:r>
          </w:p>
        </w:tc>
        <w:tc>
          <w:tcPr>
            <w:tcW w:w="2035" w:type="dxa"/>
            <w:tcBorders>
              <w:top w:val="nil"/>
              <w:left w:val="nil"/>
              <w:bottom w:val="single" w:sz="8" w:space="0" w:color="auto"/>
              <w:right w:val="nil"/>
            </w:tcBorders>
            <w:shd w:val="clear" w:color="000000" w:fill="FFFFFF"/>
            <w:noWrap/>
            <w:vAlign w:val="bottom"/>
            <w:hideMark/>
          </w:tcPr>
          <w:p w:rsidR="002B2044" w:rsidRPr="004E355C" w:rsidRDefault="002B2044" w:rsidP="002B2044">
            <w:pPr>
              <w:spacing w:line="276" w:lineRule="auto"/>
              <w:jc w:val="center"/>
              <w:rPr>
                <w:rFonts w:ascii="Cambria" w:hAnsi="Cambria"/>
                <w:b/>
                <w:bCs/>
                <w:sz w:val="18"/>
                <w:szCs w:val="18"/>
                <w:lang w:val="sq-AL"/>
              </w:rPr>
            </w:pPr>
            <w:r w:rsidRPr="004E355C">
              <w:rPr>
                <w:rFonts w:ascii="Cambria" w:hAnsi="Cambria"/>
                <w:b/>
                <w:bCs/>
                <w:sz w:val="18"/>
                <w:szCs w:val="18"/>
                <w:lang w:val="sq-AL"/>
              </w:rPr>
              <w:t>100.0%</w:t>
            </w:r>
          </w:p>
        </w:tc>
      </w:tr>
    </w:tbl>
    <w:p w:rsidR="002B2044" w:rsidRPr="004E355C" w:rsidRDefault="002B2044" w:rsidP="002B2044">
      <w:pPr>
        <w:tabs>
          <w:tab w:val="left" w:pos="360"/>
        </w:tabs>
        <w:spacing w:line="276" w:lineRule="auto"/>
        <w:jc w:val="center"/>
        <w:rPr>
          <w:rFonts w:asciiTheme="minorHAnsi" w:hAnsiTheme="minorHAnsi"/>
          <w:i/>
          <w:sz w:val="8"/>
          <w:lang w:val="sq-AL"/>
        </w:rPr>
      </w:pPr>
    </w:p>
    <w:p w:rsidR="008972B2" w:rsidRPr="004E355C" w:rsidRDefault="00B24B3B" w:rsidP="008972B2">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Burimi: Ministria e Financave dhe Ekonomisë (2019)</w:t>
      </w:r>
    </w:p>
    <w:p w:rsidR="008972B2" w:rsidRPr="004E355C" w:rsidRDefault="004F51AF" w:rsidP="00D3619E">
      <w:pPr>
        <w:tabs>
          <w:tab w:val="left" w:pos="360"/>
        </w:tabs>
        <w:spacing w:before="240" w:after="240" w:line="276" w:lineRule="auto"/>
        <w:jc w:val="both"/>
        <w:rPr>
          <w:rFonts w:asciiTheme="minorHAnsi" w:hAnsiTheme="minorHAnsi"/>
          <w:lang w:val="sq-AL"/>
        </w:rPr>
      </w:pPr>
      <w:r w:rsidRPr="004E355C">
        <w:rPr>
          <w:rFonts w:asciiTheme="minorHAnsi" w:hAnsiTheme="minorHAnsi"/>
          <w:lang w:val="sq-AL"/>
        </w:rPr>
        <w:t>Krahasuar me periudhën janar-maj të vitit paraardhës, nevoja për huamarrje të brendshme është reduktuar me rreth 10.5 miliard Lekë, ndërkohë që edhe raporti i huamarrjes me të ardhurat tatimore ka shënuar një rënie me rreth 10.6 pp</w:t>
      </w:r>
      <w:r w:rsidR="008972B2" w:rsidRPr="004E355C">
        <w:rPr>
          <w:rFonts w:asciiTheme="minorHAnsi" w:hAnsiTheme="minorHAnsi"/>
          <w:lang w:val="sq-AL"/>
        </w:rPr>
        <w:t>.</w:t>
      </w:r>
    </w:p>
    <w:p w:rsidR="004F51AF" w:rsidRPr="004E355C" w:rsidRDefault="004F51AF" w:rsidP="004F51AF">
      <w:pPr>
        <w:tabs>
          <w:tab w:val="left" w:pos="360"/>
        </w:tabs>
        <w:spacing w:before="240" w:line="276" w:lineRule="auto"/>
        <w:jc w:val="both"/>
        <w:rPr>
          <w:rFonts w:asciiTheme="minorHAnsi" w:hAnsiTheme="minorHAnsi"/>
          <w:lang w:val="sq-AL"/>
        </w:rPr>
      </w:pPr>
      <w:bookmarkStart w:id="59" w:name="_Toc12448460"/>
      <w:r w:rsidRPr="004E355C">
        <w:rPr>
          <w:rFonts w:asciiTheme="minorHAnsi" w:hAnsiTheme="minorHAnsi"/>
          <w:bCs/>
          <w:i/>
          <w:lang w:val="sq-AL"/>
        </w:rPr>
        <w:t xml:space="preserve">Grafiku </w:t>
      </w:r>
      <w:r w:rsidRPr="004E355C">
        <w:rPr>
          <w:rFonts w:asciiTheme="minorHAnsi" w:hAnsiTheme="minorHAnsi"/>
          <w:bCs/>
          <w:i/>
          <w:lang w:val="sq-AL"/>
        </w:rPr>
        <w:fldChar w:fldCharType="begin"/>
      </w:r>
      <w:r w:rsidRPr="004E355C">
        <w:rPr>
          <w:rFonts w:asciiTheme="minorHAnsi" w:hAnsiTheme="minorHAnsi"/>
          <w:bCs/>
          <w:i/>
          <w:lang w:val="sq-AL"/>
        </w:rPr>
        <w:instrText xml:space="preserve"> SEQ Grafiku \* ARABIC </w:instrText>
      </w:r>
      <w:r w:rsidRPr="004E355C">
        <w:rPr>
          <w:rFonts w:asciiTheme="minorHAnsi" w:hAnsiTheme="minorHAnsi"/>
          <w:bCs/>
          <w:i/>
          <w:lang w:val="sq-AL"/>
        </w:rPr>
        <w:fldChar w:fldCharType="separate"/>
      </w:r>
      <w:r w:rsidR="00C83C78">
        <w:rPr>
          <w:rFonts w:asciiTheme="minorHAnsi" w:hAnsiTheme="minorHAnsi"/>
          <w:bCs/>
          <w:i/>
          <w:noProof/>
          <w:lang w:val="sq-AL"/>
        </w:rPr>
        <w:t>34</w:t>
      </w:r>
      <w:r w:rsidRPr="004E355C">
        <w:rPr>
          <w:rFonts w:asciiTheme="minorHAnsi" w:hAnsiTheme="minorHAnsi"/>
          <w:bCs/>
          <w:i/>
          <w:lang w:val="sq-AL"/>
        </w:rPr>
        <w:fldChar w:fldCharType="end"/>
      </w:r>
      <w:r w:rsidRPr="004E355C">
        <w:rPr>
          <w:rFonts w:asciiTheme="minorHAnsi" w:hAnsiTheme="minorHAnsi"/>
          <w:bCs/>
          <w:i/>
          <w:lang w:val="sq-AL"/>
        </w:rPr>
        <w:t xml:space="preserve">: </w:t>
      </w:r>
      <w:r w:rsidRPr="004E355C">
        <w:rPr>
          <w:rFonts w:asciiTheme="minorHAnsi" w:hAnsiTheme="minorHAnsi"/>
          <w:lang w:val="sq-AL"/>
        </w:rPr>
        <w:t>Huamarrja e brendshme në raport me të ardhurat tatimore</w:t>
      </w:r>
      <w:bookmarkEnd w:id="59"/>
    </w:p>
    <w:p w:rsidR="004F51AF" w:rsidRPr="004E355C" w:rsidRDefault="004F51AF" w:rsidP="004F51AF">
      <w:pPr>
        <w:tabs>
          <w:tab w:val="left" w:pos="360"/>
        </w:tabs>
        <w:spacing w:line="276" w:lineRule="auto"/>
        <w:jc w:val="center"/>
        <w:rPr>
          <w:rFonts w:asciiTheme="minorHAnsi" w:hAnsiTheme="minorHAnsi"/>
          <w:lang w:val="sq-AL"/>
        </w:rPr>
      </w:pPr>
      <w:r w:rsidRPr="004E355C">
        <w:rPr>
          <w:noProof/>
          <w:shd w:val="clear" w:color="auto" w:fill="4F81BD" w:themeFill="accent1"/>
        </w:rPr>
        <w:drawing>
          <wp:inline distT="0" distB="0" distL="0" distR="0" wp14:anchorId="02EE4D36" wp14:editId="0B14CA51">
            <wp:extent cx="5951855" cy="1920240"/>
            <wp:effectExtent l="0" t="0" r="10795" b="381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4F51AF" w:rsidRPr="004E355C" w:rsidRDefault="004F51AF" w:rsidP="004F51AF">
      <w:pPr>
        <w:tabs>
          <w:tab w:val="left" w:pos="360"/>
        </w:tabs>
        <w:spacing w:line="276" w:lineRule="auto"/>
        <w:jc w:val="both"/>
        <w:rPr>
          <w:i/>
          <w:sz w:val="20"/>
          <w:lang w:val="sq-AL"/>
        </w:rPr>
      </w:pPr>
      <w:r w:rsidRPr="004E355C">
        <w:rPr>
          <w:i/>
          <w:sz w:val="20"/>
          <w:lang w:val="sq-AL"/>
        </w:rPr>
        <w:tab/>
        <w:t>Burimi: Ministria e Financave dhe Ekonomisë (2019)</w:t>
      </w:r>
    </w:p>
    <w:p w:rsidR="008972B2" w:rsidRPr="004E355C" w:rsidRDefault="008972B2" w:rsidP="008972B2">
      <w:pPr>
        <w:tabs>
          <w:tab w:val="left" w:pos="360"/>
        </w:tabs>
        <w:spacing w:before="240" w:line="276" w:lineRule="auto"/>
        <w:jc w:val="both"/>
        <w:rPr>
          <w:rFonts w:asciiTheme="minorHAnsi" w:hAnsiTheme="minorHAnsi"/>
          <w:b/>
          <w:lang w:val="sq-AL"/>
        </w:rPr>
      </w:pPr>
      <w:bookmarkStart w:id="60" w:name="_Toc485372197"/>
      <w:r w:rsidRPr="004E355C">
        <w:rPr>
          <w:rFonts w:asciiTheme="minorHAnsi" w:hAnsiTheme="minorHAnsi"/>
          <w:b/>
          <w:lang w:val="sq-AL"/>
        </w:rPr>
        <w:t>Huamarrja e Huaj</w:t>
      </w:r>
      <w:bookmarkEnd w:id="60"/>
      <w:r w:rsidRPr="004E355C">
        <w:rPr>
          <w:rFonts w:asciiTheme="minorHAnsi" w:hAnsiTheme="minorHAnsi"/>
          <w:b/>
          <w:lang w:val="sq-AL"/>
        </w:rPr>
        <w:t xml:space="preserve"> </w:t>
      </w:r>
    </w:p>
    <w:p w:rsidR="008972B2" w:rsidRPr="004E355C" w:rsidRDefault="004F51AF" w:rsidP="00D3619E">
      <w:pPr>
        <w:tabs>
          <w:tab w:val="left" w:pos="360"/>
        </w:tabs>
        <w:spacing w:line="276" w:lineRule="auto"/>
        <w:jc w:val="both"/>
        <w:rPr>
          <w:rFonts w:asciiTheme="minorHAnsi" w:hAnsiTheme="minorHAnsi"/>
          <w:lang w:val="sq-AL"/>
        </w:rPr>
      </w:pPr>
      <w:r w:rsidRPr="004E355C">
        <w:rPr>
          <w:rFonts w:asciiTheme="minorHAnsi" w:hAnsiTheme="minorHAnsi"/>
          <w:lang w:val="sq-AL"/>
        </w:rPr>
        <w:t>Në periudhën janar-maj 2019 huamarrja e huaj rezulton në vlerën 7.9 miliard Lekë dhe pjesa më e madhe (81.0%) është realizuar nëpërmjet huave që financojnë projektet ekzistuese. Krahasuar me të njëjtën periudhë të vitit 2018, huamarrja e huaj ka shënuar një rritje me 2.0 miliard Lekë, e cila ka ardhur kryesisht si rezultat i disbursimeve në formën e mbështetjes buxhetore</w:t>
      </w:r>
      <w:r w:rsidR="008972B2" w:rsidRPr="004E355C">
        <w:rPr>
          <w:rFonts w:asciiTheme="minorHAnsi" w:hAnsiTheme="minorHAnsi"/>
          <w:lang w:val="sq-AL"/>
        </w:rPr>
        <w:t>.</w:t>
      </w:r>
    </w:p>
    <w:p w:rsidR="005D4A49" w:rsidRPr="004E355C" w:rsidRDefault="005D4A49" w:rsidP="007434A1">
      <w:pPr>
        <w:pStyle w:val="Caption"/>
        <w:rPr>
          <w:rFonts w:asciiTheme="minorHAnsi" w:hAnsiTheme="minorHAnsi"/>
          <w:b w:val="0"/>
          <w:bCs w:val="0"/>
          <w:i/>
          <w:color w:val="auto"/>
          <w:sz w:val="24"/>
          <w:szCs w:val="24"/>
          <w:lang w:val="sq-AL"/>
        </w:rPr>
      </w:pPr>
      <w:bookmarkStart w:id="61" w:name="_Toc12449197"/>
      <w:r w:rsidRPr="004E355C">
        <w:rPr>
          <w:rFonts w:asciiTheme="minorHAnsi" w:hAnsiTheme="minorHAnsi"/>
          <w:b w:val="0"/>
          <w:bCs w:val="0"/>
          <w:i/>
          <w:color w:val="auto"/>
          <w:sz w:val="24"/>
          <w:szCs w:val="24"/>
          <w:lang w:val="sq-AL"/>
        </w:rPr>
        <w:t>Tabela</w:t>
      </w:r>
      <w:r w:rsidR="007434A1" w:rsidRPr="004E355C">
        <w:rPr>
          <w:rFonts w:asciiTheme="minorHAnsi" w:hAnsiTheme="minorHAnsi"/>
          <w:b w:val="0"/>
          <w:bCs w:val="0"/>
          <w:i/>
          <w:color w:val="auto"/>
          <w:sz w:val="24"/>
          <w:szCs w:val="24"/>
          <w:lang w:val="sq-AL"/>
        </w:rPr>
        <w:t xml:space="preserve"> </w:t>
      </w:r>
      <w:r w:rsidR="007434A1" w:rsidRPr="004E355C">
        <w:rPr>
          <w:rFonts w:asciiTheme="minorHAnsi" w:hAnsiTheme="minorHAnsi"/>
          <w:b w:val="0"/>
          <w:bCs w:val="0"/>
          <w:i/>
          <w:color w:val="auto"/>
          <w:sz w:val="24"/>
          <w:szCs w:val="24"/>
          <w:lang w:val="sq-AL"/>
        </w:rPr>
        <w:fldChar w:fldCharType="begin"/>
      </w:r>
      <w:r w:rsidR="007434A1" w:rsidRPr="004E355C">
        <w:rPr>
          <w:rFonts w:asciiTheme="minorHAnsi" w:hAnsiTheme="minorHAnsi"/>
          <w:b w:val="0"/>
          <w:bCs w:val="0"/>
          <w:i/>
          <w:color w:val="auto"/>
          <w:sz w:val="24"/>
          <w:szCs w:val="24"/>
          <w:lang w:val="sq-AL"/>
        </w:rPr>
        <w:instrText xml:space="preserve"> SEQ Tabela \* ARABIC </w:instrText>
      </w:r>
      <w:r w:rsidR="007434A1"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11</w:t>
      </w:r>
      <w:r w:rsidR="007434A1"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Huamarrja e huaj në terma bruto</w:t>
      </w:r>
      <w:bookmarkEnd w:id="61"/>
    </w:p>
    <w:tbl>
      <w:tblPr>
        <w:tblW w:w="9792" w:type="dxa"/>
        <w:jc w:val="center"/>
        <w:tblLook w:val="04A0" w:firstRow="1" w:lastRow="0" w:firstColumn="1" w:lastColumn="0" w:noHBand="0" w:noVBand="1"/>
      </w:tblPr>
      <w:tblGrid>
        <w:gridCol w:w="3013"/>
        <w:gridCol w:w="2491"/>
        <w:gridCol w:w="997"/>
        <w:gridCol w:w="2294"/>
        <w:gridCol w:w="997"/>
      </w:tblGrid>
      <w:tr w:rsidR="004E0208" w:rsidRPr="004E355C" w:rsidTr="004E0208">
        <w:trPr>
          <w:trHeight w:val="303"/>
          <w:jc w:val="center"/>
        </w:trPr>
        <w:tc>
          <w:tcPr>
            <w:tcW w:w="3013" w:type="dxa"/>
            <w:vMerge w:val="restart"/>
            <w:tcBorders>
              <w:top w:val="nil"/>
              <w:left w:val="nil"/>
              <w:bottom w:val="nil"/>
              <w:right w:val="single" w:sz="8" w:space="0" w:color="FFFFFF"/>
            </w:tcBorders>
            <w:shd w:val="clear" w:color="auto" w:fill="0070C0"/>
            <w:noWrap/>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Huamarrja e Huaj Bruto</w:t>
            </w:r>
          </w:p>
        </w:tc>
        <w:tc>
          <w:tcPr>
            <w:tcW w:w="3488" w:type="dxa"/>
            <w:gridSpan w:val="2"/>
            <w:tcBorders>
              <w:top w:val="nil"/>
              <w:left w:val="nil"/>
              <w:bottom w:val="single" w:sz="8" w:space="0" w:color="FFFFFF"/>
              <w:right w:val="single" w:sz="8" w:space="0" w:color="FFFFFF"/>
            </w:tcBorders>
            <w:shd w:val="clear" w:color="auto" w:fill="0070C0"/>
            <w:noWrap/>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Janar-Maj 2018</w:t>
            </w:r>
          </w:p>
        </w:tc>
        <w:tc>
          <w:tcPr>
            <w:tcW w:w="3291" w:type="dxa"/>
            <w:gridSpan w:val="2"/>
            <w:tcBorders>
              <w:top w:val="nil"/>
              <w:left w:val="nil"/>
              <w:bottom w:val="single" w:sz="8" w:space="0" w:color="FFFFFF"/>
              <w:right w:val="single" w:sz="8" w:space="0" w:color="FFFFFF"/>
            </w:tcBorders>
            <w:shd w:val="clear" w:color="auto" w:fill="0070C0"/>
            <w:noWrap/>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Janar-Maj 2019</w:t>
            </w:r>
          </w:p>
        </w:tc>
      </w:tr>
      <w:tr w:rsidR="004E0208" w:rsidRPr="004E355C" w:rsidTr="004E0208">
        <w:trPr>
          <w:trHeight w:val="478"/>
          <w:jc w:val="center"/>
        </w:trPr>
        <w:tc>
          <w:tcPr>
            <w:tcW w:w="3013" w:type="dxa"/>
            <w:vMerge/>
            <w:tcBorders>
              <w:top w:val="nil"/>
              <w:left w:val="nil"/>
              <w:bottom w:val="nil"/>
              <w:right w:val="single" w:sz="8" w:space="0" w:color="FFFFFF"/>
            </w:tcBorders>
            <w:shd w:val="clear" w:color="auto" w:fill="0070C0"/>
            <w:vAlign w:val="center"/>
            <w:hideMark/>
          </w:tcPr>
          <w:p w:rsidR="004E0208" w:rsidRPr="004E355C" w:rsidRDefault="004E0208" w:rsidP="00BB5756">
            <w:pPr>
              <w:spacing w:line="276" w:lineRule="auto"/>
              <w:rPr>
                <w:rFonts w:ascii="Cambria" w:hAnsi="Cambria"/>
                <w:b/>
                <w:bCs/>
                <w:color w:val="FFFFFF"/>
                <w:sz w:val="18"/>
                <w:szCs w:val="18"/>
                <w:lang w:val="sq-AL"/>
              </w:rPr>
            </w:pPr>
          </w:p>
        </w:tc>
        <w:tc>
          <w:tcPr>
            <w:tcW w:w="2491" w:type="dxa"/>
            <w:tcBorders>
              <w:top w:val="nil"/>
              <w:left w:val="nil"/>
              <w:bottom w:val="nil"/>
              <w:right w:val="nil"/>
            </w:tcBorders>
            <w:shd w:val="clear" w:color="auto" w:fill="0070C0"/>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Vlera                                          </w:t>
            </w:r>
            <w:r w:rsidRPr="004E355C">
              <w:rPr>
                <w:rFonts w:ascii="Cambria" w:hAnsi="Cambria"/>
                <w:color w:val="FFFFFF"/>
                <w:sz w:val="18"/>
                <w:szCs w:val="18"/>
                <w:lang w:val="sq-AL"/>
              </w:rPr>
              <w:t>(në mld Lekë)</w:t>
            </w:r>
          </w:p>
        </w:tc>
        <w:tc>
          <w:tcPr>
            <w:tcW w:w="997" w:type="dxa"/>
            <w:tcBorders>
              <w:top w:val="nil"/>
              <w:left w:val="single" w:sz="8" w:space="0" w:color="FFFFFF"/>
              <w:bottom w:val="nil"/>
              <w:right w:val="single" w:sz="8" w:space="0" w:color="FFFFFF"/>
            </w:tcBorders>
            <w:shd w:val="clear" w:color="auto" w:fill="0070C0"/>
            <w:noWrap/>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%/Total</w:t>
            </w:r>
          </w:p>
        </w:tc>
        <w:tc>
          <w:tcPr>
            <w:tcW w:w="2294" w:type="dxa"/>
            <w:tcBorders>
              <w:top w:val="nil"/>
              <w:left w:val="nil"/>
              <w:bottom w:val="nil"/>
              <w:right w:val="nil"/>
            </w:tcBorders>
            <w:shd w:val="clear" w:color="auto" w:fill="0070C0"/>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 xml:space="preserve">Vlera                                          </w:t>
            </w:r>
            <w:r w:rsidRPr="004E355C">
              <w:rPr>
                <w:rFonts w:ascii="Cambria" w:hAnsi="Cambria"/>
                <w:color w:val="FFFFFF"/>
                <w:sz w:val="18"/>
                <w:szCs w:val="18"/>
                <w:lang w:val="sq-AL"/>
              </w:rPr>
              <w:t>(në mld Lekë)</w:t>
            </w:r>
          </w:p>
        </w:tc>
        <w:tc>
          <w:tcPr>
            <w:tcW w:w="997" w:type="dxa"/>
            <w:tcBorders>
              <w:top w:val="nil"/>
              <w:left w:val="single" w:sz="8" w:space="0" w:color="FFFFFF"/>
              <w:bottom w:val="nil"/>
              <w:right w:val="single" w:sz="8" w:space="0" w:color="FFFFFF"/>
            </w:tcBorders>
            <w:shd w:val="clear" w:color="auto" w:fill="0070C0"/>
            <w:noWrap/>
            <w:vAlign w:val="center"/>
            <w:hideMark/>
          </w:tcPr>
          <w:p w:rsidR="004E0208" w:rsidRPr="004E355C" w:rsidRDefault="004E0208" w:rsidP="00BB5756">
            <w:pPr>
              <w:spacing w:line="276" w:lineRule="auto"/>
              <w:jc w:val="center"/>
              <w:rPr>
                <w:rFonts w:ascii="Cambria" w:hAnsi="Cambria"/>
                <w:b/>
                <w:bCs/>
                <w:color w:val="FFFFFF"/>
                <w:sz w:val="18"/>
                <w:szCs w:val="18"/>
                <w:lang w:val="sq-AL"/>
              </w:rPr>
            </w:pPr>
            <w:r w:rsidRPr="004E355C">
              <w:rPr>
                <w:rFonts w:ascii="Cambria" w:hAnsi="Cambria"/>
                <w:b/>
                <w:bCs/>
                <w:color w:val="FFFFFF"/>
                <w:sz w:val="18"/>
                <w:szCs w:val="18"/>
                <w:lang w:val="sq-AL"/>
              </w:rPr>
              <w:t>%/Total</w:t>
            </w:r>
          </w:p>
        </w:tc>
      </w:tr>
      <w:tr w:rsidR="004E0208" w:rsidRPr="004E355C" w:rsidTr="004E0208">
        <w:trPr>
          <w:trHeight w:val="289"/>
          <w:jc w:val="center"/>
        </w:trPr>
        <w:tc>
          <w:tcPr>
            <w:tcW w:w="3013"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rPr>
                <w:rFonts w:ascii="Cambria" w:hAnsi="Cambria"/>
                <w:b/>
                <w:bCs/>
                <w:color w:val="000000"/>
                <w:sz w:val="18"/>
                <w:szCs w:val="18"/>
                <w:lang w:val="sq-AL"/>
              </w:rPr>
            </w:pPr>
            <w:r w:rsidRPr="004E355C">
              <w:rPr>
                <w:rFonts w:ascii="Cambria" w:hAnsi="Cambria"/>
                <w:b/>
                <w:bCs/>
                <w:color w:val="000000"/>
                <w:sz w:val="18"/>
                <w:szCs w:val="18"/>
                <w:lang w:val="sq-AL"/>
              </w:rPr>
              <w:t>Huamarrja e Huaj</w:t>
            </w:r>
          </w:p>
        </w:tc>
        <w:tc>
          <w:tcPr>
            <w:tcW w:w="2491"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5.9</w:t>
            </w:r>
          </w:p>
        </w:tc>
        <w:tc>
          <w:tcPr>
            <w:tcW w:w="997"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100.0%</w:t>
            </w:r>
          </w:p>
        </w:tc>
        <w:tc>
          <w:tcPr>
            <w:tcW w:w="2294"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7.9</w:t>
            </w:r>
          </w:p>
        </w:tc>
        <w:tc>
          <w:tcPr>
            <w:tcW w:w="997"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b/>
                <w:bCs/>
                <w:color w:val="000000"/>
                <w:sz w:val="18"/>
                <w:szCs w:val="18"/>
                <w:lang w:val="sq-AL"/>
              </w:rPr>
            </w:pPr>
            <w:r w:rsidRPr="004E355C">
              <w:rPr>
                <w:rFonts w:ascii="Cambria" w:hAnsi="Cambria"/>
                <w:b/>
                <w:bCs/>
                <w:color w:val="000000"/>
                <w:sz w:val="18"/>
                <w:szCs w:val="18"/>
                <w:lang w:val="sq-AL"/>
              </w:rPr>
              <w:t>100.0%</w:t>
            </w:r>
          </w:p>
        </w:tc>
      </w:tr>
      <w:tr w:rsidR="004E0208" w:rsidRPr="004E355C" w:rsidTr="004E0208">
        <w:trPr>
          <w:trHeight w:val="289"/>
          <w:jc w:val="center"/>
        </w:trPr>
        <w:tc>
          <w:tcPr>
            <w:tcW w:w="3013" w:type="dxa"/>
            <w:tcBorders>
              <w:top w:val="nil"/>
              <w:left w:val="nil"/>
              <w:bottom w:val="nil"/>
              <w:right w:val="nil"/>
            </w:tcBorders>
            <w:shd w:val="clear" w:color="auto" w:fill="auto"/>
            <w:noWrap/>
            <w:vAlign w:val="center"/>
            <w:hideMark/>
          </w:tcPr>
          <w:p w:rsidR="004E0208" w:rsidRPr="004E355C" w:rsidRDefault="004E0208"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Hua për financimin projektesh</w:t>
            </w:r>
          </w:p>
        </w:tc>
        <w:tc>
          <w:tcPr>
            <w:tcW w:w="2491"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5.9</w:t>
            </w:r>
          </w:p>
        </w:tc>
        <w:tc>
          <w:tcPr>
            <w:tcW w:w="997"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100.0%</w:t>
            </w:r>
          </w:p>
        </w:tc>
        <w:tc>
          <w:tcPr>
            <w:tcW w:w="2294"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6.4</w:t>
            </w:r>
          </w:p>
        </w:tc>
        <w:tc>
          <w:tcPr>
            <w:tcW w:w="997" w:type="dxa"/>
            <w:tcBorders>
              <w:top w:val="nil"/>
              <w:left w:val="nil"/>
              <w:bottom w:val="nil"/>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81.0%</w:t>
            </w:r>
          </w:p>
        </w:tc>
      </w:tr>
      <w:tr w:rsidR="004E0208" w:rsidRPr="004E355C" w:rsidTr="004E0208">
        <w:trPr>
          <w:trHeight w:val="303"/>
          <w:jc w:val="center"/>
        </w:trPr>
        <w:tc>
          <w:tcPr>
            <w:tcW w:w="3013" w:type="dxa"/>
            <w:tcBorders>
              <w:top w:val="nil"/>
              <w:left w:val="nil"/>
              <w:bottom w:val="single" w:sz="8" w:space="0" w:color="auto"/>
              <w:right w:val="nil"/>
            </w:tcBorders>
            <w:shd w:val="clear" w:color="000000" w:fill="FFFFFF"/>
            <w:noWrap/>
            <w:vAlign w:val="center"/>
            <w:hideMark/>
          </w:tcPr>
          <w:p w:rsidR="004E0208" w:rsidRPr="004E355C" w:rsidRDefault="004E0208" w:rsidP="00BB5756">
            <w:pPr>
              <w:spacing w:line="276" w:lineRule="auto"/>
              <w:rPr>
                <w:rFonts w:ascii="Cambria" w:hAnsi="Cambria"/>
                <w:color w:val="000000"/>
                <w:sz w:val="18"/>
                <w:szCs w:val="18"/>
                <w:lang w:val="sq-AL"/>
              </w:rPr>
            </w:pPr>
            <w:r w:rsidRPr="004E355C">
              <w:rPr>
                <w:rFonts w:ascii="Cambria" w:hAnsi="Cambria"/>
                <w:color w:val="000000"/>
                <w:sz w:val="18"/>
                <w:szCs w:val="18"/>
                <w:lang w:val="sq-AL"/>
              </w:rPr>
              <w:t>Mbështetje Buxhetore</w:t>
            </w:r>
          </w:p>
        </w:tc>
        <w:tc>
          <w:tcPr>
            <w:tcW w:w="2491" w:type="dxa"/>
            <w:tcBorders>
              <w:top w:val="nil"/>
              <w:left w:val="nil"/>
              <w:bottom w:val="single" w:sz="8" w:space="0" w:color="auto"/>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0.0</w:t>
            </w:r>
          </w:p>
        </w:tc>
        <w:tc>
          <w:tcPr>
            <w:tcW w:w="997" w:type="dxa"/>
            <w:tcBorders>
              <w:top w:val="nil"/>
              <w:left w:val="nil"/>
              <w:bottom w:val="single" w:sz="8" w:space="0" w:color="auto"/>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0.0%</w:t>
            </w:r>
          </w:p>
        </w:tc>
        <w:tc>
          <w:tcPr>
            <w:tcW w:w="2294" w:type="dxa"/>
            <w:tcBorders>
              <w:top w:val="nil"/>
              <w:left w:val="nil"/>
              <w:bottom w:val="single" w:sz="8" w:space="0" w:color="auto"/>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1.5</w:t>
            </w:r>
          </w:p>
        </w:tc>
        <w:tc>
          <w:tcPr>
            <w:tcW w:w="997" w:type="dxa"/>
            <w:tcBorders>
              <w:top w:val="nil"/>
              <w:left w:val="nil"/>
              <w:bottom w:val="single" w:sz="8" w:space="0" w:color="auto"/>
              <w:right w:val="nil"/>
            </w:tcBorders>
            <w:shd w:val="clear" w:color="000000" w:fill="FFFFFF"/>
            <w:noWrap/>
            <w:vAlign w:val="center"/>
            <w:hideMark/>
          </w:tcPr>
          <w:p w:rsidR="004E0208" w:rsidRPr="004E355C" w:rsidRDefault="004E0208" w:rsidP="00BB5756">
            <w:pPr>
              <w:spacing w:line="276" w:lineRule="auto"/>
              <w:jc w:val="center"/>
              <w:rPr>
                <w:rFonts w:ascii="Cambria" w:hAnsi="Cambria"/>
                <w:color w:val="000000"/>
                <w:sz w:val="18"/>
                <w:szCs w:val="18"/>
                <w:lang w:val="sq-AL"/>
              </w:rPr>
            </w:pPr>
            <w:r w:rsidRPr="004E355C">
              <w:rPr>
                <w:rFonts w:ascii="Cambria" w:hAnsi="Cambria"/>
                <w:color w:val="000000"/>
                <w:sz w:val="18"/>
                <w:szCs w:val="18"/>
                <w:lang w:val="sq-AL"/>
              </w:rPr>
              <w:t>19.0%</w:t>
            </w:r>
          </w:p>
        </w:tc>
      </w:tr>
    </w:tbl>
    <w:p w:rsidR="007F3ADC" w:rsidRPr="004E355C" w:rsidRDefault="00B24B3B" w:rsidP="00176D77">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Burimi: Ministria e Financave dhe Ekonomisë (2019)</w:t>
      </w:r>
      <w:bookmarkStart w:id="62" w:name="_Toc485372198"/>
    </w:p>
    <w:p w:rsidR="00176D77" w:rsidRDefault="00176D77" w:rsidP="00176D77">
      <w:pPr>
        <w:tabs>
          <w:tab w:val="left" w:pos="360"/>
        </w:tabs>
        <w:spacing w:line="276" w:lineRule="auto"/>
        <w:jc w:val="both"/>
        <w:rPr>
          <w:rFonts w:asciiTheme="minorHAnsi" w:hAnsiTheme="minorHAnsi"/>
          <w:i/>
          <w:sz w:val="20"/>
          <w:lang w:val="sq-AL"/>
        </w:rPr>
      </w:pPr>
    </w:p>
    <w:p w:rsidR="00666B9F" w:rsidRDefault="00666B9F" w:rsidP="00176D77">
      <w:pPr>
        <w:tabs>
          <w:tab w:val="left" w:pos="360"/>
        </w:tabs>
        <w:spacing w:line="276" w:lineRule="auto"/>
        <w:jc w:val="both"/>
        <w:rPr>
          <w:rFonts w:asciiTheme="minorHAnsi" w:hAnsiTheme="minorHAnsi"/>
          <w:i/>
          <w:sz w:val="20"/>
          <w:lang w:val="sq-AL"/>
        </w:rPr>
      </w:pPr>
    </w:p>
    <w:p w:rsidR="00666B9F" w:rsidRPr="004E355C" w:rsidRDefault="00666B9F" w:rsidP="00176D77">
      <w:pPr>
        <w:tabs>
          <w:tab w:val="left" w:pos="360"/>
        </w:tabs>
        <w:spacing w:line="276" w:lineRule="auto"/>
        <w:jc w:val="both"/>
        <w:rPr>
          <w:rFonts w:asciiTheme="minorHAnsi" w:hAnsiTheme="minorHAnsi"/>
          <w:i/>
          <w:sz w:val="20"/>
          <w:lang w:val="sq-AL"/>
        </w:rPr>
      </w:pPr>
    </w:p>
    <w:p w:rsidR="008972B2" w:rsidRPr="004E355C" w:rsidRDefault="008972B2" w:rsidP="00EE6404">
      <w:pPr>
        <w:tabs>
          <w:tab w:val="left" w:pos="360"/>
        </w:tabs>
        <w:spacing w:before="240" w:line="276" w:lineRule="auto"/>
        <w:jc w:val="both"/>
        <w:rPr>
          <w:rFonts w:asciiTheme="minorHAnsi" w:hAnsiTheme="minorHAnsi"/>
          <w:b/>
          <w:lang w:val="sq-AL"/>
        </w:rPr>
      </w:pPr>
      <w:r w:rsidRPr="004E355C">
        <w:rPr>
          <w:rFonts w:asciiTheme="minorHAnsi" w:hAnsiTheme="minorHAnsi"/>
          <w:b/>
          <w:lang w:val="sq-AL"/>
        </w:rPr>
        <w:lastRenderedPageBreak/>
        <w:t xml:space="preserve">Kostot </w:t>
      </w:r>
      <w:bookmarkEnd w:id="62"/>
    </w:p>
    <w:p w:rsidR="008972B2" w:rsidRPr="004E355C" w:rsidRDefault="004E0208" w:rsidP="00D3619E">
      <w:pPr>
        <w:tabs>
          <w:tab w:val="left" w:pos="360"/>
        </w:tabs>
        <w:spacing w:line="276" w:lineRule="auto"/>
        <w:jc w:val="both"/>
        <w:rPr>
          <w:rFonts w:asciiTheme="minorHAnsi" w:hAnsiTheme="minorHAnsi"/>
          <w:lang w:val="sq-AL"/>
        </w:rPr>
      </w:pPr>
      <w:r w:rsidRPr="004E355C">
        <w:rPr>
          <w:rFonts w:asciiTheme="minorHAnsi" w:hAnsiTheme="minorHAnsi"/>
          <w:lang w:val="sq-AL"/>
        </w:rPr>
        <w:t>Shpenzimet për interesa gjatë pesëmujorit të vitit 2019 janë vlerësuar në 14.1 miliard Lekë. Krahasuar me pesëmujorin e parë të vitit 2018, shpenzimet për interesa të borxhit shtetëror janë rritur me rreth 1.0 miliard Lekë. Rritja e shpenzimeve për interesa është në linjë me pritshmëritë, dhe i atribuohet kryesisht rritjes së stokut të borxhit në vlerë nominale</w:t>
      </w:r>
      <w:r w:rsidR="008972B2" w:rsidRPr="004E355C">
        <w:rPr>
          <w:rFonts w:asciiTheme="minorHAnsi" w:hAnsiTheme="minorHAnsi"/>
          <w:lang w:val="sq-AL"/>
        </w:rPr>
        <w:t>.</w:t>
      </w:r>
    </w:p>
    <w:p w:rsidR="005D4A49" w:rsidRPr="004E355C" w:rsidRDefault="005D4A49" w:rsidP="0078470D">
      <w:pPr>
        <w:pStyle w:val="Caption"/>
        <w:keepNext/>
        <w:spacing w:before="240" w:after="0"/>
        <w:jc w:val="both"/>
        <w:rPr>
          <w:rFonts w:asciiTheme="minorHAnsi" w:hAnsiTheme="minorHAnsi"/>
          <w:b w:val="0"/>
          <w:bCs w:val="0"/>
          <w:i/>
          <w:color w:val="auto"/>
          <w:sz w:val="24"/>
          <w:szCs w:val="24"/>
          <w:lang w:val="sq-AL"/>
        </w:rPr>
      </w:pPr>
      <w:bookmarkStart w:id="63" w:name="_Toc12448461"/>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Interesat e Borxhit Shtetëror në vlerë absolute dhe relative ndaj PBB</w:t>
      </w:r>
      <w:bookmarkEnd w:id="63"/>
    </w:p>
    <w:p w:rsidR="008972B2" w:rsidRPr="004E355C" w:rsidRDefault="004E0208" w:rsidP="00EE6404">
      <w:pPr>
        <w:tabs>
          <w:tab w:val="left" w:pos="360"/>
        </w:tabs>
        <w:spacing w:line="276" w:lineRule="auto"/>
        <w:jc w:val="center"/>
        <w:rPr>
          <w:rFonts w:asciiTheme="minorHAnsi" w:hAnsiTheme="minorHAnsi"/>
          <w:lang w:val="sq-AL"/>
        </w:rPr>
      </w:pPr>
      <w:r w:rsidRPr="004E355C">
        <w:rPr>
          <w:noProof/>
        </w:rPr>
        <w:drawing>
          <wp:inline distT="0" distB="0" distL="0" distR="0" wp14:anchorId="37A233A9" wp14:editId="64A4A7A2">
            <wp:extent cx="5943600" cy="1905000"/>
            <wp:effectExtent l="0" t="0" r="0" b="0"/>
            <wp:docPr id="61" name="Chart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8972B2" w:rsidRPr="004E355C" w:rsidRDefault="00EE6404" w:rsidP="008972B2">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ab/>
      </w:r>
      <w:r w:rsidR="00B24B3B" w:rsidRPr="004E355C">
        <w:rPr>
          <w:rFonts w:asciiTheme="minorHAnsi" w:hAnsiTheme="minorHAnsi"/>
          <w:i/>
          <w:sz w:val="20"/>
          <w:lang w:val="sq-AL"/>
        </w:rPr>
        <w:t>Burimi: Ministria e Financave dhe Ekonomisë (2019)</w:t>
      </w:r>
    </w:p>
    <w:p w:rsidR="00A80BBF" w:rsidRPr="004E355C" w:rsidRDefault="009B547A" w:rsidP="00637FB4">
      <w:pPr>
        <w:tabs>
          <w:tab w:val="left" w:pos="360"/>
        </w:tabs>
        <w:spacing w:before="240" w:line="276" w:lineRule="auto"/>
        <w:jc w:val="both"/>
        <w:rPr>
          <w:rFonts w:asciiTheme="minorHAnsi" w:hAnsiTheme="minorHAnsi"/>
          <w:lang w:val="sq-AL"/>
        </w:rPr>
      </w:pPr>
      <w:bookmarkStart w:id="64" w:name="_Toc497222543"/>
      <w:r w:rsidRPr="004E355C">
        <w:rPr>
          <w:rFonts w:asciiTheme="minorHAnsi" w:hAnsiTheme="minorHAnsi"/>
          <w:lang w:val="sq-AL"/>
        </w:rPr>
        <w:t>Nga ana tjetër, megjithëse vazhdon të rritet pesha e borxhit afatgjatë, kosto mesatare e borxhit të brendshëm shtetëror është ulur me 28 p</w:t>
      </w:r>
      <w:r>
        <w:rPr>
          <w:rFonts w:asciiTheme="minorHAnsi" w:hAnsiTheme="minorHAnsi"/>
          <w:lang w:val="sq-AL"/>
        </w:rPr>
        <w:t>b</w:t>
      </w:r>
      <w:r w:rsidRPr="004E355C">
        <w:rPr>
          <w:rFonts w:asciiTheme="minorHAnsi" w:hAnsiTheme="minorHAnsi"/>
          <w:lang w:val="sq-AL"/>
        </w:rPr>
        <w:t xml:space="preserve"> krahasuar me fundin e vitit 2018, duke reflektuar një përmirësim në raportin ndërmjet kostos dhe risqeve</w:t>
      </w:r>
      <w:r>
        <w:rPr>
          <w:rFonts w:asciiTheme="minorHAnsi" w:hAnsiTheme="minorHAnsi"/>
          <w:lang w:val="sq-AL"/>
        </w:rPr>
        <w:t>.</w:t>
      </w:r>
    </w:p>
    <w:p w:rsidR="00D2161A" w:rsidRPr="004E355C" w:rsidRDefault="00D2161A" w:rsidP="00D2161A">
      <w:pPr>
        <w:pStyle w:val="Caption"/>
        <w:keepNext/>
        <w:spacing w:before="240" w:after="0"/>
        <w:jc w:val="both"/>
        <w:rPr>
          <w:rFonts w:asciiTheme="minorHAnsi" w:hAnsiTheme="minorHAnsi"/>
          <w:b w:val="0"/>
          <w:bCs w:val="0"/>
          <w:i/>
          <w:color w:val="auto"/>
          <w:sz w:val="22"/>
          <w:szCs w:val="22"/>
          <w:lang w:val="sq-AL"/>
        </w:rPr>
      </w:pPr>
      <w:bookmarkStart w:id="65" w:name="_Toc12448462"/>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36</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xml:space="preserve">: </w:t>
      </w:r>
      <w:r w:rsidRPr="004E355C">
        <w:rPr>
          <w:rFonts w:asciiTheme="minorHAnsi" w:hAnsiTheme="minorHAnsi"/>
          <w:b w:val="0"/>
          <w:bCs w:val="0"/>
          <w:i/>
          <w:color w:val="auto"/>
          <w:sz w:val="22"/>
          <w:szCs w:val="22"/>
          <w:lang w:val="sq-AL"/>
        </w:rPr>
        <w:t>Jetëgjatësia dhe kosto mesatare e portofolit të borxhit të brendshëm shtetëror (2015-Maj 2019)</w:t>
      </w:r>
      <w:bookmarkEnd w:id="65"/>
    </w:p>
    <w:p w:rsidR="00A80BBF" w:rsidRPr="004E355C" w:rsidRDefault="00954E06" w:rsidP="00954E06">
      <w:pPr>
        <w:tabs>
          <w:tab w:val="left" w:pos="360"/>
        </w:tabs>
        <w:spacing w:line="276" w:lineRule="auto"/>
        <w:jc w:val="center"/>
        <w:rPr>
          <w:rFonts w:asciiTheme="minorHAnsi" w:hAnsiTheme="minorHAnsi"/>
          <w:b/>
          <w:lang w:val="sq-AL"/>
        </w:rPr>
      </w:pPr>
      <w:r w:rsidRPr="004E355C">
        <w:rPr>
          <w:noProof/>
        </w:rPr>
        <w:drawing>
          <wp:inline distT="0" distB="0" distL="0" distR="0" wp14:anchorId="1BBFED30" wp14:editId="2CFAFD2A">
            <wp:extent cx="5943600" cy="1836420"/>
            <wp:effectExtent l="0" t="0" r="0" b="1143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954E06" w:rsidRPr="004E355C" w:rsidRDefault="00954E06" w:rsidP="00954E06">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ab/>
        <w:t>Burimi: Ministria e Financave dhe Ekonomisë (2019)</w:t>
      </w:r>
    </w:p>
    <w:p w:rsidR="008972B2" w:rsidRPr="004E355C" w:rsidRDefault="008972B2" w:rsidP="00D3619E">
      <w:pPr>
        <w:tabs>
          <w:tab w:val="left" w:pos="360"/>
        </w:tabs>
        <w:spacing w:before="240" w:line="276" w:lineRule="auto"/>
        <w:jc w:val="both"/>
        <w:rPr>
          <w:rFonts w:asciiTheme="minorHAnsi" w:hAnsiTheme="minorHAnsi"/>
          <w:b/>
          <w:lang w:val="sq-AL"/>
        </w:rPr>
      </w:pPr>
      <w:r w:rsidRPr="004E355C">
        <w:rPr>
          <w:rFonts w:asciiTheme="minorHAnsi" w:hAnsiTheme="minorHAnsi"/>
          <w:b/>
          <w:lang w:val="sq-AL"/>
        </w:rPr>
        <w:t>Risqet</w:t>
      </w:r>
      <w:bookmarkEnd w:id="64"/>
    </w:p>
    <w:p w:rsidR="008972B2" w:rsidRPr="004E355C" w:rsidRDefault="00954E06" w:rsidP="00954E06">
      <w:pPr>
        <w:tabs>
          <w:tab w:val="left" w:pos="360"/>
        </w:tabs>
        <w:spacing w:line="276" w:lineRule="auto"/>
        <w:jc w:val="both"/>
        <w:rPr>
          <w:rFonts w:asciiTheme="minorHAnsi" w:hAnsiTheme="minorHAnsi"/>
          <w:lang w:val="sq-AL"/>
        </w:rPr>
      </w:pPr>
      <w:r w:rsidRPr="004E355C">
        <w:rPr>
          <w:rFonts w:asciiTheme="minorHAnsi" w:hAnsiTheme="minorHAnsi"/>
          <w:lang w:val="sq-AL"/>
        </w:rPr>
        <w:t>Gjatë periudhës janar-maj të vitit 2019 ekspozimi i portofolit të borxhit ndaj risqeve është menaxhuar me sukses, në linjë me objektivat strategjikë afatmesëm. Ulja e peshës së titujve afatshkurtër dhe atyre me norma interesi të ndryshueshme në portofolin e borxhit të brendshëm, ka qenë faktori mbizotërues në uljen e riskut të rifinancimit dhe riskut të normave të interesit. Risku i rifinancimit është përmirësuar pasi në harkun kohor të pesë muajve jetëgjatësia e borxhit të brendshëm është rritur me 38 ditë duke prekur nivelin e 821 ditëve në fund të muajit maj 2019. Risku i normave të interesit gjithashtu është reduktuar, pasi pesha e instrumenteve që rivlerësojnë normën e interesit në harkun kohor të një viti është ulur nga 54.3% në dhjetor 2018 në 52.3% në maj 2019</w:t>
      </w:r>
      <w:r w:rsidR="008972B2" w:rsidRPr="004E355C">
        <w:rPr>
          <w:rFonts w:asciiTheme="minorHAnsi" w:hAnsiTheme="minorHAnsi"/>
          <w:lang w:val="sq-AL"/>
        </w:rPr>
        <w:t xml:space="preserve">. </w:t>
      </w:r>
    </w:p>
    <w:p w:rsidR="005D4A49" w:rsidRPr="004E355C" w:rsidRDefault="005D4A49" w:rsidP="00954E06">
      <w:pPr>
        <w:pStyle w:val="Caption"/>
        <w:keepNext/>
        <w:spacing w:before="240"/>
        <w:jc w:val="both"/>
        <w:rPr>
          <w:rFonts w:asciiTheme="minorHAnsi" w:hAnsiTheme="minorHAnsi"/>
          <w:b w:val="0"/>
          <w:bCs w:val="0"/>
          <w:i/>
          <w:color w:val="auto"/>
          <w:sz w:val="24"/>
          <w:szCs w:val="24"/>
          <w:lang w:val="sq-AL"/>
        </w:rPr>
      </w:pPr>
      <w:bookmarkStart w:id="66" w:name="_Toc12449198"/>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Treguesit e riskut të normave të interesit (201</w:t>
      </w:r>
      <w:r w:rsidR="00954E06" w:rsidRPr="004E355C">
        <w:rPr>
          <w:rFonts w:asciiTheme="minorHAnsi" w:hAnsiTheme="minorHAnsi"/>
          <w:b w:val="0"/>
          <w:bCs w:val="0"/>
          <w:i/>
          <w:color w:val="auto"/>
          <w:sz w:val="24"/>
          <w:szCs w:val="24"/>
          <w:lang w:val="sq-AL"/>
        </w:rPr>
        <w:t>7</w:t>
      </w:r>
      <w:r w:rsidRPr="004E355C">
        <w:rPr>
          <w:rFonts w:asciiTheme="minorHAnsi" w:hAnsiTheme="minorHAnsi"/>
          <w:b w:val="0"/>
          <w:bCs w:val="0"/>
          <w:i/>
          <w:color w:val="auto"/>
          <w:sz w:val="24"/>
          <w:szCs w:val="24"/>
          <w:lang w:val="sq-AL"/>
        </w:rPr>
        <w:t xml:space="preserve"> – Maj 201</w:t>
      </w:r>
      <w:r w:rsidR="00954E06"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w:t>
      </w:r>
      <w:bookmarkEnd w:id="66"/>
    </w:p>
    <w:tbl>
      <w:tblPr>
        <w:tblW w:w="9356" w:type="dxa"/>
        <w:jc w:val="center"/>
        <w:tblLook w:val="04A0" w:firstRow="1" w:lastRow="0" w:firstColumn="1" w:lastColumn="0" w:noHBand="0" w:noVBand="1"/>
      </w:tblPr>
      <w:tblGrid>
        <w:gridCol w:w="3870"/>
        <w:gridCol w:w="1942"/>
        <w:gridCol w:w="1748"/>
        <w:gridCol w:w="1796"/>
      </w:tblGrid>
      <w:tr w:rsidR="00954E06" w:rsidRPr="004E355C" w:rsidTr="00BB5756">
        <w:trPr>
          <w:trHeight w:val="286"/>
          <w:jc w:val="center"/>
        </w:trPr>
        <w:tc>
          <w:tcPr>
            <w:tcW w:w="3870" w:type="dxa"/>
            <w:tcBorders>
              <w:top w:val="nil"/>
              <w:left w:val="nil"/>
              <w:bottom w:val="nil"/>
              <w:right w:val="single" w:sz="8" w:space="0" w:color="FFFFFF"/>
            </w:tcBorders>
            <w:shd w:val="clear" w:color="auto" w:fill="0070C0"/>
            <w:noWrap/>
            <w:vAlign w:val="center"/>
            <w:hideMark/>
          </w:tcPr>
          <w:p w:rsidR="00954E06" w:rsidRPr="004E355C" w:rsidRDefault="00954E06" w:rsidP="00BB5756">
            <w:pPr>
              <w:tabs>
                <w:tab w:val="left" w:pos="360"/>
              </w:tabs>
              <w:spacing w:line="276" w:lineRule="auto"/>
              <w:jc w:val="center"/>
              <w:rPr>
                <w:rFonts w:ascii="Cambria" w:hAnsi="Cambria"/>
                <w:b/>
                <w:bCs/>
                <w:color w:val="FFFFFF" w:themeColor="background1"/>
                <w:sz w:val="18"/>
                <w:szCs w:val="18"/>
                <w:lang w:val="sq-AL"/>
              </w:rPr>
            </w:pPr>
            <w:r w:rsidRPr="004E355C">
              <w:rPr>
                <w:rFonts w:ascii="Cambria" w:hAnsi="Cambria"/>
                <w:b/>
                <w:bCs/>
                <w:color w:val="FFFFFF" w:themeColor="background1"/>
                <w:sz w:val="18"/>
                <w:szCs w:val="18"/>
                <w:lang w:val="sq-AL"/>
              </w:rPr>
              <w:t>Treguesi</w:t>
            </w:r>
          </w:p>
        </w:tc>
        <w:tc>
          <w:tcPr>
            <w:tcW w:w="1942" w:type="dxa"/>
            <w:tcBorders>
              <w:top w:val="nil"/>
              <w:left w:val="nil"/>
              <w:bottom w:val="nil"/>
              <w:right w:val="single" w:sz="8" w:space="0" w:color="FFFFFF"/>
            </w:tcBorders>
            <w:shd w:val="clear" w:color="auto" w:fill="0070C0"/>
            <w:noWrap/>
            <w:vAlign w:val="center"/>
          </w:tcPr>
          <w:p w:rsidR="00954E06" w:rsidRPr="004E355C" w:rsidRDefault="00954E06" w:rsidP="00BB5756">
            <w:pPr>
              <w:tabs>
                <w:tab w:val="left" w:pos="360"/>
              </w:tabs>
              <w:spacing w:line="276" w:lineRule="auto"/>
              <w:jc w:val="center"/>
              <w:rPr>
                <w:rFonts w:ascii="Cambria" w:hAnsi="Cambria"/>
                <w:b/>
                <w:bCs/>
                <w:color w:val="FFFFFF" w:themeColor="background1"/>
                <w:sz w:val="18"/>
                <w:szCs w:val="18"/>
                <w:lang w:val="sq-AL"/>
              </w:rPr>
            </w:pPr>
            <w:r w:rsidRPr="004E355C">
              <w:rPr>
                <w:rFonts w:ascii="Cambria" w:hAnsi="Cambria"/>
                <w:b/>
                <w:bCs/>
                <w:color w:val="FFFFFF" w:themeColor="background1"/>
                <w:sz w:val="18"/>
                <w:szCs w:val="18"/>
                <w:lang w:val="sq-AL"/>
              </w:rPr>
              <w:t>2017</w:t>
            </w:r>
          </w:p>
        </w:tc>
        <w:tc>
          <w:tcPr>
            <w:tcW w:w="1748" w:type="dxa"/>
            <w:tcBorders>
              <w:top w:val="nil"/>
              <w:left w:val="nil"/>
              <w:bottom w:val="nil"/>
              <w:right w:val="single" w:sz="8" w:space="0" w:color="FFFFFF"/>
            </w:tcBorders>
            <w:shd w:val="clear" w:color="auto" w:fill="0070C0"/>
            <w:noWrap/>
            <w:vAlign w:val="center"/>
            <w:hideMark/>
          </w:tcPr>
          <w:p w:rsidR="00954E06" w:rsidRPr="004E355C" w:rsidRDefault="00954E06" w:rsidP="00BB5756">
            <w:pPr>
              <w:tabs>
                <w:tab w:val="left" w:pos="360"/>
              </w:tabs>
              <w:spacing w:line="276" w:lineRule="auto"/>
              <w:jc w:val="center"/>
              <w:rPr>
                <w:rFonts w:ascii="Cambria" w:hAnsi="Cambria"/>
                <w:b/>
                <w:bCs/>
                <w:color w:val="FFFFFF" w:themeColor="background1"/>
                <w:sz w:val="18"/>
                <w:szCs w:val="18"/>
                <w:lang w:val="sq-AL"/>
              </w:rPr>
            </w:pPr>
            <w:r w:rsidRPr="004E355C">
              <w:rPr>
                <w:rFonts w:ascii="Cambria" w:hAnsi="Cambria"/>
                <w:b/>
                <w:bCs/>
                <w:color w:val="FFFFFF" w:themeColor="background1"/>
                <w:sz w:val="18"/>
                <w:szCs w:val="18"/>
                <w:lang w:val="sq-AL"/>
              </w:rPr>
              <w:t>2018</w:t>
            </w:r>
          </w:p>
        </w:tc>
        <w:tc>
          <w:tcPr>
            <w:tcW w:w="1796" w:type="dxa"/>
            <w:tcBorders>
              <w:top w:val="nil"/>
              <w:left w:val="nil"/>
              <w:bottom w:val="nil"/>
              <w:right w:val="nil"/>
            </w:tcBorders>
            <w:shd w:val="clear" w:color="auto" w:fill="0070C0"/>
            <w:vAlign w:val="center"/>
            <w:hideMark/>
          </w:tcPr>
          <w:p w:rsidR="00954E06" w:rsidRPr="004E355C" w:rsidRDefault="00954E06" w:rsidP="00BB5756">
            <w:pPr>
              <w:tabs>
                <w:tab w:val="left" w:pos="360"/>
              </w:tabs>
              <w:spacing w:line="276" w:lineRule="auto"/>
              <w:jc w:val="center"/>
              <w:rPr>
                <w:rFonts w:ascii="Cambria" w:hAnsi="Cambria"/>
                <w:b/>
                <w:bCs/>
                <w:color w:val="FFFFFF" w:themeColor="background1"/>
                <w:sz w:val="18"/>
                <w:szCs w:val="18"/>
                <w:lang w:val="sq-AL"/>
              </w:rPr>
            </w:pPr>
            <w:r w:rsidRPr="004E355C">
              <w:rPr>
                <w:rFonts w:ascii="Cambria" w:hAnsi="Cambria"/>
                <w:b/>
                <w:bCs/>
                <w:color w:val="FFFFFF" w:themeColor="background1"/>
                <w:sz w:val="18"/>
                <w:szCs w:val="18"/>
                <w:lang w:val="sq-AL"/>
              </w:rPr>
              <w:t>Maj 2019</w:t>
            </w:r>
          </w:p>
        </w:tc>
      </w:tr>
      <w:tr w:rsidR="00954E06" w:rsidRPr="004E355C" w:rsidTr="00BB5756">
        <w:trPr>
          <w:trHeight w:val="286"/>
          <w:jc w:val="center"/>
        </w:trPr>
        <w:tc>
          <w:tcPr>
            <w:tcW w:w="3870" w:type="dxa"/>
            <w:tcBorders>
              <w:top w:val="nil"/>
              <w:left w:val="nil"/>
              <w:bottom w:val="nil"/>
              <w:right w:val="nil"/>
            </w:tcBorders>
            <w:shd w:val="clear" w:color="000000" w:fill="FFFFFF"/>
            <w:noWrap/>
            <w:vAlign w:val="center"/>
            <w:hideMark/>
          </w:tcPr>
          <w:p w:rsidR="00954E06" w:rsidRPr="004E355C" w:rsidRDefault="00954E06" w:rsidP="00BB5756">
            <w:pPr>
              <w:tabs>
                <w:tab w:val="left" w:pos="360"/>
              </w:tabs>
              <w:spacing w:line="276" w:lineRule="auto"/>
              <w:rPr>
                <w:rFonts w:ascii="Cambria" w:hAnsi="Cambria"/>
                <w:sz w:val="18"/>
                <w:szCs w:val="18"/>
                <w:lang w:val="sq-AL"/>
              </w:rPr>
            </w:pPr>
            <w:r w:rsidRPr="004E355C">
              <w:rPr>
                <w:rFonts w:ascii="Cambria" w:hAnsi="Cambria"/>
                <w:sz w:val="18"/>
                <w:szCs w:val="18"/>
                <w:lang w:val="sq-AL"/>
              </w:rPr>
              <w:footnoteReference w:customMarkFollows="1" w:id="3"/>
              <w:t>Borxhi me normë fikse</w:t>
            </w:r>
            <w:r w:rsidRPr="004E355C">
              <w:rPr>
                <w:rFonts w:ascii="Cambria" w:hAnsi="Cambria"/>
                <w:sz w:val="18"/>
                <w:szCs w:val="18"/>
                <w:vertAlign w:val="superscript"/>
                <w:lang w:val="sq-AL"/>
              </w:rPr>
              <w:footnoteReference w:id="4"/>
            </w:r>
            <w:r w:rsidRPr="004E355C">
              <w:rPr>
                <w:rFonts w:ascii="Cambria" w:hAnsi="Cambria"/>
                <w:sz w:val="18"/>
                <w:szCs w:val="18"/>
                <w:lang w:val="sq-AL"/>
              </w:rPr>
              <w:t>/Total</w:t>
            </w:r>
          </w:p>
        </w:tc>
        <w:tc>
          <w:tcPr>
            <w:tcW w:w="1942" w:type="dxa"/>
            <w:tcBorders>
              <w:top w:val="nil"/>
              <w:left w:val="nil"/>
              <w:bottom w:val="nil"/>
              <w:right w:val="nil"/>
            </w:tcBorders>
            <w:shd w:val="clear" w:color="000000" w:fill="FFFFFF"/>
            <w:noWrap/>
            <w:vAlign w:val="center"/>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55.6%</w:t>
            </w:r>
          </w:p>
        </w:tc>
        <w:tc>
          <w:tcPr>
            <w:tcW w:w="1748" w:type="dxa"/>
            <w:tcBorders>
              <w:top w:val="nil"/>
              <w:left w:val="nil"/>
              <w:bottom w:val="nil"/>
              <w:right w:val="nil"/>
            </w:tcBorders>
            <w:shd w:val="clear" w:color="000000" w:fill="FFFFFF"/>
            <w:noWrap/>
            <w:vAlign w:val="center"/>
            <w:hideMark/>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59.1%</w:t>
            </w:r>
          </w:p>
        </w:tc>
        <w:tc>
          <w:tcPr>
            <w:tcW w:w="1796" w:type="dxa"/>
            <w:tcBorders>
              <w:top w:val="nil"/>
              <w:left w:val="nil"/>
              <w:bottom w:val="nil"/>
              <w:right w:val="nil"/>
            </w:tcBorders>
            <w:shd w:val="clear" w:color="000000" w:fill="FFFFFF"/>
            <w:vAlign w:val="center"/>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60.3%</w:t>
            </w:r>
          </w:p>
        </w:tc>
      </w:tr>
      <w:tr w:rsidR="00954E06" w:rsidRPr="004E355C" w:rsidTr="00BB5756">
        <w:trPr>
          <w:trHeight w:val="286"/>
          <w:jc w:val="center"/>
        </w:trPr>
        <w:tc>
          <w:tcPr>
            <w:tcW w:w="3870" w:type="dxa"/>
            <w:tcBorders>
              <w:top w:val="nil"/>
              <w:left w:val="nil"/>
              <w:bottom w:val="nil"/>
              <w:right w:val="nil"/>
            </w:tcBorders>
            <w:shd w:val="clear" w:color="000000" w:fill="FFFFFF"/>
            <w:noWrap/>
            <w:vAlign w:val="center"/>
            <w:hideMark/>
          </w:tcPr>
          <w:p w:rsidR="00954E06" w:rsidRPr="004E355C" w:rsidRDefault="00954E06" w:rsidP="00BB5756">
            <w:pPr>
              <w:tabs>
                <w:tab w:val="left" w:pos="360"/>
              </w:tabs>
              <w:spacing w:line="276" w:lineRule="auto"/>
              <w:rPr>
                <w:rFonts w:ascii="Cambria" w:hAnsi="Cambria"/>
                <w:sz w:val="18"/>
                <w:szCs w:val="18"/>
                <w:lang w:val="sq-AL"/>
              </w:rPr>
            </w:pPr>
            <w:r w:rsidRPr="004E355C">
              <w:rPr>
                <w:rFonts w:ascii="Cambria" w:hAnsi="Cambria"/>
                <w:sz w:val="18"/>
                <w:szCs w:val="18"/>
                <w:lang w:val="sq-AL"/>
              </w:rPr>
              <w:t>Borxhi i rivlerësuar në një vit</w:t>
            </w:r>
          </w:p>
        </w:tc>
        <w:tc>
          <w:tcPr>
            <w:tcW w:w="1942" w:type="dxa"/>
            <w:tcBorders>
              <w:top w:val="nil"/>
              <w:left w:val="nil"/>
              <w:bottom w:val="nil"/>
              <w:right w:val="nil"/>
            </w:tcBorders>
            <w:shd w:val="clear" w:color="000000" w:fill="FFFFFF"/>
            <w:noWrap/>
            <w:vAlign w:val="center"/>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56.7%</w:t>
            </w:r>
          </w:p>
        </w:tc>
        <w:tc>
          <w:tcPr>
            <w:tcW w:w="1748" w:type="dxa"/>
            <w:tcBorders>
              <w:top w:val="nil"/>
              <w:left w:val="nil"/>
              <w:bottom w:val="nil"/>
              <w:right w:val="nil"/>
            </w:tcBorders>
            <w:shd w:val="clear" w:color="000000" w:fill="FFFFFF"/>
            <w:noWrap/>
            <w:vAlign w:val="center"/>
            <w:hideMark/>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54.3%</w:t>
            </w:r>
          </w:p>
        </w:tc>
        <w:tc>
          <w:tcPr>
            <w:tcW w:w="1796" w:type="dxa"/>
            <w:tcBorders>
              <w:top w:val="nil"/>
              <w:left w:val="nil"/>
              <w:bottom w:val="nil"/>
              <w:right w:val="nil"/>
            </w:tcBorders>
            <w:shd w:val="clear" w:color="000000" w:fill="FFFFFF"/>
            <w:vAlign w:val="center"/>
          </w:tcPr>
          <w:p w:rsidR="00954E06" w:rsidRPr="004E355C" w:rsidRDefault="00954E06" w:rsidP="00BB5756">
            <w:pPr>
              <w:tabs>
                <w:tab w:val="left" w:pos="360"/>
              </w:tabs>
              <w:spacing w:line="276" w:lineRule="auto"/>
              <w:jc w:val="center"/>
              <w:rPr>
                <w:rFonts w:ascii="Cambria" w:hAnsi="Cambria"/>
                <w:sz w:val="18"/>
                <w:szCs w:val="18"/>
                <w:lang w:val="sq-AL"/>
              </w:rPr>
            </w:pPr>
            <w:r w:rsidRPr="004E355C">
              <w:rPr>
                <w:rFonts w:ascii="Cambria" w:hAnsi="Cambria"/>
                <w:sz w:val="18"/>
                <w:szCs w:val="18"/>
                <w:lang w:val="sq-AL"/>
              </w:rPr>
              <w:t>52.3%</w:t>
            </w:r>
          </w:p>
        </w:tc>
      </w:tr>
      <w:tr w:rsidR="00954E06" w:rsidRPr="004E355C" w:rsidTr="00BB5756">
        <w:trPr>
          <w:trHeight w:val="300"/>
          <w:jc w:val="center"/>
        </w:trPr>
        <w:tc>
          <w:tcPr>
            <w:tcW w:w="3870" w:type="dxa"/>
            <w:tcBorders>
              <w:top w:val="nil"/>
              <w:left w:val="nil"/>
              <w:bottom w:val="single" w:sz="8" w:space="0" w:color="auto"/>
              <w:right w:val="nil"/>
            </w:tcBorders>
            <w:shd w:val="clear" w:color="000000" w:fill="FFFFFF"/>
            <w:noWrap/>
            <w:vAlign w:val="center"/>
            <w:hideMark/>
          </w:tcPr>
          <w:p w:rsidR="00954E06" w:rsidRPr="004E355C" w:rsidRDefault="00954E06" w:rsidP="00BB5756">
            <w:pPr>
              <w:tabs>
                <w:tab w:val="left" w:pos="360"/>
              </w:tabs>
              <w:spacing w:line="276" w:lineRule="auto"/>
              <w:rPr>
                <w:rFonts w:ascii="Cambria" w:hAnsi="Cambria"/>
                <w:bCs/>
                <w:sz w:val="18"/>
                <w:szCs w:val="18"/>
                <w:lang w:val="sq-AL"/>
              </w:rPr>
            </w:pPr>
            <w:r w:rsidRPr="004E355C">
              <w:rPr>
                <w:rFonts w:ascii="Cambria" w:hAnsi="Cambria"/>
                <w:bCs/>
                <w:sz w:val="18"/>
                <w:szCs w:val="18"/>
                <w:lang w:val="sq-AL"/>
              </w:rPr>
              <w:t xml:space="preserve">KMR </w:t>
            </w:r>
            <w:r w:rsidRPr="004E355C">
              <w:rPr>
                <w:rFonts w:ascii="Cambria" w:hAnsi="Cambria"/>
                <w:bCs/>
                <w:i/>
                <w:sz w:val="18"/>
                <w:szCs w:val="18"/>
                <w:lang w:val="sq-AL"/>
              </w:rPr>
              <w:t>(në vite)</w:t>
            </w:r>
          </w:p>
        </w:tc>
        <w:tc>
          <w:tcPr>
            <w:tcW w:w="1942" w:type="dxa"/>
            <w:tcBorders>
              <w:top w:val="nil"/>
              <w:left w:val="nil"/>
              <w:bottom w:val="single" w:sz="8" w:space="0" w:color="auto"/>
              <w:right w:val="nil"/>
            </w:tcBorders>
            <w:shd w:val="clear" w:color="000000" w:fill="FFFFFF"/>
            <w:noWrap/>
            <w:vAlign w:val="center"/>
          </w:tcPr>
          <w:p w:rsidR="00954E06" w:rsidRPr="004E355C" w:rsidRDefault="00954E06" w:rsidP="00BB5756">
            <w:pPr>
              <w:tabs>
                <w:tab w:val="left" w:pos="360"/>
              </w:tabs>
              <w:spacing w:line="276" w:lineRule="auto"/>
              <w:jc w:val="center"/>
              <w:rPr>
                <w:rFonts w:ascii="Cambria" w:hAnsi="Cambria"/>
                <w:bCs/>
                <w:sz w:val="18"/>
                <w:szCs w:val="18"/>
                <w:lang w:val="sq-AL"/>
              </w:rPr>
            </w:pPr>
            <w:r w:rsidRPr="004E355C">
              <w:rPr>
                <w:rFonts w:ascii="Cambria" w:hAnsi="Cambria"/>
                <w:bCs/>
                <w:sz w:val="18"/>
                <w:szCs w:val="18"/>
                <w:lang w:val="sq-AL"/>
              </w:rPr>
              <w:t>1.96</w:t>
            </w:r>
          </w:p>
        </w:tc>
        <w:tc>
          <w:tcPr>
            <w:tcW w:w="1748" w:type="dxa"/>
            <w:tcBorders>
              <w:top w:val="nil"/>
              <w:left w:val="nil"/>
              <w:bottom w:val="single" w:sz="8" w:space="0" w:color="auto"/>
              <w:right w:val="nil"/>
            </w:tcBorders>
            <w:shd w:val="clear" w:color="000000" w:fill="FFFFFF"/>
            <w:noWrap/>
            <w:vAlign w:val="center"/>
            <w:hideMark/>
          </w:tcPr>
          <w:p w:rsidR="00954E06" w:rsidRPr="004E355C" w:rsidRDefault="00954E06" w:rsidP="00BB5756">
            <w:pPr>
              <w:tabs>
                <w:tab w:val="left" w:pos="360"/>
              </w:tabs>
              <w:spacing w:line="276" w:lineRule="auto"/>
              <w:jc w:val="center"/>
              <w:rPr>
                <w:rFonts w:ascii="Cambria" w:hAnsi="Cambria"/>
                <w:bCs/>
                <w:sz w:val="18"/>
                <w:szCs w:val="18"/>
                <w:lang w:val="sq-AL"/>
              </w:rPr>
            </w:pPr>
            <w:r w:rsidRPr="004E355C">
              <w:rPr>
                <w:rFonts w:ascii="Cambria" w:hAnsi="Cambria"/>
                <w:bCs/>
                <w:sz w:val="18"/>
                <w:szCs w:val="18"/>
                <w:lang w:val="sq-AL"/>
              </w:rPr>
              <w:t>2.06</w:t>
            </w:r>
          </w:p>
        </w:tc>
        <w:tc>
          <w:tcPr>
            <w:tcW w:w="1796" w:type="dxa"/>
            <w:tcBorders>
              <w:top w:val="nil"/>
              <w:left w:val="nil"/>
              <w:bottom w:val="single" w:sz="8" w:space="0" w:color="auto"/>
              <w:right w:val="nil"/>
            </w:tcBorders>
            <w:shd w:val="clear" w:color="000000" w:fill="FFFFFF"/>
            <w:vAlign w:val="center"/>
          </w:tcPr>
          <w:p w:rsidR="00954E06" w:rsidRPr="004E355C" w:rsidRDefault="00954E06" w:rsidP="00BB5756">
            <w:pPr>
              <w:tabs>
                <w:tab w:val="left" w:pos="360"/>
              </w:tabs>
              <w:spacing w:line="276" w:lineRule="auto"/>
              <w:jc w:val="center"/>
              <w:rPr>
                <w:rFonts w:ascii="Cambria" w:hAnsi="Cambria"/>
                <w:bCs/>
                <w:sz w:val="18"/>
                <w:szCs w:val="18"/>
                <w:lang w:val="sq-AL"/>
              </w:rPr>
            </w:pPr>
            <w:r w:rsidRPr="004E355C">
              <w:rPr>
                <w:rFonts w:ascii="Cambria" w:hAnsi="Cambria"/>
                <w:bCs/>
                <w:sz w:val="18"/>
                <w:szCs w:val="18"/>
                <w:lang w:val="sq-AL"/>
              </w:rPr>
              <w:t>2.17</w:t>
            </w:r>
          </w:p>
        </w:tc>
      </w:tr>
    </w:tbl>
    <w:p w:rsidR="008972B2" w:rsidRPr="004E355C" w:rsidRDefault="00954E06" w:rsidP="008972B2">
      <w:pPr>
        <w:tabs>
          <w:tab w:val="left" w:pos="360"/>
        </w:tabs>
        <w:spacing w:line="276" w:lineRule="auto"/>
        <w:jc w:val="both"/>
        <w:rPr>
          <w:rFonts w:asciiTheme="minorHAnsi" w:hAnsiTheme="minorHAnsi"/>
          <w:i/>
          <w:sz w:val="20"/>
          <w:lang w:val="sq-AL"/>
        </w:rPr>
      </w:pPr>
      <w:r w:rsidRPr="004E355C">
        <w:rPr>
          <w:rFonts w:asciiTheme="minorHAnsi" w:hAnsiTheme="minorHAnsi"/>
          <w:b/>
          <w:lang w:val="sq-AL"/>
        </w:rPr>
        <w:tab/>
      </w:r>
      <w:r w:rsidR="00B24B3B" w:rsidRPr="004E355C">
        <w:rPr>
          <w:rFonts w:asciiTheme="minorHAnsi" w:hAnsiTheme="minorHAnsi"/>
          <w:i/>
          <w:sz w:val="20"/>
          <w:lang w:val="sq-AL"/>
        </w:rPr>
        <w:t>Burimi: Ministria e Financave dhe Ekonomisë (2019)</w:t>
      </w:r>
    </w:p>
    <w:p w:rsidR="008972B2" w:rsidRPr="004E355C" w:rsidRDefault="008972B2" w:rsidP="00EE6404">
      <w:pPr>
        <w:tabs>
          <w:tab w:val="left" w:pos="360"/>
        </w:tabs>
        <w:spacing w:before="240" w:line="276" w:lineRule="auto"/>
        <w:jc w:val="both"/>
        <w:rPr>
          <w:rFonts w:asciiTheme="minorHAnsi" w:hAnsiTheme="minorHAnsi"/>
          <w:b/>
          <w:lang w:val="sq-AL"/>
        </w:rPr>
      </w:pPr>
      <w:r w:rsidRPr="004E355C">
        <w:rPr>
          <w:rFonts w:asciiTheme="minorHAnsi" w:hAnsiTheme="minorHAnsi"/>
          <w:b/>
          <w:lang w:val="sq-AL"/>
        </w:rPr>
        <w:t>Zhvillimet e Tregut Primar të Titujve Shtetërorë</w:t>
      </w:r>
    </w:p>
    <w:p w:rsidR="008972B2" w:rsidRPr="004E355C" w:rsidRDefault="00064256" w:rsidP="00064256">
      <w:pPr>
        <w:tabs>
          <w:tab w:val="left" w:pos="360"/>
        </w:tabs>
        <w:spacing w:line="276" w:lineRule="auto"/>
        <w:jc w:val="both"/>
        <w:rPr>
          <w:rFonts w:asciiTheme="minorHAnsi" w:hAnsiTheme="minorHAnsi"/>
          <w:lang w:val="sq-AL"/>
        </w:rPr>
      </w:pPr>
      <w:r w:rsidRPr="004E355C">
        <w:rPr>
          <w:rFonts w:asciiTheme="minorHAnsi" w:hAnsiTheme="minorHAnsi"/>
          <w:lang w:val="sq-AL"/>
        </w:rPr>
        <w:t>Tregu primar i titujve shtetërorë gjatë periudhës janar-maj të vitit 2019 përgjithësisht është karakterizuar nga zhvillime pozitive, ndër të cilat mund të përmenden: kërkesa e kënaqshme e tregut në raport me nevojat e qeverisë për huamarrje dhe rënia e normave të interesit në krahasim me ato të fundit të vitit 2018. Gjithashtu, nisur nga rezultatet pozitive të projektit pilot për emetimin e obligacioneve 5 vjeçare referencë (gjatë vitit 2018), ky projekt ka vazhduar të implementohet edhe përgjatë vitit 2019, si edhe është shtrirë tek obligacionet 3 vjeçare</w:t>
      </w:r>
      <w:r w:rsidR="008972B2" w:rsidRPr="004E355C">
        <w:rPr>
          <w:rFonts w:asciiTheme="minorHAnsi" w:hAnsiTheme="minorHAnsi"/>
          <w:lang w:val="sq-AL"/>
        </w:rPr>
        <w:t>.</w:t>
      </w:r>
    </w:p>
    <w:p w:rsidR="008972B2" w:rsidRPr="004E355C" w:rsidRDefault="008972B2" w:rsidP="00EE6404">
      <w:pPr>
        <w:tabs>
          <w:tab w:val="left" w:pos="360"/>
        </w:tabs>
        <w:spacing w:before="240" w:line="276" w:lineRule="auto"/>
        <w:jc w:val="both"/>
        <w:rPr>
          <w:rFonts w:asciiTheme="minorHAnsi" w:hAnsiTheme="minorHAnsi"/>
          <w:b/>
          <w:lang w:val="sq-AL"/>
        </w:rPr>
      </w:pPr>
      <w:bookmarkStart w:id="67" w:name="_Toc491861001"/>
      <w:bookmarkStart w:id="68" w:name="_Toc491954314"/>
      <w:bookmarkStart w:id="69" w:name="_Toc497222545"/>
      <w:r w:rsidRPr="004E355C">
        <w:rPr>
          <w:rFonts w:asciiTheme="minorHAnsi" w:hAnsiTheme="minorHAnsi"/>
          <w:b/>
          <w:lang w:val="sq-AL"/>
        </w:rPr>
        <w:t>Ecuria e ankandeve dhe kërkesa për titujt shtetërorë</w:t>
      </w:r>
      <w:bookmarkEnd w:id="67"/>
      <w:bookmarkEnd w:id="68"/>
      <w:bookmarkEnd w:id="69"/>
    </w:p>
    <w:p w:rsidR="008972B2" w:rsidRPr="004E355C" w:rsidRDefault="00064256" w:rsidP="008972B2">
      <w:pPr>
        <w:tabs>
          <w:tab w:val="left" w:pos="360"/>
        </w:tabs>
        <w:spacing w:line="276" w:lineRule="auto"/>
        <w:jc w:val="both"/>
        <w:rPr>
          <w:rFonts w:asciiTheme="minorHAnsi" w:hAnsiTheme="minorHAnsi"/>
          <w:lang w:val="sq-AL"/>
        </w:rPr>
      </w:pPr>
      <w:r w:rsidRPr="004E355C">
        <w:rPr>
          <w:rFonts w:asciiTheme="minorHAnsi" w:hAnsiTheme="minorHAnsi"/>
          <w:lang w:val="sq-AL"/>
        </w:rPr>
        <w:t>Gjatë pesëmujorit 2019 kërkesa për tituj shtetërorë ka rezultuar në vlerën 199.3 miliard Lekë, nga të cilat 118.4 miliard Lekë për Bono Thesari dhe 80.8 miliard Lekë për Obligacione. Kërkesa gjatë periudhës janar-maj 2019 ka qenë relativisht më e lartë se oferta e qeverisë për tituj shtetërorë duke rezultuar në një raport të përgjithshëm mbulimi prej 1.35. Gjithsej gjatë këtij pesëmujori janë realizuar 26 ankande, nga të cilat në 4 ankande nuk është plotësuar oferta e qeverisë</w:t>
      </w:r>
      <w:r w:rsidR="008972B2" w:rsidRPr="004E355C">
        <w:rPr>
          <w:rFonts w:asciiTheme="minorHAnsi" w:hAnsiTheme="minorHAnsi"/>
          <w:lang w:val="sq-AL"/>
        </w:rPr>
        <w:t>.</w:t>
      </w:r>
    </w:p>
    <w:p w:rsidR="005D4A49" w:rsidRPr="004E355C" w:rsidRDefault="005D4A49" w:rsidP="0078470D">
      <w:pPr>
        <w:pStyle w:val="Caption"/>
        <w:keepNext/>
        <w:spacing w:before="240" w:after="0"/>
        <w:jc w:val="both"/>
        <w:rPr>
          <w:rFonts w:asciiTheme="minorHAnsi" w:hAnsiTheme="minorHAnsi"/>
          <w:b w:val="0"/>
          <w:bCs w:val="0"/>
          <w:i/>
          <w:color w:val="auto"/>
          <w:sz w:val="24"/>
          <w:szCs w:val="24"/>
          <w:lang w:val="sq-AL"/>
        </w:rPr>
      </w:pPr>
      <w:bookmarkStart w:id="70" w:name="_Toc12448463"/>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37</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Raporti i mbulimit të ankandeve të titujve shtetërorë (Janar – Maj 201</w:t>
      </w:r>
      <w:r w:rsidR="00064256"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w:t>
      </w:r>
      <w:bookmarkEnd w:id="70"/>
    </w:p>
    <w:p w:rsidR="008972B2" w:rsidRPr="004E355C" w:rsidRDefault="00064256" w:rsidP="00EE6404">
      <w:pPr>
        <w:tabs>
          <w:tab w:val="left" w:pos="360"/>
        </w:tabs>
        <w:spacing w:line="276" w:lineRule="auto"/>
        <w:jc w:val="center"/>
        <w:rPr>
          <w:rFonts w:asciiTheme="minorHAnsi" w:hAnsiTheme="minorHAnsi"/>
          <w:lang w:val="sq-AL"/>
        </w:rPr>
      </w:pPr>
      <w:r w:rsidRPr="004E355C">
        <w:rPr>
          <w:noProof/>
        </w:rPr>
        <w:drawing>
          <wp:inline distT="0" distB="0" distL="0" distR="0" wp14:anchorId="33CF0CF9" wp14:editId="293188B2">
            <wp:extent cx="5943600" cy="2438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8972B2" w:rsidRPr="004E355C" w:rsidRDefault="00EE6404" w:rsidP="008972B2">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ab/>
      </w:r>
      <w:r w:rsidR="00B24B3B" w:rsidRPr="004E355C">
        <w:rPr>
          <w:rFonts w:asciiTheme="minorHAnsi" w:hAnsiTheme="minorHAnsi"/>
          <w:i/>
          <w:sz w:val="20"/>
          <w:lang w:val="sq-AL"/>
        </w:rPr>
        <w:t>Burimi: Ministria e Financave dhe Ekonomisë (2019)</w:t>
      </w:r>
    </w:p>
    <w:p w:rsidR="008972B2" w:rsidRPr="004E355C" w:rsidRDefault="00064256" w:rsidP="00EE6404">
      <w:pPr>
        <w:tabs>
          <w:tab w:val="left" w:pos="360"/>
        </w:tabs>
        <w:spacing w:before="240" w:line="276" w:lineRule="auto"/>
        <w:jc w:val="both"/>
        <w:rPr>
          <w:rFonts w:asciiTheme="minorHAnsi" w:hAnsiTheme="minorHAnsi"/>
          <w:lang w:val="sq-AL"/>
        </w:rPr>
      </w:pPr>
      <w:r w:rsidRPr="004E355C">
        <w:rPr>
          <w:rFonts w:asciiTheme="minorHAnsi" w:hAnsiTheme="minorHAnsi"/>
          <w:lang w:val="sq-AL"/>
        </w:rPr>
        <w:t>Për sa i përket mbajtësve të borxhit të brendshëm, gjatë periudhës janar-maj 2019 ka pasur një rritje të përqendrimit të titujve shtetërorë në portofolin e Institucioneve Financiare (Jo-Banka) dhe Institucioneve Jo-Financiare</w:t>
      </w:r>
      <w:r w:rsidR="008972B2" w:rsidRPr="004E355C">
        <w:rPr>
          <w:rFonts w:asciiTheme="minorHAnsi" w:hAnsiTheme="minorHAnsi"/>
          <w:lang w:val="sq-AL"/>
        </w:rPr>
        <w:t xml:space="preserve">. </w:t>
      </w:r>
    </w:p>
    <w:p w:rsidR="005D4A49" w:rsidRPr="004E355C" w:rsidRDefault="005D4A49" w:rsidP="0078470D">
      <w:pPr>
        <w:pStyle w:val="Caption"/>
        <w:keepNext/>
        <w:spacing w:before="240" w:after="0"/>
        <w:jc w:val="both"/>
        <w:rPr>
          <w:rFonts w:asciiTheme="minorHAnsi" w:hAnsiTheme="minorHAnsi"/>
          <w:b w:val="0"/>
          <w:bCs w:val="0"/>
          <w:i/>
          <w:color w:val="auto"/>
          <w:sz w:val="24"/>
          <w:szCs w:val="24"/>
          <w:lang w:val="sq-AL"/>
        </w:rPr>
      </w:pPr>
      <w:bookmarkStart w:id="71" w:name="_Toc12448464"/>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38</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xml:space="preserve">: </w:t>
      </w:r>
      <w:r w:rsidR="00064256" w:rsidRPr="004E355C">
        <w:rPr>
          <w:rFonts w:asciiTheme="minorHAnsi" w:hAnsiTheme="minorHAnsi"/>
          <w:b w:val="0"/>
          <w:bCs w:val="0"/>
          <w:i/>
          <w:color w:val="auto"/>
          <w:sz w:val="24"/>
          <w:szCs w:val="24"/>
          <w:lang w:val="sq-AL"/>
        </w:rPr>
        <w:t>Mbajtësit e borxhit në tregun e brendshëm (2015-Maj 2019)</w:t>
      </w:r>
      <w:bookmarkEnd w:id="71"/>
    </w:p>
    <w:p w:rsidR="008972B2" w:rsidRPr="004E355C" w:rsidRDefault="00064256" w:rsidP="00064256">
      <w:pPr>
        <w:tabs>
          <w:tab w:val="left" w:pos="360"/>
        </w:tabs>
        <w:spacing w:line="276" w:lineRule="auto"/>
        <w:jc w:val="center"/>
        <w:rPr>
          <w:rFonts w:asciiTheme="minorHAnsi" w:hAnsiTheme="minorHAnsi"/>
          <w:b/>
          <w:lang w:val="sq-AL"/>
        </w:rPr>
      </w:pPr>
      <w:r w:rsidRPr="004E355C">
        <w:rPr>
          <w:noProof/>
        </w:rPr>
        <w:drawing>
          <wp:inline distT="0" distB="0" distL="0" distR="0" wp14:anchorId="6C55DF24" wp14:editId="355E570C">
            <wp:extent cx="5943600" cy="2034540"/>
            <wp:effectExtent l="0" t="0" r="0" b="3810"/>
            <wp:docPr id="256" name="Chart 2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8972B2" w:rsidRPr="004E355C" w:rsidRDefault="00B24B3B" w:rsidP="008972B2">
      <w:pPr>
        <w:tabs>
          <w:tab w:val="left" w:pos="360"/>
        </w:tabs>
        <w:spacing w:line="276" w:lineRule="auto"/>
        <w:jc w:val="both"/>
        <w:rPr>
          <w:rFonts w:asciiTheme="minorHAnsi" w:hAnsiTheme="minorHAnsi"/>
          <w:i/>
          <w:sz w:val="20"/>
          <w:lang w:val="sq-AL"/>
        </w:rPr>
      </w:pPr>
      <w:r w:rsidRPr="004E355C">
        <w:rPr>
          <w:rFonts w:asciiTheme="minorHAnsi" w:hAnsiTheme="minorHAnsi"/>
          <w:i/>
          <w:sz w:val="20"/>
          <w:lang w:val="sq-AL"/>
        </w:rPr>
        <w:t>Burimi: Ministria e Financave dhe Ekonomisë (2019)</w:t>
      </w:r>
    </w:p>
    <w:p w:rsidR="008972B2" w:rsidRPr="004E355C" w:rsidRDefault="00064256" w:rsidP="00EE6404">
      <w:pPr>
        <w:tabs>
          <w:tab w:val="left" w:pos="360"/>
        </w:tabs>
        <w:spacing w:before="240" w:line="276" w:lineRule="auto"/>
        <w:jc w:val="both"/>
        <w:rPr>
          <w:rFonts w:asciiTheme="minorHAnsi" w:hAnsiTheme="minorHAnsi"/>
          <w:lang w:val="sq-AL"/>
        </w:rPr>
      </w:pPr>
      <w:r w:rsidRPr="004E355C">
        <w:rPr>
          <w:rFonts w:asciiTheme="minorHAnsi" w:hAnsiTheme="minorHAnsi"/>
          <w:lang w:val="sq-AL"/>
        </w:rPr>
        <w:t>Krahasuar me fundin e vitit 2018, periudha janar-maj 2019 është shoqëruar me rënie të normave të interesit, duke reflektuar politikën monetare të Bankës së Shqipërisë dhe nivelin e kënaqshëm të kërkesës, shoqëruar me presionin e ulët për hua nga qeveria (të mundësuar kryesisht nga likuiditeti i siguruar nëpërmjet emetimit të Eurobond-it në fund të vitit 2018)</w:t>
      </w:r>
      <w:r w:rsidR="008972B2" w:rsidRPr="004E355C">
        <w:rPr>
          <w:rFonts w:asciiTheme="minorHAnsi" w:hAnsiTheme="minorHAnsi"/>
          <w:lang w:val="sq-AL"/>
        </w:rPr>
        <w:t>.</w:t>
      </w:r>
    </w:p>
    <w:p w:rsidR="00637FB4" w:rsidRPr="004E355C" w:rsidRDefault="00637FB4" w:rsidP="00637FB4">
      <w:pPr>
        <w:tabs>
          <w:tab w:val="left" w:pos="360"/>
        </w:tabs>
        <w:spacing w:line="276" w:lineRule="auto"/>
        <w:jc w:val="both"/>
        <w:rPr>
          <w:rFonts w:asciiTheme="minorHAnsi" w:hAnsiTheme="minorHAnsi"/>
          <w:sz w:val="8"/>
          <w:szCs w:val="8"/>
          <w:lang w:val="sq-AL"/>
        </w:rPr>
      </w:pPr>
    </w:p>
    <w:p w:rsidR="005D4A49" w:rsidRPr="004E355C" w:rsidRDefault="005D4A49" w:rsidP="0078470D">
      <w:pPr>
        <w:pStyle w:val="Caption"/>
        <w:keepNext/>
        <w:spacing w:after="0"/>
        <w:jc w:val="both"/>
        <w:rPr>
          <w:rFonts w:asciiTheme="minorHAnsi" w:hAnsiTheme="minorHAnsi"/>
          <w:b w:val="0"/>
          <w:bCs w:val="0"/>
          <w:i/>
          <w:color w:val="auto"/>
          <w:sz w:val="24"/>
          <w:szCs w:val="24"/>
          <w:lang w:val="sq-AL"/>
        </w:rPr>
      </w:pPr>
      <w:bookmarkStart w:id="72" w:name="_Toc12448465"/>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39</w:t>
      </w:r>
      <w:r w:rsidRPr="004E355C">
        <w:rPr>
          <w:rFonts w:asciiTheme="minorHAnsi" w:hAnsiTheme="minorHAnsi"/>
          <w:b w:val="0"/>
          <w:bCs w:val="0"/>
          <w:i/>
          <w:color w:val="auto"/>
          <w:sz w:val="24"/>
          <w:szCs w:val="24"/>
          <w:lang w:val="sq-AL"/>
        </w:rPr>
        <w:fldChar w:fldCharType="end"/>
      </w:r>
      <w:r w:rsidR="00176D77" w:rsidRPr="004E355C">
        <w:rPr>
          <w:rFonts w:asciiTheme="minorHAnsi" w:hAnsiTheme="minorHAnsi"/>
          <w:b w:val="0"/>
          <w:bCs w:val="0"/>
          <w:i/>
          <w:color w:val="auto"/>
          <w:sz w:val="24"/>
          <w:szCs w:val="24"/>
          <w:lang w:val="sq-AL"/>
        </w:rPr>
        <w:t xml:space="preserve">: </w:t>
      </w:r>
      <w:r w:rsidRPr="004E355C">
        <w:rPr>
          <w:rFonts w:asciiTheme="minorHAnsi" w:hAnsiTheme="minorHAnsi"/>
          <w:b w:val="0"/>
          <w:bCs w:val="0"/>
          <w:i/>
          <w:color w:val="auto"/>
          <w:sz w:val="24"/>
          <w:szCs w:val="24"/>
          <w:lang w:val="sq-AL"/>
        </w:rPr>
        <w:t>Kurba e yield-it mesatar të ponderuar të titujve shtetërorë</w:t>
      </w:r>
      <w:r w:rsidR="00064256" w:rsidRPr="004E355C">
        <w:rPr>
          <w:rFonts w:asciiTheme="minorHAnsi" w:hAnsiTheme="minorHAnsi"/>
          <w:b w:val="0"/>
          <w:bCs w:val="0"/>
          <w:i/>
          <w:color w:val="auto"/>
          <w:sz w:val="24"/>
          <w:szCs w:val="24"/>
          <w:lang w:val="sq-AL"/>
        </w:rPr>
        <w:t xml:space="preserve"> (2017-Maj 2019)</w:t>
      </w:r>
      <w:bookmarkEnd w:id="72"/>
    </w:p>
    <w:p w:rsidR="008972B2" w:rsidRPr="004E355C" w:rsidRDefault="00064256" w:rsidP="00064256">
      <w:pPr>
        <w:tabs>
          <w:tab w:val="left" w:pos="360"/>
        </w:tabs>
        <w:spacing w:line="276" w:lineRule="auto"/>
        <w:jc w:val="center"/>
        <w:rPr>
          <w:rFonts w:asciiTheme="minorHAnsi" w:hAnsiTheme="minorHAnsi"/>
          <w:lang w:val="sq-AL"/>
        </w:rPr>
      </w:pPr>
      <w:r w:rsidRPr="004E355C">
        <w:rPr>
          <w:noProof/>
        </w:rPr>
        <w:drawing>
          <wp:inline distT="0" distB="0" distL="0" distR="0" wp14:anchorId="7F3E41A5" wp14:editId="1269526D">
            <wp:extent cx="5943600" cy="1514475"/>
            <wp:effectExtent l="0" t="0" r="19050" b="952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64256" w:rsidRDefault="00064256" w:rsidP="00176D77">
      <w:pPr>
        <w:tabs>
          <w:tab w:val="left" w:pos="360"/>
        </w:tabs>
        <w:spacing w:after="240" w:line="276" w:lineRule="auto"/>
        <w:jc w:val="both"/>
        <w:rPr>
          <w:rFonts w:asciiTheme="minorHAnsi" w:hAnsiTheme="minorHAnsi"/>
          <w:i/>
          <w:sz w:val="20"/>
          <w:lang w:val="sq-AL"/>
        </w:rPr>
      </w:pPr>
      <w:r w:rsidRPr="004E355C">
        <w:rPr>
          <w:rFonts w:asciiTheme="minorHAnsi" w:hAnsiTheme="minorHAnsi"/>
          <w:i/>
          <w:sz w:val="20"/>
          <w:lang w:val="sq-AL"/>
        </w:rPr>
        <w:tab/>
      </w:r>
      <w:r w:rsidR="00B24B3B" w:rsidRPr="004E355C">
        <w:rPr>
          <w:rFonts w:asciiTheme="minorHAnsi" w:hAnsiTheme="minorHAnsi"/>
          <w:i/>
          <w:sz w:val="20"/>
          <w:lang w:val="sq-AL"/>
        </w:rPr>
        <w:t>Burimi: Ministria e Financave dhe Ekonomisë (2019)</w:t>
      </w:r>
    </w:p>
    <w:p w:rsidR="00666B9F" w:rsidRPr="004E355C" w:rsidRDefault="00666B9F" w:rsidP="00176D77">
      <w:pPr>
        <w:tabs>
          <w:tab w:val="left" w:pos="360"/>
        </w:tabs>
        <w:spacing w:after="240" w:line="276" w:lineRule="auto"/>
        <w:jc w:val="both"/>
        <w:rPr>
          <w:rFonts w:asciiTheme="minorHAnsi" w:hAnsiTheme="minorHAnsi"/>
          <w:i/>
          <w:sz w:val="20"/>
          <w:lang w:val="sq-AL"/>
        </w:rPr>
      </w:pPr>
    </w:p>
    <w:p w:rsidR="00CB7741" w:rsidRPr="004E355C" w:rsidRDefault="00765663" w:rsidP="00CB7741">
      <w:pPr>
        <w:pStyle w:val="Heading2"/>
        <w:spacing w:line="276" w:lineRule="auto"/>
        <w:ind w:left="720" w:hanging="720"/>
        <w:rPr>
          <w:rFonts w:asciiTheme="minorHAnsi" w:hAnsiTheme="minorHAnsi"/>
          <w:noProof/>
          <w:color w:val="4F81BD" w:themeColor="accent1"/>
          <w:sz w:val="28"/>
          <w:szCs w:val="24"/>
          <w:lang w:val="sq-AL"/>
        </w:rPr>
      </w:pPr>
      <w:bookmarkStart w:id="73" w:name="_Toc12527229"/>
      <w:r w:rsidRPr="004E355C">
        <w:rPr>
          <w:rFonts w:asciiTheme="minorHAnsi" w:hAnsiTheme="minorHAnsi"/>
          <w:noProof/>
          <w:color w:val="4F81BD" w:themeColor="accent1"/>
          <w:sz w:val="28"/>
          <w:szCs w:val="24"/>
          <w:lang w:val="sq-AL"/>
        </w:rPr>
        <w:t>I</w:t>
      </w:r>
      <w:r w:rsidR="00CB7741" w:rsidRPr="004E355C">
        <w:rPr>
          <w:rFonts w:asciiTheme="minorHAnsi" w:hAnsiTheme="minorHAnsi"/>
          <w:noProof/>
          <w:color w:val="4F81BD" w:themeColor="accent1"/>
          <w:sz w:val="28"/>
          <w:szCs w:val="24"/>
          <w:lang w:val="sq-AL"/>
        </w:rPr>
        <w:t>V.3</w:t>
      </w:r>
      <w:r w:rsidR="00CB7741" w:rsidRPr="004E355C">
        <w:rPr>
          <w:rFonts w:asciiTheme="minorHAnsi" w:hAnsiTheme="minorHAnsi"/>
          <w:noProof/>
          <w:color w:val="4F81BD" w:themeColor="accent1"/>
          <w:sz w:val="28"/>
          <w:szCs w:val="24"/>
          <w:lang w:val="sq-AL"/>
        </w:rPr>
        <w:tab/>
        <w:t xml:space="preserve">Pritshmëritë </w:t>
      </w:r>
      <w:r w:rsidR="0085454B" w:rsidRPr="004E355C">
        <w:rPr>
          <w:rFonts w:asciiTheme="minorHAnsi" w:hAnsiTheme="minorHAnsi"/>
          <w:noProof/>
          <w:color w:val="4F81BD" w:themeColor="accent1"/>
          <w:sz w:val="28"/>
          <w:szCs w:val="24"/>
          <w:lang w:val="sq-AL"/>
        </w:rPr>
        <w:t xml:space="preserve">e Borxhit </w:t>
      </w:r>
      <w:r w:rsidR="00CB7741" w:rsidRPr="004E355C">
        <w:rPr>
          <w:rFonts w:asciiTheme="minorHAnsi" w:hAnsiTheme="minorHAnsi"/>
          <w:noProof/>
          <w:color w:val="4F81BD" w:themeColor="accent1"/>
          <w:sz w:val="28"/>
          <w:szCs w:val="24"/>
          <w:lang w:val="sq-AL"/>
        </w:rPr>
        <w:t>për vitin 201</w:t>
      </w:r>
      <w:r w:rsidR="00064256" w:rsidRPr="004E355C">
        <w:rPr>
          <w:rFonts w:asciiTheme="minorHAnsi" w:hAnsiTheme="minorHAnsi"/>
          <w:noProof/>
          <w:color w:val="4F81BD" w:themeColor="accent1"/>
          <w:sz w:val="28"/>
          <w:szCs w:val="24"/>
          <w:lang w:val="sq-AL"/>
        </w:rPr>
        <w:t>9</w:t>
      </w:r>
      <w:bookmarkEnd w:id="73"/>
    </w:p>
    <w:p w:rsidR="008025A2" w:rsidRPr="004E355C" w:rsidRDefault="008025A2" w:rsidP="008025A2">
      <w:pPr>
        <w:tabs>
          <w:tab w:val="left" w:pos="2730"/>
        </w:tabs>
        <w:spacing w:before="240" w:line="276" w:lineRule="auto"/>
        <w:jc w:val="both"/>
        <w:rPr>
          <w:rFonts w:asciiTheme="minorHAnsi" w:hAnsiTheme="minorHAnsi"/>
          <w:lang w:val="sq-AL"/>
        </w:rPr>
      </w:pPr>
      <w:r w:rsidRPr="004E355C">
        <w:rPr>
          <w:rFonts w:asciiTheme="minorHAnsi" w:hAnsiTheme="minorHAnsi"/>
          <w:lang w:val="sq-AL"/>
        </w:rPr>
        <w:t xml:space="preserve">Referuar parashikimeve të rritjes ekonomike, si edhe deficitit buxhetor të planifikuar, niveli i borxhit publik në raport me PBB, në fund të vitit 2019 parashikohet në rënie me rreth 1.7 pp. Gjatë periudhës së mbetur të vitit 2019, menaxhimi i borxhit do të ketë në fokus përmirësimin e mëtejshëm të strukturës së borxhit (kryesisht strukturën e portofolit të borxhit të brendshëm) në drejtim të uljes së ekspozimit ndaj risqeve. </w:t>
      </w:r>
    </w:p>
    <w:p w:rsidR="008025A2" w:rsidRPr="004E355C" w:rsidRDefault="008025A2" w:rsidP="008025A2">
      <w:pPr>
        <w:tabs>
          <w:tab w:val="left" w:pos="2730"/>
        </w:tabs>
        <w:spacing w:before="240" w:line="276" w:lineRule="auto"/>
        <w:jc w:val="both"/>
        <w:rPr>
          <w:rFonts w:asciiTheme="minorHAnsi" w:hAnsiTheme="minorHAnsi"/>
          <w:lang w:val="sq-AL"/>
        </w:rPr>
      </w:pPr>
      <w:r w:rsidRPr="004E355C">
        <w:rPr>
          <w:rFonts w:asciiTheme="minorHAnsi" w:hAnsiTheme="minorHAnsi"/>
          <w:lang w:val="sq-AL"/>
        </w:rPr>
        <w:t xml:space="preserve">Në tregun e brendshëm, nëpërmjet titujve afatshkurtër do të synohet kryesisht rifinancimi i titujve ekzistues, si dhe menaxhimi aktiv i nevojave për likuiditet. Ndërkohë, nëpërmjet titujve afatgjatë do të synohet të mbulohet financimi i deficitit të planifikuar. </w:t>
      </w:r>
    </w:p>
    <w:p w:rsidR="008025A2" w:rsidRPr="004E355C" w:rsidRDefault="008025A2" w:rsidP="008025A2">
      <w:pPr>
        <w:tabs>
          <w:tab w:val="left" w:pos="2730"/>
        </w:tabs>
        <w:spacing w:before="240" w:line="276" w:lineRule="auto"/>
        <w:jc w:val="both"/>
        <w:rPr>
          <w:rFonts w:asciiTheme="minorHAnsi" w:hAnsiTheme="minorHAnsi"/>
          <w:lang w:val="sq-AL"/>
        </w:rPr>
      </w:pPr>
      <w:r w:rsidRPr="004E355C">
        <w:rPr>
          <w:rFonts w:asciiTheme="minorHAnsi" w:hAnsiTheme="minorHAnsi"/>
          <w:lang w:val="sq-AL"/>
        </w:rPr>
        <w:t>Financimi i huaj do të shërbejë si një plotësues i mirë i burimeve të brendshme dhe përveç të tjerash edhe si optimizues i kostove të borxhit. Burimet kryesore të financimit të huaj pritet të jenë kryesisht huatë të cilat do të financojnë projektet ekzistuese dhe projektet e reja të konsideruara si prioritare nga qeveria.</w:t>
      </w:r>
    </w:p>
    <w:p w:rsidR="00EE6404" w:rsidRPr="004E355C" w:rsidRDefault="008025A2" w:rsidP="008025A2">
      <w:pPr>
        <w:tabs>
          <w:tab w:val="left" w:pos="2730"/>
        </w:tabs>
        <w:spacing w:before="240" w:line="276" w:lineRule="auto"/>
        <w:jc w:val="both"/>
        <w:rPr>
          <w:rFonts w:asciiTheme="minorHAnsi" w:hAnsiTheme="minorHAnsi"/>
          <w:lang w:val="sq-AL"/>
        </w:rPr>
      </w:pPr>
      <w:r w:rsidRPr="004E355C">
        <w:rPr>
          <w:rFonts w:asciiTheme="minorHAnsi" w:hAnsiTheme="minorHAnsi"/>
          <w:lang w:val="sq-AL"/>
        </w:rPr>
        <w:lastRenderedPageBreak/>
        <w:t>Shërbimi i borxhit për pjesën e mbetur të vitit parashikohet me rënie krahasuar me parashikimet e plan buxhetit 2019, kryesisht për shkak të mbiçmimit të monedhës vendase në raport me monedhën Euro, si edhe nivelit më të ulët të normave të interesit në raport me pritshmëritë. Kursimi nga shërbimi i borxhit parashikohet në rreth 4.4 miliard Lekë, i detajuar si më poshtë</w:t>
      </w:r>
      <w:r w:rsidR="00EE6404" w:rsidRPr="004E355C">
        <w:rPr>
          <w:rFonts w:asciiTheme="minorHAnsi" w:hAnsiTheme="minorHAnsi"/>
          <w:lang w:val="sq-AL"/>
        </w:rPr>
        <w:t>:</w:t>
      </w:r>
    </w:p>
    <w:p w:rsidR="00D23F5E" w:rsidRPr="004E355C" w:rsidRDefault="00D23F5E" w:rsidP="00D23F5E">
      <w:pPr>
        <w:pStyle w:val="Caption"/>
      </w:pPr>
    </w:p>
    <w:p w:rsidR="005D4A49" w:rsidRPr="004E355C" w:rsidRDefault="00D23F5E" w:rsidP="00D23F5E">
      <w:pPr>
        <w:pStyle w:val="Caption"/>
        <w:rPr>
          <w:rFonts w:asciiTheme="minorHAnsi" w:hAnsiTheme="minorHAnsi"/>
          <w:b w:val="0"/>
          <w:bCs w:val="0"/>
          <w:i/>
          <w:color w:val="auto"/>
          <w:sz w:val="24"/>
          <w:szCs w:val="24"/>
          <w:lang w:val="sq-AL"/>
        </w:rPr>
      </w:pPr>
      <w:bookmarkStart w:id="74" w:name="_Toc12449199"/>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xml:space="preserve">: </w:t>
      </w:r>
      <w:r w:rsidR="005D4A49" w:rsidRPr="004E355C">
        <w:rPr>
          <w:rFonts w:asciiTheme="minorHAnsi" w:hAnsiTheme="minorHAnsi"/>
          <w:b w:val="0"/>
          <w:bCs w:val="0"/>
          <w:i/>
          <w:color w:val="auto"/>
          <w:sz w:val="24"/>
          <w:szCs w:val="24"/>
          <w:lang w:val="sq-AL"/>
        </w:rPr>
        <w:t>Shërbimi i Borxhit Shtetëror të pritshëm krahasuar me planin vjetor 201</w:t>
      </w:r>
      <w:r w:rsidR="007841E5" w:rsidRPr="004E355C">
        <w:rPr>
          <w:rFonts w:asciiTheme="minorHAnsi" w:hAnsiTheme="minorHAnsi"/>
          <w:b w:val="0"/>
          <w:bCs w:val="0"/>
          <w:i/>
          <w:color w:val="auto"/>
          <w:sz w:val="24"/>
          <w:szCs w:val="24"/>
          <w:lang w:val="sq-AL"/>
        </w:rPr>
        <w:t>9</w:t>
      </w:r>
      <w:r w:rsidR="005D4A49" w:rsidRPr="004E355C">
        <w:rPr>
          <w:rFonts w:asciiTheme="minorHAnsi" w:hAnsiTheme="minorHAnsi"/>
          <w:b w:val="0"/>
          <w:bCs w:val="0"/>
          <w:i/>
          <w:color w:val="auto"/>
          <w:sz w:val="24"/>
          <w:szCs w:val="24"/>
          <w:lang w:val="sq-AL"/>
        </w:rPr>
        <w:t xml:space="preserve"> (në milion Lek)</w:t>
      </w:r>
      <w:bookmarkEnd w:id="74"/>
    </w:p>
    <w:p w:rsidR="00EE6404" w:rsidRPr="004E355C" w:rsidRDefault="007841E5" w:rsidP="00D54AAF">
      <w:pPr>
        <w:tabs>
          <w:tab w:val="left" w:pos="2730"/>
        </w:tabs>
        <w:spacing w:line="276" w:lineRule="auto"/>
        <w:jc w:val="center"/>
        <w:rPr>
          <w:rFonts w:asciiTheme="minorHAnsi" w:hAnsiTheme="minorHAnsi"/>
          <w:i/>
          <w:lang w:val="sq-AL"/>
        </w:rPr>
      </w:pPr>
      <w:r w:rsidRPr="004E355C">
        <w:rPr>
          <w:noProof/>
        </w:rPr>
        <w:drawing>
          <wp:inline distT="0" distB="0" distL="0" distR="0" wp14:anchorId="6D8BE042" wp14:editId="2A273AD1">
            <wp:extent cx="6146280" cy="1363980"/>
            <wp:effectExtent l="0" t="0" r="6985" b="762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94973" cy="1374786"/>
                    </a:xfrm>
                    <a:prstGeom prst="rect">
                      <a:avLst/>
                    </a:prstGeom>
                    <a:noFill/>
                    <a:ln>
                      <a:noFill/>
                    </a:ln>
                  </pic:spPr>
                </pic:pic>
              </a:graphicData>
            </a:graphic>
          </wp:inline>
        </w:drawing>
      </w:r>
    </w:p>
    <w:p w:rsidR="00EE6404" w:rsidRPr="004E355C" w:rsidRDefault="0078470D" w:rsidP="0078470D">
      <w:pPr>
        <w:tabs>
          <w:tab w:val="left" w:pos="540"/>
        </w:tabs>
        <w:spacing w:line="276" w:lineRule="auto"/>
        <w:jc w:val="both"/>
        <w:rPr>
          <w:rFonts w:asciiTheme="minorHAnsi" w:hAnsiTheme="minorHAnsi"/>
          <w:i/>
          <w:sz w:val="20"/>
          <w:lang w:val="sq-AL"/>
        </w:rPr>
      </w:pPr>
      <w:r w:rsidRPr="004E355C">
        <w:rPr>
          <w:rFonts w:asciiTheme="minorHAnsi" w:hAnsiTheme="minorHAnsi"/>
          <w:i/>
          <w:sz w:val="20"/>
          <w:lang w:val="sq-AL"/>
        </w:rPr>
        <w:tab/>
      </w:r>
      <w:r w:rsidR="00B24B3B" w:rsidRPr="004E355C">
        <w:rPr>
          <w:rFonts w:asciiTheme="minorHAnsi" w:hAnsiTheme="minorHAnsi"/>
          <w:i/>
          <w:sz w:val="20"/>
          <w:lang w:val="sq-AL"/>
        </w:rPr>
        <w:t>Burimi: Ministria e Financave dhe Ekonomisë (2019)</w:t>
      </w:r>
    </w:p>
    <w:p w:rsidR="00B4575B" w:rsidRPr="004E355C" w:rsidRDefault="00B4575B" w:rsidP="0078470D">
      <w:pPr>
        <w:tabs>
          <w:tab w:val="left" w:pos="540"/>
        </w:tabs>
        <w:spacing w:line="276" w:lineRule="auto"/>
        <w:jc w:val="both"/>
        <w:rPr>
          <w:rFonts w:asciiTheme="minorHAnsi" w:hAnsiTheme="minorHAnsi"/>
          <w:i/>
          <w:sz w:val="20"/>
          <w:lang w:val="sq-AL"/>
        </w:rPr>
      </w:pPr>
    </w:p>
    <w:p w:rsidR="00562780" w:rsidRPr="004E355C" w:rsidRDefault="00562780" w:rsidP="00B95810">
      <w:pPr>
        <w:pStyle w:val="Heading1"/>
        <w:numPr>
          <w:ilvl w:val="0"/>
          <w:numId w:val="1"/>
        </w:numPr>
        <w:spacing w:line="276" w:lineRule="auto"/>
        <w:ind w:left="720"/>
        <w:jc w:val="both"/>
        <w:rPr>
          <w:sz w:val="32"/>
          <w:u w:val="none"/>
        </w:rPr>
      </w:pPr>
      <w:bookmarkStart w:id="75" w:name="_Toc10033283"/>
      <w:bookmarkStart w:id="76" w:name="_Toc10721420"/>
      <w:bookmarkStart w:id="77" w:name="_Toc12527230"/>
      <w:bookmarkStart w:id="78" w:name="_Toc11134240"/>
      <w:bookmarkStart w:id="79" w:name="_Toc10033286"/>
      <w:bookmarkStart w:id="80" w:name="_Toc10721423"/>
      <w:bookmarkStart w:id="81" w:name="_Toc11134243"/>
      <w:r w:rsidRPr="004E355C">
        <w:rPr>
          <w:sz w:val="32"/>
          <w:u w:val="none"/>
        </w:rPr>
        <w:t>RREZIQET FISKALE DHE DETYRIMET KONTIGJENTE</w:t>
      </w:r>
      <w:bookmarkEnd w:id="75"/>
      <w:bookmarkEnd w:id="76"/>
      <w:bookmarkEnd w:id="77"/>
      <w:r w:rsidRPr="004E355C">
        <w:rPr>
          <w:sz w:val="32"/>
          <w:u w:val="none"/>
        </w:rPr>
        <w:t xml:space="preserve"> </w:t>
      </w:r>
      <w:bookmarkEnd w:id="78"/>
    </w:p>
    <w:p w:rsidR="00B4575B" w:rsidRPr="004E355C" w:rsidRDefault="00562780" w:rsidP="00562780">
      <w:pPr>
        <w:spacing w:before="240" w:line="276" w:lineRule="auto"/>
        <w:jc w:val="both"/>
        <w:rPr>
          <w:rFonts w:asciiTheme="minorHAnsi" w:hAnsiTheme="minorHAnsi"/>
          <w:lang w:val="sq-AL"/>
        </w:rPr>
      </w:pPr>
      <w:r w:rsidRPr="004E355C">
        <w:rPr>
          <w:rFonts w:asciiTheme="minorHAnsi" w:hAnsiTheme="minorHAnsi"/>
          <w:lang w:val="sq-AL"/>
        </w:rPr>
        <w:t xml:space="preserve">Me qëllim ndjekjen e performancës të zbatimit të buxhetit të shtetit, Ministria e Financave dhe Ekonomisë me mbështetjen e FMN dhe BB që prej vitit 2017 ka iniciiuar monitorimin e risqeve që shoqërojnë zbatimin e tij. Ky proces ka për qëllim që, në bazë të analizave të thelluara, të rekomandojë zbutjen dhe/apo parandalimin në kohë të rreziqeve fiskale, pasuar nga një vendimarrje koherente. </w:t>
      </w:r>
    </w:p>
    <w:p w:rsidR="00B4575B" w:rsidRPr="004E355C" w:rsidRDefault="00562780" w:rsidP="00562780">
      <w:pPr>
        <w:spacing w:before="240" w:line="276" w:lineRule="auto"/>
        <w:jc w:val="both"/>
        <w:rPr>
          <w:rFonts w:asciiTheme="minorHAnsi" w:hAnsiTheme="minorHAnsi"/>
          <w:lang w:val="sq-AL"/>
        </w:rPr>
      </w:pPr>
      <w:r w:rsidRPr="004E355C">
        <w:rPr>
          <w:rFonts w:asciiTheme="minorHAnsi" w:hAnsiTheme="minorHAnsi"/>
          <w:lang w:val="sq-AL"/>
        </w:rPr>
        <w:t xml:space="preserve">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4E355C">
        <w:rPr>
          <w:rFonts w:asciiTheme="minorHAnsi" w:hAnsiTheme="minorHAnsi"/>
          <w:i/>
          <w:lang w:val="sq-AL"/>
        </w:rPr>
        <w:t>ad-hoc</w:t>
      </w:r>
      <w:r w:rsidRPr="004E355C">
        <w:rPr>
          <w:rFonts w:asciiTheme="minorHAnsi" w:hAnsiTheme="minorHAnsi"/>
          <w:lang w:val="sq-AL"/>
        </w:rPr>
        <w:t xml:space="preserve"> mbi politikën fiskale dhe/ose materializimin e detyrimeve kontingjente. </w:t>
      </w:r>
    </w:p>
    <w:p w:rsidR="00562780" w:rsidRPr="004E355C" w:rsidRDefault="00562780" w:rsidP="00562780">
      <w:pPr>
        <w:spacing w:before="240" w:line="276" w:lineRule="auto"/>
        <w:jc w:val="both"/>
        <w:rPr>
          <w:rFonts w:asciiTheme="minorHAnsi" w:hAnsiTheme="minorHAnsi"/>
          <w:lang w:val="sq-AL"/>
        </w:rPr>
      </w:pPr>
      <w:r w:rsidRPr="004E355C">
        <w:rPr>
          <w:rFonts w:asciiTheme="minorHAnsi" w:hAnsiTheme="minorHAnsi"/>
          <w:lang w:val="sq-AL"/>
        </w:rPr>
        <w:t xml:space="preserve">Vlerësimi i probabilitetit dhe ndikimit të risqeve fiskale kryhet në bazë të analizave të thelluara dhe parashikimeve në kuadër të Buxhetit Afatmesëm. Përkatësisht vlerësohen </w:t>
      </w:r>
      <w:r w:rsidRPr="004E355C">
        <w:rPr>
          <w:rFonts w:asciiTheme="minorHAnsi" w:hAnsiTheme="minorHAnsi"/>
          <w:u w:val="single"/>
          <w:lang w:val="sq-AL"/>
        </w:rPr>
        <w:t>dy kategori risqesh</w:t>
      </w:r>
      <w:r w:rsidRPr="004E355C">
        <w:rPr>
          <w:rFonts w:asciiTheme="minorHAnsi" w:hAnsiTheme="minorHAnsi"/>
          <w:lang w:val="sq-AL"/>
        </w:rPr>
        <w:t>:</w:t>
      </w:r>
    </w:p>
    <w:p w:rsidR="00562780" w:rsidRPr="004E355C" w:rsidRDefault="00562780" w:rsidP="00562780">
      <w:pPr>
        <w:pStyle w:val="ListParagraph"/>
        <w:spacing w:line="276" w:lineRule="auto"/>
        <w:ind w:left="540"/>
        <w:jc w:val="both"/>
        <w:rPr>
          <w:rFonts w:asciiTheme="minorHAnsi" w:hAnsiTheme="minorHAnsi"/>
          <w:i/>
          <w:sz w:val="16"/>
          <w:szCs w:val="16"/>
          <w:lang w:val="sq-AL"/>
        </w:rPr>
      </w:pPr>
    </w:p>
    <w:p w:rsidR="00562780" w:rsidRPr="004E355C" w:rsidRDefault="00562780" w:rsidP="00B95810">
      <w:pPr>
        <w:pStyle w:val="ListParagraph"/>
        <w:numPr>
          <w:ilvl w:val="1"/>
          <w:numId w:val="16"/>
        </w:numPr>
        <w:spacing w:line="276" w:lineRule="auto"/>
        <w:ind w:left="540"/>
        <w:jc w:val="both"/>
        <w:rPr>
          <w:rFonts w:asciiTheme="minorHAnsi" w:hAnsiTheme="minorHAnsi"/>
          <w:i/>
          <w:lang w:val="sq-AL"/>
        </w:rPr>
      </w:pPr>
      <w:r w:rsidRPr="004E355C">
        <w:rPr>
          <w:rFonts w:asciiTheme="minorHAnsi" w:hAnsiTheme="minorHAnsi"/>
          <w:i/>
          <w:u w:val="single"/>
          <w:lang w:val="sq-AL"/>
        </w:rPr>
        <w:t>“Eksplicite”</w:t>
      </w:r>
      <w:r w:rsidRPr="004E355C">
        <w:rPr>
          <w:rFonts w:asciiTheme="minorHAnsi" w:hAnsiTheme="minorHAnsi"/>
          <w:i/>
          <w:lang w:val="sq-AL"/>
        </w:rPr>
        <w:t>, apo risqet të cilat kanë lidhje me supozimet dhe zhvillimet makroekonomike, të ardhurat e qeverisë, shpenzimet dhe menaxhimi i borxhit, etj.</w:t>
      </w:r>
    </w:p>
    <w:p w:rsidR="00562780" w:rsidRPr="004E355C" w:rsidRDefault="00562780" w:rsidP="00B95810">
      <w:pPr>
        <w:pStyle w:val="ListParagraph"/>
        <w:numPr>
          <w:ilvl w:val="1"/>
          <w:numId w:val="16"/>
        </w:numPr>
        <w:spacing w:before="240" w:line="276" w:lineRule="auto"/>
        <w:ind w:left="540"/>
        <w:jc w:val="both"/>
        <w:rPr>
          <w:rFonts w:asciiTheme="minorHAnsi" w:hAnsiTheme="minorHAnsi"/>
          <w:i/>
          <w:lang w:val="sq-AL"/>
        </w:rPr>
      </w:pPr>
      <w:r w:rsidRPr="004E355C">
        <w:rPr>
          <w:rFonts w:asciiTheme="minorHAnsi" w:hAnsiTheme="minorHAnsi"/>
          <w:i/>
          <w:u w:val="single"/>
          <w:lang w:val="sq-AL"/>
        </w:rPr>
        <w:t>“Implicite”</w:t>
      </w:r>
      <w:r w:rsidRPr="004E355C">
        <w:rPr>
          <w:rFonts w:asciiTheme="minorHAnsi" w:hAnsiTheme="minorHAnsi"/>
          <w:i/>
          <w:lang w:val="sq-AL"/>
        </w:rPr>
        <w:t>, apo detyrimet kontingjente, PPP-të, ato të vetëqeverisjes vendore, ndërmarrjet publike me kapital shtetëror, risqe të tjera si vendime gjyqësore, fatkeqësi natyrore dhe sektori financiar apo risqet afatgjata.</w:t>
      </w:r>
    </w:p>
    <w:p w:rsidR="00B4575B" w:rsidRDefault="00B4575B" w:rsidP="00B4575B">
      <w:pPr>
        <w:pStyle w:val="ListParagraph"/>
        <w:spacing w:before="240" w:line="276" w:lineRule="auto"/>
        <w:ind w:left="540"/>
        <w:jc w:val="both"/>
        <w:rPr>
          <w:rFonts w:asciiTheme="minorHAnsi" w:hAnsiTheme="minorHAnsi"/>
          <w:i/>
          <w:u w:val="single"/>
          <w:lang w:val="sq-AL"/>
        </w:rPr>
      </w:pPr>
    </w:p>
    <w:p w:rsidR="00666B9F" w:rsidRDefault="00666B9F" w:rsidP="00B4575B">
      <w:pPr>
        <w:pStyle w:val="ListParagraph"/>
        <w:spacing w:before="240" w:line="276" w:lineRule="auto"/>
        <w:ind w:left="540"/>
        <w:jc w:val="both"/>
        <w:rPr>
          <w:rFonts w:asciiTheme="minorHAnsi" w:hAnsiTheme="minorHAnsi"/>
          <w:i/>
          <w:u w:val="single"/>
          <w:lang w:val="sq-AL"/>
        </w:rPr>
      </w:pPr>
    </w:p>
    <w:p w:rsidR="000F25F3" w:rsidRDefault="000F25F3" w:rsidP="00B4575B">
      <w:pPr>
        <w:pStyle w:val="ListParagraph"/>
        <w:spacing w:before="240" w:line="276" w:lineRule="auto"/>
        <w:ind w:left="540"/>
        <w:jc w:val="both"/>
        <w:rPr>
          <w:rFonts w:asciiTheme="minorHAnsi" w:hAnsiTheme="minorHAnsi"/>
          <w:i/>
          <w:u w:val="single"/>
          <w:lang w:val="sq-AL"/>
        </w:rPr>
      </w:pPr>
    </w:p>
    <w:p w:rsidR="000F25F3" w:rsidRDefault="000F25F3" w:rsidP="00B4575B">
      <w:pPr>
        <w:pStyle w:val="ListParagraph"/>
        <w:spacing w:before="240" w:line="276" w:lineRule="auto"/>
        <w:ind w:left="540"/>
        <w:jc w:val="both"/>
        <w:rPr>
          <w:rFonts w:asciiTheme="minorHAnsi" w:hAnsiTheme="minorHAnsi"/>
          <w:i/>
          <w:u w:val="single"/>
          <w:lang w:val="sq-AL"/>
        </w:rPr>
      </w:pPr>
    </w:p>
    <w:p w:rsidR="00666B9F" w:rsidRDefault="00666B9F" w:rsidP="00B4575B">
      <w:pPr>
        <w:pStyle w:val="ListParagraph"/>
        <w:spacing w:before="240" w:line="276" w:lineRule="auto"/>
        <w:ind w:left="540"/>
        <w:jc w:val="both"/>
        <w:rPr>
          <w:rFonts w:asciiTheme="minorHAnsi" w:hAnsiTheme="minorHAnsi"/>
          <w:i/>
          <w:u w:val="single"/>
          <w:lang w:val="sq-AL"/>
        </w:rPr>
      </w:pPr>
    </w:p>
    <w:p w:rsidR="00666B9F" w:rsidRDefault="00666B9F" w:rsidP="00B4575B">
      <w:pPr>
        <w:pStyle w:val="ListParagraph"/>
        <w:spacing w:before="240" w:line="276" w:lineRule="auto"/>
        <w:ind w:left="540"/>
        <w:jc w:val="both"/>
        <w:rPr>
          <w:rFonts w:asciiTheme="minorHAnsi" w:hAnsiTheme="minorHAnsi"/>
          <w:i/>
          <w:u w:val="single"/>
          <w:lang w:val="sq-AL"/>
        </w:rPr>
      </w:pPr>
    </w:p>
    <w:p w:rsidR="00666B9F" w:rsidRPr="004E355C" w:rsidRDefault="00666B9F" w:rsidP="00B4575B">
      <w:pPr>
        <w:pStyle w:val="ListParagraph"/>
        <w:spacing w:before="240" w:line="276" w:lineRule="auto"/>
        <w:ind w:left="540"/>
        <w:jc w:val="both"/>
        <w:rPr>
          <w:rFonts w:asciiTheme="minorHAnsi" w:hAnsiTheme="minorHAnsi"/>
          <w:i/>
          <w:u w:val="single"/>
          <w:lang w:val="sq-AL"/>
        </w:rPr>
      </w:pPr>
    </w:p>
    <w:p w:rsidR="00D23F5E" w:rsidRPr="004E355C" w:rsidRDefault="007434A1" w:rsidP="007434A1">
      <w:pPr>
        <w:pStyle w:val="Caption"/>
        <w:rPr>
          <w:rFonts w:asciiTheme="minorHAnsi" w:hAnsiTheme="minorHAnsi"/>
          <w:b w:val="0"/>
          <w:bCs w:val="0"/>
          <w:i/>
          <w:color w:val="auto"/>
          <w:sz w:val="24"/>
          <w:szCs w:val="24"/>
          <w:lang w:val="sq-AL"/>
        </w:rPr>
      </w:pPr>
      <w:bookmarkStart w:id="82" w:name="_Toc12449200"/>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14</w:t>
      </w:r>
      <w:r w:rsidRPr="004E355C">
        <w:rPr>
          <w:rFonts w:asciiTheme="minorHAnsi" w:hAnsiTheme="minorHAnsi"/>
          <w:b w:val="0"/>
          <w:bCs w:val="0"/>
          <w:i/>
          <w:color w:val="auto"/>
          <w:sz w:val="24"/>
          <w:szCs w:val="24"/>
          <w:lang w:val="sq-AL"/>
        </w:rPr>
        <w:fldChar w:fldCharType="end"/>
      </w:r>
      <w:r w:rsidR="00D23F5E" w:rsidRPr="004E355C">
        <w:rPr>
          <w:rFonts w:asciiTheme="minorHAnsi" w:hAnsiTheme="minorHAnsi"/>
          <w:b w:val="0"/>
          <w:bCs w:val="0"/>
          <w:i/>
          <w:color w:val="auto"/>
          <w:sz w:val="24"/>
          <w:szCs w:val="24"/>
          <w:lang w:val="sq-AL"/>
        </w:rPr>
        <w:t xml:space="preserve"> Matrica e riskut</w:t>
      </w:r>
      <w:bookmarkEnd w:id="82"/>
    </w:p>
    <w:tbl>
      <w:tblPr>
        <w:tblStyle w:val="GridTable4-Accent11"/>
        <w:tblW w:w="5730" w:type="pct"/>
        <w:jc w:val="center"/>
        <w:tblLook w:val="04A0" w:firstRow="1" w:lastRow="0" w:firstColumn="1" w:lastColumn="0" w:noHBand="0" w:noVBand="1"/>
      </w:tblPr>
      <w:tblGrid>
        <w:gridCol w:w="3976"/>
        <w:gridCol w:w="7308"/>
      </w:tblGrid>
      <w:tr w:rsidR="00562780" w:rsidRPr="004E355C" w:rsidTr="00562780">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kern w:val="24"/>
                <w:sz w:val="22"/>
                <w:lang w:val="sq-AL" w:eastAsia="nb-NO"/>
              </w:rPr>
              <w:t>Lloji i rrezikut</w:t>
            </w:r>
          </w:p>
        </w:tc>
        <w:tc>
          <w:tcPr>
            <w:tcW w:w="3238" w:type="pct"/>
            <w:hideMark/>
          </w:tcPr>
          <w:p w:rsidR="00562780" w:rsidRPr="004E355C" w:rsidRDefault="00562780" w:rsidP="00562780">
            <w:pPr>
              <w:jc w:val="center"/>
              <w:cnfStyle w:val="100000000000" w:firstRow="1" w:lastRow="0" w:firstColumn="0" w:lastColumn="0" w:oddVBand="0" w:evenVBand="0" w:oddHBand="0" w:evenHBand="0" w:firstRowFirstColumn="0" w:firstRowLastColumn="0" w:lastRowFirstColumn="0" w:lastRowLastColumn="0"/>
              <w:rPr>
                <w:rFonts w:cs="Times New Roman"/>
                <w:b w:val="0"/>
                <w:bCs w:val="0"/>
                <w:kern w:val="24"/>
                <w:sz w:val="22"/>
                <w:lang w:val="sq-AL" w:eastAsia="nb-NO"/>
              </w:rPr>
            </w:pPr>
          </w:p>
          <w:p w:rsidR="00562780" w:rsidRPr="004E355C" w:rsidRDefault="00562780" w:rsidP="00562780">
            <w:pPr>
              <w:jc w:val="center"/>
              <w:cnfStyle w:val="100000000000" w:firstRow="1" w:lastRow="0" w:firstColumn="0" w:lastColumn="0" w:oddVBand="0" w:evenVBand="0" w:oddHBand="0" w:evenHBand="0" w:firstRowFirstColumn="0" w:firstRowLastColumn="0" w:lastRowFirstColumn="0" w:lastRowLastColumn="0"/>
              <w:rPr>
                <w:rFonts w:cs="Times New Roman"/>
                <w:sz w:val="22"/>
                <w:lang w:val="sq-AL" w:eastAsia="nb-NO"/>
              </w:rPr>
            </w:pPr>
            <w:r w:rsidRPr="004E355C">
              <w:rPr>
                <w:rFonts w:cs="Times New Roman"/>
                <w:kern w:val="24"/>
                <w:sz w:val="22"/>
                <w:lang w:val="sq-AL" w:eastAsia="nb-NO"/>
              </w:rPr>
              <w:t>Skenarët e mundshëm</w:t>
            </w:r>
          </w:p>
        </w:tc>
      </w:tr>
      <w:tr w:rsidR="00562780" w:rsidRPr="004E355C" w:rsidTr="00562780">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rsidR="00562780" w:rsidRPr="004E355C" w:rsidRDefault="00562780" w:rsidP="00562780">
            <w:pPr>
              <w:rPr>
                <w:rFonts w:cs="Times New Roman"/>
                <w:b w:val="0"/>
                <w:bCs w:val="0"/>
                <w:color w:val="000000"/>
                <w:kern w:val="24"/>
                <w:sz w:val="10"/>
                <w:szCs w:val="12"/>
                <w:lang w:val="sq-AL" w:eastAsia="nb-NO"/>
              </w:rPr>
            </w:pPr>
          </w:p>
          <w:p w:rsidR="00562780" w:rsidRPr="004E355C" w:rsidRDefault="00562780" w:rsidP="00562780">
            <w:pPr>
              <w:jc w:val="center"/>
              <w:rPr>
                <w:rFonts w:cs="Times New Roman"/>
                <w:b w:val="0"/>
                <w:bCs w:val="0"/>
                <w:color w:val="C00000"/>
                <w:kern w:val="24"/>
                <w:sz w:val="22"/>
                <w:lang w:val="sq-AL" w:eastAsia="nb-NO"/>
              </w:rPr>
            </w:pPr>
            <w:r w:rsidRPr="004E355C">
              <w:rPr>
                <w:rFonts w:cs="Times New Roman"/>
                <w:color w:val="C00000"/>
                <w:kern w:val="24"/>
                <w:sz w:val="22"/>
                <w:lang w:val="sq-AL" w:eastAsia="nb-NO"/>
              </w:rPr>
              <w:t xml:space="preserve">Risqet dhe detyrimet </w:t>
            </w:r>
            <w:r w:rsidRPr="004E355C">
              <w:rPr>
                <w:rFonts w:cs="Times New Roman"/>
                <w:color w:val="C00000"/>
                <w:kern w:val="24"/>
                <w:sz w:val="22"/>
                <w:u w:val="single"/>
                <w:lang w:val="sq-AL" w:eastAsia="nb-NO"/>
              </w:rPr>
              <w:t>eksplicite</w:t>
            </w:r>
          </w:p>
        </w:tc>
      </w:tr>
      <w:tr w:rsidR="00562780" w:rsidRPr="004E355C" w:rsidTr="00562780">
        <w:trPr>
          <w:trHeight w:val="612"/>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Goditje Makroekonomike</w:t>
            </w:r>
          </w:p>
        </w:tc>
        <w:tc>
          <w:tcPr>
            <w:tcW w:w="3238" w:type="pct"/>
            <w:hideMark/>
          </w:tcPr>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Zhvillime  makroekonomike të paparashikuara, që mund të ndryshojnë perspektivën e rritjes ekonomike dhe pozicionin fiskal</w:t>
            </w:r>
          </w:p>
        </w:tc>
      </w:tr>
      <w:tr w:rsidR="00562780" w:rsidRPr="004E355C" w:rsidTr="00562780">
        <w:trPr>
          <w:cnfStyle w:val="000000100000" w:firstRow="0" w:lastRow="0" w:firstColumn="0" w:lastColumn="0" w:oddVBand="0" w:evenVBand="0" w:oddHBand="1" w:evenHBand="0" w:firstRowFirstColumn="0" w:firstRowLastColumn="0" w:lastRowFirstColumn="0" w:lastRowLastColumn="0"/>
          <w:trHeight w:val="71"/>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Parashikimi i të ardhurave</w:t>
            </w:r>
          </w:p>
        </w:tc>
        <w:tc>
          <w:tcPr>
            <w:tcW w:w="3238" w:type="pct"/>
            <w:hideMark/>
          </w:tcPr>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Mosrealizimi i të ardhurave, që mund të sjellë përkeqësimin e bilancit fiskal</w:t>
            </w:r>
          </w:p>
        </w:tc>
      </w:tr>
      <w:tr w:rsidR="00562780" w:rsidRPr="004E355C" w:rsidTr="00562780">
        <w:trPr>
          <w:trHeight w:val="71"/>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Shpenzime të paplanifikuara</w:t>
            </w:r>
          </w:p>
        </w:tc>
        <w:tc>
          <w:tcPr>
            <w:tcW w:w="3238" w:type="pct"/>
            <w:hideMark/>
          </w:tcPr>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Detyrime ligjore ose presione politike, që mund të sjellin rishpërndarje të shpenzimeve</w:t>
            </w:r>
          </w:p>
        </w:tc>
      </w:tr>
      <w:tr w:rsidR="00562780" w:rsidRPr="004E355C" w:rsidTr="00562780">
        <w:trPr>
          <w:cnfStyle w:val="000000100000" w:firstRow="0" w:lastRow="0" w:firstColumn="0" w:lastColumn="0" w:oddVBand="0" w:evenVBand="0" w:oddHBand="1" w:evenHBand="0" w:firstRowFirstColumn="0" w:firstRowLastColumn="0" w:lastRowFirstColumn="0" w:lastRowLastColumn="0"/>
          <w:trHeight w:val="71"/>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Borxhi publik</w:t>
            </w:r>
          </w:p>
        </w:tc>
        <w:tc>
          <w:tcPr>
            <w:tcW w:w="3238" w:type="pct"/>
            <w:hideMark/>
          </w:tcPr>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Zhvillime të papritura të tregut, ndryshime në normën e interesit ose në kursin e këmbimit, që mund të rrisin nivelin e borxhit publik</w:t>
            </w:r>
          </w:p>
        </w:tc>
      </w:tr>
      <w:tr w:rsidR="00562780" w:rsidRPr="004E355C" w:rsidTr="00562780">
        <w:trPr>
          <w:trHeight w:val="39"/>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rsidR="00562780" w:rsidRPr="004E355C" w:rsidRDefault="00562780" w:rsidP="00562780">
            <w:pPr>
              <w:jc w:val="center"/>
              <w:rPr>
                <w:rFonts w:cs="Times New Roman"/>
                <w:b w:val="0"/>
                <w:color w:val="C00000"/>
                <w:kern w:val="24"/>
                <w:sz w:val="22"/>
                <w:lang w:val="sq-AL" w:eastAsia="nb-NO"/>
              </w:rPr>
            </w:pPr>
          </w:p>
          <w:p w:rsidR="00562780" w:rsidRPr="004E355C" w:rsidRDefault="00562780" w:rsidP="00562780">
            <w:pPr>
              <w:jc w:val="center"/>
              <w:rPr>
                <w:rFonts w:cs="Times New Roman"/>
                <w:b w:val="0"/>
                <w:color w:val="C00000"/>
                <w:kern w:val="24"/>
                <w:sz w:val="22"/>
                <w:u w:val="single"/>
                <w:lang w:val="sq-AL" w:eastAsia="nb-NO"/>
              </w:rPr>
            </w:pPr>
            <w:r w:rsidRPr="004E355C">
              <w:rPr>
                <w:rFonts w:cs="Times New Roman"/>
                <w:color w:val="C00000"/>
                <w:kern w:val="24"/>
                <w:sz w:val="22"/>
                <w:lang w:val="sq-AL" w:eastAsia="nb-NO"/>
              </w:rPr>
              <w:t xml:space="preserve">Risqet </w:t>
            </w:r>
            <w:r w:rsidRPr="004E355C">
              <w:rPr>
                <w:rFonts w:cs="Times New Roman"/>
                <w:color w:val="C00000"/>
                <w:kern w:val="24"/>
                <w:sz w:val="22"/>
                <w:u w:val="single"/>
                <w:lang w:val="sq-AL" w:eastAsia="nb-NO"/>
              </w:rPr>
              <w:t>implicite</w:t>
            </w:r>
            <w:r w:rsidRPr="004E355C">
              <w:rPr>
                <w:rFonts w:cs="Times New Roman"/>
                <w:color w:val="C00000"/>
                <w:kern w:val="24"/>
                <w:sz w:val="22"/>
                <w:lang w:val="sq-AL" w:eastAsia="nb-NO"/>
              </w:rPr>
              <w:t xml:space="preserve"> dhe detyrimet </w:t>
            </w:r>
            <w:r w:rsidRPr="004E355C">
              <w:rPr>
                <w:rFonts w:cs="Times New Roman"/>
                <w:color w:val="C00000"/>
                <w:kern w:val="24"/>
                <w:sz w:val="22"/>
                <w:u w:val="single"/>
                <w:lang w:val="sq-AL" w:eastAsia="nb-NO"/>
              </w:rPr>
              <w:t>kontigjente</w:t>
            </w:r>
          </w:p>
          <w:p w:rsidR="00562780" w:rsidRPr="004E355C" w:rsidRDefault="00562780" w:rsidP="00562780">
            <w:pPr>
              <w:jc w:val="center"/>
              <w:rPr>
                <w:rFonts w:cs="Times New Roman"/>
                <w:b w:val="0"/>
                <w:color w:val="C00000"/>
                <w:kern w:val="24"/>
                <w:sz w:val="22"/>
                <w:lang w:val="sq-AL" w:eastAsia="nb-NO"/>
              </w:rPr>
            </w:pPr>
          </w:p>
        </w:tc>
      </w:tr>
      <w:tr w:rsidR="00562780" w:rsidRPr="004E355C" w:rsidTr="00562780">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Pagesat për PPP</w:t>
            </w:r>
          </w:p>
        </w:tc>
        <w:tc>
          <w:tcPr>
            <w:tcW w:w="3238" w:type="pct"/>
            <w:hideMark/>
          </w:tcPr>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Pagesat vjetore për PPP-të, mund të tejkalojnë nivelin e lejuar ligjor prej 5% të të ardhurave tatimore faktike të vitit paraardhës</w:t>
            </w:r>
          </w:p>
        </w:tc>
      </w:tr>
      <w:tr w:rsidR="00562780" w:rsidRPr="004E355C" w:rsidTr="00562780">
        <w:trPr>
          <w:trHeight w:val="46"/>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Vështirësia financiare e Ndërmarrjeve Shtetërore (NSH)</w:t>
            </w:r>
          </w:p>
        </w:tc>
        <w:tc>
          <w:tcPr>
            <w:tcW w:w="3238" w:type="pct"/>
            <w:hideMark/>
          </w:tcPr>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p>
          <w:p w:rsidR="00562780" w:rsidRPr="004E355C" w:rsidRDefault="00562780" w:rsidP="00562780">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Qeverisë mund t’i duhet të ndërhyjë për të mbështur financiarisht NSH-të</w:t>
            </w:r>
          </w:p>
        </w:tc>
      </w:tr>
      <w:tr w:rsidR="00562780" w:rsidRPr="004E355C" w:rsidTr="00562780">
        <w:trPr>
          <w:cnfStyle w:val="000000100000" w:firstRow="0" w:lastRow="0" w:firstColumn="0" w:lastColumn="0" w:oddVBand="0" w:evenVBand="0" w:oddHBand="1" w:evenHBand="0" w:firstRowFirstColumn="0" w:firstRowLastColumn="0" w:lastRowFirstColumn="0" w:lastRowLastColumn="0"/>
          <w:trHeight w:val="72"/>
          <w:jc w:val="center"/>
        </w:trPr>
        <w:tc>
          <w:tcPr>
            <w:cnfStyle w:val="001000000000" w:firstRow="0" w:lastRow="0" w:firstColumn="1" w:lastColumn="0" w:oddVBand="0" w:evenVBand="0" w:oddHBand="0" w:evenHBand="0" w:firstRowFirstColumn="0" w:firstRowLastColumn="0" w:lastRowFirstColumn="0" w:lastRowLastColumn="0"/>
            <w:tcW w:w="1762" w:type="pct"/>
            <w:hideMark/>
          </w:tcPr>
          <w:p w:rsidR="00562780" w:rsidRPr="004E355C" w:rsidRDefault="00562780" w:rsidP="00562780">
            <w:pPr>
              <w:jc w:val="center"/>
              <w:rPr>
                <w:rFonts w:cs="Times New Roman"/>
                <w:b w:val="0"/>
                <w:bCs w:val="0"/>
                <w:color w:val="000000"/>
                <w:kern w:val="24"/>
                <w:sz w:val="22"/>
                <w:lang w:val="sq-AL" w:eastAsia="nb-NO"/>
              </w:rPr>
            </w:pPr>
          </w:p>
          <w:p w:rsidR="00562780" w:rsidRPr="004E355C" w:rsidRDefault="00562780" w:rsidP="00562780">
            <w:pPr>
              <w:jc w:val="center"/>
              <w:rPr>
                <w:rFonts w:cs="Times New Roman"/>
                <w:sz w:val="22"/>
                <w:lang w:val="sq-AL" w:eastAsia="nb-NO"/>
              </w:rPr>
            </w:pPr>
            <w:r w:rsidRPr="004E355C">
              <w:rPr>
                <w:rFonts w:cs="Times New Roman"/>
                <w:color w:val="000000"/>
                <w:kern w:val="24"/>
                <w:sz w:val="22"/>
                <w:lang w:val="sq-AL" w:eastAsia="nb-NO"/>
              </w:rPr>
              <w:t>Risqe të tjera</w:t>
            </w:r>
          </w:p>
        </w:tc>
        <w:tc>
          <w:tcPr>
            <w:tcW w:w="3238" w:type="pct"/>
            <w:hideMark/>
          </w:tcPr>
          <w:p w:rsidR="00562780" w:rsidRPr="004E355C" w:rsidRDefault="00562780" w:rsidP="00562780">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2"/>
                <w:lang w:val="sq-AL" w:eastAsia="nb-NO"/>
              </w:rPr>
            </w:pPr>
            <w:r w:rsidRPr="004E355C">
              <w:rPr>
                <w:rFonts w:cs="Times New Roman"/>
                <w:color w:val="000000"/>
                <w:kern w:val="24"/>
                <w:sz w:val="22"/>
                <w:lang w:val="sq-AL" w:eastAsia="nb-NO"/>
              </w:rPr>
              <w:t>Vendime gjyqësore, arbitrazhe ndërkombëtare, fatkeqësi natyrore, etj, që mund të sjellin kosto buxhetore shtesë në buxhetin e shtetit</w:t>
            </w:r>
          </w:p>
        </w:tc>
      </w:tr>
    </w:tbl>
    <w:p w:rsidR="00562780" w:rsidRPr="004E355C" w:rsidRDefault="00562780" w:rsidP="00562780">
      <w:pPr>
        <w:spacing w:line="276" w:lineRule="auto"/>
        <w:rPr>
          <w:rFonts w:asciiTheme="minorHAnsi" w:eastAsia="SimSun" w:hAnsiTheme="minorHAnsi"/>
          <w:i/>
          <w:sz w:val="22"/>
          <w:lang w:val="sq-AL"/>
        </w:rPr>
      </w:pPr>
      <w:r w:rsidRPr="004E355C">
        <w:rPr>
          <w:rFonts w:asciiTheme="minorHAnsi" w:eastAsia="SimSun" w:hAnsiTheme="minorHAnsi"/>
          <w:i/>
          <w:sz w:val="22"/>
          <w:lang w:val="sq-AL"/>
        </w:rPr>
        <w:t>Burimi: Ministria e Financave dhe Ekonomisë (2019)</w:t>
      </w:r>
    </w:p>
    <w:p w:rsidR="00562780" w:rsidRPr="004E355C" w:rsidRDefault="00562780" w:rsidP="00562780">
      <w:pPr>
        <w:spacing w:after="200" w:line="276" w:lineRule="auto"/>
        <w:contextualSpacing/>
        <w:jc w:val="both"/>
        <w:rPr>
          <w:rFonts w:asciiTheme="minorHAnsi" w:eastAsia="MS Mincho" w:hAnsiTheme="minorHAnsi"/>
          <w:b/>
          <w:sz w:val="22"/>
          <w:lang w:val="sq-AL"/>
        </w:rPr>
      </w:pPr>
    </w:p>
    <w:p w:rsidR="00562780" w:rsidRPr="004E355C" w:rsidRDefault="00562780" w:rsidP="00562780">
      <w:pPr>
        <w:spacing w:after="200" w:line="276" w:lineRule="auto"/>
        <w:contextualSpacing/>
        <w:jc w:val="both"/>
        <w:rPr>
          <w:rFonts w:asciiTheme="minorHAnsi" w:eastAsia="MS Mincho" w:hAnsiTheme="minorHAnsi"/>
          <w:lang w:val="sq-AL"/>
        </w:rPr>
      </w:pPr>
      <w:r w:rsidRPr="004E355C">
        <w:rPr>
          <w:rFonts w:asciiTheme="minorHAnsi" w:eastAsia="MS Mincho" w:hAnsiTheme="minorHAnsi"/>
          <w:lang w:val="sq-AL"/>
        </w:rPr>
        <w:t>Në zbatim t</w:t>
      </w:r>
      <w:r w:rsidR="00F20A53" w:rsidRPr="004E355C">
        <w:rPr>
          <w:rFonts w:asciiTheme="minorHAnsi" w:eastAsia="MS Mincho" w:hAnsiTheme="minorHAnsi"/>
          <w:lang w:val="sq-AL"/>
        </w:rPr>
        <w:t>ë</w:t>
      </w:r>
      <w:r w:rsidRPr="004E355C">
        <w:rPr>
          <w:rFonts w:asciiTheme="minorHAnsi" w:eastAsia="MS Mincho" w:hAnsiTheme="minorHAnsi"/>
          <w:lang w:val="sq-AL"/>
        </w:rPr>
        <w:t xml:space="preserve"> përcaktimeve t</w:t>
      </w:r>
      <w:r w:rsidR="00F20A53" w:rsidRPr="004E355C">
        <w:rPr>
          <w:rFonts w:asciiTheme="minorHAnsi" w:eastAsia="MS Mincho" w:hAnsiTheme="minorHAnsi"/>
          <w:lang w:val="sq-AL"/>
        </w:rPr>
        <w:t>ë</w:t>
      </w:r>
      <w:r w:rsidRPr="004E355C">
        <w:rPr>
          <w:rFonts w:asciiTheme="minorHAnsi" w:eastAsia="MS Mincho" w:hAnsiTheme="minorHAnsi"/>
          <w:lang w:val="sq-AL"/>
        </w:rPr>
        <w:t xml:space="preserve"> U</w:t>
      </w:r>
      <w:r w:rsidRPr="004E355C">
        <w:rPr>
          <w:rFonts w:asciiTheme="minorHAnsi" w:eastAsia="Calibri" w:hAnsiTheme="minorHAnsi"/>
          <w:lang w:val="sq-AL"/>
        </w:rPr>
        <w:t xml:space="preserve">dhëzimit Plotësues të Ministrit të Financave dhe Ekonomisë </w:t>
      </w:r>
      <w:r w:rsidRPr="004E355C">
        <w:rPr>
          <w:rFonts w:asciiTheme="minorHAnsi" w:eastAsia="MS Mincho" w:hAnsiTheme="minorHAnsi"/>
          <w:bCs/>
          <w:lang w:val="sq-AL" w:eastAsia="sq-AL"/>
        </w:rPr>
        <w:t>nr.1 datë 17.01.2019 “</w:t>
      </w:r>
      <w:r w:rsidRPr="004E355C">
        <w:rPr>
          <w:rFonts w:asciiTheme="minorHAnsi" w:eastAsia="MS Mincho" w:hAnsiTheme="minorHAnsi"/>
          <w:bCs/>
          <w:i/>
          <w:lang w:val="sq-AL" w:eastAsia="sq-AL"/>
        </w:rPr>
        <w:t>Për zbatimin e Buxhetit të vitit 2019</w:t>
      </w:r>
      <w:r w:rsidRPr="004E355C">
        <w:rPr>
          <w:rFonts w:asciiTheme="minorHAnsi" w:eastAsia="MS Mincho" w:hAnsiTheme="minorHAnsi"/>
          <w:bCs/>
          <w:lang w:val="sq-AL" w:eastAsia="sq-AL"/>
        </w:rPr>
        <w:t xml:space="preserve">, i ndryshuar”, </w:t>
      </w:r>
      <w:r w:rsidRPr="004E355C">
        <w:rPr>
          <w:rFonts w:asciiTheme="minorHAnsi" w:eastAsia="MS Mincho" w:hAnsiTheme="minorHAnsi"/>
          <w:lang w:val="sq-AL"/>
        </w:rPr>
        <w:t>m</w:t>
      </w:r>
      <w:r w:rsidRPr="004E355C">
        <w:rPr>
          <w:rFonts w:asciiTheme="minorHAnsi" w:eastAsia="Calibri" w:hAnsiTheme="minorHAnsi"/>
          <w:lang w:val="sq-AL"/>
        </w:rPr>
        <w:t>onitorimi i risqeve kryesore fiskale/buxhetore</w:t>
      </w:r>
      <w:r w:rsidRPr="004E355C">
        <w:rPr>
          <w:rFonts w:asciiTheme="minorHAnsi" w:eastAsia="MS Mincho" w:hAnsiTheme="minorHAnsi"/>
          <w:lang w:val="sq-AL"/>
        </w:rPr>
        <w:t xml:space="preserve"> dhe raportimi në adresë të MFE </w:t>
      </w:r>
      <w:r w:rsidR="00F20A53" w:rsidRPr="004E355C">
        <w:rPr>
          <w:rFonts w:asciiTheme="minorHAnsi" w:eastAsia="MS Mincho" w:hAnsiTheme="minorHAnsi"/>
          <w:lang w:val="sq-AL"/>
        </w:rPr>
        <w:t>ë</w:t>
      </w:r>
      <w:r w:rsidRPr="004E355C">
        <w:rPr>
          <w:rFonts w:asciiTheme="minorHAnsi" w:eastAsia="MS Mincho" w:hAnsiTheme="minorHAnsi"/>
          <w:lang w:val="sq-AL"/>
        </w:rPr>
        <w:t>sht</w:t>
      </w:r>
      <w:r w:rsidR="00F20A53" w:rsidRPr="004E355C">
        <w:rPr>
          <w:rFonts w:asciiTheme="minorHAnsi" w:eastAsia="MS Mincho" w:hAnsiTheme="minorHAnsi"/>
          <w:lang w:val="sq-AL"/>
        </w:rPr>
        <w:t>ë</w:t>
      </w:r>
      <w:r w:rsidRPr="004E355C">
        <w:rPr>
          <w:rFonts w:asciiTheme="minorHAnsi" w:eastAsia="MS Mincho" w:hAnsiTheme="minorHAnsi"/>
          <w:lang w:val="sq-AL"/>
        </w:rPr>
        <w:t xml:space="preserve"> kanalizuar përmes skeduleve kohore strikte dhe </w:t>
      </w:r>
      <w:r w:rsidRPr="004E355C">
        <w:rPr>
          <w:rFonts w:asciiTheme="minorHAnsi" w:eastAsia="Calibri" w:hAnsiTheme="minorHAnsi"/>
          <w:lang w:val="sq-AL"/>
        </w:rPr>
        <w:t xml:space="preserve"> formateve standarde të miratuara, </w:t>
      </w:r>
      <w:r w:rsidRPr="004E355C">
        <w:rPr>
          <w:rFonts w:asciiTheme="minorHAnsi" w:eastAsia="MS Mincho" w:hAnsiTheme="minorHAnsi"/>
          <w:lang w:val="sq-AL"/>
        </w:rPr>
        <w:t xml:space="preserve">me synim final:  </w:t>
      </w:r>
    </w:p>
    <w:p w:rsidR="00562780" w:rsidRPr="004E355C" w:rsidRDefault="00562780" w:rsidP="00B95810">
      <w:pPr>
        <w:numPr>
          <w:ilvl w:val="0"/>
          <w:numId w:val="17"/>
        </w:numPr>
        <w:spacing w:before="120" w:line="276" w:lineRule="auto"/>
        <w:ind w:left="450" w:hanging="270"/>
        <w:jc w:val="both"/>
        <w:rPr>
          <w:rFonts w:asciiTheme="minorHAnsi" w:eastAsia="MS Mincho" w:hAnsiTheme="minorHAnsi"/>
          <w:i/>
          <w:lang w:val="sq-AL"/>
        </w:rPr>
      </w:pPr>
      <w:r w:rsidRPr="004E355C">
        <w:rPr>
          <w:rFonts w:asciiTheme="minorHAnsi" w:eastAsia="MS Mincho" w:hAnsiTheme="minorHAnsi"/>
          <w:i/>
          <w:lang w:val="sq-AL"/>
        </w:rPr>
        <w:t xml:space="preserve">Monitorimin dhe raportimin periodik mbi bazë tremujore, të performancës financiare të tre ndërmarrjeve shtetërore të sektorit të energjisë; </w:t>
      </w:r>
    </w:p>
    <w:p w:rsidR="00562780" w:rsidRPr="004E355C" w:rsidRDefault="00562780" w:rsidP="00B95810">
      <w:pPr>
        <w:numPr>
          <w:ilvl w:val="0"/>
          <w:numId w:val="17"/>
        </w:numPr>
        <w:spacing w:before="120" w:line="276" w:lineRule="auto"/>
        <w:ind w:left="450" w:hanging="270"/>
        <w:jc w:val="both"/>
        <w:rPr>
          <w:rFonts w:asciiTheme="minorHAnsi" w:eastAsia="MS Mincho" w:hAnsiTheme="minorHAnsi"/>
          <w:i/>
          <w:lang w:val="sq-AL"/>
        </w:rPr>
      </w:pPr>
      <w:r w:rsidRPr="004E355C">
        <w:rPr>
          <w:rFonts w:asciiTheme="minorHAnsi" w:eastAsia="MS Mincho" w:hAnsiTheme="minorHAnsi"/>
          <w:i/>
          <w:lang w:val="sq-AL"/>
        </w:rPr>
        <w:t xml:space="preserve">Monitorimin dhe raportimin periodik </w:t>
      </w:r>
      <w:r w:rsidRPr="004E355C">
        <w:rPr>
          <w:rFonts w:asciiTheme="minorHAnsi" w:eastAsia="MS Mincho" w:hAnsiTheme="minorHAnsi"/>
          <w:i/>
          <w:u w:val="single"/>
          <w:lang w:val="sq-AL"/>
        </w:rPr>
        <w:t>mbi bazë tremujore</w:t>
      </w:r>
      <w:r w:rsidRPr="004E355C">
        <w:rPr>
          <w:rFonts w:asciiTheme="minorHAnsi" w:eastAsia="MS Mincho" w:hAnsiTheme="minorHAnsi"/>
          <w:i/>
          <w:lang w:val="sq-AL"/>
        </w:rPr>
        <w:t>, të stokut të akumuluar të detyrimeve të prapambetura të qeverisjes qendrore dhe skedulin e parashikuar të shlyerjes së tyre;</w:t>
      </w:r>
    </w:p>
    <w:p w:rsidR="00562780" w:rsidRPr="004E355C" w:rsidRDefault="00562780" w:rsidP="00B95810">
      <w:pPr>
        <w:numPr>
          <w:ilvl w:val="0"/>
          <w:numId w:val="17"/>
        </w:numPr>
        <w:spacing w:before="120" w:line="276" w:lineRule="auto"/>
        <w:ind w:left="450" w:hanging="270"/>
        <w:jc w:val="both"/>
        <w:rPr>
          <w:rFonts w:asciiTheme="minorHAnsi" w:eastAsia="MS Mincho" w:hAnsiTheme="minorHAnsi"/>
          <w:i/>
          <w:lang w:val="sq-AL"/>
        </w:rPr>
      </w:pPr>
      <w:r w:rsidRPr="004E355C">
        <w:rPr>
          <w:rFonts w:asciiTheme="minorHAnsi" w:eastAsia="MS Mincho" w:hAnsiTheme="minorHAnsi"/>
          <w:i/>
          <w:lang w:val="sq-AL"/>
        </w:rPr>
        <w:t>Monitorimin dhe raportimin periodik mbi bazë mujore, të performancës së kontratave konçesionare/PPP, me mbështetje buxhetore.</w:t>
      </w:r>
    </w:p>
    <w:p w:rsidR="00562780" w:rsidRPr="004E355C" w:rsidRDefault="00562780" w:rsidP="00562780">
      <w:pPr>
        <w:spacing w:before="120" w:after="120" w:line="276" w:lineRule="auto"/>
        <w:ind w:left="450" w:right="49"/>
        <w:contextualSpacing/>
        <w:jc w:val="both"/>
        <w:rPr>
          <w:rFonts w:asciiTheme="minorHAnsi" w:eastAsia="MS Mincho" w:hAnsiTheme="minorHAnsi"/>
          <w:bCs/>
          <w:i/>
          <w:sz w:val="8"/>
          <w:szCs w:val="8"/>
          <w:lang w:val="sq-AL" w:eastAsia="sq-AL"/>
        </w:rPr>
      </w:pPr>
    </w:p>
    <w:p w:rsidR="00562780" w:rsidRPr="004E355C" w:rsidRDefault="00562780" w:rsidP="00562780">
      <w:pPr>
        <w:spacing w:before="120" w:after="120" w:line="276" w:lineRule="auto"/>
        <w:ind w:right="49"/>
        <w:contextualSpacing/>
        <w:jc w:val="both"/>
        <w:rPr>
          <w:rFonts w:asciiTheme="minorHAnsi" w:eastAsia="MS Mincho" w:hAnsiTheme="minorHAnsi"/>
          <w:bCs/>
          <w:lang w:val="sq-AL" w:eastAsia="sq-AL"/>
        </w:rPr>
      </w:pPr>
      <w:r w:rsidRPr="004E355C">
        <w:rPr>
          <w:rFonts w:asciiTheme="minorHAnsi" w:eastAsia="MS Mincho" w:hAnsiTheme="minorHAnsi"/>
          <w:bCs/>
          <w:lang w:val="sq-AL" w:eastAsia="sq-AL"/>
        </w:rPr>
        <w:t>Mëposhtë jepet një tablo e vlerësimeve mbi disa nga tipologjitë e risqeve fiskale, si rezultat i monitorimit nga njësitë përgjegjëse në MFE, për periudh</w:t>
      </w:r>
      <w:r w:rsidR="00F20A53"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n Janar-Maj 2019:</w:t>
      </w:r>
    </w:p>
    <w:p w:rsidR="00562780" w:rsidRPr="004E355C" w:rsidRDefault="00562780" w:rsidP="00562780">
      <w:pPr>
        <w:spacing w:line="276" w:lineRule="auto"/>
        <w:ind w:right="525"/>
        <w:contextualSpacing/>
        <w:jc w:val="both"/>
        <w:rPr>
          <w:rFonts w:asciiTheme="minorHAnsi" w:eastAsia="MS Mincho" w:hAnsiTheme="minorHAnsi"/>
          <w:bCs/>
          <w:lang w:val="sq-AL" w:eastAsia="sq-AL"/>
        </w:rPr>
      </w:pPr>
    </w:p>
    <w:p w:rsidR="00B4575B" w:rsidRPr="004E355C" w:rsidRDefault="00B4575B" w:rsidP="00562780">
      <w:pPr>
        <w:spacing w:line="276" w:lineRule="auto"/>
        <w:ind w:right="525"/>
        <w:contextualSpacing/>
        <w:jc w:val="both"/>
        <w:rPr>
          <w:rFonts w:asciiTheme="minorHAnsi" w:eastAsia="MS Mincho" w:hAnsiTheme="minorHAnsi"/>
          <w:bCs/>
          <w:lang w:val="sq-AL" w:eastAsia="sq-AL"/>
        </w:rPr>
      </w:pPr>
    </w:p>
    <w:p w:rsidR="00562780" w:rsidRPr="004E355C" w:rsidRDefault="00562780" w:rsidP="00562780">
      <w:pPr>
        <w:pStyle w:val="Heading2"/>
        <w:spacing w:line="276" w:lineRule="auto"/>
        <w:ind w:left="720" w:hanging="720"/>
        <w:rPr>
          <w:rFonts w:asciiTheme="minorHAnsi" w:hAnsiTheme="minorHAnsi"/>
          <w:noProof/>
          <w:color w:val="4F81BD" w:themeColor="accent1"/>
          <w:sz w:val="28"/>
          <w:szCs w:val="24"/>
          <w:lang w:val="sq-AL"/>
        </w:rPr>
      </w:pPr>
      <w:bookmarkStart w:id="83" w:name="_Toc10033284"/>
      <w:bookmarkStart w:id="84" w:name="_Toc10721421"/>
      <w:bookmarkStart w:id="85" w:name="_Toc11134241"/>
      <w:bookmarkStart w:id="86" w:name="_Toc12527231"/>
      <w:r w:rsidRPr="004E355C">
        <w:rPr>
          <w:rFonts w:asciiTheme="minorHAnsi" w:hAnsiTheme="minorHAnsi"/>
          <w:noProof/>
          <w:color w:val="4F81BD" w:themeColor="accent1"/>
          <w:sz w:val="28"/>
          <w:szCs w:val="24"/>
          <w:lang w:val="sq-AL"/>
        </w:rPr>
        <w:lastRenderedPageBreak/>
        <w:t>V.1</w:t>
      </w:r>
      <w:r w:rsidRPr="004E355C">
        <w:rPr>
          <w:rFonts w:asciiTheme="minorHAnsi" w:hAnsiTheme="minorHAnsi"/>
          <w:noProof/>
          <w:color w:val="4F81BD" w:themeColor="accent1"/>
          <w:sz w:val="28"/>
          <w:szCs w:val="24"/>
          <w:lang w:val="sq-AL"/>
        </w:rPr>
        <w:tab/>
        <w:t>Sektori Energjetik</w:t>
      </w:r>
      <w:bookmarkEnd w:id="83"/>
      <w:bookmarkEnd w:id="84"/>
      <w:bookmarkEnd w:id="85"/>
      <w:bookmarkEnd w:id="86"/>
    </w:p>
    <w:p w:rsidR="00562780" w:rsidRPr="004E355C" w:rsidRDefault="00562780" w:rsidP="00562780">
      <w:pPr>
        <w:spacing w:before="120" w:after="120" w:line="276" w:lineRule="auto"/>
        <w:jc w:val="both"/>
        <w:rPr>
          <w:rFonts w:asciiTheme="minorHAnsi" w:hAnsiTheme="minorHAnsi"/>
          <w:bCs/>
          <w:lang w:val="sq-AL" w:eastAsia="sq-AL"/>
        </w:rPr>
      </w:pPr>
      <w:r w:rsidRPr="004E355C">
        <w:rPr>
          <w:rFonts w:asciiTheme="minorHAnsi" w:hAnsiTheme="minorHAnsi"/>
          <w:bCs/>
          <w:lang w:val="sq-AL" w:eastAsia="sq-AL"/>
        </w:rPr>
        <w:t>Ky sektor strategjik ka qenë dhe mbetet nën monitorimin e Ministrisë së Financave dhe Ekonomisë, duke marr parasysh ndikimin e ndjeshëm fiskal dhe në ekonomi të këtij sektori kyç. Ky monitorim, i cili kry</w:t>
      </w:r>
      <w:r w:rsidR="00E417CE" w:rsidRPr="004E355C">
        <w:rPr>
          <w:rFonts w:asciiTheme="minorHAnsi" w:hAnsiTheme="minorHAnsi"/>
          <w:bCs/>
          <w:lang w:val="sq-AL" w:eastAsia="sq-AL"/>
        </w:rPr>
        <w:t>h</w:t>
      </w:r>
      <w:r w:rsidRPr="004E355C">
        <w:rPr>
          <w:rFonts w:asciiTheme="minorHAnsi" w:hAnsiTheme="minorHAnsi"/>
          <w:bCs/>
          <w:lang w:val="sq-AL" w:eastAsia="sq-AL"/>
        </w:rPr>
        <w:t>e</w:t>
      </w:r>
      <w:r w:rsidR="00E417CE" w:rsidRPr="004E355C">
        <w:rPr>
          <w:rFonts w:asciiTheme="minorHAnsi" w:hAnsiTheme="minorHAnsi"/>
          <w:bCs/>
          <w:lang w:val="sq-AL" w:eastAsia="sq-AL"/>
        </w:rPr>
        <w:t>t</w:t>
      </w:r>
      <w:r w:rsidRPr="004E355C">
        <w:rPr>
          <w:rFonts w:asciiTheme="minorHAnsi" w:hAnsiTheme="minorHAnsi"/>
          <w:bCs/>
          <w:lang w:val="sq-AL" w:eastAsia="sq-AL"/>
        </w:rPr>
        <w:t xml:space="preserve"> periodikisht mbi bazë tremujore, ka konsistuar në analizimin e treguesve të performancës financiare të secilës prej tre kompanive KESH, OSHEE dhe OST. </w:t>
      </w:r>
    </w:p>
    <w:p w:rsidR="00562780" w:rsidRPr="004E355C" w:rsidRDefault="00562780" w:rsidP="00562780">
      <w:pPr>
        <w:spacing w:before="120" w:after="120" w:line="276" w:lineRule="auto"/>
        <w:jc w:val="both"/>
        <w:rPr>
          <w:rFonts w:asciiTheme="minorHAnsi" w:eastAsia="SimSun" w:hAnsiTheme="minorHAnsi"/>
          <w:lang w:val="sq-AL"/>
        </w:rPr>
      </w:pPr>
      <w:r w:rsidRPr="004E355C">
        <w:rPr>
          <w:rFonts w:asciiTheme="minorHAnsi" w:hAnsiTheme="minorHAnsi"/>
          <w:bCs/>
          <w:lang w:val="sq-AL" w:eastAsia="sq-AL"/>
        </w:rPr>
        <w:t>Në mbështetje të nenit 4/2 të ligjit 57 datë 02.06.2016 “Për disa ndryshime dhe shtesa në ligjin nr.9936 datë 26.06.2008 “</w:t>
      </w:r>
      <w:r w:rsidRPr="004E355C">
        <w:rPr>
          <w:rFonts w:asciiTheme="minorHAnsi" w:hAnsiTheme="minorHAnsi"/>
          <w:bCs/>
          <w:i/>
          <w:lang w:val="sq-AL" w:eastAsia="sq-AL"/>
        </w:rPr>
        <w:t>Për menaxhimin e sistemit buxhetor në Republikën e Shqipërisë</w:t>
      </w:r>
      <w:r w:rsidRPr="004E355C">
        <w:rPr>
          <w:rFonts w:asciiTheme="minorHAnsi" w:hAnsiTheme="minorHAnsi"/>
          <w:bCs/>
          <w:lang w:val="sq-AL" w:eastAsia="sq-AL"/>
        </w:rPr>
        <w:t>”, i ndryshuar”, sipas së cilit: “...</w:t>
      </w:r>
      <w:r w:rsidRPr="004E355C">
        <w:rPr>
          <w:rFonts w:asciiTheme="minorHAnsi" w:hAnsiTheme="minorHAnsi"/>
          <w:bCs/>
          <w:i/>
          <w:lang w:val="sq-AL" w:eastAsia="sq-AL"/>
        </w:rPr>
        <w:t>Planet financiare vjetore dhe pasqyrat financiare mbi bazë tremujori, të çdo njësie jo të qeverisjes së përgjithshme, dorëzohen në Ministrinë e Financave...</w:t>
      </w:r>
      <w:r w:rsidRPr="004E355C">
        <w:rPr>
          <w:rFonts w:asciiTheme="minorHAnsi" w:hAnsiTheme="minorHAnsi"/>
          <w:bCs/>
          <w:lang w:val="sq-AL" w:eastAsia="sq-AL"/>
        </w:rPr>
        <w:t xml:space="preserve">”, Ministria e Financave dhe Ekonomisë, periodikisht mbi bazë tremujore, ka mbledhur, përpunuar dhe analizuar informacionin e nevojshëm në lidhje me treguesit e performancës financiare të tre kompanive të sektorit energjitik. Kjo, me qëllim identifikimin, vlerësimin, monitorimin dhe raportimin e risqeve fiskale që rezultojnë nga ndërmarrjet publike me kapital shtetëror në tërësi dhe nga sektori energjitik në veçanti, duke konsideruar rëndësinë strategjike të tij dhe problematikat sesitive që e karakterizojnë. </w:t>
      </w:r>
      <w:r w:rsidRPr="004E355C">
        <w:rPr>
          <w:rFonts w:asciiTheme="minorHAnsi" w:eastAsia="SimSun" w:hAnsiTheme="minorHAnsi"/>
          <w:lang w:val="sq-AL"/>
        </w:rPr>
        <w:t xml:space="preserve">Në tabelat e mëposhtme jepet ecuria e treguesëve kryesorë financiarë të sektorit energjitik </w:t>
      </w:r>
      <w:r w:rsidR="00AB6DE3" w:rsidRPr="004E355C">
        <w:rPr>
          <w:rFonts w:asciiTheme="minorHAnsi" w:eastAsia="SimSun" w:hAnsiTheme="minorHAnsi"/>
          <w:lang w:val="sq-AL"/>
        </w:rPr>
        <w:t xml:space="preserve">2019, </w:t>
      </w:r>
      <w:r w:rsidRPr="004E355C">
        <w:rPr>
          <w:rFonts w:asciiTheme="minorHAnsi" w:eastAsia="SimSun" w:hAnsiTheme="minorHAnsi"/>
          <w:lang w:val="sq-AL"/>
        </w:rPr>
        <w:t>krahasuar me periudhat e mërparshme.</w:t>
      </w:r>
    </w:p>
    <w:p w:rsidR="00562780" w:rsidRPr="004E355C" w:rsidRDefault="007434A1" w:rsidP="007434A1">
      <w:pPr>
        <w:pStyle w:val="Caption"/>
        <w:rPr>
          <w:rFonts w:asciiTheme="minorHAnsi" w:hAnsiTheme="minorHAnsi"/>
          <w:b w:val="0"/>
          <w:bCs w:val="0"/>
          <w:i/>
          <w:noProof/>
          <w:color w:val="auto"/>
          <w:sz w:val="24"/>
          <w:szCs w:val="24"/>
          <w:lang w:val="sq-AL"/>
        </w:rPr>
      </w:pPr>
      <w:bookmarkStart w:id="87" w:name="_Toc12449201"/>
      <w:r w:rsidRPr="004E355C">
        <w:rPr>
          <w:rFonts w:asciiTheme="minorHAnsi" w:hAnsiTheme="minorHAnsi"/>
          <w:b w:val="0"/>
          <w:bCs w:val="0"/>
          <w:i/>
          <w:noProof/>
          <w:color w:val="auto"/>
          <w:sz w:val="24"/>
          <w:szCs w:val="24"/>
          <w:lang w:val="sq-AL"/>
        </w:rPr>
        <w:t xml:space="preserve">Tabela </w:t>
      </w:r>
      <w:r w:rsidRPr="004E355C">
        <w:rPr>
          <w:rFonts w:asciiTheme="minorHAnsi" w:hAnsiTheme="minorHAnsi"/>
          <w:b w:val="0"/>
          <w:bCs w:val="0"/>
          <w:i/>
          <w:noProof/>
          <w:color w:val="auto"/>
          <w:sz w:val="24"/>
          <w:szCs w:val="24"/>
          <w:lang w:val="sq-AL"/>
        </w:rPr>
        <w:fldChar w:fldCharType="begin"/>
      </w:r>
      <w:r w:rsidRPr="004E355C">
        <w:rPr>
          <w:rFonts w:asciiTheme="minorHAnsi" w:hAnsiTheme="minorHAnsi"/>
          <w:b w:val="0"/>
          <w:bCs w:val="0"/>
          <w:i/>
          <w:noProof/>
          <w:color w:val="auto"/>
          <w:sz w:val="24"/>
          <w:szCs w:val="24"/>
          <w:lang w:val="sq-AL"/>
        </w:rPr>
        <w:instrText xml:space="preserve"> SEQ Tabela \* ARABIC </w:instrText>
      </w:r>
      <w:r w:rsidRPr="004E355C">
        <w:rPr>
          <w:rFonts w:asciiTheme="minorHAnsi" w:hAnsiTheme="minorHAnsi"/>
          <w:b w:val="0"/>
          <w:bCs w:val="0"/>
          <w:i/>
          <w:noProof/>
          <w:color w:val="auto"/>
          <w:sz w:val="24"/>
          <w:szCs w:val="24"/>
          <w:lang w:val="sq-AL"/>
        </w:rPr>
        <w:fldChar w:fldCharType="separate"/>
      </w:r>
      <w:r w:rsidR="00C83C78">
        <w:rPr>
          <w:rFonts w:asciiTheme="minorHAnsi" w:hAnsiTheme="minorHAnsi"/>
          <w:b w:val="0"/>
          <w:bCs w:val="0"/>
          <w:i/>
          <w:noProof/>
          <w:color w:val="auto"/>
          <w:sz w:val="24"/>
          <w:szCs w:val="24"/>
          <w:lang w:val="sq-AL"/>
        </w:rPr>
        <w:t>15</w:t>
      </w:r>
      <w:r w:rsidRPr="004E355C">
        <w:rPr>
          <w:rFonts w:asciiTheme="minorHAnsi" w:hAnsiTheme="minorHAnsi"/>
          <w:b w:val="0"/>
          <w:bCs w:val="0"/>
          <w:i/>
          <w:noProof/>
          <w:color w:val="auto"/>
          <w:sz w:val="24"/>
          <w:szCs w:val="24"/>
          <w:lang w:val="sq-AL"/>
        </w:rPr>
        <w:fldChar w:fldCharType="end"/>
      </w:r>
      <w:r w:rsidRPr="004E355C">
        <w:rPr>
          <w:rFonts w:asciiTheme="minorHAnsi" w:hAnsiTheme="minorHAnsi"/>
          <w:b w:val="0"/>
          <w:bCs w:val="0"/>
          <w:i/>
          <w:noProof/>
          <w:color w:val="auto"/>
          <w:sz w:val="24"/>
          <w:szCs w:val="24"/>
          <w:lang w:val="sq-AL"/>
        </w:rPr>
        <w:t>:</w:t>
      </w:r>
      <w:r w:rsidR="00562780" w:rsidRPr="004E355C">
        <w:rPr>
          <w:rFonts w:asciiTheme="minorHAnsi" w:hAnsiTheme="minorHAnsi"/>
          <w:b w:val="0"/>
          <w:bCs w:val="0"/>
          <w:i/>
          <w:noProof/>
          <w:color w:val="auto"/>
          <w:sz w:val="24"/>
          <w:szCs w:val="24"/>
          <w:lang w:val="sq-AL"/>
        </w:rPr>
        <w:t xml:space="preserve"> Të dhënat financiare për Sektorin Energjitik (në mijë Lekë)</w:t>
      </w:r>
      <w:bookmarkEnd w:id="87"/>
    </w:p>
    <w:p w:rsidR="00562780" w:rsidRPr="004E355C" w:rsidRDefault="00562780" w:rsidP="00562780">
      <w:pPr>
        <w:spacing w:line="276" w:lineRule="auto"/>
        <w:contextualSpacing/>
        <w:jc w:val="center"/>
        <w:rPr>
          <w:rFonts w:asciiTheme="minorHAnsi" w:hAnsiTheme="minorHAnsi"/>
          <w:i/>
          <w:lang w:val="sq-AL"/>
        </w:rPr>
      </w:pPr>
      <w:r w:rsidRPr="004E355C">
        <w:rPr>
          <w:rFonts w:asciiTheme="minorHAnsi" w:hAnsiTheme="minorHAnsi"/>
          <w:noProof/>
        </w:rPr>
        <w:drawing>
          <wp:inline distT="0" distB="0" distL="0" distR="0" wp14:anchorId="3E081A8D" wp14:editId="57EF56A8">
            <wp:extent cx="5829300" cy="135636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l="-741" t="-3965" r="-741" b="-770"/>
                    <a:stretch/>
                  </pic:blipFill>
                  <pic:spPr bwMode="auto">
                    <a:xfrm>
                      <a:off x="0" y="0"/>
                      <a:ext cx="5831041" cy="1356765"/>
                    </a:xfrm>
                    <a:prstGeom prst="rect">
                      <a:avLst/>
                    </a:prstGeom>
                    <a:noFill/>
                    <a:ln>
                      <a:noFill/>
                    </a:ln>
                    <a:extLst>
                      <a:ext uri="{53640926-AAD7-44D8-BBD7-CCE9431645EC}">
                        <a14:shadowObscured xmlns:a14="http://schemas.microsoft.com/office/drawing/2010/main"/>
                      </a:ext>
                    </a:extLst>
                  </pic:spPr>
                </pic:pic>
              </a:graphicData>
            </a:graphic>
          </wp:inline>
        </w:drawing>
      </w:r>
    </w:p>
    <w:p w:rsidR="00562780" w:rsidRPr="004E355C" w:rsidRDefault="00562780" w:rsidP="00562780">
      <w:pPr>
        <w:spacing w:line="276" w:lineRule="auto"/>
        <w:jc w:val="center"/>
        <w:rPr>
          <w:rFonts w:asciiTheme="minorHAnsi" w:hAnsiTheme="minorHAnsi"/>
          <w:b/>
          <w:color w:val="C00000"/>
          <w:lang w:val="sq-AL"/>
        </w:rPr>
      </w:pPr>
      <w:r w:rsidRPr="004E355C">
        <w:rPr>
          <w:rFonts w:asciiTheme="minorHAnsi" w:hAnsiTheme="minorHAnsi"/>
          <w:noProof/>
        </w:rPr>
        <w:drawing>
          <wp:inline distT="0" distB="0" distL="0" distR="0" wp14:anchorId="13DC5728" wp14:editId="07085122">
            <wp:extent cx="5935345" cy="1402080"/>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1751" t="-4709" r="-1408" b="-3772"/>
                    <a:stretch/>
                  </pic:blipFill>
                  <pic:spPr bwMode="auto">
                    <a:xfrm>
                      <a:off x="0" y="0"/>
                      <a:ext cx="5949213" cy="1405356"/>
                    </a:xfrm>
                    <a:prstGeom prst="rect">
                      <a:avLst/>
                    </a:prstGeom>
                    <a:noFill/>
                    <a:ln>
                      <a:noFill/>
                    </a:ln>
                    <a:extLst>
                      <a:ext uri="{53640926-AAD7-44D8-BBD7-CCE9431645EC}">
                        <a14:shadowObscured xmlns:a14="http://schemas.microsoft.com/office/drawing/2010/main"/>
                      </a:ext>
                    </a:extLst>
                  </pic:spPr>
                </pic:pic>
              </a:graphicData>
            </a:graphic>
          </wp:inline>
        </w:drawing>
      </w:r>
    </w:p>
    <w:p w:rsidR="00562780" w:rsidRDefault="00AB6DE3" w:rsidP="00666B9F">
      <w:pPr>
        <w:spacing w:line="276" w:lineRule="auto"/>
        <w:ind w:firstLine="720"/>
        <w:rPr>
          <w:rFonts w:asciiTheme="minorHAnsi" w:hAnsiTheme="minorHAnsi"/>
          <w:i/>
          <w:sz w:val="22"/>
          <w:lang w:val="sq-AL"/>
        </w:rPr>
      </w:pPr>
      <w:r w:rsidRPr="004E355C">
        <w:rPr>
          <w:rFonts w:asciiTheme="minorHAnsi" w:hAnsiTheme="minorHAnsi"/>
          <w:i/>
          <w:sz w:val="22"/>
          <w:lang w:val="sq-AL"/>
        </w:rPr>
        <w:t>Burimi: Ministria e Financave dhe Ekonomisë (2019)</w:t>
      </w:r>
    </w:p>
    <w:p w:rsidR="00666B9F" w:rsidRPr="00666B9F" w:rsidRDefault="00666B9F" w:rsidP="00666B9F">
      <w:pPr>
        <w:spacing w:line="276" w:lineRule="auto"/>
        <w:ind w:firstLine="720"/>
        <w:rPr>
          <w:rFonts w:asciiTheme="minorHAnsi" w:hAnsiTheme="minorHAnsi"/>
          <w:i/>
          <w:sz w:val="12"/>
          <w:lang w:val="sq-AL"/>
        </w:rPr>
      </w:pPr>
    </w:p>
    <w:p w:rsidR="00562780" w:rsidRPr="004E355C" w:rsidRDefault="00562780" w:rsidP="00562780">
      <w:pPr>
        <w:spacing w:line="276" w:lineRule="auto"/>
        <w:jc w:val="both"/>
        <w:rPr>
          <w:rFonts w:asciiTheme="minorHAnsi" w:hAnsiTheme="minorHAnsi"/>
          <w:lang w:val="sq-AL"/>
        </w:rPr>
      </w:pPr>
      <w:r w:rsidRPr="004E355C">
        <w:rPr>
          <w:rFonts w:asciiTheme="minorHAnsi" w:hAnsiTheme="minorHAnsi"/>
          <w:b/>
          <w:lang w:val="sq-AL"/>
        </w:rPr>
        <w:t>Në 3 mujorin e parë të vitit 2019</w:t>
      </w:r>
      <w:r w:rsidRPr="004E355C">
        <w:rPr>
          <w:rFonts w:asciiTheme="minorHAnsi" w:hAnsiTheme="minorHAnsi"/>
          <w:lang w:val="sq-AL"/>
        </w:rPr>
        <w:t>, krahasuar me të njëjtën periudhë të një viti më parë vërehet</w:t>
      </w:r>
      <w:r w:rsidR="00666B9F">
        <w:rPr>
          <w:rFonts w:asciiTheme="minorHAnsi" w:hAnsiTheme="minorHAnsi"/>
          <w:lang w:val="sq-AL"/>
        </w:rPr>
        <w:t xml:space="preserve"> se:</w:t>
      </w:r>
    </w:p>
    <w:p w:rsidR="00562780" w:rsidRPr="004E355C" w:rsidRDefault="00562780" w:rsidP="00B95810">
      <w:pPr>
        <w:pStyle w:val="ListParagraph"/>
        <w:numPr>
          <w:ilvl w:val="0"/>
          <w:numId w:val="18"/>
        </w:numPr>
        <w:spacing w:after="200" w:line="276" w:lineRule="auto"/>
        <w:ind w:left="360" w:hanging="270"/>
        <w:jc w:val="both"/>
        <w:rPr>
          <w:rFonts w:asciiTheme="minorHAnsi" w:hAnsiTheme="minorHAnsi"/>
          <w:lang w:val="sq-AL"/>
        </w:rPr>
      </w:pPr>
      <w:r w:rsidRPr="004E355C">
        <w:rPr>
          <w:rFonts w:asciiTheme="minorHAnsi" w:hAnsiTheme="minorHAnsi"/>
          <w:lang w:val="sq-AL"/>
        </w:rPr>
        <w:t>Të ardhurat pësuan një rënie të konsiderueshme prej 6.3 miliard Lekë ose 24 përqind, ndërkohë që, shpenzimet janë  ulur me 3.6 miliard Lekë ose 14 përqind. Për pasojë:</w:t>
      </w:r>
    </w:p>
    <w:p w:rsidR="00562780" w:rsidRPr="004E355C" w:rsidRDefault="00562780" w:rsidP="00B95810">
      <w:pPr>
        <w:pStyle w:val="ListParagraph"/>
        <w:numPr>
          <w:ilvl w:val="2"/>
          <w:numId w:val="21"/>
        </w:numPr>
        <w:spacing w:before="240" w:line="276" w:lineRule="auto"/>
        <w:ind w:left="810" w:hanging="270"/>
        <w:jc w:val="both"/>
        <w:rPr>
          <w:rFonts w:asciiTheme="minorHAnsi" w:hAnsiTheme="minorHAnsi"/>
          <w:i/>
          <w:lang w:val="sq-AL"/>
        </w:rPr>
      </w:pPr>
      <w:r w:rsidRPr="004E355C">
        <w:rPr>
          <w:rFonts w:asciiTheme="minorHAnsi" w:hAnsiTheme="minorHAnsi"/>
          <w:i/>
          <w:lang w:val="sq-AL"/>
        </w:rPr>
        <w:t xml:space="preserve">Rezultati financiar (fitim/humbje) për këtë tre mujor është negativ. Konkretisht sektori rezulton me humbje prej rreth 1.76 miliard Lekë. </w:t>
      </w:r>
    </w:p>
    <w:p w:rsidR="00562780" w:rsidRPr="004E355C" w:rsidRDefault="00562780" w:rsidP="00B95810">
      <w:pPr>
        <w:pStyle w:val="ListParagraph"/>
        <w:numPr>
          <w:ilvl w:val="2"/>
          <w:numId w:val="21"/>
        </w:numPr>
        <w:spacing w:before="240" w:line="276" w:lineRule="auto"/>
        <w:ind w:left="810" w:hanging="270"/>
        <w:jc w:val="both"/>
        <w:rPr>
          <w:rFonts w:asciiTheme="minorHAnsi" w:hAnsiTheme="minorHAnsi"/>
          <w:i/>
          <w:lang w:val="sq-AL"/>
        </w:rPr>
      </w:pPr>
      <w:r w:rsidRPr="004E355C">
        <w:rPr>
          <w:rFonts w:asciiTheme="minorHAnsi" w:hAnsiTheme="minorHAnsi"/>
          <w:i/>
          <w:lang w:val="sq-AL"/>
        </w:rPr>
        <w:t>Totali i Aktiveve dhe Detyrimeve kanë pësuar rritje përkatësisht: 6  përqind dhe 2 përqind duke sjellë për rrjedhojë rritjen e zërit të kapitalit me 19 përqind.</w:t>
      </w:r>
    </w:p>
    <w:p w:rsidR="00562780" w:rsidRPr="004E355C" w:rsidRDefault="00562780" w:rsidP="00B95810">
      <w:pPr>
        <w:pStyle w:val="ListParagraph"/>
        <w:numPr>
          <w:ilvl w:val="2"/>
          <w:numId w:val="21"/>
        </w:numPr>
        <w:spacing w:before="240" w:line="276" w:lineRule="auto"/>
        <w:ind w:left="810" w:hanging="270"/>
        <w:jc w:val="both"/>
        <w:rPr>
          <w:rFonts w:asciiTheme="minorHAnsi" w:hAnsiTheme="minorHAnsi"/>
          <w:i/>
          <w:lang w:val="sq-AL"/>
        </w:rPr>
      </w:pPr>
      <w:r w:rsidRPr="004E355C">
        <w:rPr>
          <w:rFonts w:asciiTheme="minorHAnsi" w:hAnsiTheme="minorHAnsi"/>
          <w:i/>
          <w:lang w:val="sq-AL"/>
        </w:rPr>
        <w:t>Marzhi i fitimit, kthimi mbi aktivet dhe kthimi mbi kapitalin kanë trend rënës, duke treguar një performancë jo të mirë financiare të sektorit në përgjithësi.</w:t>
      </w:r>
    </w:p>
    <w:p w:rsidR="00AB6DE3" w:rsidRPr="004E355C" w:rsidRDefault="00562780" w:rsidP="00AB6DE3">
      <w:pPr>
        <w:spacing w:before="240" w:line="276" w:lineRule="auto"/>
        <w:jc w:val="both"/>
        <w:rPr>
          <w:rFonts w:asciiTheme="minorHAnsi" w:hAnsiTheme="minorHAnsi"/>
          <w:lang w:val="sq-AL"/>
        </w:rPr>
      </w:pPr>
      <w:r w:rsidRPr="004E355C">
        <w:rPr>
          <w:rFonts w:asciiTheme="minorHAnsi" w:hAnsiTheme="minorHAnsi"/>
          <w:lang w:val="sq-AL"/>
        </w:rPr>
        <w:lastRenderedPageBreak/>
        <w:t xml:space="preserve">Një rol të konsiderueshëm në rezultatin e sektorit ka Operatori i Shpërndarjes së Energjisë Elektrike, OSHEE sh.a. Për vitin 2019, referuar </w:t>
      </w:r>
      <w:r w:rsidR="00AB6DE3" w:rsidRPr="004E355C">
        <w:rPr>
          <w:rFonts w:asciiTheme="minorHAnsi" w:hAnsiTheme="minorHAnsi"/>
          <w:lang w:val="sq-AL"/>
        </w:rPr>
        <w:t>b</w:t>
      </w:r>
      <w:r w:rsidRPr="004E355C">
        <w:rPr>
          <w:rFonts w:asciiTheme="minorHAnsi" w:hAnsiTheme="minorHAnsi"/>
          <w:lang w:val="sq-AL"/>
        </w:rPr>
        <w:t>uxhetit të OSHEE sh.a parashikohet</w:t>
      </w:r>
      <w:r w:rsidR="00AB6DE3" w:rsidRPr="004E355C">
        <w:rPr>
          <w:rFonts w:asciiTheme="minorHAnsi" w:hAnsiTheme="minorHAnsi"/>
          <w:lang w:val="sq-AL"/>
        </w:rPr>
        <w:t>:</w:t>
      </w:r>
      <w:r w:rsidRPr="004E355C">
        <w:rPr>
          <w:rFonts w:asciiTheme="minorHAnsi" w:hAnsiTheme="minorHAnsi"/>
          <w:lang w:val="sq-AL"/>
        </w:rPr>
        <w:t xml:space="preserve"> </w:t>
      </w:r>
    </w:p>
    <w:p w:rsidR="00AB6DE3" w:rsidRPr="004E355C" w:rsidRDefault="00AB6DE3" w:rsidP="00B95810">
      <w:pPr>
        <w:pStyle w:val="ListParagraph"/>
        <w:numPr>
          <w:ilvl w:val="2"/>
          <w:numId w:val="21"/>
        </w:numPr>
        <w:spacing w:line="276" w:lineRule="auto"/>
        <w:ind w:left="810" w:hanging="270"/>
        <w:jc w:val="both"/>
        <w:rPr>
          <w:rFonts w:asciiTheme="minorHAnsi" w:hAnsiTheme="minorHAnsi"/>
          <w:i/>
          <w:lang w:val="sq-AL"/>
        </w:rPr>
      </w:pPr>
      <w:r w:rsidRPr="004E355C">
        <w:rPr>
          <w:rFonts w:asciiTheme="minorHAnsi" w:hAnsiTheme="minorHAnsi"/>
          <w:i/>
          <w:lang w:val="sq-AL"/>
        </w:rPr>
        <w:t>N</w:t>
      </w:r>
      <w:r w:rsidR="00562780" w:rsidRPr="004E355C">
        <w:rPr>
          <w:rFonts w:asciiTheme="minorHAnsi" w:hAnsiTheme="minorHAnsi"/>
          <w:i/>
          <w:lang w:val="sq-AL"/>
        </w:rPr>
        <w:t>jë nivel të ardhurash operative rreth 54.4 miliard Lekë dhe reduktim i të ardhurave të tjera. Kjo rënie i referohet uljes së energjisë që pritet të shitet (220 M</w:t>
      </w:r>
      <w:r w:rsidR="00F20A53" w:rsidRPr="004E355C">
        <w:rPr>
          <w:rFonts w:asciiTheme="minorHAnsi" w:hAnsiTheme="minorHAnsi"/>
          <w:i/>
          <w:lang w:val="sq-AL"/>
        </w:rPr>
        <w:t>Ë</w:t>
      </w:r>
      <w:r w:rsidR="00562780" w:rsidRPr="004E355C">
        <w:rPr>
          <w:rFonts w:asciiTheme="minorHAnsi" w:hAnsiTheme="minorHAnsi"/>
          <w:i/>
          <w:lang w:val="sq-AL"/>
        </w:rPr>
        <w:t xml:space="preserve">h) për klientë që nuk do të vijojnë të furnizohen nga kompania. </w:t>
      </w:r>
    </w:p>
    <w:p w:rsidR="00AB6DE3" w:rsidRPr="004E355C" w:rsidRDefault="00562780" w:rsidP="00B95810">
      <w:pPr>
        <w:pStyle w:val="ListParagraph"/>
        <w:numPr>
          <w:ilvl w:val="2"/>
          <w:numId w:val="21"/>
        </w:numPr>
        <w:spacing w:before="240" w:line="276" w:lineRule="auto"/>
        <w:ind w:left="810" w:hanging="270"/>
        <w:jc w:val="both"/>
        <w:rPr>
          <w:rFonts w:asciiTheme="minorHAnsi" w:hAnsiTheme="minorHAnsi"/>
          <w:i/>
          <w:lang w:val="sq-AL"/>
        </w:rPr>
      </w:pPr>
      <w:r w:rsidRPr="004E355C">
        <w:rPr>
          <w:rFonts w:asciiTheme="minorHAnsi" w:hAnsiTheme="minorHAnsi"/>
          <w:i/>
          <w:lang w:val="sq-AL"/>
        </w:rPr>
        <w:t xml:space="preserve">Të ardhurat e tjera që pritet të realizohen më pak janë të ardhurat nga kamatvonesat dhe të ardhurat nga lidhjet e reja. </w:t>
      </w:r>
    </w:p>
    <w:p w:rsidR="00562780" w:rsidRPr="004E355C" w:rsidRDefault="00562780" w:rsidP="00B95810">
      <w:pPr>
        <w:pStyle w:val="ListParagraph"/>
        <w:numPr>
          <w:ilvl w:val="2"/>
          <w:numId w:val="21"/>
        </w:numPr>
        <w:spacing w:before="240" w:line="276" w:lineRule="auto"/>
        <w:ind w:left="810" w:hanging="270"/>
        <w:jc w:val="both"/>
        <w:rPr>
          <w:rFonts w:asciiTheme="minorHAnsi" w:hAnsiTheme="minorHAnsi"/>
          <w:i/>
          <w:lang w:val="sq-AL"/>
        </w:rPr>
      </w:pPr>
      <w:r w:rsidRPr="004E355C">
        <w:rPr>
          <w:rFonts w:asciiTheme="minorHAnsi" w:hAnsiTheme="minorHAnsi"/>
          <w:i/>
          <w:lang w:val="sq-AL"/>
        </w:rPr>
        <w:t>Niveli i pritshëm i arkëtimeve për vitin 2019 është 95 përqind e shumës së faturuar dhe humbjet parashikohet të jenë 23 përqind.</w:t>
      </w:r>
    </w:p>
    <w:p w:rsidR="00562780" w:rsidRPr="004E355C" w:rsidRDefault="00562780" w:rsidP="00AB6DE3">
      <w:pPr>
        <w:spacing w:before="240" w:line="276" w:lineRule="auto"/>
        <w:contextualSpacing/>
        <w:jc w:val="both"/>
        <w:rPr>
          <w:rFonts w:asciiTheme="minorHAnsi" w:hAnsiTheme="minorHAnsi"/>
          <w:lang w:val="sq-AL"/>
        </w:rPr>
      </w:pPr>
      <w:r w:rsidRPr="004E355C">
        <w:rPr>
          <w:rFonts w:asciiTheme="minorHAnsi" w:hAnsiTheme="minorHAnsi"/>
          <w:lang w:val="sq-AL"/>
        </w:rPr>
        <w:t>Sipas parashikimeve më të fundit të KESH sh.a dhe OSHEE sh.a ,</w:t>
      </w:r>
      <w:r w:rsidR="00FE70F8" w:rsidRPr="004E355C">
        <w:rPr>
          <w:rFonts w:asciiTheme="minorHAnsi" w:hAnsiTheme="minorHAnsi"/>
          <w:lang w:val="sq-AL"/>
        </w:rPr>
        <w:t xml:space="preserve">deri në fund të </w:t>
      </w:r>
      <w:r w:rsidRPr="004E355C">
        <w:rPr>
          <w:rFonts w:asciiTheme="minorHAnsi" w:hAnsiTheme="minorHAnsi"/>
          <w:lang w:val="sq-AL"/>
        </w:rPr>
        <w:t>viti</w:t>
      </w:r>
      <w:r w:rsidR="00FE70F8" w:rsidRPr="004E355C">
        <w:rPr>
          <w:rFonts w:asciiTheme="minorHAnsi" w:hAnsiTheme="minorHAnsi"/>
          <w:lang w:val="sq-AL"/>
        </w:rPr>
        <w:t>t</w:t>
      </w:r>
      <w:r w:rsidRPr="004E355C">
        <w:rPr>
          <w:rFonts w:asciiTheme="minorHAnsi" w:hAnsiTheme="minorHAnsi"/>
          <w:lang w:val="sq-AL"/>
        </w:rPr>
        <w:t xml:space="preserve"> 2019</w:t>
      </w:r>
      <w:r w:rsidR="00AB6DE3" w:rsidRPr="004E355C">
        <w:rPr>
          <w:rFonts w:asciiTheme="minorHAnsi" w:hAnsiTheme="minorHAnsi"/>
          <w:lang w:val="sq-AL"/>
        </w:rPr>
        <w:t xml:space="preserve"> pritet</w:t>
      </w:r>
      <w:r w:rsidRPr="004E355C">
        <w:rPr>
          <w:rFonts w:asciiTheme="minorHAnsi" w:hAnsiTheme="minorHAnsi"/>
          <w:lang w:val="sq-AL"/>
        </w:rPr>
        <w:t xml:space="preserve"> </w:t>
      </w:r>
      <w:r w:rsidR="00FE70F8" w:rsidRPr="004E355C">
        <w:rPr>
          <w:rFonts w:asciiTheme="minorHAnsi" w:hAnsiTheme="minorHAnsi"/>
          <w:lang w:val="sq-AL"/>
        </w:rPr>
        <w:t>q</w:t>
      </w:r>
      <w:r w:rsidRPr="004E355C">
        <w:rPr>
          <w:rFonts w:asciiTheme="minorHAnsi" w:hAnsiTheme="minorHAnsi"/>
          <w:lang w:val="sq-AL"/>
        </w:rPr>
        <w:t>ë:</w:t>
      </w:r>
    </w:p>
    <w:p w:rsidR="00562780" w:rsidRPr="004E355C" w:rsidRDefault="00562780" w:rsidP="00B95810">
      <w:pPr>
        <w:pStyle w:val="ListParagraph"/>
        <w:numPr>
          <w:ilvl w:val="2"/>
          <w:numId w:val="21"/>
        </w:numPr>
        <w:spacing w:line="276" w:lineRule="auto"/>
        <w:ind w:left="810" w:hanging="270"/>
        <w:jc w:val="both"/>
        <w:rPr>
          <w:rFonts w:asciiTheme="minorHAnsi" w:hAnsiTheme="minorHAnsi"/>
          <w:i/>
          <w:lang w:val="sq-AL"/>
        </w:rPr>
      </w:pPr>
      <w:r w:rsidRPr="004E355C">
        <w:rPr>
          <w:rFonts w:asciiTheme="minorHAnsi" w:hAnsiTheme="minorHAnsi"/>
          <w:i/>
          <w:lang w:val="sq-AL"/>
        </w:rPr>
        <w:t xml:space="preserve">Prodhimi vjetor i energjisë nga kaskada e Drinit </w:t>
      </w:r>
      <w:r w:rsidR="00FE70F8" w:rsidRPr="004E355C">
        <w:rPr>
          <w:rFonts w:asciiTheme="minorHAnsi" w:hAnsiTheme="minorHAnsi"/>
          <w:i/>
          <w:lang w:val="sq-AL"/>
        </w:rPr>
        <w:t>të arrijë</w:t>
      </w:r>
      <w:r w:rsidRPr="004E355C">
        <w:rPr>
          <w:rFonts w:asciiTheme="minorHAnsi" w:hAnsiTheme="minorHAnsi"/>
          <w:i/>
          <w:lang w:val="sq-AL"/>
        </w:rPr>
        <w:t xml:space="preserve"> nivelin rreth 2300 G</w:t>
      </w:r>
      <w:r w:rsidR="00F20A53" w:rsidRPr="004E355C">
        <w:rPr>
          <w:rFonts w:asciiTheme="minorHAnsi" w:hAnsiTheme="minorHAnsi"/>
          <w:i/>
          <w:lang w:val="sq-AL"/>
        </w:rPr>
        <w:t>ë</w:t>
      </w:r>
      <w:r w:rsidRPr="004E355C">
        <w:rPr>
          <w:rFonts w:asciiTheme="minorHAnsi" w:hAnsiTheme="minorHAnsi"/>
          <w:i/>
          <w:lang w:val="sq-AL"/>
        </w:rPr>
        <w:t>h (Prodhimi më i ulët në 50 vite);</w:t>
      </w:r>
    </w:p>
    <w:p w:rsidR="00562780" w:rsidRPr="004E355C" w:rsidRDefault="00562780" w:rsidP="00B95810">
      <w:pPr>
        <w:pStyle w:val="ListParagraph"/>
        <w:numPr>
          <w:ilvl w:val="2"/>
          <w:numId w:val="21"/>
        </w:numPr>
        <w:spacing w:line="276" w:lineRule="auto"/>
        <w:ind w:left="810" w:hanging="270"/>
        <w:jc w:val="both"/>
        <w:rPr>
          <w:rFonts w:asciiTheme="minorHAnsi" w:hAnsiTheme="minorHAnsi"/>
          <w:i/>
          <w:lang w:val="sq-AL"/>
        </w:rPr>
      </w:pPr>
      <w:r w:rsidRPr="004E355C">
        <w:rPr>
          <w:rFonts w:asciiTheme="minorHAnsi" w:hAnsiTheme="minorHAnsi"/>
          <w:i/>
          <w:lang w:val="sq-AL"/>
        </w:rPr>
        <w:t>Importi i energjisë, sipas përllogaritjeve të OSHEE, do të jetë rreth 2500 G</w:t>
      </w:r>
      <w:r w:rsidR="00F20A53" w:rsidRPr="004E355C">
        <w:rPr>
          <w:rFonts w:asciiTheme="minorHAnsi" w:hAnsiTheme="minorHAnsi"/>
          <w:i/>
          <w:lang w:val="sq-AL"/>
        </w:rPr>
        <w:t>ë</w:t>
      </w:r>
      <w:r w:rsidRPr="004E355C">
        <w:rPr>
          <w:rFonts w:asciiTheme="minorHAnsi" w:hAnsiTheme="minorHAnsi"/>
          <w:i/>
          <w:lang w:val="sq-AL"/>
        </w:rPr>
        <w:t>h me një çmim prej 80 EUR/M</w:t>
      </w:r>
      <w:r w:rsidR="00F20A53" w:rsidRPr="004E355C">
        <w:rPr>
          <w:rFonts w:asciiTheme="minorHAnsi" w:hAnsiTheme="minorHAnsi"/>
          <w:i/>
          <w:lang w:val="sq-AL"/>
        </w:rPr>
        <w:t>ë</w:t>
      </w:r>
      <w:r w:rsidRPr="004E355C">
        <w:rPr>
          <w:rFonts w:asciiTheme="minorHAnsi" w:hAnsiTheme="minorHAnsi"/>
          <w:i/>
          <w:lang w:val="sq-AL"/>
        </w:rPr>
        <w:t>h, me një kosto totale prej 26 miliard lekë + kosto shtesë prej 12.5 miliard lekë;</w:t>
      </w:r>
    </w:p>
    <w:p w:rsidR="00562780" w:rsidRPr="004E355C" w:rsidRDefault="00562780" w:rsidP="00B95810">
      <w:pPr>
        <w:pStyle w:val="ListParagraph"/>
        <w:numPr>
          <w:ilvl w:val="2"/>
          <w:numId w:val="21"/>
        </w:numPr>
        <w:spacing w:line="276" w:lineRule="auto"/>
        <w:ind w:left="810" w:hanging="270"/>
        <w:jc w:val="both"/>
        <w:rPr>
          <w:rFonts w:asciiTheme="minorHAnsi" w:hAnsiTheme="minorHAnsi"/>
          <w:i/>
          <w:lang w:val="sq-AL"/>
        </w:rPr>
      </w:pPr>
      <w:r w:rsidRPr="004E355C">
        <w:rPr>
          <w:rFonts w:asciiTheme="minorHAnsi" w:hAnsiTheme="minorHAnsi"/>
          <w:i/>
          <w:lang w:val="sq-AL"/>
        </w:rPr>
        <w:t xml:space="preserve">Të ardhurat e parashikuara nga shitja e energjisë </w:t>
      </w:r>
      <w:r w:rsidR="00FE70F8" w:rsidRPr="004E355C">
        <w:rPr>
          <w:rFonts w:asciiTheme="minorHAnsi" w:hAnsiTheme="minorHAnsi"/>
          <w:i/>
          <w:lang w:val="sq-AL"/>
        </w:rPr>
        <w:t>priten</w:t>
      </w:r>
      <w:r w:rsidRPr="004E355C">
        <w:rPr>
          <w:rFonts w:asciiTheme="minorHAnsi" w:hAnsiTheme="minorHAnsi"/>
          <w:i/>
          <w:lang w:val="sq-AL"/>
        </w:rPr>
        <w:t xml:space="preserve"> në masën 52.9 miliard lekë, ose 3% më të ulta se në 2018. </w:t>
      </w:r>
    </w:p>
    <w:p w:rsidR="00562780" w:rsidRPr="004E355C" w:rsidRDefault="00562780" w:rsidP="00562780">
      <w:pPr>
        <w:spacing w:before="120" w:after="240" w:line="276" w:lineRule="auto"/>
        <w:jc w:val="both"/>
        <w:rPr>
          <w:rFonts w:asciiTheme="minorHAnsi" w:hAnsiTheme="minorHAnsi"/>
          <w:lang w:val="sq-AL"/>
        </w:rPr>
      </w:pPr>
      <w:r w:rsidRPr="004E355C">
        <w:rPr>
          <w:rFonts w:asciiTheme="minorHAnsi" w:hAnsiTheme="minorHAnsi"/>
          <w:lang w:val="sq-AL"/>
        </w:rPr>
        <w:t>Kjo situatë mund të sjellë vështirësi financiare kryesisht për OSHEE sh.a, pasi këtë mungesë do të duhet ta përballojë me energji të siguruar në tregun e lirë të energjisë me çmim shumë herë më të lartë se sa ai me të cilin e siguron nga KESH sh.a. Sipas vlerësimit të kompanisë, kjo situatë pritet të sjellë humbje në nivelin prej rreth 14.8 miliard lekë.</w:t>
      </w:r>
    </w:p>
    <w:p w:rsidR="00562780" w:rsidRPr="004E355C" w:rsidRDefault="00562780" w:rsidP="00562780">
      <w:pPr>
        <w:spacing w:before="120" w:after="240" w:line="276" w:lineRule="auto"/>
        <w:jc w:val="both"/>
        <w:rPr>
          <w:rFonts w:asciiTheme="minorHAnsi" w:hAnsiTheme="minorHAnsi"/>
          <w:lang w:val="sq-AL"/>
        </w:rPr>
      </w:pPr>
      <w:r w:rsidRPr="004E355C">
        <w:rPr>
          <w:rFonts w:asciiTheme="minorHAnsi" w:hAnsiTheme="minorHAnsi"/>
          <w:lang w:val="sq-AL"/>
        </w:rPr>
        <w:t xml:space="preserve">Kushtëzuar nga disbursimet dhe situata e pafavorshme hidrike e fundit të v.2018 dhe v.2019, nevoja e pritshme shtesë deri në fund të 2019, në formën e mbështetjes buxhetore për OSHEE sh.a mund të shkojë në 5 miliard lekë. </w:t>
      </w:r>
      <w:r w:rsidR="00FE70F8" w:rsidRPr="004E355C">
        <w:rPr>
          <w:rFonts w:asciiTheme="minorHAnsi" w:hAnsiTheme="minorHAnsi"/>
          <w:lang w:val="sq-AL"/>
        </w:rPr>
        <w:t xml:space="preserve">Në këndvështrimin e MFE, nga ana e </w:t>
      </w:r>
      <w:r w:rsidRPr="004E355C">
        <w:rPr>
          <w:rFonts w:asciiTheme="minorHAnsi" w:hAnsiTheme="minorHAnsi"/>
          <w:lang w:val="sq-AL"/>
        </w:rPr>
        <w:t>MIE-s dhe OSHEE sh.a se nevojitet:</w:t>
      </w:r>
    </w:p>
    <w:p w:rsidR="00562780" w:rsidRPr="004E355C" w:rsidRDefault="00562780" w:rsidP="00B95810">
      <w:pPr>
        <w:numPr>
          <w:ilvl w:val="0"/>
          <w:numId w:val="20"/>
        </w:numPr>
        <w:spacing w:before="120" w:after="120" w:line="276" w:lineRule="auto"/>
        <w:jc w:val="both"/>
        <w:rPr>
          <w:rFonts w:asciiTheme="minorHAnsi" w:hAnsiTheme="minorHAnsi"/>
          <w:i/>
          <w:lang w:val="sq-AL"/>
        </w:rPr>
      </w:pPr>
      <w:r w:rsidRPr="004E355C">
        <w:rPr>
          <w:rFonts w:asciiTheme="minorHAnsi" w:hAnsiTheme="minorHAnsi"/>
          <w:i/>
          <w:lang w:val="sq-AL"/>
        </w:rPr>
        <w:t>Rivlerësimi i pozicionit financiar, duke konsideruar (përmes parashikimeve të qëndrueshme e realiste) zhvillimet e pritshme në prodhimin vendas të energjisë.</w:t>
      </w:r>
    </w:p>
    <w:p w:rsidR="00562780" w:rsidRPr="004E355C" w:rsidRDefault="00562780" w:rsidP="00B95810">
      <w:pPr>
        <w:numPr>
          <w:ilvl w:val="0"/>
          <w:numId w:val="20"/>
        </w:numPr>
        <w:spacing w:before="120" w:after="120" w:line="276" w:lineRule="auto"/>
        <w:jc w:val="both"/>
        <w:rPr>
          <w:rFonts w:asciiTheme="minorHAnsi" w:hAnsiTheme="minorHAnsi"/>
          <w:i/>
          <w:lang w:val="sq-AL"/>
        </w:rPr>
      </w:pPr>
      <w:r w:rsidRPr="004E355C">
        <w:rPr>
          <w:rFonts w:asciiTheme="minorHAnsi" w:hAnsiTheme="minorHAnsi"/>
          <w:i/>
          <w:lang w:val="sq-AL"/>
        </w:rPr>
        <w:t>Rishikimi në ulje i planit të investimeve për vitin 2019, kjo referuar Planit për Konsolidimin Financiar të Sektorit Publik Elektroenergjitik, dakordësuar me Bankën Botërore, ku OSHEE sh.a duhet të respektojë një nivel investimesh prej rreth 5 miliard lekë në vit, për tre vitet e ardhshme (ndërkohë që, investimet e OSHEE sh.a për vitin 2019 janë miratuar në nivelin 8.9 miliard LEK, të reja dhe në vazhdim).</w:t>
      </w:r>
    </w:p>
    <w:p w:rsidR="00562780" w:rsidRPr="004E355C" w:rsidRDefault="00562780" w:rsidP="00B95810">
      <w:pPr>
        <w:numPr>
          <w:ilvl w:val="0"/>
          <w:numId w:val="20"/>
        </w:numPr>
        <w:spacing w:before="120" w:after="120" w:line="276" w:lineRule="auto"/>
        <w:jc w:val="both"/>
        <w:rPr>
          <w:rFonts w:asciiTheme="minorHAnsi" w:hAnsiTheme="minorHAnsi"/>
          <w:i/>
          <w:lang w:val="sq-AL"/>
        </w:rPr>
      </w:pPr>
      <w:r w:rsidRPr="004E355C">
        <w:rPr>
          <w:rFonts w:asciiTheme="minorHAnsi" w:hAnsiTheme="minorHAnsi"/>
          <w:i/>
          <w:lang w:val="sq-AL"/>
        </w:rPr>
        <w:t>Marrja e masave të nevojshme për menaxhimin optimal të likuiditeteve, reduktimin e kostove operative të shpenzimeve të OSHEE sha.a, të cilat vërejmë se janë rritur ndjeshëm në 2019, krahasuar me një vit më parë.</w:t>
      </w:r>
    </w:p>
    <w:p w:rsidR="00B4575B" w:rsidRPr="004E355C" w:rsidRDefault="00B4575B" w:rsidP="00176D77">
      <w:pPr>
        <w:spacing w:before="120" w:after="120" w:line="276" w:lineRule="auto"/>
        <w:jc w:val="both"/>
        <w:rPr>
          <w:rFonts w:asciiTheme="minorHAnsi" w:hAnsiTheme="minorHAnsi"/>
          <w:i/>
          <w:lang w:val="sq-AL"/>
        </w:rPr>
      </w:pPr>
    </w:p>
    <w:p w:rsidR="00176D77" w:rsidRPr="004E355C" w:rsidRDefault="00176D77" w:rsidP="00176D77">
      <w:pPr>
        <w:spacing w:before="120" w:after="120" w:line="276" w:lineRule="auto"/>
        <w:jc w:val="both"/>
        <w:rPr>
          <w:rFonts w:asciiTheme="minorHAnsi" w:hAnsiTheme="minorHAnsi"/>
          <w:i/>
          <w:lang w:val="sq-AL"/>
        </w:rPr>
      </w:pPr>
    </w:p>
    <w:p w:rsidR="00562780" w:rsidRPr="004E355C" w:rsidRDefault="00FE70F8" w:rsidP="00FE70F8">
      <w:pPr>
        <w:pStyle w:val="Heading2"/>
        <w:spacing w:line="276" w:lineRule="auto"/>
        <w:ind w:left="720" w:hanging="720"/>
        <w:rPr>
          <w:rFonts w:asciiTheme="minorHAnsi" w:hAnsiTheme="minorHAnsi"/>
          <w:noProof/>
          <w:color w:val="4F81BD" w:themeColor="accent1"/>
          <w:sz w:val="28"/>
          <w:szCs w:val="24"/>
          <w:lang w:val="sq-AL"/>
        </w:rPr>
      </w:pPr>
      <w:bookmarkStart w:id="88" w:name="_Toc466295701"/>
      <w:bookmarkStart w:id="89" w:name="_Toc10033285"/>
      <w:bookmarkStart w:id="90" w:name="_Toc10721422"/>
      <w:bookmarkStart w:id="91" w:name="_Toc11134242"/>
      <w:bookmarkStart w:id="92" w:name="_Toc12527232"/>
      <w:r w:rsidRPr="004E355C">
        <w:rPr>
          <w:rFonts w:asciiTheme="minorHAnsi" w:hAnsiTheme="minorHAnsi"/>
          <w:noProof/>
          <w:color w:val="4F81BD" w:themeColor="accent1"/>
          <w:sz w:val="28"/>
          <w:szCs w:val="24"/>
          <w:lang w:val="sq-AL"/>
        </w:rPr>
        <w:lastRenderedPageBreak/>
        <w:t>V.2</w:t>
      </w:r>
      <w:r w:rsidRPr="004E355C">
        <w:rPr>
          <w:rFonts w:asciiTheme="minorHAnsi" w:hAnsiTheme="minorHAnsi"/>
          <w:noProof/>
          <w:color w:val="4F81BD" w:themeColor="accent1"/>
          <w:sz w:val="28"/>
          <w:szCs w:val="24"/>
          <w:lang w:val="sq-AL"/>
        </w:rPr>
        <w:tab/>
      </w:r>
      <w:r w:rsidR="00562780" w:rsidRPr="004E355C">
        <w:rPr>
          <w:rFonts w:asciiTheme="minorHAnsi" w:hAnsiTheme="minorHAnsi"/>
          <w:noProof/>
          <w:color w:val="4F81BD" w:themeColor="accent1"/>
          <w:sz w:val="28"/>
          <w:szCs w:val="24"/>
          <w:lang w:val="sq-AL"/>
        </w:rPr>
        <w:t>Detyrime</w:t>
      </w:r>
      <w:bookmarkEnd w:id="88"/>
      <w:r w:rsidR="00562780" w:rsidRPr="004E355C">
        <w:rPr>
          <w:rFonts w:asciiTheme="minorHAnsi" w:hAnsiTheme="minorHAnsi"/>
          <w:noProof/>
          <w:color w:val="4F81BD" w:themeColor="accent1"/>
          <w:sz w:val="28"/>
          <w:szCs w:val="24"/>
          <w:lang w:val="sq-AL"/>
        </w:rPr>
        <w:t>t e prapambetura (q</w:t>
      </w:r>
      <w:r w:rsidR="00B4575B" w:rsidRPr="004E355C">
        <w:rPr>
          <w:rFonts w:asciiTheme="minorHAnsi" w:hAnsiTheme="minorHAnsi"/>
          <w:noProof/>
          <w:color w:val="4F81BD" w:themeColor="accent1"/>
          <w:sz w:val="28"/>
          <w:szCs w:val="24"/>
          <w:lang w:val="sq-AL"/>
        </w:rPr>
        <w:t>e</w:t>
      </w:r>
      <w:r w:rsidR="00562780" w:rsidRPr="004E355C">
        <w:rPr>
          <w:rFonts w:asciiTheme="minorHAnsi" w:hAnsiTheme="minorHAnsi"/>
          <w:noProof/>
          <w:color w:val="4F81BD" w:themeColor="accent1"/>
          <w:sz w:val="28"/>
          <w:szCs w:val="24"/>
          <w:lang w:val="sq-AL"/>
        </w:rPr>
        <w:t>ndrore)</w:t>
      </w:r>
      <w:bookmarkEnd w:id="89"/>
      <w:bookmarkEnd w:id="90"/>
      <w:bookmarkEnd w:id="91"/>
      <w:bookmarkEnd w:id="92"/>
    </w:p>
    <w:p w:rsidR="00FE70F8" w:rsidRPr="004E355C" w:rsidRDefault="00FE70F8" w:rsidP="00E97053">
      <w:pPr>
        <w:spacing w:before="240" w:line="276" w:lineRule="auto"/>
        <w:jc w:val="both"/>
        <w:rPr>
          <w:rFonts w:asciiTheme="minorHAnsi" w:eastAsia="MS Mincho" w:hAnsiTheme="minorHAnsi"/>
          <w:bCs/>
          <w:lang w:val="sq-AL" w:eastAsia="sq-AL"/>
        </w:rPr>
      </w:pPr>
      <w:bookmarkStart w:id="93" w:name="_Toc495672777"/>
      <w:bookmarkEnd w:id="93"/>
      <w:r w:rsidRPr="004E355C">
        <w:rPr>
          <w:rFonts w:asciiTheme="minorHAnsi" w:eastAsia="MS Mincho" w:hAnsiTheme="minorHAnsi"/>
          <w:lang w:val="sq-AL"/>
        </w:rPr>
        <w:t>N</w:t>
      </w:r>
      <w:r w:rsidR="003F668C" w:rsidRPr="004E355C">
        <w:rPr>
          <w:rFonts w:asciiTheme="minorHAnsi" w:eastAsia="MS Mincho" w:hAnsiTheme="minorHAnsi"/>
          <w:lang w:val="sq-AL"/>
        </w:rPr>
        <w:t>ë</w:t>
      </w:r>
      <w:r w:rsidRPr="004E355C">
        <w:rPr>
          <w:rFonts w:asciiTheme="minorHAnsi" w:eastAsia="MS Mincho" w:hAnsiTheme="minorHAnsi"/>
          <w:lang w:val="sq-AL"/>
        </w:rPr>
        <w:t xml:space="preserve"> zbatim t</w:t>
      </w:r>
      <w:r w:rsidR="003F668C" w:rsidRPr="004E355C">
        <w:rPr>
          <w:rFonts w:asciiTheme="minorHAnsi" w:eastAsia="MS Mincho" w:hAnsiTheme="minorHAnsi"/>
          <w:lang w:val="sq-AL"/>
        </w:rPr>
        <w:t>ë</w:t>
      </w:r>
      <w:r w:rsidRPr="004E355C">
        <w:rPr>
          <w:rFonts w:asciiTheme="minorHAnsi" w:eastAsia="MS Mincho" w:hAnsiTheme="minorHAnsi"/>
          <w:lang w:val="sq-AL"/>
        </w:rPr>
        <w:t xml:space="preserve"> U</w:t>
      </w:r>
      <w:r w:rsidRPr="004E355C">
        <w:rPr>
          <w:rFonts w:asciiTheme="minorHAnsi" w:eastAsia="Calibri" w:hAnsiTheme="minorHAnsi"/>
          <w:lang w:val="sq-AL"/>
        </w:rPr>
        <w:t xml:space="preserve">dhëzimit Plotësues të Ministrit të Financave dhe Ekonomisë </w:t>
      </w:r>
      <w:r w:rsidRPr="004E355C">
        <w:rPr>
          <w:rFonts w:asciiTheme="minorHAnsi" w:eastAsia="MS Mincho" w:hAnsiTheme="minorHAnsi"/>
          <w:bCs/>
          <w:lang w:val="sq-AL" w:eastAsia="sq-AL"/>
        </w:rPr>
        <w:t>nr.1 datë 17.01.2019 “</w:t>
      </w:r>
      <w:r w:rsidRPr="004E355C">
        <w:rPr>
          <w:rFonts w:asciiTheme="minorHAnsi" w:eastAsia="MS Mincho" w:hAnsiTheme="minorHAnsi"/>
          <w:bCs/>
          <w:i/>
          <w:lang w:val="sq-AL" w:eastAsia="sq-AL"/>
        </w:rPr>
        <w:t>Për zbatimin e Buxhetit të vitit 2019</w:t>
      </w:r>
      <w:r w:rsidRPr="004E355C">
        <w:rPr>
          <w:rFonts w:asciiTheme="minorHAnsi" w:eastAsia="MS Mincho" w:hAnsiTheme="minorHAnsi"/>
          <w:bCs/>
          <w:lang w:val="sq-AL" w:eastAsia="sq-AL"/>
        </w:rPr>
        <w:t>, i ndryshuar”, MFE ka vijuar me monitorimin e stokut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detyrimeve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prapambetura, si n</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aspekt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krijimit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detyrimeve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reja, por sidomos n</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aspekt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skedulimit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shlyerjes progresive t</w:t>
      </w:r>
      <w:r w:rsidR="003F668C" w:rsidRPr="004E355C">
        <w:rPr>
          <w:rFonts w:asciiTheme="minorHAnsi" w:eastAsia="MS Mincho" w:hAnsiTheme="minorHAnsi"/>
          <w:bCs/>
          <w:lang w:val="sq-AL" w:eastAsia="sq-AL"/>
        </w:rPr>
        <w:t>ë</w:t>
      </w:r>
      <w:r w:rsidRPr="004E355C">
        <w:rPr>
          <w:rFonts w:asciiTheme="minorHAnsi" w:eastAsia="MS Mincho" w:hAnsiTheme="minorHAnsi"/>
          <w:bCs/>
          <w:lang w:val="sq-AL" w:eastAsia="sq-AL"/>
        </w:rPr>
        <w:t xml:space="preserve"> atyre ekzistuese. </w:t>
      </w:r>
      <w:r w:rsidRPr="004E355C">
        <w:rPr>
          <w:rFonts w:asciiTheme="minorHAnsi" w:hAnsiTheme="minorHAnsi"/>
          <w:lang w:val="sq-AL"/>
        </w:rPr>
        <w:t>Ky monitorim kryhet mbi baz</w:t>
      </w:r>
      <w:r w:rsidR="003F668C" w:rsidRPr="004E355C">
        <w:rPr>
          <w:rFonts w:asciiTheme="minorHAnsi" w:hAnsiTheme="minorHAnsi"/>
          <w:lang w:val="sq-AL"/>
        </w:rPr>
        <w:t>ë</w:t>
      </w:r>
      <w:r w:rsidRPr="004E355C">
        <w:rPr>
          <w:rFonts w:asciiTheme="minorHAnsi" w:hAnsiTheme="minorHAnsi"/>
          <w:lang w:val="sq-AL"/>
        </w:rPr>
        <w:t xml:space="preserve"> tremujore, dhe referuar të dhënave të raportuara nga ministritë e linjës për T1 të vitit 2019 vihet re se:</w:t>
      </w:r>
    </w:p>
    <w:p w:rsidR="00FE70F8" w:rsidRPr="004E355C" w:rsidRDefault="00FE70F8" w:rsidP="00B95810">
      <w:pPr>
        <w:pStyle w:val="ListParagraph"/>
        <w:numPr>
          <w:ilvl w:val="0"/>
          <w:numId w:val="19"/>
        </w:numPr>
        <w:spacing w:line="276" w:lineRule="auto"/>
        <w:ind w:left="450"/>
        <w:jc w:val="both"/>
        <w:rPr>
          <w:rFonts w:asciiTheme="minorHAnsi" w:hAnsiTheme="minorHAnsi"/>
          <w:lang w:val="sq-AL"/>
        </w:rPr>
      </w:pPr>
      <w:r w:rsidRPr="004E355C">
        <w:rPr>
          <w:rFonts w:asciiTheme="minorHAnsi" w:hAnsiTheme="minorHAnsi"/>
          <w:lang w:val="sq-AL"/>
        </w:rPr>
        <w:t xml:space="preserve">Stoku total kumulativ (të mbartura+të reja) i detyrimeve të prapambetura, të regjistruara deri në Mars 2019, kap nivelin 6.86 miliard lekë. </w:t>
      </w:r>
    </w:p>
    <w:p w:rsidR="00FE70F8" w:rsidRPr="004E355C" w:rsidRDefault="00FE70F8" w:rsidP="00B95810">
      <w:pPr>
        <w:pStyle w:val="ListParagraph"/>
        <w:numPr>
          <w:ilvl w:val="0"/>
          <w:numId w:val="19"/>
        </w:numPr>
        <w:spacing w:line="276" w:lineRule="auto"/>
        <w:ind w:left="450"/>
        <w:jc w:val="both"/>
        <w:rPr>
          <w:rFonts w:asciiTheme="minorHAnsi" w:hAnsiTheme="minorHAnsi"/>
          <w:lang w:val="sq-AL"/>
        </w:rPr>
      </w:pPr>
      <w:r w:rsidRPr="004E355C">
        <w:rPr>
          <w:rFonts w:asciiTheme="minorHAnsi" w:hAnsiTheme="minorHAnsi"/>
          <w:lang w:val="sq-AL"/>
        </w:rPr>
        <w:t xml:space="preserve">Ky stok rezulton rreth 11 përqind më i lartë ose 687 milion lekë më shumë, se niveli i tij i monitoruar deri në muajin Dhjetor 2018, që kapte vlerën 6.17 miliard lekë. </w:t>
      </w:r>
    </w:p>
    <w:p w:rsidR="00FE70F8" w:rsidRPr="004E355C" w:rsidRDefault="00FE70F8" w:rsidP="00B95810">
      <w:pPr>
        <w:pStyle w:val="ListParagraph"/>
        <w:numPr>
          <w:ilvl w:val="0"/>
          <w:numId w:val="19"/>
        </w:numPr>
        <w:spacing w:before="100" w:beforeAutospacing="1" w:line="276" w:lineRule="auto"/>
        <w:ind w:left="450"/>
        <w:jc w:val="both"/>
        <w:rPr>
          <w:rFonts w:asciiTheme="minorHAnsi" w:hAnsiTheme="minorHAnsi"/>
          <w:lang w:val="sq-AL"/>
        </w:rPr>
      </w:pPr>
      <w:r w:rsidRPr="004E355C">
        <w:rPr>
          <w:rFonts w:asciiTheme="minorHAnsi" w:hAnsiTheme="minorHAnsi"/>
          <w:lang w:val="sq-AL"/>
        </w:rPr>
        <w:t>Rreth 33 përqind e stokut të detyrimeve ose 2.24 miliard lekë janë detyrime që i referohen vendimeve gjyqësore.</w:t>
      </w:r>
    </w:p>
    <w:p w:rsidR="00FE70F8" w:rsidRPr="004E355C" w:rsidRDefault="00FE70F8" w:rsidP="00B95810">
      <w:pPr>
        <w:pStyle w:val="ListParagraph"/>
        <w:numPr>
          <w:ilvl w:val="0"/>
          <w:numId w:val="19"/>
        </w:numPr>
        <w:spacing w:line="276" w:lineRule="auto"/>
        <w:ind w:left="450"/>
        <w:jc w:val="both"/>
        <w:rPr>
          <w:rFonts w:asciiTheme="minorHAnsi" w:hAnsiTheme="minorHAnsi"/>
          <w:i/>
          <w:lang w:val="sq-AL"/>
        </w:rPr>
      </w:pPr>
      <w:r w:rsidRPr="004E355C">
        <w:rPr>
          <w:rFonts w:asciiTheme="minorHAnsi" w:hAnsiTheme="minorHAnsi"/>
          <w:lang w:val="sq-AL"/>
        </w:rPr>
        <w:t>Pjesën më të madhe të stokut të detyrimeve e ka Ministria e Infrastrukturës dhe Energjisë me rreth 3.8 miliard lekë ose 56 përqind e stokut total prej 6.84 miliard lekë.</w:t>
      </w:r>
    </w:p>
    <w:p w:rsidR="00B4575B" w:rsidRPr="004E355C" w:rsidRDefault="00B4575B" w:rsidP="00B4575B">
      <w:pPr>
        <w:pStyle w:val="ListParagraph"/>
        <w:spacing w:line="276" w:lineRule="auto"/>
        <w:ind w:left="450"/>
        <w:jc w:val="both"/>
        <w:rPr>
          <w:rFonts w:asciiTheme="minorHAnsi" w:hAnsiTheme="minorHAnsi"/>
          <w:i/>
          <w:lang w:val="sq-AL"/>
        </w:rPr>
      </w:pPr>
    </w:p>
    <w:p w:rsidR="00FE70F8" w:rsidRPr="004E355C" w:rsidRDefault="00FE70F8" w:rsidP="00FE70F8">
      <w:pPr>
        <w:spacing w:line="276" w:lineRule="auto"/>
        <w:ind w:left="-450"/>
        <w:jc w:val="center"/>
        <w:rPr>
          <w:rFonts w:asciiTheme="minorHAnsi" w:hAnsiTheme="minorHAnsi"/>
          <w:i/>
          <w:lang w:val="sq-AL"/>
        </w:rPr>
      </w:pPr>
      <w:r w:rsidRPr="004E355C">
        <w:rPr>
          <w:rFonts w:asciiTheme="minorHAnsi" w:hAnsiTheme="minorHAnsi"/>
          <w:i/>
          <w:noProof/>
        </w:rPr>
        <w:drawing>
          <wp:inline distT="0" distB="0" distL="0" distR="0" wp14:anchorId="651D3049" wp14:editId="2BD23D6F">
            <wp:extent cx="6614160" cy="240792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14160" cy="2407920"/>
                    </a:xfrm>
                    <a:prstGeom prst="rect">
                      <a:avLst/>
                    </a:prstGeom>
                    <a:noFill/>
                  </pic:spPr>
                </pic:pic>
              </a:graphicData>
            </a:graphic>
          </wp:inline>
        </w:drawing>
      </w:r>
    </w:p>
    <w:p w:rsidR="00B4575B" w:rsidRPr="004E355C" w:rsidRDefault="00B4575B" w:rsidP="00FF4B9F">
      <w:pPr>
        <w:pStyle w:val="Caption"/>
        <w:keepNext/>
        <w:jc w:val="both"/>
        <w:rPr>
          <w:rFonts w:asciiTheme="minorHAnsi" w:hAnsiTheme="minorHAnsi"/>
          <w:b w:val="0"/>
          <w:bCs w:val="0"/>
          <w:i/>
          <w:color w:val="auto"/>
          <w:sz w:val="24"/>
          <w:szCs w:val="24"/>
          <w:lang w:val="sq-AL"/>
        </w:rPr>
      </w:pPr>
      <w:bookmarkStart w:id="94" w:name="_Toc11141714"/>
    </w:p>
    <w:p w:rsidR="00562780" w:rsidRPr="004E355C" w:rsidRDefault="00E97053" w:rsidP="00FF4B9F">
      <w:pPr>
        <w:pStyle w:val="Caption"/>
        <w:keepNext/>
        <w:jc w:val="both"/>
        <w:rPr>
          <w:rFonts w:asciiTheme="minorHAnsi" w:hAnsiTheme="minorHAnsi"/>
          <w:b w:val="0"/>
          <w:bCs w:val="0"/>
          <w:i/>
          <w:color w:val="auto"/>
          <w:sz w:val="24"/>
          <w:szCs w:val="24"/>
          <w:lang w:val="sq-AL"/>
        </w:rPr>
      </w:pPr>
      <w:bookmarkStart w:id="95" w:name="_Toc12448466"/>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40</w:t>
      </w:r>
      <w:r w:rsidRPr="004E355C">
        <w:rPr>
          <w:rFonts w:asciiTheme="minorHAnsi" w:hAnsiTheme="minorHAnsi"/>
          <w:b w:val="0"/>
          <w:bCs w:val="0"/>
          <w:i/>
          <w:color w:val="auto"/>
          <w:sz w:val="24"/>
          <w:szCs w:val="24"/>
          <w:lang w:val="sq-AL"/>
        </w:rPr>
        <w:fldChar w:fldCharType="end"/>
      </w:r>
      <w:r w:rsidR="00176D77" w:rsidRPr="004E355C">
        <w:rPr>
          <w:rFonts w:asciiTheme="minorHAnsi" w:hAnsiTheme="minorHAnsi"/>
          <w:b w:val="0"/>
          <w:bCs w:val="0"/>
          <w:i/>
          <w:color w:val="auto"/>
          <w:sz w:val="24"/>
          <w:szCs w:val="24"/>
          <w:lang w:val="sq-AL"/>
        </w:rPr>
        <w:t xml:space="preserve">: </w:t>
      </w:r>
      <w:r w:rsidR="00562780" w:rsidRPr="004E355C">
        <w:rPr>
          <w:rFonts w:asciiTheme="minorHAnsi" w:hAnsiTheme="minorHAnsi"/>
          <w:b w:val="0"/>
          <w:bCs w:val="0"/>
          <w:i/>
          <w:color w:val="auto"/>
          <w:sz w:val="24"/>
          <w:szCs w:val="24"/>
          <w:lang w:val="sq-AL"/>
        </w:rPr>
        <w:t>Stoku i detyrimeve të prapambetura qendrore 2018</w:t>
      </w:r>
      <w:r w:rsidRPr="004E355C">
        <w:rPr>
          <w:rFonts w:asciiTheme="minorHAnsi" w:hAnsiTheme="minorHAnsi"/>
          <w:b w:val="0"/>
          <w:bCs w:val="0"/>
          <w:i/>
          <w:color w:val="auto"/>
          <w:sz w:val="24"/>
          <w:szCs w:val="24"/>
          <w:lang w:val="sq-AL"/>
        </w:rPr>
        <w:t xml:space="preserve"> </w:t>
      </w:r>
      <w:r w:rsidR="00562780" w:rsidRPr="004E355C">
        <w:rPr>
          <w:rFonts w:asciiTheme="minorHAnsi" w:hAnsiTheme="minorHAnsi"/>
          <w:b w:val="0"/>
          <w:bCs w:val="0"/>
          <w:i/>
          <w:color w:val="auto"/>
          <w:sz w:val="24"/>
          <w:szCs w:val="24"/>
          <w:lang w:val="sq-AL"/>
        </w:rPr>
        <w:t>-</w:t>
      </w:r>
      <w:r w:rsidRPr="004E355C">
        <w:rPr>
          <w:rFonts w:asciiTheme="minorHAnsi" w:hAnsiTheme="minorHAnsi"/>
          <w:b w:val="0"/>
          <w:bCs w:val="0"/>
          <w:i/>
          <w:color w:val="auto"/>
          <w:sz w:val="24"/>
          <w:szCs w:val="24"/>
          <w:lang w:val="sq-AL"/>
        </w:rPr>
        <w:t xml:space="preserve"> Mars </w:t>
      </w:r>
      <w:r w:rsidR="00562780" w:rsidRPr="004E355C">
        <w:rPr>
          <w:rFonts w:asciiTheme="minorHAnsi" w:hAnsiTheme="minorHAnsi"/>
          <w:b w:val="0"/>
          <w:bCs w:val="0"/>
          <w:i/>
          <w:color w:val="auto"/>
          <w:sz w:val="24"/>
          <w:szCs w:val="24"/>
          <w:lang w:val="sq-AL"/>
        </w:rPr>
        <w:t xml:space="preserve">2019 </w:t>
      </w:r>
      <w:r w:rsidRPr="004E355C">
        <w:rPr>
          <w:rFonts w:asciiTheme="minorHAnsi" w:hAnsiTheme="minorHAnsi"/>
          <w:b w:val="0"/>
          <w:bCs w:val="0"/>
          <w:i/>
          <w:color w:val="auto"/>
          <w:sz w:val="24"/>
          <w:szCs w:val="24"/>
          <w:lang w:val="sq-AL"/>
        </w:rPr>
        <w:t>(</w:t>
      </w:r>
      <w:r w:rsidR="00562780" w:rsidRPr="004E355C">
        <w:rPr>
          <w:rFonts w:asciiTheme="minorHAnsi" w:hAnsiTheme="minorHAnsi"/>
          <w:b w:val="0"/>
          <w:bCs w:val="0"/>
          <w:i/>
          <w:color w:val="auto"/>
          <w:sz w:val="24"/>
          <w:szCs w:val="24"/>
          <w:lang w:val="sq-AL"/>
        </w:rPr>
        <w:t>në milion lekë</w:t>
      </w:r>
      <w:bookmarkEnd w:id="94"/>
      <w:r w:rsidRPr="004E355C">
        <w:rPr>
          <w:rFonts w:asciiTheme="minorHAnsi" w:hAnsiTheme="minorHAnsi"/>
          <w:b w:val="0"/>
          <w:bCs w:val="0"/>
          <w:i/>
          <w:color w:val="auto"/>
          <w:sz w:val="24"/>
          <w:szCs w:val="24"/>
          <w:lang w:val="sq-AL"/>
        </w:rPr>
        <w:t>)</w:t>
      </w:r>
      <w:bookmarkEnd w:id="95"/>
    </w:p>
    <w:p w:rsidR="00562780" w:rsidRPr="004E355C" w:rsidRDefault="00562780" w:rsidP="00562780">
      <w:pPr>
        <w:spacing w:line="276" w:lineRule="auto"/>
        <w:jc w:val="center"/>
        <w:rPr>
          <w:rFonts w:asciiTheme="minorHAnsi" w:eastAsia="Calibri" w:hAnsiTheme="minorHAnsi"/>
          <w:b/>
          <w:i/>
          <w:lang w:val="sq-AL"/>
        </w:rPr>
      </w:pPr>
      <w:r w:rsidRPr="004E355C">
        <w:rPr>
          <w:rFonts w:asciiTheme="minorHAnsi" w:hAnsiTheme="minorHAnsi"/>
          <w:noProof/>
        </w:rPr>
        <w:drawing>
          <wp:inline distT="0" distB="0" distL="0" distR="0" wp14:anchorId="3B8B87CB" wp14:editId="72E5409F">
            <wp:extent cx="6248400" cy="2461260"/>
            <wp:effectExtent l="0" t="0" r="0" b="1524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62780" w:rsidRPr="004E355C" w:rsidRDefault="00562780" w:rsidP="00562780">
      <w:pPr>
        <w:spacing w:line="276" w:lineRule="auto"/>
        <w:ind w:firstLine="720"/>
        <w:rPr>
          <w:rFonts w:asciiTheme="minorHAnsi" w:eastAsia="SimSun" w:hAnsiTheme="minorHAnsi"/>
          <w:i/>
          <w:sz w:val="22"/>
          <w:lang w:val="sq-AL"/>
        </w:rPr>
      </w:pPr>
      <w:r w:rsidRPr="004E355C">
        <w:rPr>
          <w:rFonts w:asciiTheme="minorHAnsi" w:eastAsia="SimSun" w:hAnsiTheme="minorHAnsi"/>
          <w:i/>
          <w:sz w:val="22"/>
          <w:lang w:val="sq-AL"/>
        </w:rPr>
        <w:t>Burimi: Ministria e Financave dhe Ekonomisë (2019)</w:t>
      </w:r>
    </w:p>
    <w:p w:rsidR="00562780" w:rsidRPr="004E355C" w:rsidRDefault="001E6A9B" w:rsidP="001E6A9B">
      <w:pPr>
        <w:spacing w:line="276" w:lineRule="auto"/>
        <w:contextualSpacing/>
        <w:rPr>
          <w:rFonts w:asciiTheme="minorHAnsi" w:hAnsiTheme="minorHAnsi"/>
          <w:i/>
          <w:color w:val="000000"/>
        </w:rPr>
      </w:pPr>
      <w:bookmarkStart w:id="96" w:name="_Toc12449202"/>
      <w:r w:rsidRPr="004E355C">
        <w:rPr>
          <w:rFonts w:asciiTheme="minorHAnsi" w:hAnsiTheme="minorHAnsi"/>
          <w:bCs/>
          <w:i/>
          <w:lang w:val="sq-AL"/>
        </w:rPr>
        <w:lastRenderedPageBreak/>
        <w:t xml:space="preserve">Tabela </w:t>
      </w:r>
      <w:r w:rsidRPr="004E355C">
        <w:rPr>
          <w:rFonts w:asciiTheme="minorHAnsi" w:hAnsiTheme="minorHAnsi"/>
          <w:bCs/>
          <w:i/>
          <w:lang w:val="sq-AL"/>
        </w:rPr>
        <w:fldChar w:fldCharType="begin"/>
      </w:r>
      <w:r w:rsidRPr="004E355C">
        <w:rPr>
          <w:rFonts w:asciiTheme="minorHAnsi" w:hAnsiTheme="minorHAnsi"/>
          <w:bCs/>
          <w:i/>
          <w:lang w:val="sq-AL"/>
        </w:rPr>
        <w:instrText xml:space="preserve"> SEQ Tabela \* ARABIC </w:instrText>
      </w:r>
      <w:r w:rsidRPr="004E355C">
        <w:rPr>
          <w:rFonts w:asciiTheme="minorHAnsi" w:hAnsiTheme="minorHAnsi"/>
          <w:bCs/>
          <w:i/>
          <w:lang w:val="sq-AL"/>
        </w:rPr>
        <w:fldChar w:fldCharType="separate"/>
      </w:r>
      <w:r w:rsidR="00C83C78">
        <w:rPr>
          <w:rFonts w:asciiTheme="minorHAnsi" w:hAnsiTheme="minorHAnsi"/>
          <w:bCs/>
          <w:i/>
          <w:noProof/>
          <w:lang w:val="sq-AL"/>
        </w:rPr>
        <w:t>16</w:t>
      </w:r>
      <w:r w:rsidRPr="004E355C">
        <w:rPr>
          <w:rFonts w:asciiTheme="minorHAnsi" w:hAnsiTheme="minorHAnsi"/>
          <w:bCs/>
          <w:i/>
          <w:lang w:val="sq-AL"/>
        </w:rPr>
        <w:fldChar w:fldCharType="end"/>
      </w:r>
      <w:r w:rsidRPr="004E355C">
        <w:rPr>
          <w:rFonts w:asciiTheme="minorHAnsi" w:hAnsiTheme="minorHAnsi"/>
          <w:bCs/>
          <w:i/>
          <w:lang w:val="sq-AL"/>
        </w:rPr>
        <w:t>:</w:t>
      </w:r>
      <w:r w:rsidR="00176D77" w:rsidRPr="004E355C">
        <w:rPr>
          <w:rFonts w:asciiTheme="minorHAnsi" w:hAnsiTheme="minorHAnsi"/>
          <w:bCs/>
          <w:i/>
          <w:lang w:val="sq-AL"/>
        </w:rPr>
        <w:t xml:space="preserve"> </w:t>
      </w:r>
      <w:r w:rsidRPr="004E355C">
        <w:rPr>
          <w:rFonts w:asciiTheme="minorHAnsi" w:hAnsiTheme="minorHAnsi"/>
          <w:lang w:val="sq-AL"/>
        </w:rPr>
        <w:t>Detyrimet e prapambetura të MIE, sipas zërave kryesorë</w:t>
      </w:r>
      <w:r w:rsidRPr="004E355C">
        <w:rPr>
          <w:rFonts w:asciiTheme="minorHAnsi" w:hAnsiTheme="minorHAnsi"/>
          <w:i/>
          <w:color w:val="000000"/>
        </w:rPr>
        <w:t xml:space="preserve"> (në milion</w:t>
      </w:r>
      <w:r w:rsidR="00C65B3F" w:rsidRPr="004E355C">
        <w:rPr>
          <w:rFonts w:asciiTheme="minorHAnsi" w:hAnsiTheme="minorHAnsi"/>
          <w:i/>
          <w:color w:val="000000"/>
        </w:rPr>
        <w:t>ë</w:t>
      </w:r>
      <w:r w:rsidRPr="004E355C">
        <w:rPr>
          <w:rFonts w:asciiTheme="minorHAnsi" w:hAnsiTheme="minorHAnsi"/>
          <w:i/>
          <w:color w:val="000000"/>
        </w:rPr>
        <w:t xml:space="preserve"> Lekë)</w:t>
      </w:r>
      <w:bookmarkEnd w:id="96"/>
    </w:p>
    <w:tbl>
      <w:tblPr>
        <w:tblStyle w:val="ListTable4-Accent51"/>
        <w:tblpPr w:leftFromText="180" w:rightFromText="180" w:vertAnchor="text" w:horzAnchor="margin" w:tblpXSpec="center" w:tblpY="4"/>
        <w:tblW w:w="10165" w:type="dxa"/>
        <w:tblLook w:val="04A0" w:firstRow="1" w:lastRow="0" w:firstColumn="1" w:lastColumn="0" w:noHBand="0" w:noVBand="1"/>
      </w:tblPr>
      <w:tblGrid>
        <w:gridCol w:w="3561"/>
        <w:gridCol w:w="1626"/>
        <w:gridCol w:w="1055"/>
        <w:gridCol w:w="1043"/>
        <w:gridCol w:w="1260"/>
        <w:gridCol w:w="1620"/>
      </w:tblGrid>
      <w:tr w:rsidR="00562780" w:rsidRPr="004E355C" w:rsidTr="00AD162D">
        <w:trPr>
          <w:cnfStyle w:val="100000000000" w:firstRow="1" w:lastRow="0" w:firstColumn="0" w:lastColumn="0" w:oddVBand="0" w:evenVBand="0" w:oddHBand="0"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3561" w:type="dxa"/>
            <w:hideMark/>
          </w:tcPr>
          <w:p w:rsidR="001720EB" w:rsidRPr="004E355C" w:rsidRDefault="001720EB" w:rsidP="00AD162D">
            <w:pPr>
              <w:spacing w:line="276" w:lineRule="auto"/>
              <w:jc w:val="center"/>
              <w:rPr>
                <w:rFonts w:asciiTheme="minorHAnsi" w:hAnsiTheme="minorHAnsi"/>
                <w:bCs w:val="0"/>
                <w:i/>
                <w:iCs/>
                <w:sz w:val="16"/>
                <w:szCs w:val="8"/>
              </w:rPr>
            </w:pPr>
          </w:p>
          <w:p w:rsidR="00562780" w:rsidRPr="004E355C" w:rsidRDefault="003F668C" w:rsidP="00AD162D">
            <w:pPr>
              <w:spacing w:line="276" w:lineRule="auto"/>
              <w:jc w:val="center"/>
              <w:rPr>
                <w:rFonts w:asciiTheme="minorHAnsi" w:hAnsiTheme="minorHAnsi"/>
                <w:bCs w:val="0"/>
                <w:i/>
                <w:iCs/>
                <w:sz w:val="20"/>
              </w:rPr>
            </w:pPr>
            <w:r w:rsidRPr="004E355C">
              <w:rPr>
                <w:rFonts w:asciiTheme="minorHAnsi" w:hAnsiTheme="minorHAnsi"/>
                <w:bCs w:val="0"/>
                <w:i/>
                <w:iCs/>
                <w:sz w:val="20"/>
              </w:rPr>
              <w:t>Ministria e Infrastrukturës dhe Energjisë</w:t>
            </w:r>
            <w:r w:rsidR="00562780" w:rsidRPr="004E355C">
              <w:rPr>
                <w:rFonts w:asciiTheme="minorHAnsi" w:hAnsiTheme="minorHAnsi"/>
                <w:bCs w:val="0"/>
                <w:i/>
                <w:iCs/>
                <w:sz w:val="20"/>
              </w:rPr>
              <w:t xml:space="preserve"> (</w:t>
            </w:r>
            <w:r w:rsidRPr="004E355C">
              <w:rPr>
                <w:rFonts w:asciiTheme="minorHAnsi" w:hAnsiTheme="minorHAnsi"/>
                <w:bCs w:val="0"/>
                <w:i/>
                <w:iCs/>
                <w:sz w:val="20"/>
              </w:rPr>
              <w:t>MIE</w:t>
            </w:r>
            <w:r w:rsidR="00562780" w:rsidRPr="004E355C">
              <w:rPr>
                <w:rFonts w:asciiTheme="minorHAnsi" w:hAnsiTheme="minorHAnsi"/>
                <w:bCs w:val="0"/>
                <w:i/>
                <w:iCs/>
                <w:sz w:val="20"/>
              </w:rPr>
              <w:t>)</w:t>
            </w:r>
          </w:p>
        </w:tc>
        <w:tc>
          <w:tcPr>
            <w:tcW w:w="1626" w:type="dxa"/>
            <w:hideMark/>
          </w:tcPr>
          <w:p w:rsidR="001720EB"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2"/>
                <w:szCs w:val="12"/>
              </w:rPr>
            </w:pPr>
          </w:p>
          <w:p w:rsidR="00562780" w:rsidRPr="004E355C" w:rsidRDefault="00562780"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Të trashëguara</w:t>
            </w:r>
          </w:p>
        </w:tc>
        <w:tc>
          <w:tcPr>
            <w:tcW w:w="1055" w:type="dxa"/>
            <w:hideMark/>
          </w:tcPr>
          <w:p w:rsidR="001720EB"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2"/>
                <w:szCs w:val="12"/>
              </w:rPr>
            </w:pPr>
          </w:p>
          <w:p w:rsidR="00562780" w:rsidRPr="004E355C" w:rsidRDefault="00562780"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Të reja</w:t>
            </w:r>
          </w:p>
        </w:tc>
        <w:tc>
          <w:tcPr>
            <w:tcW w:w="1043" w:type="dxa"/>
            <w:hideMark/>
          </w:tcPr>
          <w:p w:rsidR="001720EB"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8"/>
                <w:szCs w:val="12"/>
              </w:rPr>
            </w:pPr>
          </w:p>
          <w:p w:rsidR="00562780"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Stoku total</w:t>
            </w:r>
          </w:p>
        </w:tc>
        <w:tc>
          <w:tcPr>
            <w:tcW w:w="1260" w:type="dxa"/>
            <w:hideMark/>
          </w:tcPr>
          <w:p w:rsidR="001720EB"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8"/>
                <w:szCs w:val="12"/>
              </w:rPr>
            </w:pPr>
          </w:p>
          <w:p w:rsidR="00562780"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Skeduluar shlyerja</w:t>
            </w:r>
          </w:p>
        </w:tc>
        <w:tc>
          <w:tcPr>
            <w:tcW w:w="1620" w:type="dxa"/>
            <w:hideMark/>
          </w:tcPr>
          <w:p w:rsidR="001720EB"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8"/>
                <w:szCs w:val="12"/>
              </w:rPr>
            </w:pPr>
          </w:p>
          <w:p w:rsidR="001720EB" w:rsidRPr="004E355C" w:rsidRDefault="00562780"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 xml:space="preserve">Mbetur </w:t>
            </w:r>
          </w:p>
          <w:p w:rsidR="00562780" w:rsidRPr="004E355C" w:rsidRDefault="001720EB" w:rsidP="00AD162D">
            <w:pPr>
              <w:spacing w:line="276"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20"/>
              </w:rPr>
            </w:pPr>
            <w:r w:rsidRPr="004E355C">
              <w:rPr>
                <w:rFonts w:asciiTheme="minorHAnsi" w:hAnsiTheme="minorHAnsi"/>
                <w:bCs w:val="0"/>
                <w:sz w:val="20"/>
              </w:rPr>
              <w:t>n</w:t>
            </w:r>
            <w:r w:rsidR="003F668C" w:rsidRPr="004E355C">
              <w:rPr>
                <w:rFonts w:asciiTheme="minorHAnsi" w:hAnsiTheme="minorHAnsi"/>
                <w:bCs w:val="0"/>
                <w:sz w:val="20"/>
              </w:rPr>
              <w:t>ë</w:t>
            </w:r>
            <w:r w:rsidRPr="004E355C">
              <w:rPr>
                <w:rFonts w:asciiTheme="minorHAnsi" w:hAnsiTheme="minorHAnsi"/>
                <w:bCs w:val="0"/>
                <w:sz w:val="20"/>
              </w:rPr>
              <w:t xml:space="preserve"> </w:t>
            </w:r>
            <w:r w:rsidR="00562780" w:rsidRPr="004E355C">
              <w:rPr>
                <w:rFonts w:asciiTheme="minorHAnsi" w:hAnsiTheme="minorHAnsi"/>
                <w:bCs w:val="0"/>
                <w:sz w:val="20"/>
              </w:rPr>
              <w:t xml:space="preserve">fund </w:t>
            </w:r>
            <w:r w:rsidRPr="004E355C">
              <w:rPr>
                <w:rFonts w:asciiTheme="minorHAnsi" w:hAnsiTheme="minorHAnsi"/>
                <w:bCs w:val="0"/>
                <w:sz w:val="20"/>
              </w:rPr>
              <w:t>t</w:t>
            </w:r>
            <w:r w:rsidR="003F668C" w:rsidRPr="004E355C">
              <w:rPr>
                <w:rFonts w:asciiTheme="minorHAnsi" w:hAnsiTheme="minorHAnsi"/>
                <w:bCs w:val="0"/>
                <w:sz w:val="20"/>
              </w:rPr>
              <w:t>ë</w:t>
            </w:r>
            <w:r w:rsidRPr="004E355C">
              <w:rPr>
                <w:rFonts w:asciiTheme="minorHAnsi" w:hAnsiTheme="minorHAnsi"/>
                <w:bCs w:val="0"/>
                <w:sz w:val="20"/>
              </w:rPr>
              <w:t xml:space="preserve"> </w:t>
            </w:r>
            <w:r w:rsidR="00562780" w:rsidRPr="004E355C">
              <w:rPr>
                <w:rFonts w:asciiTheme="minorHAnsi" w:hAnsiTheme="minorHAnsi"/>
                <w:bCs w:val="0"/>
                <w:sz w:val="20"/>
              </w:rPr>
              <w:t>2019</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Ndërtim e Sistemim Rruge</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715,3</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513,4</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1.228,7</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1.228,7</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Sinjalistikë Rrugore</w:t>
            </w:r>
          </w:p>
        </w:tc>
        <w:tc>
          <w:tcPr>
            <w:tcW w:w="1626"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79,2</w:t>
            </w:r>
          </w:p>
        </w:tc>
        <w:tc>
          <w:tcPr>
            <w:tcW w:w="1055"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47,6</w:t>
            </w:r>
          </w:p>
        </w:tc>
        <w:tc>
          <w:tcPr>
            <w:tcW w:w="1043"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126,8</w:t>
            </w:r>
          </w:p>
        </w:tc>
        <w:tc>
          <w:tcPr>
            <w:tcW w:w="126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126,8</w:t>
            </w:r>
          </w:p>
        </w:tc>
        <w:tc>
          <w:tcPr>
            <w:tcW w:w="162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Supervizion Punimesh &amp; Sinjalistike</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2,0</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2,9</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4,9</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4,9</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Studim Projektim</w:t>
            </w:r>
          </w:p>
        </w:tc>
        <w:tc>
          <w:tcPr>
            <w:tcW w:w="1626"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15,6</w:t>
            </w:r>
          </w:p>
        </w:tc>
        <w:tc>
          <w:tcPr>
            <w:tcW w:w="1055"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043"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15,6</w:t>
            </w:r>
          </w:p>
        </w:tc>
        <w:tc>
          <w:tcPr>
            <w:tcW w:w="126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15,6</w:t>
            </w:r>
          </w:p>
        </w:tc>
        <w:tc>
          <w:tcPr>
            <w:tcW w:w="162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Vendime Gjyqësore</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701,8</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237,0</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938,8</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563,2</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375,6</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TVSH &amp; Kosto Lokale</w:t>
            </w:r>
          </w:p>
        </w:tc>
        <w:tc>
          <w:tcPr>
            <w:tcW w:w="1626"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0,3</w:t>
            </w:r>
          </w:p>
        </w:tc>
        <w:tc>
          <w:tcPr>
            <w:tcW w:w="1055"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232,8</w:t>
            </w:r>
          </w:p>
        </w:tc>
        <w:tc>
          <w:tcPr>
            <w:tcW w:w="1043"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233,1</w:t>
            </w:r>
          </w:p>
        </w:tc>
        <w:tc>
          <w:tcPr>
            <w:tcW w:w="126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233,1</w:t>
            </w:r>
          </w:p>
        </w:tc>
        <w:tc>
          <w:tcPr>
            <w:tcW w:w="162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rPr>
                <w:rFonts w:asciiTheme="minorHAnsi" w:hAnsiTheme="minorHAnsi"/>
                <w:b w:val="0"/>
                <w:color w:val="000000"/>
                <w:sz w:val="20"/>
              </w:rPr>
            </w:pPr>
            <w:r w:rsidRPr="004E355C">
              <w:rPr>
                <w:rFonts w:asciiTheme="minorHAnsi" w:hAnsiTheme="minorHAnsi"/>
                <w:b w:val="0"/>
                <w:color w:val="000000"/>
                <w:sz w:val="20"/>
              </w:rPr>
              <w:t>Mirëmbajtje</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730,2</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37,0</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767,2</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387,4</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379,8</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jc w:val="center"/>
              <w:rPr>
                <w:rFonts w:asciiTheme="minorHAnsi" w:hAnsiTheme="minorHAnsi"/>
                <w:bCs w:val="0"/>
                <w:color w:val="000000"/>
                <w:sz w:val="20"/>
              </w:rPr>
            </w:pPr>
            <w:r w:rsidRPr="004E355C">
              <w:rPr>
                <w:rFonts w:asciiTheme="minorHAnsi" w:hAnsiTheme="minorHAnsi"/>
                <w:bCs w:val="0"/>
                <w:color w:val="000000"/>
                <w:sz w:val="20"/>
              </w:rPr>
              <w:t>ARRSH</w:t>
            </w:r>
          </w:p>
        </w:tc>
        <w:tc>
          <w:tcPr>
            <w:tcW w:w="1626"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2.244,4</w:t>
            </w:r>
          </w:p>
        </w:tc>
        <w:tc>
          <w:tcPr>
            <w:tcW w:w="1055"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1.070,7</w:t>
            </w:r>
          </w:p>
        </w:tc>
        <w:tc>
          <w:tcPr>
            <w:tcW w:w="1043"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3.315,1</w:t>
            </w:r>
          </w:p>
        </w:tc>
        <w:tc>
          <w:tcPr>
            <w:tcW w:w="126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2.559,7</w:t>
            </w:r>
          </w:p>
        </w:tc>
        <w:tc>
          <w:tcPr>
            <w:tcW w:w="162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755,4</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jc w:val="center"/>
              <w:rPr>
                <w:rFonts w:asciiTheme="minorHAnsi" w:hAnsiTheme="minorHAnsi"/>
                <w:bCs w:val="0"/>
                <w:color w:val="000000"/>
                <w:sz w:val="20"/>
              </w:rPr>
            </w:pPr>
            <w:r w:rsidRPr="004E355C">
              <w:rPr>
                <w:rFonts w:asciiTheme="minorHAnsi" w:hAnsiTheme="minorHAnsi"/>
                <w:bCs w:val="0"/>
                <w:color w:val="000000"/>
                <w:sz w:val="20"/>
              </w:rPr>
              <w:t>AKUK</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327,6</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163,9</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491,5</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488,5</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3,0</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jc w:val="right"/>
              <w:rPr>
                <w:rFonts w:asciiTheme="minorHAnsi" w:hAnsiTheme="minorHAnsi"/>
                <w:b w:val="0"/>
                <w:color w:val="000000"/>
                <w:sz w:val="20"/>
              </w:rPr>
            </w:pPr>
            <w:r w:rsidRPr="004E355C">
              <w:rPr>
                <w:rFonts w:asciiTheme="minorHAnsi" w:hAnsiTheme="minorHAnsi"/>
                <w:b w:val="0"/>
                <w:color w:val="000000"/>
                <w:sz w:val="20"/>
              </w:rPr>
              <w:t>Vendime Gjyqësore</w:t>
            </w:r>
          </w:p>
        </w:tc>
        <w:tc>
          <w:tcPr>
            <w:tcW w:w="1626" w:type="dxa"/>
            <w:hideMark/>
          </w:tcPr>
          <w:p w:rsidR="00562780" w:rsidRPr="004E355C" w:rsidRDefault="00562780" w:rsidP="00AD162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055" w:type="dxa"/>
            <w:hideMark/>
          </w:tcPr>
          <w:p w:rsidR="00562780" w:rsidRPr="004E355C" w:rsidRDefault="00562780" w:rsidP="00AD162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043" w:type="dxa"/>
            <w:hideMark/>
          </w:tcPr>
          <w:p w:rsidR="00562780" w:rsidRPr="004E355C" w:rsidRDefault="00562780" w:rsidP="00AD162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260" w:type="dxa"/>
            <w:hideMark/>
          </w:tcPr>
          <w:p w:rsidR="00562780" w:rsidRPr="004E355C" w:rsidRDefault="00562780" w:rsidP="00AD162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p>
        </w:tc>
        <w:tc>
          <w:tcPr>
            <w:tcW w:w="1620" w:type="dxa"/>
            <w:hideMark/>
          </w:tcPr>
          <w:p w:rsidR="00562780" w:rsidRPr="004E355C" w:rsidRDefault="00562780" w:rsidP="00AD162D">
            <w:pPr>
              <w:spacing w:line="276"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jc w:val="right"/>
              <w:rPr>
                <w:rFonts w:asciiTheme="minorHAnsi" w:hAnsiTheme="minorHAnsi"/>
                <w:b w:val="0"/>
                <w:color w:val="000000"/>
                <w:sz w:val="20"/>
              </w:rPr>
            </w:pPr>
            <w:r w:rsidRPr="004E355C">
              <w:rPr>
                <w:rFonts w:asciiTheme="minorHAnsi" w:hAnsiTheme="minorHAnsi"/>
                <w:b w:val="0"/>
                <w:color w:val="000000"/>
                <w:sz w:val="20"/>
              </w:rPr>
              <w:t>Investime</w:t>
            </w:r>
          </w:p>
        </w:tc>
        <w:tc>
          <w:tcPr>
            <w:tcW w:w="1626" w:type="dxa"/>
            <w:hideMark/>
          </w:tcPr>
          <w:p w:rsidR="00562780" w:rsidRPr="004E355C" w:rsidRDefault="00562780" w:rsidP="00AD162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21,4</w:t>
            </w:r>
          </w:p>
        </w:tc>
        <w:tc>
          <w:tcPr>
            <w:tcW w:w="1055" w:type="dxa"/>
            <w:hideMark/>
          </w:tcPr>
          <w:p w:rsidR="00562780" w:rsidRPr="004E355C" w:rsidRDefault="00562780" w:rsidP="00AD162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043" w:type="dxa"/>
            <w:hideMark/>
          </w:tcPr>
          <w:p w:rsidR="00562780" w:rsidRPr="004E355C" w:rsidRDefault="00562780" w:rsidP="00AD162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c>
          <w:tcPr>
            <w:tcW w:w="1260" w:type="dxa"/>
            <w:hideMark/>
          </w:tcPr>
          <w:p w:rsidR="00562780" w:rsidRPr="004E355C" w:rsidRDefault="00562780" w:rsidP="00AD162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p>
        </w:tc>
        <w:tc>
          <w:tcPr>
            <w:tcW w:w="1620" w:type="dxa"/>
            <w:hideMark/>
          </w:tcPr>
          <w:p w:rsidR="00562780" w:rsidRPr="004E355C" w:rsidRDefault="00562780" w:rsidP="00AD162D">
            <w:pPr>
              <w:spacing w:line="276" w:lineRule="auto"/>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rPr>
            </w:pPr>
            <w:r w:rsidRPr="004E355C">
              <w:rPr>
                <w:rFonts w:asciiTheme="minorHAnsi" w:hAnsiTheme="minorHAnsi"/>
                <w:color w:val="000000"/>
                <w:sz w:val="20"/>
              </w:rPr>
              <w:t>-</w:t>
            </w:r>
          </w:p>
        </w:tc>
      </w:tr>
      <w:tr w:rsidR="00562780" w:rsidRPr="004E355C" w:rsidTr="00AD162D">
        <w:trPr>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562780" w:rsidP="00AD162D">
            <w:pPr>
              <w:spacing w:line="276" w:lineRule="auto"/>
              <w:jc w:val="center"/>
              <w:rPr>
                <w:rFonts w:asciiTheme="minorHAnsi" w:hAnsiTheme="minorHAnsi"/>
                <w:bCs w:val="0"/>
                <w:color w:val="000000"/>
                <w:sz w:val="20"/>
              </w:rPr>
            </w:pPr>
            <w:r w:rsidRPr="004E355C">
              <w:rPr>
                <w:rFonts w:asciiTheme="minorHAnsi" w:hAnsiTheme="minorHAnsi"/>
                <w:bCs w:val="0"/>
                <w:color w:val="000000"/>
                <w:sz w:val="20"/>
              </w:rPr>
              <w:t>APARATI</w:t>
            </w:r>
          </w:p>
        </w:tc>
        <w:tc>
          <w:tcPr>
            <w:tcW w:w="1626"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21,4</w:t>
            </w:r>
          </w:p>
        </w:tc>
        <w:tc>
          <w:tcPr>
            <w:tcW w:w="1055"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w:t>
            </w:r>
          </w:p>
        </w:tc>
        <w:tc>
          <w:tcPr>
            <w:tcW w:w="1043"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21,4</w:t>
            </w:r>
          </w:p>
        </w:tc>
        <w:tc>
          <w:tcPr>
            <w:tcW w:w="126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p>
        </w:tc>
        <w:tc>
          <w:tcPr>
            <w:tcW w:w="1620" w:type="dxa"/>
            <w:hideMark/>
          </w:tcPr>
          <w:p w:rsidR="00562780" w:rsidRPr="004E355C" w:rsidRDefault="00562780" w:rsidP="00AD162D">
            <w:pPr>
              <w:spacing w:line="276" w:lineRule="auto"/>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21,4</w:t>
            </w:r>
          </w:p>
        </w:tc>
      </w:tr>
      <w:tr w:rsidR="00562780" w:rsidRPr="004E355C" w:rsidTr="00AD162D">
        <w:trPr>
          <w:cnfStyle w:val="000000100000" w:firstRow="0" w:lastRow="0" w:firstColumn="0" w:lastColumn="0" w:oddVBand="0" w:evenVBand="0" w:oddHBand="1" w:evenHBand="0" w:firstRowFirstColumn="0" w:firstRowLastColumn="0" w:lastRowFirstColumn="0" w:lastRowLastColumn="0"/>
          <w:trHeight w:val="22"/>
        </w:trPr>
        <w:tc>
          <w:tcPr>
            <w:cnfStyle w:val="001000000000" w:firstRow="0" w:lastRow="0" w:firstColumn="1" w:lastColumn="0" w:oddVBand="0" w:evenVBand="0" w:oddHBand="0" w:evenHBand="0" w:firstRowFirstColumn="0" w:firstRowLastColumn="0" w:lastRowFirstColumn="0" w:lastRowLastColumn="0"/>
            <w:tcW w:w="3561" w:type="dxa"/>
            <w:hideMark/>
          </w:tcPr>
          <w:p w:rsidR="00562780" w:rsidRPr="004E355C" w:rsidRDefault="001720EB" w:rsidP="00AD162D">
            <w:pPr>
              <w:spacing w:line="276" w:lineRule="auto"/>
              <w:jc w:val="center"/>
              <w:rPr>
                <w:rFonts w:asciiTheme="minorHAnsi" w:hAnsiTheme="minorHAnsi"/>
                <w:bCs w:val="0"/>
                <w:color w:val="000000"/>
                <w:sz w:val="20"/>
              </w:rPr>
            </w:pPr>
            <w:r w:rsidRPr="004E355C">
              <w:rPr>
                <w:rFonts w:asciiTheme="minorHAnsi" w:hAnsiTheme="minorHAnsi"/>
                <w:bCs w:val="0"/>
                <w:color w:val="000000"/>
                <w:sz w:val="20"/>
              </w:rPr>
              <w:t>TOTALI</w:t>
            </w:r>
          </w:p>
        </w:tc>
        <w:tc>
          <w:tcPr>
            <w:tcW w:w="1626"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2.593,4</w:t>
            </w:r>
          </w:p>
        </w:tc>
        <w:tc>
          <w:tcPr>
            <w:tcW w:w="1055"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1.234,6</w:t>
            </w:r>
          </w:p>
        </w:tc>
        <w:tc>
          <w:tcPr>
            <w:tcW w:w="1043"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3.828,0</w:t>
            </w:r>
          </w:p>
        </w:tc>
        <w:tc>
          <w:tcPr>
            <w:tcW w:w="126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3.048,2</w:t>
            </w:r>
          </w:p>
        </w:tc>
        <w:tc>
          <w:tcPr>
            <w:tcW w:w="1620" w:type="dxa"/>
            <w:hideMark/>
          </w:tcPr>
          <w:p w:rsidR="00562780" w:rsidRPr="004E355C" w:rsidRDefault="00562780" w:rsidP="00AD162D">
            <w:pPr>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color w:val="000000"/>
                <w:sz w:val="20"/>
              </w:rPr>
            </w:pPr>
            <w:r w:rsidRPr="004E355C">
              <w:rPr>
                <w:rFonts w:asciiTheme="minorHAnsi" w:hAnsiTheme="minorHAnsi"/>
                <w:b/>
                <w:bCs/>
                <w:color w:val="000000"/>
                <w:sz w:val="20"/>
              </w:rPr>
              <w:t>779,8</w:t>
            </w:r>
          </w:p>
        </w:tc>
      </w:tr>
    </w:tbl>
    <w:p w:rsidR="003F668C" w:rsidRPr="004E355C" w:rsidRDefault="003F668C" w:rsidP="003F668C">
      <w:pPr>
        <w:spacing w:line="276" w:lineRule="auto"/>
        <w:rPr>
          <w:rFonts w:asciiTheme="minorHAnsi" w:eastAsia="SimSun" w:hAnsiTheme="minorHAnsi"/>
          <w:i/>
          <w:sz w:val="22"/>
          <w:lang w:val="sq-AL"/>
        </w:rPr>
      </w:pPr>
      <w:r w:rsidRPr="004E355C">
        <w:rPr>
          <w:rFonts w:asciiTheme="minorHAnsi" w:eastAsia="SimSun" w:hAnsiTheme="minorHAnsi"/>
          <w:i/>
          <w:sz w:val="22"/>
          <w:lang w:val="sq-AL"/>
        </w:rPr>
        <w:t>Burimi: Ministria e Financave dhe Ekonomisë (2019)</w:t>
      </w:r>
    </w:p>
    <w:p w:rsidR="00562780" w:rsidRPr="004E355C" w:rsidRDefault="00562780" w:rsidP="00562780">
      <w:pPr>
        <w:spacing w:line="276" w:lineRule="auto"/>
        <w:jc w:val="both"/>
        <w:rPr>
          <w:rFonts w:asciiTheme="minorHAnsi" w:hAnsiTheme="minorHAnsi"/>
          <w:b/>
          <w:lang w:val="sq-AL"/>
        </w:rPr>
      </w:pPr>
    </w:p>
    <w:p w:rsidR="00562780" w:rsidRPr="004E355C" w:rsidRDefault="00562780" w:rsidP="00562780">
      <w:pPr>
        <w:spacing w:line="276" w:lineRule="auto"/>
        <w:jc w:val="both"/>
        <w:rPr>
          <w:rFonts w:asciiTheme="minorHAnsi" w:hAnsiTheme="minorHAnsi"/>
          <w:lang w:val="sq-AL"/>
        </w:rPr>
      </w:pPr>
      <w:r w:rsidRPr="004E355C">
        <w:rPr>
          <w:rFonts w:asciiTheme="minorHAnsi" w:hAnsiTheme="minorHAnsi"/>
          <w:lang w:val="sq-AL"/>
        </w:rPr>
        <w:t>Në nivel tremujori, referuar të dhënave të raportuara nga ministritë e linjës, vihet re se:</w:t>
      </w:r>
    </w:p>
    <w:p w:rsidR="00562780" w:rsidRPr="004E355C" w:rsidRDefault="00562780" w:rsidP="00B95810">
      <w:pPr>
        <w:pStyle w:val="ListParagraph"/>
        <w:numPr>
          <w:ilvl w:val="0"/>
          <w:numId w:val="19"/>
        </w:numPr>
        <w:spacing w:line="276" w:lineRule="auto"/>
        <w:ind w:left="450"/>
        <w:jc w:val="both"/>
        <w:rPr>
          <w:rFonts w:asciiTheme="minorHAnsi" w:hAnsiTheme="minorHAnsi"/>
          <w:lang w:val="sq-AL"/>
        </w:rPr>
      </w:pPr>
      <w:r w:rsidRPr="004E355C">
        <w:rPr>
          <w:rFonts w:asciiTheme="minorHAnsi" w:hAnsiTheme="minorHAnsi"/>
          <w:lang w:val="sq-AL"/>
        </w:rPr>
        <w:t>Detyrimet e reja të krijuara gjatë tremujorit Janar-Mars 2019, janë 1.6 miliard  lekë.</w:t>
      </w:r>
    </w:p>
    <w:p w:rsidR="00562780" w:rsidRPr="004E355C" w:rsidRDefault="00562780" w:rsidP="00B95810">
      <w:pPr>
        <w:pStyle w:val="ListParagraph"/>
        <w:numPr>
          <w:ilvl w:val="0"/>
          <w:numId w:val="19"/>
        </w:numPr>
        <w:spacing w:line="276" w:lineRule="auto"/>
        <w:ind w:left="450"/>
        <w:jc w:val="both"/>
        <w:rPr>
          <w:rFonts w:asciiTheme="minorHAnsi" w:hAnsiTheme="minorHAnsi"/>
          <w:lang w:val="sq-AL"/>
        </w:rPr>
      </w:pPr>
      <w:r w:rsidRPr="004E355C">
        <w:rPr>
          <w:rFonts w:asciiTheme="minorHAnsi" w:hAnsiTheme="minorHAnsi"/>
          <w:lang w:val="sq-AL"/>
        </w:rPr>
        <w:t>Detyrime të prapambetura të shlyera gjatë Janar-Mars 2019, janë 916.4 milion lekë.</w:t>
      </w:r>
    </w:p>
    <w:p w:rsidR="00562780" w:rsidRPr="004E355C" w:rsidRDefault="00562780" w:rsidP="00B95810">
      <w:pPr>
        <w:pStyle w:val="ListParagraph"/>
        <w:numPr>
          <w:ilvl w:val="0"/>
          <w:numId w:val="19"/>
        </w:numPr>
        <w:spacing w:line="276" w:lineRule="auto"/>
        <w:ind w:left="450"/>
        <w:jc w:val="both"/>
        <w:rPr>
          <w:rFonts w:asciiTheme="minorHAnsi" w:hAnsiTheme="minorHAnsi"/>
          <w:lang w:val="sq-AL"/>
        </w:rPr>
      </w:pPr>
      <w:r w:rsidRPr="004E355C">
        <w:rPr>
          <w:rFonts w:asciiTheme="minorHAnsi" w:hAnsiTheme="minorHAnsi"/>
          <w:lang w:val="sq-AL"/>
        </w:rPr>
        <w:t>Pjesën më të madhe të detyrimeve të reja të krijuara në tre mujorin e parë të viti 2019 e zënë detyrimet e krijuara nga MIE konkretisht:</w:t>
      </w:r>
    </w:p>
    <w:p w:rsidR="00562780" w:rsidRPr="004E355C" w:rsidRDefault="00562780" w:rsidP="00B95810">
      <w:pPr>
        <w:pStyle w:val="ListParagraph"/>
        <w:numPr>
          <w:ilvl w:val="2"/>
          <w:numId w:val="22"/>
        </w:numPr>
        <w:spacing w:after="100" w:afterAutospacing="1"/>
        <w:ind w:left="1170" w:hanging="270"/>
        <w:jc w:val="both"/>
        <w:rPr>
          <w:rFonts w:asciiTheme="minorHAnsi" w:hAnsiTheme="minorHAnsi"/>
          <w:i/>
          <w:lang w:val="sq-AL"/>
        </w:rPr>
      </w:pPr>
      <w:r w:rsidRPr="004E355C">
        <w:rPr>
          <w:rFonts w:asciiTheme="minorHAnsi" w:hAnsiTheme="minorHAnsi"/>
          <w:i/>
          <w:lang w:val="sq-AL"/>
        </w:rPr>
        <w:t xml:space="preserve">Ndërtim dhe Sistemim Rruge </w:t>
      </w:r>
      <w:r w:rsidR="00AD162D" w:rsidRPr="004E355C">
        <w:rPr>
          <w:rFonts w:asciiTheme="minorHAnsi" w:hAnsiTheme="minorHAnsi"/>
          <w:i/>
          <w:lang w:val="sq-AL"/>
        </w:rPr>
        <w:tab/>
      </w:r>
      <w:r w:rsidRPr="004E355C">
        <w:rPr>
          <w:rFonts w:asciiTheme="minorHAnsi" w:hAnsiTheme="minorHAnsi"/>
          <w:i/>
          <w:lang w:val="sq-AL"/>
        </w:rPr>
        <w:t>513.4 milion lekë</w:t>
      </w:r>
    </w:p>
    <w:p w:rsidR="00562780" w:rsidRPr="004E355C" w:rsidRDefault="00562780" w:rsidP="00B95810">
      <w:pPr>
        <w:pStyle w:val="ListParagraph"/>
        <w:numPr>
          <w:ilvl w:val="2"/>
          <w:numId w:val="22"/>
        </w:numPr>
        <w:spacing w:after="100" w:afterAutospacing="1"/>
        <w:ind w:left="1170" w:hanging="270"/>
        <w:jc w:val="both"/>
        <w:rPr>
          <w:rFonts w:asciiTheme="minorHAnsi" w:hAnsiTheme="minorHAnsi"/>
          <w:i/>
          <w:lang w:val="sq-AL"/>
        </w:rPr>
      </w:pPr>
      <w:r w:rsidRPr="004E355C">
        <w:rPr>
          <w:rFonts w:asciiTheme="minorHAnsi" w:hAnsiTheme="minorHAnsi"/>
          <w:i/>
          <w:lang w:val="sq-AL"/>
        </w:rPr>
        <w:t xml:space="preserve">Vendime Gjyqësore </w:t>
      </w:r>
      <w:r w:rsidR="00AD162D" w:rsidRPr="004E355C">
        <w:rPr>
          <w:rFonts w:asciiTheme="minorHAnsi" w:hAnsiTheme="minorHAnsi"/>
          <w:i/>
          <w:lang w:val="sq-AL"/>
        </w:rPr>
        <w:tab/>
      </w:r>
      <w:r w:rsidR="00AD162D" w:rsidRPr="004E355C">
        <w:rPr>
          <w:rFonts w:asciiTheme="minorHAnsi" w:hAnsiTheme="minorHAnsi"/>
          <w:i/>
          <w:lang w:val="sq-AL"/>
        </w:rPr>
        <w:tab/>
      </w:r>
      <w:r w:rsidRPr="004E355C">
        <w:rPr>
          <w:rFonts w:asciiTheme="minorHAnsi" w:hAnsiTheme="minorHAnsi"/>
          <w:i/>
          <w:lang w:val="sq-AL"/>
        </w:rPr>
        <w:t>237 milion lekë</w:t>
      </w:r>
    </w:p>
    <w:p w:rsidR="00562780" w:rsidRPr="004E355C" w:rsidRDefault="00562780" w:rsidP="00B95810">
      <w:pPr>
        <w:pStyle w:val="ListParagraph"/>
        <w:numPr>
          <w:ilvl w:val="2"/>
          <w:numId w:val="22"/>
        </w:numPr>
        <w:spacing w:before="100" w:beforeAutospacing="1" w:after="100" w:afterAutospacing="1"/>
        <w:ind w:left="1170" w:hanging="270"/>
        <w:jc w:val="both"/>
        <w:rPr>
          <w:rFonts w:asciiTheme="minorHAnsi" w:hAnsiTheme="minorHAnsi"/>
          <w:i/>
          <w:lang w:val="sq-AL"/>
        </w:rPr>
      </w:pPr>
      <w:r w:rsidRPr="004E355C">
        <w:rPr>
          <w:rFonts w:asciiTheme="minorHAnsi" w:hAnsiTheme="minorHAnsi"/>
          <w:i/>
          <w:lang w:val="sq-AL"/>
        </w:rPr>
        <w:t xml:space="preserve">Tvsh &amp; Kosto Lokale </w:t>
      </w:r>
      <w:r w:rsidRPr="004E355C">
        <w:rPr>
          <w:rFonts w:asciiTheme="minorHAnsi" w:hAnsiTheme="minorHAnsi"/>
          <w:i/>
          <w:lang w:val="sq-AL"/>
        </w:rPr>
        <w:tab/>
      </w:r>
      <w:r w:rsidR="00AD162D" w:rsidRPr="004E355C">
        <w:rPr>
          <w:rFonts w:asciiTheme="minorHAnsi" w:hAnsiTheme="minorHAnsi"/>
          <w:i/>
          <w:lang w:val="sq-AL"/>
        </w:rPr>
        <w:tab/>
      </w:r>
      <w:r w:rsidRPr="004E355C">
        <w:rPr>
          <w:rFonts w:asciiTheme="minorHAnsi" w:hAnsiTheme="minorHAnsi"/>
          <w:i/>
          <w:lang w:val="sq-AL"/>
        </w:rPr>
        <w:t>232.8 milion lekë</w:t>
      </w:r>
    </w:p>
    <w:p w:rsidR="00562780" w:rsidRPr="004E355C" w:rsidRDefault="00562780" w:rsidP="00562780">
      <w:pPr>
        <w:spacing w:before="240" w:beforeAutospacing="1" w:after="100" w:afterAutospacing="1" w:line="276" w:lineRule="auto"/>
        <w:jc w:val="both"/>
        <w:rPr>
          <w:rFonts w:asciiTheme="minorHAnsi" w:hAnsiTheme="minorHAnsi"/>
          <w:lang w:val="sq-AL"/>
        </w:rPr>
      </w:pPr>
      <w:r w:rsidRPr="004E355C">
        <w:rPr>
          <w:rFonts w:asciiTheme="minorHAnsi" w:hAnsiTheme="minorHAnsi"/>
          <w:lang w:val="sq-AL"/>
        </w:rPr>
        <w:t>Referuar raportimit, në total rezulton se niveli i planifikuar për t’u paguar gjatë vitit 2019 është rreth 3.76 miliard lekë, ku veçojmë Ministrinë e Infrastrukturës dhe Energjisë e cila ka skeduluar shlyerjen e rreth 3.05 miliard lekë detyrime të prapambetura.</w:t>
      </w:r>
    </w:p>
    <w:p w:rsidR="00B4575B" w:rsidRPr="004E355C" w:rsidRDefault="00B4575B" w:rsidP="00562780">
      <w:pPr>
        <w:spacing w:before="240" w:beforeAutospacing="1" w:after="100" w:afterAutospacing="1" w:line="276" w:lineRule="auto"/>
        <w:jc w:val="both"/>
        <w:rPr>
          <w:rFonts w:asciiTheme="minorHAnsi" w:hAnsiTheme="minorHAnsi"/>
          <w:sz w:val="2"/>
          <w:szCs w:val="12"/>
          <w:lang w:val="sq-AL"/>
        </w:rPr>
      </w:pPr>
    </w:p>
    <w:p w:rsidR="00562780" w:rsidRPr="004E355C" w:rsidRDefault="007E138B" w:rsidP="00A36950">
      <w:pPr>
        <w:spacing w:before="240" w:beforeAutospacing="1" w:after="240" w:line="276" w:lineRule="auto"/>
        <w:jc w:val="both"/>
        <w:rPr>
          <w:rFonts w:asciiTheme="minorHAnsi" w:hAnsiTheme="minorHAnsi"/>
          <w:b/>
          <w:color w:val="4F81BD" w:themeColor="accent1"/>
          <w:sz w:val="26"/>
          <w:szCs w:val="26"/>
          <w:lang w:val="sq-AL"/>
        </w:rPr>
      </w:pPr>
      <w:r w:rsidRPr="004E355C">
        <w:rPr>
          <w:rFonts w:asciiTheme="minorHAnsi" w:hAnsiTheme="minorHAnsi"/>
          <w:b/>
          <w:color w:val="4F81BD" w:themeColor="accent1"/>
          <w:sz w:val="26"/>
          <w:szCs w:val="26"/>
          <w:lang w:val="sq-AL"/>
        </w:rPr>
        <w:t>V.</w:t>
      </w:r>
      <w:r w:rsidR="008705D0" w:rsidRPr="004E355C">
        <w:rPr>
          <w:rFonts w:asciiTheme="minorHAnsi" w:hAnsiTheme="minorHAnsi"/>
          <w:b/>
          <w:color w:val="4F81BD" w:themeColor="accent1"/>
          <w:sz w:val="26"/>
          <w:szCs w:val="26"/>
          <w:lang w:val="sq-AL"/>
        </w:rPr>
        <w:t>2</w:t>
      </w:r>
      <w:r w:rsidR="006F5F7D" w:rsidRPr="004E355C">
        <w:rPr>
          <w:rFonts w:asciiTheme="minorHAnsi" w:hAnsiTheme="minorHAnsi"/>
          <w:b/>
          <w:color w:val="4F81BD" w:themeColor="accent1"/>
          <w:sz w:val="26"/>
          <w:szCs w:val="26"/>
          <w:lang w:val="sq-AL"/>
        </w:rPr>
        <w:t>.1</w:t>
      </w:r>
      <w:r w:rsidR="006F5F7D" w:rsidRPr="004E355C">
        <w:rPr>
          <w:rFonts w:asciiTheme="minorHAnsi" w:hAnsiTheme="minorHAnsi"/>
          <w:b/>
          <w:color w:val="4F81BD" w:themeColor="accent1"/>
          <w:sz w:val="26"/>
          <w:szCs w:val="26"/>
          <w:lang w:val="sq-AL"/>
        </w:rPr>
        <w:tab/>
      </w:r>
      <w:r w:rsidR="00562780" w:rsidRPr="004E355C">
        <w:rPr>
          <w:rFonts w:asciiTheme="minorHAnsi" w:hAnsiTheme="minorHAnsi"/>
          <w:b/>
          <w:color w:val="4F81BD" w:themeColor="accent1"/>
          <w:sz w:val="26"/>
          <w:szCs w:val="26"/>
          <w:lang w:val="sq-AL"/>
        </w:rPr>
        <w:t>Vendimet gjyqësore administrative të formës së prerë</w:t>
      </w:r>
    </w:p>
    <w:p w:rsidR="007E138B" w:rsidRPr="004E355C" w:rsidRDefault="00562780" w:rsidP="008705D0">
      <w:pPr>
        <w:spacing w:before="240" w:after="200" w:line="276" w:lineRule="auto"/>
        <w:contextualSpacing/>
        <w:jc w:val="both"/>
        <w:rPr>
          <w:rFonts w:asciiTheme="minorHAnsi" w:eastAsia="Calibri" w:hAnsiTheme="minorHAnsi"/>
          <w:bCs/>
          <w:lang w:val="sq-AL" w:eastAsia="sq-AL"/>
        </w:rPr>
      </w:pPr>
      <w:r w:rsidRPr="004E355C">
        <w:rPr>
          <w:rFonts w:asciiTheme="minorHAnsi" w:eastAsia="Calibri" w:hAnsiTheme="minorHAnsi"/>
          <w:bCs/>
          <w:lang w:val="sq-AL" w:eastAsia="sq-AL"/>
        </w:rPr>
        <w:t xml:space="preserve">Këto vendime kanë kryesisht në sfond largimet e padrejta nga puna të ish-punonjësve, të cilat në çdo rast implikojnë kosto buxhetore të paparashikuara. Këto detyrime monitorohen dhe raportohen nga Miinistria e Financave dhe Ekonomisë, në kuadër të monitorimit të përgjithshëm të detyrimeve të prapambetura. </w:t>
      </w:r>
    </w:p>
    <w:p w:rsidR="006F5F7D" w:rsidRPr="004E355C" w:rsidRDefault="006F5F7D" w:rsidP="007E138B">
      <w:pPr>
        <w:spacing w:before="240" w:after="200" w:line="276" w:lineRule="auto"/>
        <w:contextualSpacing/>
        <w:jc w:val="both"/>
        <w:rPr>
          <w:rFonts w:asciiTheme="minorHAnsi" w:eastAsia="Calibri" w:hAnsiTheme="minorHAnsi"/>
          <w:bCs/>
          <w:sz w:val="8"/>
          <w:szCs w:val="8"/>
          <w:lang w:val="sq-AL" w:eastAsia="sq-AL"/>
        </w:rPr>
      </w:pPr>
    </w:p>
    <w:p w:rsidR="006F5F7D" w:rsidRPr="004E355C" w:rsidRDefault="00562780" w:rsidP="006F5F7D">
      <w:pPr>
        <w:spacing w:before="240" w:after="200" w:line="276" w:lineRule="auto"/>
        <w:contextualSpacing/>
        <w:jc w:val="both"/>
        <w:rPr>
          <w:rFonts w:asciiTheme="minorHAnsi" w:eastAsia="Calibri" w:hAnsiTheme="minorHAnsi"/>
          <w:bCs/>
          <w:lang w:val="sq-AL" w:eastAsia="sq-AL"/>
        </w:rPr>
      </w:pPr>
      <w:r w:rsidRPr="004E355C">
        <w:rPr>
          <w:rFonts w:asciiTheme="minorHAnsi" w:eastAsia="Calibri" w:hAnsiTheme="minorHAnsi"/>
          <w:bCs/>
          <w:lang w:val="sq-AL" w:eastAsia="sq-AL"/>
        </w:rPr>
        <w:t>Ministria e Financave dhe Ekonomisë, për t’i paraprirë akumulimit të tyre në kohë, përveç një monitorimi periodik, vazhdimisht i ka bërë apel aftësisë menaxhuese të vetë institucioneve buxhetore, përmes aplikimit me këste të pagesës për përfituesit apo instrumentave të tjerë të lehtësimit dhe/ose zhvendosjes në kohë të të barrës së tyre buxhetore.</w:t>
      </w:r>
      <w:r w:rsidR="006F5F7D" w:rsidRPr="004E355C">
        <w:rPr>
          <w:rFonts w:asciiTheme="minorHAnsi" w:eastAsia="Calibri" w:hAnsiTheme="minorHAnsi"/>
          <w:bCs/>
          <w:lang w:val="sq-AL" w:eastAsia="sq-AL"/>
        </w:rPr>
        <w:t xml:space="preserve"> </w:t>
      </w:r>
      <w:bookmarkStart w:id="97" w:name="_Toc11141715"/>
      <w:r w:rsidR="006F5F7D" w:rsidRPr="004E355C">
        <w:rPr>
          <w:rFonts w:asciiTheme="minorHAnsi" w:eastAsia="Calibri" w:hAnsiTheme="minorHAnsi"/>
          <w:bCs/>
          <w:lang w:val="sq-AL" w:eastAsia="sq-AL"/>
        </w:rPr>
        <w:t>Grafiku i mëposhtëm paraqet ecurinë e nivelit të detyrimeve të prapambetura për vendime gjyqësore deri në Mars 2019, mbi bazë tremujore.</w:t>
      </w:r>
    </w:p>
    <w:p w:rsidR="00562780" w:rsidRPr="004E355C" w:rsidRDefault="006F5F7D" w:rsidP="00562780">
      <w:pPr>
        <w:pStyle w:val="Caption"/>
        <w:spacing w:after="0" w:line="276" w:lineRule="auto"/>
        <w:jc w:val="both"/>
        <w:rPr>
          <w:rFonts w:asciiTheme="minorHAnsi" w:hAnsiTheme="minorHAnsi"/>
          <w:b w:val="0"/>
          <w:bCs w:val="0"/>
          <w:i/>
          <w:color w:val="auto"/>
          <w:sz w:val="24"/>
          <w:szCs w:val="24"/>
          <w:lang w:val="sq-AL"/>
        </w:rPr>
      </w:pPr>
      <w:bookmarkStart w:id="98" w:name="_Toc12448467"/>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41</w:t>
      </w:r>
      <w:r w:rsidRPr="004E355C">
        <w:rPr>
          <w:rFonts w:asciiTheme="minorHAnsi" w:hAnsiTheme="minorHAnsi"/>
          <w:b w:val="0"/>
          <w:bCs w:val="0"/>
          <w:i/>
          <w:color w:val="auto"/>
          <w:sz w:val="24"/>
          <w:szCs w:val="24"/>
          <w:lang w:val="sq-AL"/>
        </w:rPr>
        <w:fldChar w:fldCharType="end"/>
      </w:r>
      <w:r w:rsidR="00176D77" w:rsidRPr="004E355C">
        <w:rPr>
          <w:rFonts w:asciiTheme="minorHAnsi" w:hAnsiTheme="minorHAnsi"/>
          <w:b w:val="0"/>
          <w:bCs w:val="0"/>
          <w:i/>
          <w:color w:val="auto"/>
          <w:sz w:val="24"/>
          <w:szCs w:val="24"/>
          <w:lang w:val="sq-AL"/>
        </w:rPr>
        <w:t xml:space="preserve">: </w:t>
      </w:r>
      <w:r w:rsidR="00562780" w:rsidRPr="004E355C">
        <w:rPr>
          <w:rFonts w:asciiTheme="minorHAnsi" w:hAnsiTheme="minorHAnsi"/>
          <w:b w:val="0"/>
          <w:bCs w:val="0"/>
          <w:i/>
          <w:color w:val="auto"/>
          <w:sz w:val="24"/>
          <w:szCs w:val="24"/>
          <w:lang w:val="sq-AL"/>
        </w:rPr>
        <w:t>Ecuria e detyrimeve të prapambetura për vendime gjyqësore (në milionë lekë)</w:t>
      </w:r>
      <w:bookmarkEnd w:id="97"/>
      <w:bookmarkEnd w:id="98"/>
      <w:r w:rsidR="00562780" w:rsidRPr="004E355C">
        <w:rPr>
          <w:rFonts w:asciiTheme="minorHAnsi" w:hAnsiTheme="minorHAnsi"/>
          <w:b w:val="0"/>
          <w:bCs w:val="0"/>
          <w:i/>
          <w:color w:val="auto"/>
          <w:sz w:val="24"/>
          <w:szCs w:val="24"/>
          <w:lang w:val="sq-AL"/>
        </w:rPr>
        <w:t xml:space="preserve"> </w:t>
      </w:r>
    </w:p>
    <w:p w:rsidR="00562780" w:rsidRPr="004E355C" w:rsidRDefault="00562780" w:rsidP="00562780">
      <w:pPr>
        <w:pStyle w:val="ListParagraph"/>
        <w:spacing w:before="120" w:line="276" w:lineRule="auto"/>
        <w:ind w:left="0"/>
        <w:jc w:val="center"/>
        <w:rPr>
          <w:rFonts w:asciiTheme="minorHAnsi" w:hAnsiTheme="minorHAnsi"/>
          <w:lang w:val="sq-AL"/>
        </w:rPr>
      </w:pPr>
      <w:r w:rsidRPr="004E355C">
        <w:rPr>
          <w:rFonts w:asciiTheme="minorHAnsi" w:hAnsiTheme="minorHAnsi"/>
          <w:noProof/>
        </w:rPr>
        <w:drawing>
          <wp:inline distT="0" distB="0" distL="0" distR="0" wp14:anchorId="5FED17B5" wp14:editId="25B37603">
            <wp:extent cx="5917565" cy="1539240"/>
            <wp:effectExtent l="0" t="0" r="6985" b="381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F5F7D" w:rsidRPr="004E355C" w:rsidRDefault="006F5F7D" w:rsidP="006F5F7D">
      <w:pPr>
        <w:spacing w:line="276" w:lineRule="auto"/>
        <w:ind w:firstLine="720"/>
        <w:rPr>
          <w:rFonts w:asciiTheme="minorHAnsi" w:eastAsia="SimSun" w:hAnsiTheme="minorHAnsi"/>
          <w:i/>
          <w:sz w:val="22"/>
          <w:lang w:val="sq-AL"/>
        </w:rPr>
      </w:pPr>
      <w:r w:rsidRPr="004E355C">
        <w:rPr>
          <w:rFonts w:asciiTheme="minorHAnsi" w:eastAsia="SimSun" w:hAnsiTheme="minorHAnsi"/>
          <w:i/>
          <w:sz w:val="22"/>
          <w:lang w:val="sq-AL"/>
        </w:rPr>
        <w:t>Burimi: Ministria e Financave dhe Ekonomisë (2019)</w:t>
      </w:r>
    </w:p>
    <w:p w:rsidR="00562780" w:rsidRPr="004E355C" w:rsidRDefault="00562780" w:rsidP="00562780">
      <w:pPr>
        <w:pStyle w:val="ListParagraph"/>
        <w:spacing w:before="120" w:line="276" w:lineRule="auto"/>
        <w:ind w:left="0"/>
        <w:jc w:val="both"/>
        <w:rPr>
          <w:rFonts w:asciiTheme="minorHAnsi" w:hAnsiTheme="minorHAnsi"/>
          <w:lang w:val="sq-AL"/>
        </w:rPr>
      </w:pPr>
      <w:r w:rsidRPr="004E355C">
        <w:rPr>
          <w:rFonts w:asciiTheme="minorHAnsi" w:hAnsiTheme="minorHAnsi"/>
          <w:lang w:val="sq-AL"/>
        </w:rPr>
        <w:t>Ministria e Financave dhe Ekonomisë i ka sugjeruar të gjitha njësive të auditimit të brendshëm në sektorin publik që në “</w:t>
      </w:r>
      <w:r w:rsidRPr="004E355C">
        <w:rPr>
          <w:rFonts w:asciiTheme="minorHAnsi" w:hAnsiTheme="minorHAnsi"/>
          <w:i/>
          <w:lang w:val="sq-AL"/>
        </w:rPr>
        <w:t>Planin strategjik dhe vjetor të veprimtarisë audituese për vitet 2018 – 2020</w:t>
      </w:r>
      <w:r w:rsidRPr="004E355C">
        <w:rPr>
          <w:rFonts w:asciiTheme="minorHAnsi" w:hAnsiTheme="minorHAnsi"/>
          <w:lang w:val="sq-AL"/>
        </w:rPr>
        <w:t xml:space="preserve">” të përfshijnë angazhime auditimi për analizimin dhe vlerësimin e situatës së detyrimeve të prapambetura të njësive publike. Kjo, përsa kohë që detyrimet e prapambetura janë përcaktuar si fushë me risk të lartë dhe duhet të trajtohen me përparësi nga auditimi i brendshëm i njësive publike, për të paraqituar gjendjen aktuale dhe për të dhënë rekomandime sa më të vlefshme për shlyerjen e tyre në afate të përcaktuara. </w:t>
      </w:r>
      <w:bookmarkStart w:id="99" w:name="_Toc10033288"/>
      <w:bookmarkStart w:id="100" w:name="_Toc10721425"/>
      <w:bookmarkEnd w:id="99"/>
      <w:bookmarkEnd w:id="100"/>
    </w:p>
    <w:p w:rsidR="00562780" w:rsidRPr="004E355C" w:rsidRDefault="00562780" w:rsidP="00562780">
      <w:pPr>
        <w:pStyle w:val="ListParagraph"/>
        <w:spacing w:before="120" w:line="276" w:lineRule="auto"/>
        <w:ind w:left="0"/>
        <w:jc w:val="both"/>
        <w:rPr>
          <w:rFonts w:asciiTheme="minorHAnsi" w:hAnsiTheme="minorHAnsi"/>
          <w:lang w:val="sq-AL"/>
        </w:rPr>
      </w:pPr>
    </w:p>
    <w:p w:rsidR="00562780" w:rsidRPr="004E355C" w:rsidRDefault="008705D0" w:rsidP="006F5F7D">
      <w:pPr>
        <w:pStyle w:val="Heading2"/>
        <w:spacing w:line="276" w:lineRule="auto"/>
        <w:ind w:left="720" w:hanging="720"/>
        <w:rPr>
          <w:rFonts w:asciiTheme="minorHAnsi" w:hAnsiTheme="minorHAnsi"/>
          <w:noProof/>
          <w:color w:val="4F81BD" w:themeColor="accent1"/>
          <w:sz w:val="28"/>
          <w:szCs w:val="24"/>
          <w:lang w:val="sq-AL"/>
        </w:rPr>
      </w:pPr>
      <w:bookmarkStart w:id="101" w:name="_Toc12527233"/>
      <w:r w:rsidRPr="004E355C">
        <w:rPr>
          <w:rFonts w:asciiTheme="minorHAnsi" w:hAnsiTheme="minorHAnsi"/>
          <w:noProof/>
          <w:color w:val="4F81BD" w:themeColor="accent1"/>
          <w:sz w:val="28"/>
          <w:szCs w:val="24"/>
          <w:lang w:val="sq-AL"/>
        </w:rPr>
        <w:t>V.3</w:t>
      </w:r>
      <w:r w:rsidRPr="004E355C">
        <w:rPr>
          <w:rFonts w:asciiTheme="minorHAnsi" w:hAnsiTheme="minorHAnsi"/>
          <w:noProof/>
          <w:color w:val="4F81BD" w:themeColor="accent1"/>
          <w:sz w:val="28"/>
          <w:szCs w:val="24"/>
          <w:lang w:val="sq-AL"/>
        </w:rPr>
        <w:tab/>
      </w:r>
      <w:r w:rsidR="00562780" w:rsidRPr="004E355C">
        <w:rPr>
          <w:rFonts w:asciiTheme="minorHAnsi" w:hAnsiTheme="minorHAnsi"/>
          <w:noProof/>
          <w:color w:val="4F81BD" w:themeColor="accent1"/>
          <w:sz w:val="28"/>
          <w:szCs w:val="24"/>
          <w:lang w:val="sq-AL"/>
        </w:rPr>
        <w:t>Koncesionet/PPP-të</w:t>
      </w:r>
      <w:bookmarkEnd w:id="79"/>
      <w:bookmarkEnd w:id="80"/>
      <w:bookmarkEnd w:id="81"/>
      <w:bookmarkEnd w:id="101"/>
    </w:p>
    <w:p w:rsidR="00562780" w:rsidRPr="004E355C" w:rsidRDefault="00562780" w:rsidP="00562780">
      <w:pPr>
        <w:spacing w:before="240" w:after="200" w:line="276" w:lineRule="auto"/>
        <w:contextualSpacing/>
        <w:jc w:val="both"/>
        <w:rPr>
          <w:rFonts w:asciiTheme="minorHAnsi" w:hAnsiTheme="minorHAnsi"/>
          <w:lang w:val="sq-AL"/>
        </w:rPr>
      </w:pPr>
      <w:r w:rsidRPr="004E355C">
        <w:rPr>
          <w:rFonts w:asciiTheme="minorHAnsi" w:hAnsiTheme="minorHAnsi"/>
          <w:lang w:val="sq-AL"/>
        </w:rPr>
        <w:t xml:space="preserve">Ministria e Financave dhe Ekonomisë (MFE) vlerëson dhe miraton paraprakisht të gjitha projektet koncesionare dhe të partneritetit publik privat (PPP), si edhe çdo ndryshim të tyre, nga pikëpamja e implikimeve individuale apo në grup, për shpenzimet buxhetore, deficitin buxhetor, qëndrueshmërinë e borxhit publik dhe detyrimet kontingjente eventuale. Shuma totale e pagesave vjetore neto, që kryhen nga njësitë e qeverisjes së përgjithshme, të cilat rezultojnë nga kontrata koncesionare apo partneriteti publik privat (PPP), si rregull, nuk duhet të tejkalojë kufirin prej 5 përqind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 </w:t>
      </w:r>
    </w:p>
    <w:p w:rsidR="00562780" w:rsidRPr="004E355C" w:rsidRDefault="008705D0" w:rsidP="00562780">
      <w:pPr>
        <w:spacing w:before="240" w:after="200" w:line="276" w:lineRule="auto"/>
        <w:contextualSpacing/>
        <w:jc w:val="both"/>
        <w:rPr>
          <w:rFonts w:asciiTheme="minorHAnsi" w:hAnsiTheme="minorHAnsi"/>
          <w:lang w:val="sq-AL"/>
        </w:rPr>
      </w:pPr>
      <w:r w:rsidRPr="004E355C">
        <w:rPr>
          <w:rFonts w:asciiTheme="minorHAnsi" w:hAnsiTheme="minorHAnsi"/>
          <w:lang w:val="sq-AL"/>
        </w:rPr>
        <w:t>R</w:t>
      </w:r>
      <w:r w:rsidR="00562780" w:rsidRPr="004E355C">
        <w:rPr>
          <w:rFonts w:asciiTheme="minorHAnsi" w:hAnsiTheme="minorHAnsi"/>
          <w:lang w:val="sq-AL"/>
        </w:rPr>
        <w:t>eferuar përgjegjësive specifike të njësive monitoruese respektive në MFE, të gjitha njësitë e qeverisjes qendrore, ndërmarrjet shtetërore dhe autoritetet kontraktuese janë të detyruara të paraqesin:</w:t>
      </w:r>
    </w:p>
    <w:p w:rsidR="00562780" w:rsidRPr="004E355C" w:rsidRDefault="00562780" w:rsidP="00B95810">
      <w:pPr>
        <w:numPr>
          <w:ilvl w:val="0"/>
          <w:numId w:val="14"/>
        </w:numPr>
        <w:spacing w:before="240" w:after="200" w:line="276" w:lineRule="auto"/>
        <w:ind w:left="450" w:hanging="270"/>
        <w:contextualSpacing/>
        <w:jc w:val="both"/>
        <w:rPr>
          <w:rFonts w:asciiTheme="minorHAnsi" w:eastAsia="Calibri" w:hAnsiTheme="minorHAnsi"/>
          <w:u w:val="single"/>
          <w:lang w:val="sq-AL"/>
        </w:rPr>
      </w:pPr>
      <w:r w:rsidRPr="004E355C">
        <w:rPr>
          <w:rFonts w:asciiTheme="minorHAnsi" w:eastAsia="Calibri" w:hAnsiTheme="minorHAnsi"/>
          <w:u w:val="single"/>
          <w:lang w:val="sq-AL"/>
        </w:rPr>
        <w:t>Pranë Sektorit të Risqeve Fiskale në MFE:</w:t>
      </w:r>
    </w:p>
    <w:p w:rsidR="00562780" w:rsidRPr="004E355C" w:rsidRDefault="00562780" w:rsidP="00B95810">
      <w:pPr>
        <w:numPr>
          <w:ilvl w:val="0"/>
          <w:numId w:val="15"/>
        </w:numPr>
        <w:spacing w:after="200" w:line="276" w:lineRule="auto"/>
        <w:ind w:left="990"/>
        <w:contextualSpacing/>
        <w:jc w:val="both"/>
        <w:rPr>
          <w:rFonts w:asciiTheme="minorHAnsi" w:eastAsia="MS Mincho" w:hAnsiTheme="minorHAnsi"/>
          <w:i/>
          <w:lang w:val="sq-AL"/>
        </w:rPr>
      </w:pPr>
      <w:r w:rsidRPr="004E355C">
        <w:rPr>
          <w:rFonts w:asciiTheme="minorHAnsi" w:eastAsia="Calibri" w:hAnsiTheme="minorHAnsi"/>
          <w:i/>
          <w:lang w:val="sq-AL"/>
        </w:rPr>
        <w:t>Raportin periodik të detyrimeve të prapambetura dhe detyrimeve të krijuara rishtazi  në njësitë e qeverisjes qendrore;</w:t>
      </w:r>
    </w:p>
    <w:p w:rsidR="00562780" w:rsidRPr="004E355C" w:rsidRDefault="00562780" w:rsidP="00B95810">
      <w:pPr>
        <w:numPr>
          <w:ilvl w:val="0"/>
          <w:numId w:val="15"/>
        </w:numPr>
        <w:spacing w:after="200" w:line="276" w:lineRule="auto"/>
        <w:ind w:left="990"/>
        <w:contextualSpacing/>
        <w:jc w:val="both"/>
        <w:rPr>
          <w:rFonts w:asciiTheme="minorHAnsi" w:eastAsia="MS Mincho" w:hAnsiTheme="minorHAnsi"/>
          <w:i/>
          <w:lang w:val="sq-AL"/>
        </w:rPr>
      </w:pPr>
      <w:r w:rsidRPr="004E355C">
        <w:rPr>
          <w:rFonts w:asciiTheme="minorHAnsi" w:eastAsia="Calibri" w:hAnsiTheme="minorHAnsi"/>
          <w:i/>
          <w:lang w:val="sq-AL"/>
        </w:rPr>
        <w:t>Raportin e detyrimeve të prapambetura të krijuara rishtazi për rimbursimin e TVSH-së;</w:t>
      </w:r>
    </w:p>
    <w:p w:rsidR="00562780" w:rsidRPr="004E355C" w:rsidRDefault="00562780" w:rsidP="00B95810">
      <w:pPr>
        <w:numPr>
          <w:ilvl w:val="0"/>
          <w:numId w:val="15"/>
        </w:numPr>
        <w:spacing w:after="200" w:line="276" w:lineRule="auto"/>
        <w:ind w:left="990"/>
        <w:contextualSpacing/>
        <w:jc w:val="both"/>
        <w:rPr>
          <w:rFonts w:asciiTheme="minorHAnsi" w:eastAsia="MS Mincho" w:hAnsiTheme="minorHAnsi"/>
          <w:i/>
          <w:lang w:val="sq-AL"/>
        </w:rPr>
      </w:pPr>
      <w:r w:rsidRPr="004E355C">
        <w:rPr>
          <w:rFonts w:asciiTheme="minorHAnsi" w:eastAsia="Calibri" w:hAnsiTheme="minorHAnsi"/>
          <w:i/>
          <w:lang w:val="sq-AL"/>
        </w:rPr>
        <w:t>Skedulin e pagesave të detyrimeve të prapambetura;</w:t>
      </w:r>
    </w:p>
    <w:p w:rsidR="00562780" w:rsidRPr="004E355C" w:rsidRDefault="00562780" w:rsidP="00B95810">
      <w:pPr>
        <w:numPr>
          <w:ilvl w:val="0"/>
          <w:numId w:val="15"/>
        </w:numPr>
        <w:spacing w:after="200" w:line="276" w:lineRule="auto"/>
        <w:ind w:left="990"/>
        <w:contextualSpacing/>
        <w:jc w:val="both"/>
        <w:rPr>
          <w:rFonts w:asciiTheme="minorHAnsi" w:eastAsia="MS Mincho" w:hAnsiTheme="minorHAnsi"/>
          <w:i/>
          <w:lang w:val="sq-AL"/>
        </w:rPr>
      </w:pPr>
      <w:r w:rsidRPr="004E355C">
        <w:rPr>
          <w:rFonts w:asciiTheme="minorHAnsi" w:eastAsia="Calibri" w:hAnsiTheme="minorHAnsi"/>
          <w:i/>
          <w:lang w:val="sq-AL"/>
        </w:rPr>
        <w:t>Ndërmarrjet shtetërore në sektorin e energjisë dërgojnë pasqyrat financiare tre mujore dhe ndërmarrjet e tjera shtetërore raportojnë lidhur me treguesit kryesorë financiarë sipas formateve të përcaktuara në udhëzimin e zbatimit të buxhetit 2019;</w:t>
      </w:r>
    </w:p>
    <w:p w:rsidR="00562780" w:rsidRPr="004E355C" w:rsidRDefault="00562780" w:rsidP="00B95810">
      <w:pPr>
        <w:numPr>
          <w:ilvl w:val="0"/>
          <w:numId w:val="15"/>
        </w:numPr>
        <w:spacing w:after="200" w:line="276" w:lineRule="auto"/>
        <w:ind w:left="990"/>
        <w:contextualSpacing/>
        <w:jc w:val="both"/>
        <w:rPr>
          <w:rFonts w:asciiTheme="minorHAnsi" w:eastAsia="MS Mincho" w:hAnsiTheme="minorHAnsi"/>
          <w:i/>
          <w:lang w:val="sq-AL"/>
        </w:rPr>
      </w:pPr>
      <w:r w:rsidRPr="004E355C">
        <w:rPr>
          <w:rFonts w:asciiTheme="minorHAnsi" w:eastAsia="MS Mincho" w:hAnsiTheme="minorHAnsi"/>
          <w:i/>
          <w:lang w:val="sq-AL"/>
        </w:rPr>
        <w:t>Raportin mujor mbi ecurinë e performancës financiare dhe jo financiare (treguesit e performancës) për kontratat e koncesioneve/PPP me mbështetje buxhetore.</w:t>
      </w:r>
    </w:p>
    <w:p w:rsidR="00562780" w:rsidRPr="004E355C" w:rsidRDefault="00562780" w:rsidP="00B95810">
      <w:pPr>
        <w:numPr>
          <w:ilvl w:val="0"/>
          <w:numId w:val="14"/>
        </w:numPr>
        <w:spacing w:before="240" w:after="200" w:line="276" w:lineRule="auto"/>
        <w:ind w:left="450" w:hanging="270"/>
        <w:contextualSpacing/>
        <w:jc w:val="both"/>
        <w:rPr>
          <w:rFonts w:asciiTheme="minorHAnsi" w:eastAsia="Calibri" w:hAnsiTheme="minorHAnsi"/>
          <w:u w:val="single"/>
          <w:lang w:val="sq-AL"/>
        </w:rPr>
      </w:pPr>
      <w:r w:rsidRPr="004E355C">
        <w:rPr>
          <w:rFonts w:asciiTheme="minorHAnsi" w:eastAsia="Calibri" w:hAnsiTheme="minorHAnsi"/>
          <w:u w:val="single"/>
          <w:lang w:val="sq-AL"/>
        </w:rPr>
        <w:lastRenderedPageBreak/>
        <w:t>Pranë Drejtorisë së Konçesioneve në MFE:</w:t>
      </w:r>
    </w:p>
    <w:p w:rsidR="00562780" w:rsidRPr="004E355C" w:rsidRDefault="00562780" w:rsidP="00B95810">
      <w:pPr>
        <w:numPr>
          <w:ilvl w:val="0"/>
          <w:numId w:val="15"/>
        </w:numPr>
        <w:spacing w:after="200" w:line="276" w:lineRule="auto"/>
        <w:ind w:left="990"/>
        <w:contextualSpacing/>
        <w:jc w:val="both"/>
        <w:rPr>
          <w:rFonts w:asciiTheme="minorHAnsi" w:eastAsia="Calibri" w:hAnsiTheme="minorHAnsi"/>
          <w:i/>
          <w:lang w:val="sq-AL"/>
        </w:rPr>
      </w:pPr>
      <w:r w:rsidRPr="004E355C">
        <w:rPr>
          <w:rFonts w:asciiTheme="minorHAnsi" w:eastAsia="Calibri" w:hAnsiTheme="minorHAnsi"/>
          <w:i/>
          <w:lang w:val="sq-AL"/>
        </w:rPr>
        <w:t>Raportin mbi ecurinë e termave të kontratës për të gjitha kontratat koncesionare/PPP;</w:t>
      </w:r>
    </w:p>
    <w:p w:rsidR="00562780" w:rsidRPr="004E355C" w:rsidRDefault="00562780" w:rsidP="00B95810">
      <w:pPr>
        <w:numPr>
          <w:ilvl w:val="0"/>
          <w:numId w:val="15"/>
        </w:numPr>
        <w:spacing w:after="200" w:line="276" w:lineRule="auto"/>
        <w:ind w:left="990"/>
        <w:contextualSpacing/>
        <w:jc w:val="both"/>
        <w:rPr>
          <w:rFonts w:asciiTheme="minorHAnsi" w:eastAsia="Calibri" w:hAnsiTheme="minorHAnsi"/>
          <w:lang w:val="sq-AL"/>
        </w:rPr>
      </w:pPr>
      <w:r w:rsidRPr="004E355C">
        <w:rPr>
          <w:rFonts w:asciiTheme="minorHAnsi" w:eastAsia="Calibri" w:hAnsiTheme="minorHAnsi"/>
          <w:lang w:val="sq-AL"/>
        </w:rPr>
        <w:t>Raportin periodik të risqeve të përcaktuara në kontratë për të gjitha kontratat koncesionare/PPP.</w:t>
      </w:r>
    </w:p>
    <w:p w:rsidR="0095480B" w:rsidRPr="004E355C" w:rsidRDefault="0095480B" w:rsidP="0095480B">
      <w:pPr>
        <w:spacing w:before="240" w:after="200" w:line="276" w:lineRule="auto"/>
        <w:ind w:left="450"/>
        <w:contextualSpacing/>
        <w:jc w:val="both"/>
        <w:rPr>
          <w:rFonts w:asciiTheme="minorHAnsi" w:eastAsia="Calibri" w:hAnsiTheme="minorHAnsi"/>
          <w:sz w:val="8"/>
          <w:szCs w:val="8"/>
          <w:u w:val="single"/>
          <w:lang w:val="sq-AL"/>
        </w:rPr>
      </w:pPr>
    </w:p>
    <w:p w:rsidR="00562780" w:rsidRPr="004E355C" w:rsidRDefault="00562780" w:rsidP="00B95810">
      <w:pPr>
        <w:numPr>
          <w:ilvl w:val="0"/>
          <w:numId w:val="14"/>
        </w:numPr>
        <w:spacing w:before="240" w:after="200" w:line="276" w:lineRule="auto"/>
        <w:ind w:left="450" w:hanging="270"/>
        <w:contextualSpacing/>
        <w:jc w:val="both"/>
        <w:rPr>
          <w:rFonts w:asciiTheme="minorHAnsi" w:eastAsia="Calibri" w:hAnsiTheme="minorHAnsi"/>
          <w:u w:val="single"/>
          <w:lang w:val="sq-AL"/>
        </w:rPr>
      </w:pPr>
      <w:r w:rsidRPr="004E355C">
        <w:rPr>
          <w:rFonts w:asciiTheme="minorHAnsi" w:eastAsia="Calibri" w:hAnsiTheme="minorHAnsi"/>
          <w:u w:val="single"/>
          <w:lang w:val="sq-AL"/>
        </w:rPr>
        <w:t>Pranë ATRAKO-s në MFE:</w:t>
      </w:r>
    </w:p>
    <w:p w:rsidR="00562780" w:rsidRPr="004E355C" w:rsidRDefault="00562780" w:rsidP="00B95810">
      <w:pPr>
        <w:numPr>
          <w:ilvl w:val="0"/>
          <w:numId w:val="15"/>
        </w:numPr>
        <w:spacing w:after="200" w:line="276" w:lineRule="auto"/>
        <w:ind w:left="990"/>
        <w:contextualSpacing/>
        <w:jc w:val="both"/>
        <w:rPr>
          <w:rFonts w:asciiTheme="minorHAnsi" w:eastAsia="Calibri" w:hAnsiTheme="minorHAnsi"/>
          <w:lang w:val="sq-AL"/>
        </w:rPr>
      </w:pPr>
      <w:r w:rsidRPr="004E355C">
        <w:rPr>
          <w:rFonts w:asciiTheme="minorHAnsi" w:eastAsia="Calibri" w:hAnsiTheme="minorHAnsi"/>
          <w:lang w:val="sq-AL"/>
        </w:rPr>
        <w:t>Kontratat e lidhura nga Autoritetet Kontraktore me dhe pa mbështetje buxhetore.</w:t>
      </w:r>
    </w:p>
    <w:p w:rsidR="0095480B" w:rsidRPr="004E355C" w:rsidRDefault="0095480B" w:rsidP="00562780">
      <w:pPr>
        <w:spacing w:line="276" w:lineRule="auto"/>
        <w:jc w:val="both"/>
        <w:rPr>
          <w:rFonts w:asciiTheme="minorHAnsi" w:hAnsiTheme="minorHAnsi"/>
          <w:lang w:val="sq-AL"/>
        </w:rPr>
      </w:pPr>
    </w:p>
    <w:p w:rsidR="00562780" w:rsidRPr="004E355C" w:rsidRDefault="00562780" w:rsidP="0095480B">
      <w:pPr>
        <w:spacing w:line="276" w:lineRule="auto"/>
        <w:jc w:val="both"/>
        <w:rPr>
          <w:rFonts w:asciiTheme="minorHAnsi" w:hAnsiTheme="minorHAnsi"/>
          <w:lang w:val="sq-AL"/>
        </w:rPr>
      </w:pPr>
      <w:r w:rsidRPr="004E355C">
        <w:rPr>
          <w:rFonts w:asciiTheme="minorHAnsi" w:hAnsiTheme="minorHAnsi"/>
          <w:b/>
          <w:lang w:val="sq-AL"/>
        </w:rPr>
        <w:t>Në fund të periudhës 5 mujore të vitit 2</w:t>
      </w:r>
      <w:r w:rsidR="0095480B" w:rsidRPr="004E355C">
        <w:rPr>
          <w:rFonts w:asciiTheme="minorHAnsi" w:hAnsiTheme="minorHAnsi"/>
          <w:b/>
          <w:lang w:val="sq-AL"/>
        </w:rPr>
        <w:t>019</w:t>
      </w:r>
      <w:r w:rsidR="0095480B" w:rsidRPr="004E355C">
        <w:rPr>
          <w:rFonts w:asciiTheme="minorHAnsi" w:hAnsiTheme="minorHAnsi"/>
          <w:lang w:val="sq-AL"/>
        </w:rPr>
        <w:t xml:space="preserve">, në nivel total rezultoi se </w:t>
      </w:r>
      <w:r w:rsidRPr="004E355C">
        <w:rPr>
          <w:rFonts w:asciiTheme="minorHAnsi" w:hAnsiTheme="minorHAnsi"/>
          <w:lang w:val="sq-AL"/>
        </w:rPr>
        <w:t>12 kontrata koncesionare/PPP vijojnë aktivitetin e planifikuar, prej të cilave:</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 xml:space="preserve">10 kontrata koncesionare/PPP kanë pagesa faktike buxhetore, për periudhën 5 mujore, </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 xml:space="preserve">Për 2 kontrata nuk është kryer asnjë pagesë referuar periudhës 5 mujore. </w:t>
      </w:r>
    </w:p>
    <w:p w:rsidR="00562780" w:rsidRPr="004E355C" w:rsidRDefault="00562780" w:rsidP="00B4575B">
      <w:pPr>
        <w:spacing w:before="240" w:beforeAutospacing="1" w:line="276" w:lineRule="auto"/>
        <w:jc w:val="both"/>
        <w:rPr>
          <w:rFonts w:asciiTheme="minorHAnsi" w:hAnsiTheme="minorHAnsi"/>
          <w:lang w:val="sq-AL"/>
        </w:rPr>
      </w:pPr>
      <w:r w:rsidRPr="004E355C">
        <w:rPr>
          <w:rFonts w:asciiTheme="minorHAnsi" w:hAnsiTheme="minorHAnsi"/>
          <w:lang w:val="sq-AL"/>
        </w:rPr>
        <w:t>Fondet buxhetore të planifikuara për vitin 2019, me destinacion mbështetjen nga buxheti për kontratat konçesionare/PPP, në total janë rreth 11.78 miliardë lekë. Nga këto, rreth 6.38 miliardë lekë janë investime dhe 5.4 miliardë lekë shpenzime korente. Krahasuar me pagesat faktike të vitit 2018 të cilat arritën vlerën 8.76 miliard lekë, pagesat e planifikuara për vitin 2019 janë rreth 3.025 miliard lekë më të larta ose 34.5 përqind më shumë.</w:t>
      </w:r>
      <w:r w:rsidR="00B4575B" w:rsidRPr="004E355C">
        <w:rPr>
          <w:rFonts w:asciiTheme="minorHAnsi" w:hAnsiTheme="minorHAnsi"/>
          <w:lang w:val="sq-AL"/>
        </w:rPr>
        <w:t xml:space="preserve"> </w:t>
      </w:r>
      <w:r w:rsidRPr="004E355C">
        <w:rPr>
          <w:rFonts w:asciiTheme="minorHAnsi" w:hAnsiTheme="minorHAnsi"/>
          <w:lang w:val="sq-AL"/>
        </w:rPr>
        <w:t xml:space="preserve">Pagesat faktike për periudhën 5 mujore të vitit 2019, në total rezultuan në rreth 7.7 miliardë lekë ose 65.4% e planit vjetor 2019, realizim i cili konsiderohet i lartë, nëse konsiderojmë se në 5 mujorin e vitit 2018 këto pagesa arrinin nivelin 3,87 miliardë lekë ose 43.8% e planit vjetor 2018. </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 xml:space="preserve">Duhet mbajtur parasysh fakti se, pagesat për Inceneratorin e Tiranës, për vitin 2018 kanë filluar në muajin Maj 2018. </w:t>
      </w:r>
    </w:p>
    <w:p w:rsidR="00562780" w:rsidRPr="004E355C" w:rsidRDefault="00562780" w:rsidP="0095480B">
      <w:pPr>
        <w:spacing w:before="240" w:beforeAutospacing="1" w:after="100" w:afterAutospacing="1" w:line="276" w:lineRule="auto"/>
        <w:jc w:val="both"/>
        <w:rPr>
          <w:rFonts w:asciiTheme="minorHAnsi" w:hAnsiTheme="minorHAnsi"/>
          <w:lang w:val="sq-AL"/>
        </w:rPr>
      </w:pPr>
      <w:r w:rsidRPr="004E355C">
        <w:rPr>
          <w:rFonts w:asciiTheme="minorHAnsi" w:hAnsiTheme="minorHAnsi"/>
          <w:lang w:val="sq-AL"/>
        </w:rPr>
        <w:t xml:space="preserve">Pagesat e muajit Maj rezultuan në masën rreth 681.6 milion lekë ose 1.76 miliard lekë më pak se pagesat e muajit Prill, nivel ky që ndikohet nga pagesa prej rreth 1.5 miliard lekë, për kontratën koncesionare “HEC mbi lumin Devoll” e regjistruar e tëra në muajin Prill 2019. Ndërkohë që, për muajin Maj veçojmë pagesën rreth 115 milion lekë për vendimin gjyqësor në favor të kompanisë ofruese të “Shërbimit të dializës”, pagesë e cila përbën 16.8 përqind e totali të pagesave për muajin Maj dhe rreth 18 përqind të planit total vjetor për këtë kontratë. Për periudhën 5 mujore, niveli më i lartë i pagesave është realizuar në muajin Janar me rreth 2.9 miliardë lekë, ku veçojmë pagesën prej 2.52 miliard lekë për kontratën e MIE “Ndërtim, Operim, Mirëmbajtje të Rrugës së Arbrit”, pagesë e cila rezultoi në 100 përqind të planit vjetor 2019 për “Ndërtimin, Operimin dhe Mirëmbajtjen”e kësaj kontrate dhe 93.3 përqind të planit total vjetor për këtë kontratë. </w:t>
      </w:r>
    </w:p>
    <w:p w:rsidR="00562780" w:rsidRPr="004E355C" w:rsidRDefault="0095480B" w:rsidP="0095480B">
      <w:pPr>
        <w:spacing w:line="276" w:lineRule="auto"/>
        <w:jc w:val="both"/>
        <w:rPr>
          <w:rFonts w:asciiTheme="minorHAnsi" w:hAnsiTheme="minorHAnsi"/>
          <w:b/>
          <w:lang w:val="sq-AL"/>
        </w:rPr>
      </w:pPr>
      <w:bookmarkStart w:id="102" w:name="_Toc11135141"/>
      <w:r w:rsidRPr="004E355C">
        <w:rPr>
          <w:rFonts w:asciiTheme="minorHAnsi" w:hAnsiTheme="minorHAnsi"/>
          <w:b/>
          <w:lang w:val="sq-AL"/>
        </w:rPr>
        <w:t>Respektimi i rregullit fiskal p</w:t>
      </w:r>
      <w:r w:rsidR="00C65B3F" w:rsidRPr="004E355C">
        <w:rPr>
          <w:rFonts w:asciiTheme="minorHAnsi" w:hAnsiTheme="minorHAnsi"/>
          <w:b/>
          <w:lang w:val="sq-AL"/>
        </w:rPr>
        <w:t>ë</w:t>
      </w:r>
      <w:r w:rsidRPr="004E355C">
        <w:rPr>
          <w:rFonts w:asciiTheme="minorHAnsi" w:hAnsiTheme="minorHAnsi"/>
          <w:b/>
          <w:lang w:val="sq-AL"/>
        </w:rPr>
        <w:t>r vitin 2019:</w:t>
      </w:r>
    </w:p>
    <w:p w:rsidR="00562780" w:rsidRPr="004E355C" w:rsidRDefault="00562780" w:rsidP="00B4575B">
      <w:pPr>
        <w:spacing w:line="276" w:lineRule="auto"/>
        <w:jc w:val="both"/>
        <w:rPr>
          <w:rFonts w:asciiTheme="minorHAnsi" w:hAnsiTheme="minorHAnsi"/>
          <w:lang w:val="sq-AL"/>
        </w:rPr>
      </w:pPr>
      <w:r w:rsidRPr="004E355C">
        <w:rPr>
          <w:rFonts w:asciiTheme="minorHAnsi" w:hAnsiTheme="minorHAnsi"/>
          <w:lang w:val="sq-AL"/>
        </w:rPr>
        <w:t>Kufiri i lejuar i pagesave neto për vitin 2019, për kontratat konçesionare/PPP, prej 5% i të ardhurave tatimore faktike të vitit 2018, përllogaritet në rreth 21 miliard lekë.</w:t>
      </w:r>
    </w:p>
    <w:p w:rsidR="00B4575B" w:rsidRPr="004E355C" w:rsidRDefault="00B4575B" w:rsidP="00B4575B">
      <w:pPr>
        <w:spacing w:line="276" w:lineRule="auto"/>
        <w:jc w:val="both"/>
        <w:rPr>
          <w:rFonts w:asciiTheme="minorHAnsi" w:hAnsiTheme="minorHAnsi"/>
          <w:sz w:val="8"/>
          <w:szCs w:val="4"/>
          <w:lang w:val="sq-AL"/>
        </w:rPr>
      </w:pPr>
    </w:p>
    <w:p w:rsidR="0095480B" w:rsidRPr="004E355C" w:rsidRDefault="0095480B" w:rsidP="00B4575B">
      <w:pPr>
        <w:spacing w:line="276" w:lineRule="auto"/>
        <w:jc w:val="both"/>
        <w:rPr>
          <w:rFonts w:asciiTheme="minorHAnsi" w:hAnsiTheme="minorHAnsi"/>
          <w:lang w:val="sq-AL"/>
        </w:rPr>
      </w:pPr>
      <w:r w:rsidRPr="004E355C">
        <w:rPr>
          <w:rFonts w:asciiTheme="minorHAnsi" w:hAnsiTheme="minorHAnsi"/>
          <w:lang w:val="sq-AL"/>
        </w:rPr>
        <w:t>Në nivel vjetor, pagesat e planifikuara për vitin 2019, për kontratat koncesionare/PPP, përbëjnë rreth 2.8 përqind të totalit të të ardhurave tatimore faktike të vitit 2018, duke respektuar në këtë mënyrë rregullin fiskal prej 5% të të ardhurave tatimore faktike të vitit paraardhës.</w:t>
      </w:r>
    </w:p>
    <w:p w:rsidR="00B4575B" w:rsidRPr="004E355C" w:rsidRDefault="00B4575B" w:rsidP="00B4575B">
      <w:pPr>
        <w:spacing w:line="276" w:lineRule="auto"/>
        <w:jc w:val="both"/>
        <w:rPr>
          <w:rFonts w:asciiTheme="minorHAnsi" w:hAnsiTheme="minorHAnsi"/>
          <w:sz w:val="8"/>
          <w:szCs w:val="8"/>
          <w:lang w:val="sq-AL"/>
        </w:rPr>
      </w:pPr>
    </w:p>
    <w:p w:rsidR="00562780" w:rsidRPr="004E355C" w:rsidRDefault="00562780" w:rsidP="00B4575B">
      <w:pPr>
        <w:spacing w:line="276" w:lineRule="auto"/>
        <w:jc w:val="both"/>
        <w:rPr>
          <w:rFonts w:asciiTheme="minorHAnsi" w:hAnsiTheme="minorHAnsi"/>
          <w:lang w:val="sq-AL"/>
        </w:rPr>
      </w:pPr>
      <w:r w:rsidRPr="004E355C">
        <w:rPr>
          <w:rFonts w:asciiTheme="minorHAnsi" w:hAnsiTheme="minorHAnsi"/>
          <w:lang w:val="sq-AL"/>
        </w:rPr>
        <w:t>Në nivel 5-mujor, pagesat neto të realizuara të kontratave koncesionare/PPP, përbëjnë vetëm 1.8 përqind të totalit të të ardhurave tatimore faktike të vitit 2018, prej 419.3 miliard lekë.</w:t>
      </w:r>
    </w:p>
    <w:p w:rsidR="00562780" w:rsidRPr="004E355C" w:rsidRDefault="001E6A9B" w:rsidP="001E6A9B">
      <w:pPr>
        <w:spacing w:after="240" w:line="276" w:lineRule="auto"/>
        <w:contextualSpacing/>
        <w:rPr>
          <w:rFonts w:asciiTheme="minorHAnsi" w:hAnsiTheme="minorHAnsi"/>
          <w:bCs/>
          <w:i/>
          <w:lang w:val="sq-AL"/>
        </w:rPr>
      </w:pPr>
      <w:bookmarkStart w:id="103" w:name="_Toc12449203"/>
      <w:r w:rsidRPr="004E355C">
        <w:rPr>
          <w:rFonts w:asciiTheme="minorHAnsi" w:hAnsiTheme="minorHAnsi"/>
          <w:bCs/>
          <w:i/>
          <w:lang w:val="sq-AL"/>
        </w:rPr>
        <w:lastRenderedPageBreak/>
        <w:t xml:space="preserve">Tabela </w:t>
      </w:r>
      <w:r w:rsidRPr="004E355C">
        <w:rPr>
          <w:rFonts w:asciiTheme="minorHAnsi" w:hAnsiTheme="minorHAnsi"/>
          <w:bCs/>
          <w:i/>
          <w:lang w:val="sq-AL"/>
        </w:rPr>
        <w:fldChar w:fldCharType="begin"/>
      </w:r>
      <w:r w:rsidRPr="004E355C">
        <w:rPr>
          <w:rFonts w:asciiTheme="minorHAnsi" w:hAnsiTheme="minorHAnsi"/>
          <w:bCs/>
          <w:i/>
          <w:lang w:val="sq-AL"/>
        </w:rPr>
        <w:instrText xml:space="preserve"> SEQ Tabela \* ARABIC </w:instrText>
      </w:r>
      <w:r w:rsidRPr="004E355C">
        <w:rPr>
          <w:rFonts w:asciiTheme="minorHAnsi" w:hAnsiTheme="minorHAnsi"/>
          <w:bCs/>
          <w:i/>
          <w:lang w:val="sq-AL"/>
        </w:rPr>
        <w:fldChar w:fldCharType="separate"/>
      </w:r>
      <w:r w:rsidR="00C83C78">
        <w:rPr>
          <w:rFonts w:asciiTheme="minorHAnsi" w:hAnsiTheme="minorHAnsi"/>
          <w:bCs/>
          <w:i/>
          <w:noProof/>
          <w:lang w:val="sq-AL"/>
        </w:rPr>
        <w:t>17</w:t>
      </w:r>
      <w:r w:rsidRPr="004E355C">
        <w:rPr>
          <w:rFonts w:asciiTheme="minorHAnsi" w:hAnsiTheme="minorHAnsi"/>
          <w:bCs/>
          <w:i/>
          <w:lang w:val="sq-AL"/>
        </w:rPr>
        <w:fldChar w:fldCharType="end"/>
      </w:r>
      <w:r w:rsidRPr="004E355C">
        <w:rPr>
          <w:rFonts w:asciiTheme="minorHAnsi" w:hAnsiTheme="minorHAnsi"/>
          <w:bCs/>
          <w:i/>
          <w:lang w:val="sq-AL"/>
        </w:rPr>
        <w:t xml:space="preserve">: </w:t>
      </w:r>
      <w:r w:rsidR="00562780" w:rsidRPr="004E355C">
        <w:rPr>
          <w:rFonts w:asciiTheme="minorHAnsi" w:hAnsiTheme="minorHAnsi"/>
          <w:bCs/>
          <w:i/>
          <w:lang w:val="sq-AL"/>
        </w:rPr>
        <w:t>Koncesionet/PPT-të aktive me mbështetje nga buxheti i shtetit (në mijë lekë)</w:t>
      </w:r>
      <w:bookmarkEnd w:id="102"/>
      <w:bookmarkEnd w:id="103"/>
    </w:p>
    <w:p w:rsidR="001E6A9B" w:rsidRPr="004E355C" w:rsidRDefault="001E6A9B" w:rsidP="001E6A9B">
      <w:pPr>
        <w:spacing w:after="240" w:line="276" w:lineRule="auto"/>
        <w:contextualSpacing/>
        <w:rPr>
          <w:rFonts w:asciiTheme="minorHAnsi" w:hAnsiTheme="minorHAnsi"/>
          <w:b/>
          <w:bCs/>
          <w:sz w:val="8"/>
          <w:szCs w:val="8"/>
          <w:lang w:val="sq-AL"/>
        </w:rPr>
      </w:pPr>
    </w:p>
    <w:p w:rsidR="00562780" w:rsidRPr="004E355C" w:rsidRDefault="00562780" w:rsidP="001E6A9B">
      <w:pPr>
        <w:spacing w:before="240" w:line="276" w:lineRule="auto"/>
        <w:ind w:left="-180"/>
        <w:contextualSpacing/>
        <w:jc w:val="center"/>
        <w:rPr>
          <w:rFonts w:asciiTheme="minorHAnsi" w:hAnsiTheme="minorHAnsi"/>
          <w:i/>
          <w:lang w:val="sq-AL"/>
        </w:rPr>
      </w:pPr>
      <w:r w:rsidRPr="004E355C">
        <w:rPr>
          <w:rFonts w:asciiTheme="minorHAnsi" w:hAnsiTheme="minorHAnsi"/>
          <w:noProof/>
        </w:rPr>
        <w:drawing>
          <wp:inline distT="0" distB="0" distL="0" distR="0" wp14:anchorId="70C32335" wp14:editId="092AAB75">
            <wp:extent cx="6385560" cy="366522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4111" cy="3675868"/>
                    </a:xfrm>
                    <a:prstGeom prst="rect">
                      <a:avLst/>
                    </a:prstGeom>
                    <a:noFill/>
                    <a:ln>
                      <a:noFill/>
                    </a:ln>
                  </pic:spPr>
                </pic:pic>
              </a:graphicData>
            </a:graphic>
          </wp:inline>
        </w:drawing>
      </w:r>
    </w:p>
    <w:p w:rsidR="00562780" w:rsidRPr="004E355C" w:rsidRDefault="00562780" w:rsidP="00562780">
      <w:pPr>
        <w:spacing w:line="276" w:lineRule="auto"/>
        <w:ind w:firstLine="720"/>
        <w:rPr>
          <w:rFonts w:asciiTheme="minorHAnsi" w:eastAsia="SimSun" w:hAnsiTheme="minorHAnsi"/>
          <w:i/>
          <w:sz w:val="20"/>
          <w:lang w:val="sq-AL"/>
        </w:rPr>
      </w:pPr>
      <w:r w:rsidRPr="004E355C">
        <w:rPr>
          <w:rFonts w:asciiTheme="minorHAnsi" w:eastAsia="SimSun" w:hAnsiTheme="minorHAnsi"/>
          <w:i/>
          <w:sz w:val="20"/>
          <w:lang w:val="sq-AL"/>
        </w:rPr>
        <w:t>Burimi: Ministria e Financave dhe Ekonomisë (2019)</w:t>
      </w:r>
    </w:p>
    <w:p w:rsidR="00A36950" w:rsidRPr="004E355C" w:rsidRDefault="00A36950" w:rsidP="00562780">
      <w:pPr>
        <w:spacing w:line="276" w:lineRule="auto"/>
        <w:ind w:firstLine="720"/>
        <w:rPr>
          <w:rFonts w:asciiTheme="minorHAnsi" w:eastAsia="SimSun" w:hAnsiTheme="minorHAnsi"/>
          <w:i/>
          <w:sz w:val="20"/>
          <w:lang w:val="sq-AL"/>
        </w:rPr>
      </w:pPr>
    </w:p>
    <w:p w:rsidR="00562780" w:rsidRPr="004E355C" w:rsidRDefault="00A36950" w:rsidP="00A36950">
      <w:pPr>
        <w:pStyle w:val="Heading2"/>
        <w:spacing w:line="276" w:lineRule="auto"/>
        <w:ind w:left="720" w:hanging="720"/>
        <w:rPr>
          <w:rFonts w:asciiTheme="minorHAnsi" w:hAnsiTheme="minorHAnsi"/>
          <w:noProof/>
          <w:color w:val="4F81BD" w:themeColor="accent1"/>
          <w:sz w:val="28"/>
          <w:szCs w:val="24"/>
          <w:lang w:val="sq-AL"/>
        </w:rPr>
      </w:pPr>
      <w:bookmarkStart w:id="104" w:name="_Toc10033287"/>
      <w:bookmarkStart w:id="105" w:name="_Toc10721424"/>
      <w:bookmarkStart w:id="106" w:name="_Toc11134244"/>
      <w:bookmarkStart w:id="107" w:name="_Toc12527234"/>
      <w:r w:rsidRPr="004E355C">
        <w:rPr>
          <w:rFonts w:asciiTheme="minorHAnsi" w:hAnsiTheme="minorHAnsi"/>
          <w:noProof/>
          <w:color w:val="4F81BD" w:themeColor="accent1"/>
          <w:sz w:val="28"/>
          <w:szCs w:val="24"/>
          <w:lang w:val="sq-AL"/>
        </w:rPr>
        <w:t>V.4</w:t>
      </w:r>
      <w:r w:rsidRPr="004E355C">
        <w:rPr>
          <w:rFonts w:asciiTheme="minorHAnsi" w:hAnsiTheme="minorHAnsi"/>
          <w:noProof/>
          <w:color w:val="4F81BD" w:themeColor="accent1"/>
          <w:sz w:val="28"/>
          <w:szCs w:val="24"/>
          <w:lang w:val="sq-AL"/>
        </w:rPr>
        <w:tab/>
      </w:r>
      <w:r w:rsidR="00562780" w:rsidRPr="004E355C">
        <w:rPr>
          <w:rFonts w:asciiTheme="minorHAnsi" w:hAnsiTheme="minorHAnsi"/>
          <w:noProof/>
          <w:color w:val="4F81BD" w:themeColor="accent1"/>
          <w:sz w:val="28"/>
          <w:szCs w:val="24"/>
          <w:lang w:val="sq-AL"/>
        </w:rPr>
        <w:t>Detyrime të tjera Kontigjente</w:t>
      </w:r>
      <w:bookmarkEnd w:id="104"/>
      <w:bookmarkEnd w:id="105"/>
      <w:bookmarkEnd w:id="106"/>
      <w:bookmarkEnd w:id="107"/>
    </w:p>
    <w:p w:rsidR="00562780" w:rsidRPr="004E355C" w:rsidRDefault="00A36950" w:rsidP="00A36950">
      <w:pPr>
        <w:spacing w:before="240" w:beforeAutospacing="1" w:line="276" w:lineRule="auto"/>
        <w:jc w:val="both"/>
        <w:rPr>
          <w:rFonts w:asciiTheme="minorHAnsi" w:hAnsiTheme="minorHAnsi"/>
          <w:b/>
          <w:i/>
          <w:color w:val="4F81BD" w:themeColor="accent1"/>
          <w:sz w:val="26"/>
          <w:szCs w:val="26"/>
          <w:lang w:val="sq-AL"/>
        </w:rPr>
      </w:pPr>
      <w:bookmarkStart w:id="108" w:name="_Toc11134245"/>
      <w:r w:rsidRPr="004E355C">
        <w:rPr>
          <w:rFonts w:asciiTheme="minorHAnsi" w:hAnsiTheme="minorHAnsi"/>
          <w:b/>
          <w:i/>
          <w:color w:val="4F81BD" w:themeColor="accent1"/>
          <w:sz w:val="26"/>
          <w:szCs w:val="26"/>
          <w:lang w:val="sq-AL"/>
        </w:rPr>
        <w:t>V.4.1</w:t>
      </w:r>
      <w:r w:rsidRPr="004E355C">
        <w:rPr>
          <w:rFonts w:asciiTheme="minorHAnsi" w:hAnsiTheme="minorHAnsi"/>
          <w:b/>
          <w:i/>
          <w:color w:val="4F81BD" w:themeColor="accent1"/>
          <w:sz w:val="26"/>
          <w:szCs w:val="26"/>
          <w:lang w:val="sq-AL"/>
        </w:rPr>
        <w:tab/>
      </w:r>
      <w:r w:rsidR="00562780" w:rsidRPr="004E355C">
        <w:rPr>
          <w:rFonts w:asciiTheme="minorHAnsi" w:hAnsiTheme="minorHAnsi"/>
          <w:b/>
          <w:i/>
          <w:color w:val="4F81BD" w:themeColor="accent1"/>
          <w:sz w:val="26"/>
          <w:szCs w:val="26"/>
          <w:lang w:val="sq-AL"/>
        </w:rPr>
        <w:t>Vendimet e Gjykatës së të Drejtave të Njeriut në Strasburg (GJEDNJ)</w:t>
      </w:r>
      <w:bookmarkEnd w:id="108"/>
      <w:r w:rsidR="00562780" w:rsidRPr="004E355C">
        <w:rPr>
          <w:rFonts w:asciiTheme="minorHAnsi" w:hAnsiTheme="minorHAnsi"/>
          <w:b/>
          <w:i/>
          <w:color w:val="4F81BD" w:themeColor="accent1"/>
          <w:sz w:val="26"/>
          <w:szCs w:val="26"/>
          <w:lang w:val="sq-AL"/>
        </w:rPr>
        <w:t xml:space="preserve"> </w:t>
      </w:r>
    </w:p>
    <w:p w:rsidR="00562780" w:rsidRPr="004E355C" w:rsidRDefault="00562780" w:rsidP="00F052E6">
      <w:pPr>
        <w:spacing w:after="100" w:afterAutospacing="1" w:line="276" w:lineRule="auto"/>
        <w:jc w:val="both"/>
        <w:rPr>
          <w:rFonts w:asciiTheme="minorHAnsi" w:hAnsiTheme="minorHAnsi"/>
          <w:lang w:val="sq-AL"/>
        </w:rPr>
      </w:pPr>
      <w:r w:rsidRPr="004E355C">
        <w:rPr>
          <w:rFonts w:asciiTheme="minorHAnsi" w:hAnsiTheme="minorHAnsi"/>
          <w:lang w:val="sq-AL"/>
        </w:rPr>
        <w:t xml:space="preserve">Këto vendime kanë të bëjnë kryesisht me çështje që lidhen me kthimin dhe kompensimin e pronave tek ish-pronarët. Sipas Avokaturës së Shtetit, risqet financiare që burojnë nga vendimet e GJEDNJ-së janë të karakterizuara nga një aftësi e dobët parashikuese, përsa kohë që kjo Gjykatë nuk funksionon me një kalendar të përcaktuar për komunikimin e çështjeve dhe nxjerrjen e vendimeve. </w:t>
      </w:r>
    </w:p>
    <w:p w:rsidR="00562780" w:rsidRPr="004E355C" w:rsidRDefault="00562780" w:rsidP="00C65B3F">
      <w:pPr>
        <w:spacing w:before="240" w:beforeAutospacing="1" w:line="276" w:lineRule="auto"/>
        <w:jc w:val="both"/>
        <w:rPr>
          <w:rFonts w:asciiTheme="minorHAnsi" w:hAnsiTheme="minorHAnsi"/>
          <w:lang w:val="sq-AL"/>
        </w:rPr>
      </w:pPr>
      <w:r w:rsidRPr="004E355C">
        <w:rPr>
          <w:rFonts w:asciiTheme="minorHAnsi" w:hAnsiTheme="minorHAnsi"/>
          <w:lang w:val="sq-AL"/>
        </w:rPr>
        <w:t xml:space="preserve">Ministria e Financave dhe Ekonomisë ka respektuar në vazhdimësi të gjitha vendimet e miratuara nga GJEDNJ, përmes likujdimit të VKM-ve respektive miratuar në mbështetje të tyre, me përpikmëri dhe brenda afateve strikte të përcaktuara prej këtij organi. Kjo, duke konsideruar faktin se kur pagesat nuk kryhen brenda afatit tre mujor nga data kur vendimi përkatës merr formën e prerë, shteti shqiptar ngarkohet me pagesën e një kamatë-vonese për çdo ditë vonesë. </w:t>
      </w:r>
      <w:r w:rsidR="00C65B3F" w:rsidRPr="004E355C">
        <w:rPr>
          <w:rFonts w:asciiTheme="minorHAnsi" w:hAnsiTheme="minorHAnsi"/>
          <w:lang w:val="sq-AL"/>
        </w:rPr>
        <w:t>P</w:t>
      </w:r>
      <w:r w:rsidRPr="004E355C">
        <w:rPr>
          <w:rFonts w:asciiTheme="minorHAnsi" w:hAnsiTheme="minorHAnsi"/>
          <w:lang w:val="sq-AL"/>
        </w:rPr>
        <w:t xml:space="preserve">ër garantimin e shlyerjes në kohë të këtyre vendimeve, MFE ka rekomanduar vazhdimisht përdorimin e të gjitha kanaleve të mundshme institucionale dhe proceduriale, brenda hapësirave që siguron kuadri ligjor në fuqi, duke sugjeruar që: </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Vendimet e GJEDNJ-së duhet të dërgohen fillimisht për zbatim në Agjencinë e Trajtimit të Pronës, duke shfrytëzuar të gjitha mundësitë për kompensim fizik të tyre, nëse kjo parashikohet nga vendimi i Gjykatës.</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Pjesa tjetër e detyrimit financiar të paguhet sipas mundësive të buxhetit të shtetit me këste, në negocim me përfituesit.</w:t>
      </w:r>
    </w:p>
    <w:p w:rsidR="00562780" w:rsidRPr="004E355C" w:rsidRDefault="00562780" w:rsidP="00C65B3F">
      <w:pPr>
        <w:spacing w:before="240" w:beforeAutospacing="1" w:line="276" w:lineRule="auto"/>
        <w:jc w:val="both"/>
        <w:rPr>
          <w:rFonts w:asciiTheme="minorHAnsi" w:hAnsiTheme="minorHAnsi"/>
          <w:lang w:val="sq-AL"/>
        </w:rPr>
      </w:pPr>
      <w:r w:rsidRPr="004E355C">
        <w:rPr>
          <w:rFonts w:asciiTheme="minorHAnsi" w:hAnsiTheme="minorHAnsi"/>
          <w:lang w:val="sq-AL"/>
        </w:rPr>
        <w:lastRenderedPageBreak/>
        <w:t>Ndërkohë, hyrja në fuqi më datë 30.12.2018 e ndryshimeve në ligjin “Për Avokaturën e Shtetit”, përmban një kre të veçantë dedikuar ekzekutimit të vendimeve të GJEDNJ-së, ku specifikisht në nenin 19/4 përcaktohen 2 mënyra ekzekutimi të shpërblimit:</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Vendimet me detyrim financiar mbi 10.000 EUR, implikojnë nxjerrjen e VKM-ve respektive për ekzekutimin e tyre.</w:t>
      </w:r>
    </w:p>
    <w:p w:rsidR="00562780" w:rsidRPr="004E355C" w:rsidRDefault="00562780" w:rsidP="00B95810">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Vendimet me detyrim financiar deri në 10.000 EUR, ekzekutohen drejtpërdrejtë nga Ministria e Financave dhe Ekonomisë, pas kërkesës zyrtare të Avokaturës së Shtetit.</w:t>
      </w:r>
    </w:p>
    <w:p w:rsidR="00C65B3F" w:rsidRPr="004E355C" w:rsidRDefault="00562780" w:rsidP="00C65B3F">
      <w:pPr>
        <w:spacing w:before="240" w:beforeAutospacing="1" w:line="276" w:lineRule="auto"/>
        <w:jc w:val="both"/>
        <w:rPr>
          <w:rFonts w:asciiTheme="minorHAnsi" w:hAnsiTheme="minorHAnsi"/>
          <w:b/>
          <w:lang w:val="sq-AL"/>
        </w:rPr>
      </w:pPr>
      <w:r w:rsidRPr="004E355C">
        <w:rPr>
          <w:rFonts w:asciiTheme="minorHAnsi" w:hAnsiTheme="minorHAnsi"/>
          <w:b/>
          <w:lang w:val="sq-AL"/>
        </w:rPr>
        <w:t xml:space="preserve">Deri </w:t>
      </w:r>
      <w:r w:rsidR="00C65B3F" w:rsidRPr="004E355C">
        <w:rPr>
          <w:rFonts w:asciiTheme="minorHAnsi" w:hAnsiTheme="minorHAnsi"/>
          <w:b/>
          <w:lang w:val="sq-AL"/>
        </w:rPr>
        <w:t>m</w:t>
      </w:r>
      <w:r w:rsidRPr="004E355C">
        <w:rPr>
          <w:rFonts w:asciiTheme="minorHAnsi" w:hAnsiTheme="minorHAnsi"/>
          <w:b/>
          <w:lang w:val="sq-AL"/>
        </w:rPr>
        <w:t xml:space="preserve">ë </w:t>
      </w:r>
      <w:r w:rsidR="00C65B3F" w:rsidRPr="004E355C">
        <w:rPr>
          <w:rFonts w:asciiTheme="minorHAnsi" w:hAnsiTheme="minorHAnsi"/>
          <w:b/>
          <w:lang w:val="sq-AL"/>
        </w:rPr>
        <w:t xml:space="preserve">30 Qershor </w:t>
      </w:r>
      <w:r w:rsidRPr="004E355C">
        <w:rPr>
          <w:rFonts w:asciiTheme="minorHAnsi" w:hAnsiTheme="minorHAnsi"/>
          <w:b/>
          <w:lang w:val="sq-AL"/>
        </w:rPr>
        <w:t xml:space="preserve">2019, </w:t>
      </w:r>
      <w:r w:rsidR="00C65B3F" w:rsidRPr="004E355C">
        <w:rPr>
          <w:rFonts w:asciiTheme="minorHAnsi" w:hAnsiTheme="minorHAnsi"/>
          <w:b/>
          <w:lang w:val="sq-AL"/>
        </w:rPr>
        <w:t>rezulton se:</w:t>
      </w:r>
    </w:p>
    <w:p w:rsidR="00C65B3F" w:rsidRPr="004E355C" w:rsidRDefault="00C65B3F" w:rsidP="00666B9F">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MFE ka likujduar vendimin e GJEDNJ-s</w:t>
      </w:r>
      <w:r w:rsidR="00E814ED" w:rsidRPr="004E355C">
        <w:rPr>
          <w:rFonts w:asciiTheme="minorHAnsi" w:hAnsiTheme="minorHAnsi"/>
          <w:i/>
          <w:lang w:val="sq-AL"/>
        </w:rPr>
        <w:t>ë</w:t>
      </w:r>
      <w:r w:rsidRPr="004E355C">
        <w:rPr>
          <w:rFonts w:asciiTheme="minorHAnsi" w:hAnsiTheme="minorHAnsi"/>
          <w:i/>
          <w:lang w:val="sq-AL"/>
        </w:rPr>
        <w:t xml:space="preserve"> datë 13.02.2018, për çështjen “Pihoni kundër Shqipërisë”, në vler</w:t>
      </w:r>
      <w:r w:rsidR="00E814ED" w:rsidRPr="004E355C">
        <w:rPr>
          <w:rFonts w:asciiTheme="minorHAnsi" w:hAnsiTheme="minorHAnsi"/>
          <w:i/>
          <w:lang w:val="sq-AL"/>
        </w:rPr>
        <w:t>ë</w:t>
      </w:r>
      <w:r w:rsidRPr="004E355C">
        <w:rPr>
          <w:rFonts w:asciiTheme="minorHAnsi" w:hAnsiTheme="minorHAnsi"/>
          <w:i/>
          <w:lang w:val="sq-AL"/>
        </w:rPr>
        <w:t>n 587.395 lekë.</w:t>
      </w:r>
    </w:p>
    <w:p w:rsidR="00C65B3F" w:rsidRPr="004E355C" w:rsidRDefault="00C65B3F" w:rsidP="00666B9F">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MFE ka likujduar vendimin e GJEDNJ-s</w:t>
      </w:r>
      <w:r w:rsidR="00E814ED" w:rsidRPr="004E355C">
        <w:rPr>
          <w:rFonts w:asciiTheme="minorHAnsi" w:hAnsiTheme="minorHAnsi"/>
          <w:i/>
          <w:lang w:val="sq-AL"/>
        </w:rPr>
        <w:t>ë</w:t>
      </w:r>
      <w:r w:rsidRPr="004E355C">
        <w:rPr>
          <w:rFonts w:asciiTheme="minorHAnsi" w:hAnsiTheme="minorHAnsi"/>
          <w:i/>
          <w:lang w:val="sq-AL"/>
        </w:rPr>
        <w:t xml:space="preserve"> datë 22.05.2018, për çështjen “Topi kundër Shqipërisë”, në vler</w:t>
      </w:r>
      <w:r w:rsidR="00E814ED" w:rsidRPr="004E355C">
        <w:rPr>
          <w:rFonts w:asciiTheme="minorHAnsi" w:hAnsiTheme="minorHAnsi"/>
          <w:i/>
          <w:lang w:val="sq-AL"/>
        </w:rPr>
        <w:t>ë</w:t>
      </w:r>
      <w:r w:rsidRPr="004E355C">
        <w:rPr>
          <w:rFonts w:asciiTheme="minorHAnsi" w:hAnsiTheme="minorHAnsi"/>
          <w:i/>
          <w:lang w:val="sq-AL"/>
        </w:rPr>
        <w:t>n 127.691 lekë.</w:t>
      </w:r>
    </w:p>
    <w:p w:rsidR="00562780" w:rsidRPr="004E355C" w:rsidRDefault="00E814ED" w:rsidP="00666B9F">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Këshilli i Ministrave, m</w:t>
      </w:r>
      <w:r w:rsidR="00562780" w:rsidRPr="004E355C">
        <w:rPr>
          <w:rFonts w:asciiTheme="minorHAnsi" w:hAnsiTheme="minorHAnsi"/>
          <w:i/>
          <w:lang w:val="sq-AL"/>
        </w:rPr>
        <w:t xml:space="preserve">e propozim të Ministrisë së Drejtësisë, </w:t>
      </w:r>
      <w:r w:rsidRPr="004E355C">
        <w:rPr>
          <w:rFonts w:asciiTheme="minorHAnsi" w:hAnsiTheme="minorHAnsi"/>
          <w:i/>
          <w:lang w:val="sq-AL"/>
        </w:rPr>
        <w:t xml:space="preserve">ka </w:t>
      </w:r>
      <w:r w:rsidR="00C65B3F" w:rsidRPr="004E355C">
        <w:rPr>
          <w:rFonts w:asciiTheme="minorHAnsi" w:hAnsiTheme="minorHAnsi"/>
          <w:i/>
          <w:lang w:val="sq-AL"/>
        </w:rPr>
        <w:t>miratuar VKM-në nr.</w:t>
      </w:r>
      <w:r w:rsidR="00562780" w:rsidRPr="004E355C">
        <w:rPr>
          <w:rFonts w:asciiTheme="minorHAnsi" w:hAnsiTheme="minorHAnsi"/>
          <w:i/>
          <w:lang w:val="sq-AL"/>
        </w:rPr>
        <w:t>396 datë 19.</w:t>
      </w:r>
      <w:r w:rsidR="00C65B3F" w:rsidRPr="004E355C">
        <w:rPr>
          <w:rFonts w:asciiTheme="minorHAnsi" w:hAnsiTheme="minorHAnsi"/>
          <w:i/>
          <w:lang w:val="sq-AL"/>
        </w:rPr>
        <w:t>0</w:t>
      </w:r>
      <w:r w:rsidR="00562780" w:rsidRPr="004E355C">
        <w:rPr>
          <w:rFonts w:asciiTheme="minorHAnsi" w:hAnsiTheme="minorHAnsi"/>
          <w:i/>
          <w:lang w:val="sq-AL"/>
        </w:rPr>
        <w:t xml:space="preserve">6.2019 “Për ekzekutimin e vendimit të </w:t>
      </w:r>
      <w:r w:rsidR="00C65B3F" w:rsidRPr="004E355C">
        <w:rPr>
          <w:rFonts w:asciiTheme="minorHAnsi" w:hAnsiTheme="minorHAnsi"/>
          <w:i/>
          <w:lang w:val="sq-AL"/>
        </w:rPr>
        <w:t>GJEDNJ-s</w:t>
      </w:r>
      <w:r w:rsidRPr="004E355C">
        <w:rPr>
          <w:rFonts w:asciiTheme="minorHAnsi" w:hAnsiTheme="minorHAnsi"/>
          <w:i/>
          <w:lang w:val="sq-AL"/>
        </w:rPr>
        <w:t>ë</w:t>
      </w:r>
      <w:r w:rsidR="00C65B3F" w:rsidRPr="004E355C">
        <w:rPr>
          <w:rFonts w:asciiTheme="minorHAnsi" w:hAnsiTheme="minorHAnsi"/>
          <w:i/>
          <w:lang w:val="sq-AL"/>
        </w:rPr>
        <w:t xml:space="preserve"> datë 16.2.2017</w:t>
      </w:r>
      <w:r w:rsidR="00562780" w:rsidRPr="004E355C">
        <w:rPr>
          <w:rFonts w:asciiTheme="minorHAnsi" w:hAnsiTheme="minorHAnsi"/>
          <w:i/>
          <w:lang w:val="sq-AL"/>
        </w:rPr>
        <w:t xml:space="preserve"> për çështjen ‘Caka k</w:t>
      </w:r>
      <w:r w:rsidR="00C65B3F" w:rsidRPr="004E355C">
        <w:rPr>
          <w:rFonts w:asciiTheme="minorHAnsi" w:hAnsiTheme="minorHAnsi"/>
          <w:i/>
          <w:lang w:val="sq-AL"/>
        </w:rPr>
        <w:t>undër Shqipërisë”’ (kërkesa nr.</w:t>
      </w:r>
      <w:r w:rsidR="00562780" w:rsidRPr="004E355C">
        <w:rPr>
          <w:rFonts w:asciiTheme="minorHAnsi" w:hAnsiTheme="minorHAnsi"/>
          <w:i/>
          <w:lang w:val="sq-AL"/>
        </w:rPr>
        <w:t xml:space="preserve">74941/14), me një vlerë totale prej 10 400 Euro, pagesë e cila përballohet nga Fondi Rezervë i buxhetit të shtetit miratuar për vitin 2019. </w:t>
      </w:r>
    </w:p>
    <w:p w:rsidR="00562780" w:rsidRPr="004E355C" w:rsidRDefault="00E814ED" w:rsidP="00666B9F">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MFE ka dh</w:t>
      </w:r>
      <w:r w:rsidR="00562780" w:rsidRPr="004E355C">
        <w:rPr>
          <w:rFonts w:asciiTheme="minorHAnsi" w:hAnsiTheme="minorHAnsi"/>
          <w:i/>
          <w:lang w:val="sq-AL"/>
        </w:rPr>
        <w:t>ënë dakordësi</w:t>
      </w:r>
      <w:r w:rsidRPr="004E355C">
        <w:rPr>
          <w:rFonts w:asciiTheme="minorHAnsi" w:hAnsiTheme="minorHAnsi"/>
          <w:i/>
          <w:lang w:val="sq-AL"/>
        </w:rPr>
        <w:t>n</w:t>
      </w:r>
      <w:r w:rsidR="00F052E6" w:rsidRPr="004E355C">
        <w:rPr>
          <w:rFonts w:asciiTheme="minorHAnsi" w:hAnsiTheme="minorHAnsi"/>
          <w:i/>
          <w:lang w:val="sq-AL"/>
        </w:rPr>
        <w:t>ë</w:t>
      </w:r>
      <w:r w:rsidR="00562780" w:rsidRPr="004E355C">
        <w:rPr>
          <w:rFonts w:asciiTheme="minorHAnsi" w:hAnsiTheme="minorHAnsi"/>
          <w:i/>
          <w:lang w:val="sq-AL"/>
        </w:rPr>
        <w:t xml:space="preserve"> paraprake lidhur me vendimin e GJEDNJ-së datë 05.03.2019, për çështjen “Rinaldo  Myrtaj dhe të tjerët kundër Shqipërisë”, me vlerë 103.600 Euro.</w:t>
      </w:r>
    </w:p>
    <w:p w:rsidR="00562780" w:rsidRPr="004E355C" w:rsidRDefault="00E814ED" w:rsidP="00666B9F">
      <w:pPr>
        <w:numPr>
          <w:ilvl w:val="0"/>
          <w:numId w:val="13"/>
        </w:numPr>
        <w:tabs>
          <w:tab w:val="left" w:pos="450"/>
        </w:tabs>
        <w:spacing w:before="120" w:line="276" w:lineRule="auto"/>
        <w:ind w:left="450" w:hanging="270"/>
        <w:contextualSpacing/>
        <w:jc w:val="both"/>
        <w:rPr>
          <w:rFonts w:asciiTheme="minorHAnsi" w:hAnsiTheme="minorHAnsi"/>
          <w:i/>
          <w:lang w:val="sq-AL"/>
        </w:rPr>
      </w:pPr>
      <w:r w:rsidRPr="004E355C">
        <w:rPr>
          <w:rFonts w:asciiTheme="minorHAnsi" w:hAnsiTheme="minorHAnsi"/>
          <w:i/>
          <w:lang w:val="sq-AL"/>
        </w:rPr>
        <w:t>P</w:t>
      </w:r>
      <w:r w:rsidR="00F052E6" w:rsidRPr="004E355C">
        <w:rPr>
          <w:rFonts w:asciiTheme="minorHAnsi" w:hAnsiTheme="minorHAnsi"/>
          <w:i/>
          <w:lang w:val="sq-AL"/>
        </w:rPr>
        <w:t>ë</w:t>
      </w:r>
      <w:r w:rsidRPr="004E355C">
        <w:rPr>
          <w:rFonts w:asciiTheme="minorHAnsi" w:hAnsiTheme="minorHAnsi"/>
          <w:i/>
          <w:lang w:val="sq-AL"/>
        </w:rPr>
        <w:t>r vendimin e GJEDNJ-së datë 08.12.2016 p</w:t>
      </w:r>
      <w:r w:rsidR="00F052E6" w:rsidRPr="004E355C">
        <w:rPr>
          <w:rFonts w:asciiTheme="minorHAnsi" w:hAnsiTheme="minorHAnsi"/>
          <w:i/>
          <w:lang w:val="sq-AL"/>
        </w:rPr>
        <w:t>ë</w:t>
      </w:r>
      <w:r w:rsidRPr="004E355C">
        <w:rPr>
          <w:rFonts w:asciiTheme="minorHAnsi" w:hAnsiTheme="minorHAnsi"/>
          <w:i/>
          <w:lang w:val="sq-AL"/>
        </w:rPr>
        <w:t xml:space="preserve">r çështjen “Gjermeni kundër Shqipërisë”, </w:t>
      </w:r>
      <w:r w:rsidR="00F052E6" w:rsidRPr="004E355C">
        <w:rPr>
          <w:rFonts w:asciiTheme="minorHAnsi" w:hAnsiTheme="minorHAnsi"/>
          <w:i/>
          <w:lang w:val="sq-AL"/>
        </w:rPr>
        <w:t>është në proces çelja e llogarisë së përfituesit dhe m</w:t>
      </w:r>
      <w:r w:rsidR="002D2B0D" w:rsidRPr="004E355C">
        <w:rPr>
          <w:rFonts w:asciiTheme="minorHAnsi" w:hAnsiTheme="minorHAnsi"/>
          <w:i/>
          <w:lang w:val="sq-AL"/>
        </w:rPr>
        <w:t>ë</w:t>
      </w:r>
      <w:r w:rsidR="00F052E6" w:rsidRPr="004E355C">
        <w:rPr>
          <w:rFonts w:asciiTheme="minorHAnsi" w:hAnsiTheme="minorHAnsi"/>
          <w:i/>
          <w:lang w:val="sq-AL"/>
        </w:rPr>
        <w:t xml:space="preserve"> pas likujdimi n</w:t>
      </w:r>
      <w:r w:rsidR="002D2B0D" w:rsidRPr="004E355C">
        <w:rPr>
          <w:rFonts w:asciiTheme="minorHAnsi" w:hAnsiTheme="minorHAnsi"/>
          <w:i/>
          <w:lang w:val="sq-AL"/>
        </w:rPr>
        <w:t>ë</w:t>
      </w:r>
      <w:r w:rsidR="00F052E6" w:rsidRPr="004E355C">
        <w:rPr>
          <w:rFonts w:asciiTheme="minorHAnsi" w:hAnsiTheme="minorHAnsi"/>
          <w:i/>
          <w:lang w:val="sq-AL"/>
        </w:rPr>
        <w:t xml:space="preserve"> vler</w:t>
      </w:r>
      <w:r w:rsidR="002D2B0D" w:rsidRPr="004E355C">
        <w:rPr>
          <w:rFonts w:asciiTheme="minorHAnsi" w:hAnsiTheme="minorHAnsi"/>
          <w:i/>
          <w:lang w:val="sq-AL"/>
        </w:rPr>
        <w:t>ë</w:t>
      </w:r>
      <w:r w:rsidR="00F052E6" w:rsidRPr="004E355C">
        <w:rPr>
          <w:rFonts w:asciiTheme="minorHAnsi" w:hAnsiTheme="minorHAnsi"/>
          <w:i/>
          <w:lang w:val="sq-AL"/>
        </w:rPr>
        <w:t>n 3.300 EUR</w:t>
      </w:r>
      <w:r w:rsidRPr="004E355C">
        <w:rPr>
          <w:rFonts w:asciiTheme="minorHAnsi" w:hAnsiTheme="minorHAnsi"/>
          <w:i/>
          <w:lang w:val="sq-AL"/>
        </w:rPr>
        <w:t>.</w:t>
      </w:r>
    </w:p>
    <w:p w:rsidR="00BC1FCB" w:rsidRPr="004E355C" w:rsidRDefault="00BC1FCB" w:rsidP="00666B9F">
      <w:pPr>
        <w:tabs>
          <w:tab w:val="left" w:pos="450"/>
        </w:tabs>
        <w:spacing w:before="120" w:line="276" w:lineRule="auto"/>
        <w:ind w:left="450"/>
        <w:contextualSpacing/>
        <w:jc w:val="both"/>
        <w:rPr>
          <w:rFonts w:asciiTheme="minorHAnsi" w:hAnsiTheme="minorHAnsi"/>
          <w:i/>
          <w:lang w:val="sq-AL"/>
        </w:rPr>
      </w:pPr>
    </w:p>
    <w:p w:rsidR="00562780" w:rsidRDefault="00562780" w:rsidP="00562780">
      <w:pPr>
        <w:spacing w:after="200" w:line="276" w:lineRule="auto"/>
        <w:contextualSpacing/>
        <w:jc w:val="both"/>
        <w:rPr>
          <w:rFonts w:asciiTheme="minorHAnsi" w:eastAsia="Calibri" w:hAnsiTheme="minorHAnsi"/>
          <w:i/>
          <w:sz w:val="12"/>
          <w:lang w:val="sq-AL"/>
        </w:rPr>
      </w:pPr>
    </w:p>
    <w:p w:rsidR="00666B9F" w:rsidRPr="004E355C" w:rsidRDefault="00666B9F" w:rsidP="00562780">
      <w:pPr>
        <w:spacing w:after="200" w:line="276" w:lineRule="auto"/>
        <w:contextualSpacing/>
        <w:jc w:val="both"/>
        <w:rPr>
          <w:rFonts w:asciiTheme="minorHAnsi" w:eastAsia="Calibri" w:hAnsiTheme="minorHAnsi"/>
          <w:i/>
          <w:sz w:val="12"/>
          <w:lang w:val="sq-AL"/>
        </w:rPr>
      </w:pPr>
    </w:p>
    <w:p w:rsidR="00562780" w:rsidRPr="004E355C" w:rsidRDefault="00F052E6" w:rsidP="00F052E6">
      <w:pPr>
        <w:spacing w:before="240" w:beforeAutospacing="1" w:line="276" w:lineRule="auto"/>
        <w:jc w:val="both"/>
        <w:rPr>
          <w:rFonts w:asciiTheme="minorHAnsi" w:hAnsiTheme="minorHAnsi"/>
          <w:b/>
          <w:color w:val="4F81BD" w:themeColor="accent1"/>
          <w:sz w:val="26"/>
          <w:szCs w:val="26"/>
          <w:lang w:val="sq-AL"/>
        </w:rPr>
      </w:pPr>
      <w:bookmarkStart w:id="109" w:name="_Toc11134246"/>
      <w:r w:rsidRPr="004E355C">
        <w:rPr>
          <w:rFonts w:asciiTheme="minorHAnsi" w:hAnsiTheme="minorHAnsi"/>
          <w:b/>
          <w:color w:val="4F81BD" w:themeColor="accent1"/>
          <w:sz w:val="26"/>
          <w:szCs w:val="26"/>
          <w:lang w:val="sq-AL"/>
        </w:rPr>
        <w:t>V.4.2</w:t>
      </w:r>
      <w:r w:rsidRPr="004E355C">
        <w:rPr>
          <w:rFonts w:asciiTheme="minorHAnsi" w:hAnsiTheme="minorHAnsi"/>
          <w:b/>
          <w:color w:val="4F81BD" w:themeColor="accent1"/>
          <w:sz w:val="26"/>
          <w:szCs w:val="26"/>
          <w:lang w:val="sq-AL"/>
        </w:rPr>
        <w:tab/>
      </w:r>
      <w:r w:rsidR="00562780" w:rsidRPr="004E355C">
        <w:rPr>
          <w:rFonts w:asciiTheme="minorHAnsi" w:hAnsiTheme="minorHAnsi"/>
          <w:b/>
          <w:color w:val="4F81BD" w:themeColor="accent1"/>
          <w:sz w:val="26"/>
          <w:szCs w:val="26"/>
          <w:lang w:val="sq-AL"/>
        </w:rPr>
        <w:t>Vendimet e Gjykatës Ndërkombëtare të ARBITRAZHIT</w:t>
      </w:r>
      <w:bookmarkEnd w:id="109"/>
      <w:r w:rsidR="00562780" w:rsidRPr="004E355C">
        <w:rPr>
          <w:rFonts w:asciiTheme="minorHAnsi" w:hAnsiTheme="minorHAnsi"/>
          <w:b/>
          <w:color w:val="4F81BD" w:themeColor="accent1"/>
          <w:sz w:val="26"/>
          <w:szCs w:val="26"/>
          <w:lang w:val="sq-AL"/>
        </w:rPr>
        <w:t xml:space="preserve"> </w:t>
      </w:r>
    </w:p>
    <w:p w:rsidR="00F052E6" w:rsidRPr="004E355C" w:rsidRDefault="00F052E6" w:rsidP="00F052E6">
      <w:pPr>
        <w:spacing w:after="100" w:afterAutospacing="1" w:line="276" w:lineRule="auto"/>
        <w:jc w:val="both"/>
        <w:rPr>
          <w:rFonts w:asciiTheme="minorHAnsi" w:hAnsiTheme="minorHAnsi"/>
          <w:lang w:val="sq-AL"/>
        </w:rPr>
      </w:pPr>
      <w:r w:rsidRPr="004E355C">
        <w:rPr>
          <w:rFonts w:asciiTheme="minorHAnsi" w:hAnsiTheme="minorHAnsi"/>
          <w:lang w:val="sq-AL"/>
        </w:rPr>
        <w:t>K</w:t>
      </w:r>
      <w:r w:rsidR="002D2B0D" w:rsidRPr="004E355C">
        <w:rPr>
          <w:rFonts w:asciiTheme="minorHAnsi" w:hAnsiTheme="minorHAnsi"/>
          <w:lang w:val="sq-AL"/>
        </w:rPr>
        <w:t>ë</w:t>
      </w:r>
      <w:r w:rsidRPr="004E355C">
        <w:rPr>
          <w:rFonts w:asciiTheme="minorHAnsi" w:hAnsiTheme="minorHAnsi"/>
          <w:lang w:val="sq-AL"/>
        </w:rPr>
        <w:t xml:space="preserve">to </w:t>
      </w:r>
      <w:r w:rsidR="00562780" w:rsidRPr="004E355C">
        <w:rPr>
          <w:rFonts w:asciiTheme="minorHAnsi" w:hAnsiTheme="minorHAnsi"/>
          <w:lang w:val="sq-AL"/>
        </w:rPr>
        <w:t xml:space="preserve">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w:t>
      </w:r>
    </w:p>
    <w:p w:rsidR="00562780" w:rsidRPr="004E355C" w:rsidRDefault="00562780" w:rsidP="00F052E6">
      <w:pPr>
        <w:spacing w:after="100" w:afterAutospacing="1" w:line="276" w:lineRule="auto"/>
        <w:jc w:val="both"/>
        <w:rPr>
          <w:rFonts w:asciiTheme="minorHAnsi" w:hAnsiTheme="minorHAnsi"/>
          <w:lang w:val="sq-AL"/>
        </w:rPr>
      </w:pPr>
      <w:r w:rsidRPr="004E355C">
        <w:rPr>
          <w:rFonts w:asciiTheme="minorHAnsi" w:hAnsiTheme="minorHAnsi"/>
          <w:lang w:val="sq-AL"/>
        </w:rPr>
        <w:t xml:space="preserve">Në pjesën më të madhe, efektet financiare që rrjedhin nga zbatimi i këtyre vendimeve janë përballuar nga buxheti i vetë institucioneve buxhetore (kryesisht ministri linje), të cilat kanë qenë edhe palë e paditur në gjykimet respektive. Ndërkohë që, në rastet kur palë e paditur cilësohet ‘shteti shqiptar’ apo ‘qeveria shqiptare’, këto vendime likujdohen përmes buxhetit të Ministrisë së Financave dhe Ekonomisë dhe/ose Fondit rezervë të buxhetit të shtetit, nëse lind nevoja. </w:t>
      </w:r>
    </w:p>
    <w:p w:rsidR="00562780" w:rsidRPr="004E355C" w:rsidRDefault="00562780" w:rsidP="00A36950">
      <w:pPr>
        <w:spacing w:before="240" w:beforeAutospacing="1" w:after="100" w:afterAutospacing="1" w:line="276" w:lineRule="auto"/>
        <w:jc w:val="both"/>
        <w:rPr>
          <w:rFonts w:asciiTheme="minorHAnsi" w:hAnsiTheme="minorHAnsi"/>
          <w:lang w:val="sq-AL"/>
        </w:rPr>
      </w:pPr>
      <w:r w:rsidRPr="004E355C">
        <w:rPr>
          <w:rFonts w:asciiTheme="minorHAnsi" w:hAnsiTheme="minorHAnsi"/>
          <w:lang w:val="sq-AL"/>
        </w:rPr>
        <w:t>Ministria e Financave dhe Ekonomisë,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w:t>
      </w:r>
    </w:p>
    <w:p w:rsidR="00562780" w:rsidRPr="004E355C" w:rsidRDefault="00562780" w:rsidP="00A36950">
      <w:pPr>
        <w:spacing w:before="240" w:beforeAutospacing="1" w:after="100" w:afterAutospacing="1" w:line="276" w:lineRule="auto"/>
        <w:jc w:val="both"/>
        <w:rPr>
          <w:rFonts w:asciiTheme="minorHAnsi" w:hAnsiTheme="minorHAnsi"/>
          <w:lang w:val="sq-AL"/>
        </w:rPr>
      </w:pPr>
      <w:r w:rsidRPr="004E355C">
        <w:rPr>
          <w:rFonts w:asciiTheme="minorHAnsi" w:hAnsiTheme="minorHAnsi"/>
          <w:lang w:val="sq-AL"/>
        </w:rPr>
        <w:t xml:space="preserve">Vlera totale e vendimeve të Arbitrazhit </w:t>
      </w:r>
      <w:r w:rsidRPr="008110C8">
        <w:rPr>
          <w:rFonts w:asciiTheme="minorHAnsi" w:hAnsiTheme="minorHAnsi"/>
          <w:lang w:val="sq-AL"/>
        </w:rPr>
        <w:t xml:space="preserve">të </w:t>
      </w:r>
      <w:r w:rsidR="008110C8" w:rsidRPr="008110C8">
        <w:rPr>
          <w:rFonts w:asciiTheme="minorHAnsi" w:hAnsiTheme="minorHAnsi"/>
          <w:lang w:val="sq-AL"/>
        </w:rPr>
        <w:t>rapprtuara</w:t>
      </w:r>
      <w:r w:rsidRPr="004E355C">
        <w:rPr>
          <w:rFonts w:asciiTheme="minorHAnsi" w:hAnsiTheme="minorHAnsi"/>
          <w:lang w:val="sq-AL"/>
        </w:rPr>
        <w:t xml:space="preserve"> nga institucionet buxhetore, deri në </w:t>
      </w:r>
      <w:r w:rsidR="00F052E6" w:rsidRPr="004E355C">
        <w:rPr>
          <w:rFonts w:asciiTheme="minorHAnsi" w:hAnsiTheme="minorHAnsi"/>
          <w:lang w:val="sq-AL"/>
        </w:rPr>
        <w:t xml:space="preserve">31 maj </w:t>
      </w:r>
      <w:r w:rsidRPr="004E355C">
        <w:rPr>
          <w:rFonts w:asciiTheme="minorHAnsi" w:hAnsiTheme="minorHAnsi"/>
          <w:lang w:val="sq-AL"/>
        </w:rPr>
        <w:t xml:space="preserve">2019, rezulton në masën </w:t>
      </w:r>
      <w:r w:rsidRPr="008110C8">
        <w:rPr>
          <w:rFonts w:asciiTheme="minorHAnsi" w:hAnsiTheme="minorHAnsi"/>
          <w:lang w:val="sq-AL"/>
        </w:rPr>
        <w:t>10</w:t>
      </w:r>
      <w:r w:rsidR="008110C8" w:rsidRPr="008110C8">
        <w:rPr>
          <w:rFonts w:asciiTheme="minorHAnsi" w:hAnsiTheme="minorHAnsi"/>
          <w:lang w:val="sq-AL"/>
        </w:rPr>
        <w:t>8</w:t>
      </w:r>
      <w:r w:rsidRPr="008110C8">
        <w:rPr>
          <w:rFonts w:asciiTheme="minorHAnsi" w:hAnsiTheme="minorHAnsi"/>
          <w:lang w:val="sq-AL"/>
        </w:rPr>
        <w:t>.</w:t>
      </w:r>
      <w:r w:rsidR="008110C8" w:rsidRPr="008110C8">
        <w:rPr>
          <w:rFonts w:asciiTheme="minorHAnsi" w:hAnsiTheme="minorHAnsi"/>
          <w:lang w:val="sq-AL"/>
        </w:rPr>
        <w:t>7</w:t>
      </w:r>
      <w:r w:rsidRPr="008110C8">
        <w:rPr>
          <w:rFonts w:asciiTheme="minorHAnsi" w:hAnsiTheme="minorHAnsi"/>
          <w:lang w:val="sq-AL"/>
        </w:rPr>
        <w:t xml:space="preserve"> miliard lekë, për</w:t>
      </w:r>
      <w:r w:rsidR="00F052E6" w:rsidRPr="008110C8">
        <w:rPr>
          <w:rFonts w:asciiTheme="minorHAnsi" w:hAnsiTheme="minorHAnsi"/>
          <w:lang w:val="sq-AL"/>
        </w:rPr>
        <w:t>kat</w:t>
      </w:r>
      <w:r w:rsidR="002D2B0D" w:rsidRPr="008110C8">
        <w:rPr>
          <w:rFonts w:asciiTheme="minorHAnsi" w:hAnsiTheme="minorHAnsi"/>
          <w:lang w:val="sq-AL"/>
        </w:rPr>
        <w:t>ë</w:t>
      </w:r>
      <w:r w:rsidR="00F052E6" w:rsidRPr="008110C8">
        <w:rPr>
          <w:rFonts w:asciiTheme="minorHAnsi" w:hAnsiTheme="minorHAnsi"/>
          <w:lang w:val="sq-AL"/>
        </w:rPr>
        <w:t>sisht</w:t>
      </w:r>
      <w:r w:rsidR="00F052E6" w:rsidRPr="004E355C">
        <w:rPr>
          <w:rFonts w:asciiTheme="minorHAnsi" w:hAnsiTheme="minorHAnsi"/>
          <w:lang w:val="sq-AL"/>
        </w:rPr>
        <w:t xml:space="preserve"> p</w:t>
      </w:r>
      <w:r w:rsidR="002D2B0D" w:rsidRPr="004E355C">
        <w:rPr>
          <w:rFonts w:asciiTheme="minorHAnsi" w:hAnsiTheme="minorHAnsi"/>
          <w:lang w:val="sq-AL"/>
        </w:rPr>
        <w:t>ë</w:t>
      </w:r>
      <w:r w:rsidR="00F052E6" w:rsidRPr="004E355C">
        <w:rPr>
          <w:rFonts w:asciiTheme="minorHAnsi" w:hAnsiTheme="minorHAnsi"/>
          <w:lang w:val="sq-AL"/>
        </w:rPr>
        <w:t xml:space="preserve">r </w:t>
      </w:r>
      <w:r w:rsidRPr="004E355C">
        <w:rPr>
          <w:rFonts w:asciiTheme="minorHAnsi" w:hAnsiTheme="minorHAnsi"/>
          <w:lang w:val="sq-AL"/>
        </w:rPr>
        <w:t>5 vendime si</w:t>
      </w:r>
      <w:r w:rsidR="00F052E6" w:rsidRPr="004E355C">
        <w:rPr>
          <w:rFonts w:asciiTheme="minorHAnsi" w:hAnsiTheme="minorHAnsi"/>
          <w:lang w:val="sq-AL"/>
        </w:rPr>
        <w:t xml:space="preserve"> vijon</w:t>
      </w:r>
      <w:r w:rsidRPr="004E355C">
        <w:rPr>
          <w:rFonts w:asciiTheme="minorHAnsi" w:hAnsiTheme="minorHAnsi"/>
          <w:lang w:val="sq-AL"/>
        </w:rPr>
        <w:t xml:space="preserve">: </w:t>
      </w:r>
    </w:p>
    <w:tbl>
      <w:tblPr>
        <w:tblW w:w="10820" w:type="dxa"/>
        <w:jc w:val="center"/>
        <w:tblLook w:val="04A0" w:firstRow="1" w:lastRow="0" w:firstColumn="1" w:lastColumn="0" w:noHBand="0" w:noVBand="1"/>
      </w:tblPr>
      <w:tblGrid>
        <w:gridCol w:w="1911"/>
        <w:gridCol w:w="3887"/>
        <w:gridCol w:w="1326"/>
        <w:gridCol w:w="1031"/>
        <w:gridCol w:w="2665"/>
      </w:tblGrid>
      <w:tr w:rsidR="008110C8" w:rsidRPr="00B73581" w:rsidTr="008110C8">
        <w:trPr>
          <w:trHeight w:val="457"/>
          <w:jc w:val="center"/>
        </w:trPr>
        <w:tc>
          <w:tcPr>
            <w:tcW w:w="1911" w:type="dxa"/>
            <w:tcBorders>
              <w:top w:val="double" w:sz="6" w:space="0" w:color="538DD5"/>
              <w:left w:val="double" w:sz="6" w:space="0" w:color="538DD5"/>
              <w:bottom w:val="nil"/>
              <w:right w:val="single" w:sz="4" w:space="0" w:color="538DD5"/>
            </w:tcBorders>
            <w:shd w:val="clear" w:color="000000" w:fill="538DD5"/>
            <w:noWrap/>
            <w:vAlign w:val="center"/>
            <w:hideMark/>
          </w:tcPr>
          <w:p w:rsidR="008110C8" w:rsidRPr="00B73581" w:rsidRDefault="008110C8" w:rsidP="008110C8">
            <w:pPr>
              <w:jc w:val="center"/>
              <w:rPr>
                <w:rFonts w:ascii="Calibri" w:hAnsi="Calibri"/>
                <w:b/>
                <w:bCs/>
                <w:color w:val="FFFFFF"/>
                <w:sz w:val="14"/>
              </w:rPr>
            </w:pPr>
            <w:r w:rsidRPr="00B73581">
              <w:rPr>
                <w:rFonts w:ascii="Calibri" w:hAnsi="Calibri"/>
                <w:b/>
                <w:bCs/>
                <w:color w:val="FFFFFF"/>
                <w:sz w:val="14"/>
              </w:rPr>
              <w:lastRenderedPageBreak/>
              <w:t>MINISTRIA E LINJËS</w:t>
            </w:r>
          </w:p>
        </w:tc>
        <w:tc>
          <w:tcPr>
            <w:tcW w:w="3887" w:type="dxa"/>
            <w:tcBorders>
              <w:top w:val="double" w:sz="6" w:space="0" w:color="538DD5"/>
              <w:left w:val="nil"/>
              <w:bottom w:val="nil"/>
              <w:right w:val="single" w:sz="4" w:space="0" w:color="538DD5"/>
            </w:tcBorders>
            <w:shd w:val="clear" w:color="000000" w:fill="538DD5"/>
            <w:vAlign w:val="center"/>
            <w:hideMark/>
          </w:tcPr>
          <w:p w:rsidR="008110C8" w:rsidRPr="00B73581" w:rsidRDefault="008110C8" w:rsidP="008110C8">
            <w:pPr>
              <w:jc w:val="center"/>
              <w:rPr>
                <w:rFonts w:ascii="Calibri" w:hAnsi="Calibri"/>
                <w:b/>
                <w:bCs/>
                <w:color w:val="FFFFFF"/>
                <w:sz w:val="14"/>
              </w:rPr>
            </w:pPr>
            <w:r w:rsidRPr="00B73581">
              <w:rPr>
                <w:rFonts w:ascii="Calibri" w:hAnsi="Calibri"/>
                <w:b/>
                <w:bCs/>
                <w:color w:val="FFFFFF"/>
                <w:sz w:val="14"/>
              </w:rPr>
              <w:t>Përshkrimi i Vendimeve të Arbitrazhit</w:t>
            </w:r>
          </w:p>
        </w:tc>
        <w:tc>
          <w:tcPr>
            <w:tcW w:w="1326" w:type="dxa"/>
            <w:tcBorders>
              <w:top w:val="double" w:sz="6" w:space="0" w:color="538DD5"/>
              <w:left w:val="nil"/>
              <w:bottom w:val="nil"/>
              <w:right w:val="single" w:sz="4" w:space="0" w:color="538DD5"/>
            </w:tcBorders>
            <w:shd w:val="clear" w:color="000000" w:fill="538DD5"/>
            <w:vAlign w:val="center"/>
            <w:hideMark/>
          </w:tcPr>
          <w:p w:rsidR="008110C8" w:rsidRPr="00B73581" w:rsidRDefault="008110C8" w:rsidP="008110C8">
            <w:pPr>
              <w:jc w:val="center"/>
              <w:rPr>
                <w:rFonts w:ascii="Calibri" w:hAnsi="Calibri"/>
                <w:b/>
                <w:bCs/>
                <w:color w:val="FFFFFF"/>
                <w:sz w:val="14"/>
              </w:rPr>
            </w:pPr>
            <w:r w:rsidRPr="00B73581">
              <w:rPr>
                <w:rFonts w:ascii="Calibri" w:hAnsi="Calibri"/>
                <w:b/>
                <w:bCs/>
                <w:color w:val="FFFFFF"/>
                <w:sz w:val="14"/>
              </w:rPr>
              <w:t>Totali i detyrimit</w:t>
            </w:r>
            <w:r>
              <w:rPr>
                <w:rFonts w:ascii="Calibri" w:hAnsi="Calibri"/>
                <w:b/>
                <w:bCs/>
                <w:color w:val="FFFFFF"/>
                <w:sz w:val="14"/>
              </w:rPr>
              <w:t xml:space="preserve"> (ne EUR)</w:t>
            </w:r>
          </w:p>
        </w:tc>
        <w:tc>
          <w:tcPr>
            <w:tcW w:w="1031" w:type="dxa"/>
            <w:tcBorders>
              <w:top w:val="double" w:sz="6" w:space="0" w:color="538DD5"/>
              <w:left w:val="nil"/>
              <w:bottom w:val="nil"/>
              <w:right w:val="single" w:sz="4" w:space="0" w:color="538DD5"/>
            </w:tcBorders>
            <w:shd w:val="clear" w:color="000000" w:fill="538DD5"/>
            <w:vAlign w:val="center"/>
            <w:hideMark/>
          </w:tcPr>
          <w:p w:rsidR="008110C8" w:rsidRPr="00B73581" w:rsidRDefault="008110C8" w:rsidP="008110C8">
            <w:pPr>
              <w:jc w:val="center"/>
              <w:rPr>
                <w:rFonts w:ascii="Calibri" w:hAnsi="Calibri"/>
                <w:b/>
                <w:bCs/>
                <w:color w:val="FFFFFF"/>
                <w:sz w:val="14"/>
              </w:rPr>
            </w:pPr>
            <w:r w:rsidRPr="00B73581">
              <w:rPr>
                <w:rFonts w:ascii="Calibri" w:hAnsi="Calibri"/>
                <w:b/>
                <w:bCs/>
                <w:color w:val="FFFFFF"/>
                <w:sz w:val="14"/>
              </w:rPr>
              <w:t>Likujdimi deri Qershor 2019</w:t>
            </w:r>
            <w:r>
              <w:rPr>
                <w:rFonts w:ascii="Calibri" w:hAnsi="Calibri"/>
                <w:b/>
                <w:bCs/>
                <w:color w:val="FFFFFF"/>
                <w:sz w:val="14"/>
              </w:rPr>
              <w:t xml:space="preserve"> (EUR)</w:t>
            </w:r>
          </w:p>
        </w:tc>
        <w:tc>
          <w:tcPr>
            <w:tcW w:w="2665" w:type="dxa"/>
            <w:tcBorders>
              <w:top w:val="double" w:sz="6" w:space="0" w:color="538DD5"/>
              <w:left w:val="nil"/>
              <w:bottom w:val="nil"/>
              <w:right w:val="double" w:sz="6" w:space="0" w:color="538DD5"/>
            </w:tcBorders>
            <w:shd w:val="clear" w:color="000000" w:fill="538DD5"/>
            <w:vAlign w:val="center"/>
            <w:hideMark/>
          </w:tcPr>
          <w:p w:rsidR="008110C8" w:rsidRPr="00B73581" w:rsidRDefault="008110C8" w:rsidP="008110C8">
            <w:pPr>
              <w:jc w:val="center"/>
              <w:rPr>
                <w:rFonts w:ascii="Calibri" w:hAnsi="Calibri"/>
                <w:b/>
                <w:bCs/>
                <w:color w:val="FFFFFF"/>
                <w:sz w:val="14"/>
              </w:rPr>
            </w:pPr>
            <w:r w:rsidRPr="00B73581">
              <w:rPr>
                <w:rFonts w:ascii="Calibri" w:hAnsi="Calibri"/>
                <w:b/>
                <w:bCs/>
                <w:color w:val="FFFFFF"/>
                <w:sz w:val="14"/>
              </w:rPr>
              <w:t>Planifikuar për tu likujduar gjatë vitit 2019</w:t>
            </w:r>
          </w:p>
        </w:tc>
      </w:tr>
      <w:tr w:rsidR="008110C8" w:rsidRPr="00B73581" w:rsidTr="008110C8">
        <w:trPr>
          <w:trHeight w:val="204"/>
          <w:jc w:val="center"/>
        </w:trPr>
        <w:tc>
          <w:tcPr>
            <w:tcW w:w="1911" w:type="dxa"/>
            <w:vMerge w:val="restart"/>
            <w:tcBorders>
              <w:top w:val="single" w:sz="4" w:space="0" w:color="538DD5"/>
              <w:left w:val="double" w:sz="6" w:space="0" w:color="538DD5"/>
              <w:bottom w:val="single" w:sz="4" w:space="0" w:color="538DD5"/>
              <w:right w:val="single" w:sz="4" w:space="0" w:color="538DD5"/>
            </w:tcBorders>
            <w:shd w:val="clear" w:color="000000" w:fill="FFFFFF"/>
            <w:vAlign w:val="center"/>
            <w:hideMark/>
          </w:tcPr>
          <w:p w:rsidR="008110C8" w:rsidRPr="00B73581" w:rsidRDefault="008110C8" w:rsidP="008110C8">
            <w:pPr>
              <w:rPr>
                <w:rFonts w:ascii="Calibri" w:hAnsi="Calibri"/>
                <w:b/>
                <w:bCs/>
                <w:sz w:val="14"/>
                <w:szCs w:val="20"/>
              </w:rPr>
            </w:pPr>
            <w:r w:rsidRPr="00B73581">
              <w:rPr>
                <w:rFonts w:ascii="Calibri" w:hAnsi="Calibri"/>
                <w:b/>
                <w:bCs/>
                <w:sz w:val="14"/>
                <w:szCs w:val="20"/>
              </w:rPr>
              <w:t>MINISTRIA E INFRASTRUKTURËS DHE ENERGJISË</w:t>
            </w:r>
          </w:p>
        </w:tc>
        <w:tc>
          <w:tcPr>
            <w:tcW w:w="3887" w:type="dxa"/>
            <w:tcBorders>
              <w:top w:val="single" w:sz="4" w:space="0" w:color="538DD5"/>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4.188.308,51 Euro dhe 3.183.263 lekë Arbitrazhi për çështjen ICC no.18474/MHM J&amp;P AVAX për palën kreditore Shoqëria “J&amp;P AVAX” S.A</w:t>
            </w:r>
          </w:p>
        </w:tc>
        <w:tc>
          <w:tcPr>
            <w:tcW w:w="1326" w:type="dxa"/>
            <w:tcBorders>
              <w:top w:val="single" w:sz="4" w:space="0" w:color="538DD5"/>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4,214,402</w:t>
            </w:r>
          </w:p>
        </w:tc>
        <w:tc>
          <w:tcPr>
            <w:tcW w:w="1031" w:type="dxa"/>
            <w:tcBorders>
              <w:top w:val="single" w:sz="4" w:space="0" w:color="538DD5"/>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w:t>
            </w:r>
          </w:p>
        </w:tc>
        <w:tc>
          <w:tcPr>
            <w:tcW w:w="2665" w:type="dxa"/>
            <w:tcBorders>
              <w:top w:val="single" w:sz="4" w:space="0" w:color="538DD5"/>
              <w:left w:val="nil"/>
              <w:bottom w:val="single" w:sz="4" w:space="0" w:color="538DD5"/>
              <w:right w:val="double" w:sz="6"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Nuk ka ende planifikim, në trajtim nga Drejtoria Juridike</w:t>
            </w:r>
          </w:p>
        </w:tc>
      </w:tr>
      <w:tr w:rsidR="008110C8" w:rsidRPr="00B73581" w:rsidTr="008110C8">
        <w:trPr>
          <w:trHeight w:val="204"/>
          <w:jc w:val="center"/>
        </w:trPr>
        <w:tc>
          <w:tcPr>
            <w:tcW w:w="1911" w:type="dxa"/>
            <w:vMerge/>
            <w:tcBorders>
              <w:top w:val="single" w:sz="4" w:space="0" w:color="538DD5"/>
              <w:left w:val="double" w:sz="6" w:space="0" w:color="538DD5"/>
              <w:bottom w:val="single" w:sz="4" w:space="0" w:color="538DD5"/>
              <w:right w:val="single" w:sz="4" w:space="0" w:color="538DD5"/>
            </w:tcBorders>
            <w:vAlign w:val="center"/>
            <w:hideMark/>
          </w:tcPr>
          <w:p w:rsidR="008110C8" w:rsidRPr="00B73581" w:rsidRDefault="008110C8" w:rsidP="008110C8">
            <w:pPr>
              <w:rPr>
                <w:rFonts w:ascii="Calibri" w:hAnsi="Calibri"/>
                <w:b/>
                <w:bCs/>
                <w:sz w:val="14"/>
                <w:szCs w:val="20"/>
              </w:rPr>
            </w:pPr>
          </w:p>
        </w:tc>
        <w:tc>
          <w:tcPr>
            <w:tcW w:w="3887" w:type="dxa"/>
            <w:tcBorders>
              <w:top w:val="nil"/>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350.000 Euro kostot paraprake administrative të  Arbitrazhit për çështjen ICC Case 24140/MHM "Rrjeti ujësjellës kanalizime Tiranë" ( AKUK)</w:t>
            </w:r>
          </w:p>
        </w:tc>
        <w:tc>
          <w:tcPr>
            <w:tcW w:w="1326"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350,000</w:t>
            </w:r>
          </w:p>
        </w:tc>
        <w:tc>
          <w:tcPr>
            <w:tcW w:w="1031"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350,000</w:t>
            </w:r>
          </w:p>
        </w:tc>
        <w:tc>
          <w:tcPr>
            <w:tcW w:w="2665" w:type="dxa"/>
            <w:tcBorders>
              <w:top w:val="nil"/>
              <w:left w:val="nil"/>
              <w:bottom w:val="single" w:sz="4" w:space="0" w:color="538DD5"/>
              <w:right w:val="double" w:sz="6"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Çështja në proces</w:t>
            </w:r>
          </w:p>
        </w:tc>
      </w:tr>
      <w:tr w:rsidR="008110C8" w:rsidRPr="00B73581" w:rsidTr="008110C8">
        <w:trPr>
          <w:trHeight w:val="261"/>
          <w:jc w:val="center"/>
        </w:trPr>
        <w:tc>
          <w:tcPr>
            <w:tcW w:w="1911" w:type="dxa"/>
            <w:vMerge/>
            <w:tcBorders>
              <w:top w:val="single" w:sz="4" w:space="0" w:color="538DD5"/>
              <w:left w:val="double" w:sz="6" w:space="0" w:color="538DD5"/>
              <w:bottom w:val="single" w:sz="4" w:space="0" w:color="538DD5"/>
              <w:right w:val="single" w:sz="4" w:space="0" w:color="538DD5"/>
            </w:tcBorders>
            <w:vAlign w:val="center"/>
            <w:hideMark/>
          </w:tcPr>
          <w:p w:rsidR="008110C8" w:rsidRPr="00B73581" w:rsidRDefault="008110C8" w:rsidP="008110C8">
            <w:pPr>
              <w:rPr>
                <w:rFonts w:ascii="Calibri" w:hAnsi="Calibri"/>
                <w:b/>
                <w:bCs/>
                <w:sz w:val="14"/>
                <w:szCs w:val="20"/>
              </w:rPr>
            </w:pPr>
          </w:p>
        </w:tc>
        <w:tc>
          <w:tcPr>
            <w:tcW w:w="3887" w:type="dxa"/>
            <w:tcBorders>
              <w:top w:val="nil"/>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 xml:space="preserve">302.500 USD shpenzime për kostot administrative të Arbitrazhit për çështjen ICC Case 23998/MHM dhe 24011/MHM “Për Ndërtimin e rrugës Tiranë-Elbasan” (ARRSH)       </w:t>
            </w:r>
          </w:p>
        </w:tc>
        <w:tc>
          <w:tcPr>
            <w:tcW w:w="1326"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266,093</w:t>
            </w:r>
          </w:p>
        </w:tc>
        <w:tc>
          <w:tcPr>
            <w:tcW w:w="1031"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266,093</w:t>
            </w:r>
          </w:p>
        </w:tc>
        <w:tc>
          <w:tcPr>
            <w:tcW w:w="2665" w:type="dxa"/>
            <w:tcBorders>
              <w:top w:val="nil"/>
              <w:left w:val="nil"/>
              <w:bottom w:val="single" w:sz="4" w:space="0" w:color="538DD5"/>
              <w:right w:val="double" w:sz="6"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Çështja në proces</w:t>
            </w:r>
          </w:p>
        </w:tc>
      </w:tr>
      <w:tr w:rsidR="008110C8" w:rsidRPr="00B73581" w:rsidTr="008110C8">
        <w:trPr>
          <w:trHeight w:val="242"/>
          <w:jc w:val="center"/>
        </w:trPr>
        <w:tc>
          <w:tcPr>
            <w:tcW w:w="1911" w:type="dxa"/>
            <w:vMerge/>
            <w:tcBorders>
              <w:top w:val="single" w:sz="4" w:space="0" w:color="538DD5"/>
              <w:left w:val="double" w:sz="6" w:space="0" w:color="538DD5"/>
              <w:bottom w:val="single" w:sz="4" w:space="0" w:color="538DD5"/>
              <w:right w:val="single" w:sz="4" w:space="0" w:color="538DD5"/>
            </w:tcBorders>
            <w:vAlign w:val="center"/>
            <w:hideMark/>
          </w:tcPr>
          <w:p w:rsidR="008110C8" w:rsidRPr="00B73581" w:rsidRDefault="008110C8" w:rsidP="008110C8">
            <w:pPr>
              <w:rPr>
                <w:rFonts w:ascii="Calibri" w:hAnsi="Calibri"/>
                <w:b/>
                <w:bCs/>
                <w:sz w:val="14"/>
                <w:szCs w:val="20"/>
              </w:rPr>
            </w:pPr>
          </w:p>
        </w:tc>
        <w:tc>
          <w:tcPr>
            <w:tcW w:w="3887" w:type="dxa"/>
            <w:tcBorders>
              <w:top w:val="nil"/>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 xml:space="preserve"> 2.495.166 Euro detyrimi i MIE në favor të shoqërisë SAFA sh.p.k për projektin e ndërtimit të rrugës "Tiranë-Elbasan" + 876.940,02 Euro interes i shumës së dhënë nga gjykata + 171.231,86 Euro interes për tarifat e arbitrazhit</w:t>
            </w:r>
          </w:p>
        </w:tc>
        <w:tc>
          <w:tcPr>
            <w:tcW w:w="1326"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3,543,338</w:t>
            </w:r>
          </w:p>
        </w:tc>
        <w:tc>
          <w:tcPr>
            <w:tcW w:w="1031"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w:t>
            </w:r>
          </w:p>
        </w:tc>
        <w:tc>
          <w:tcPr>
            <w:tcW w:w="2665" w:type="dxa"/>
            <w:tcBorders>
              <w:top w:val="nil"/>
              <w:left w:val="nil"/>
              <w:bottom w:val="single" w:sz="4" w:space="0" w:color="538DD5"/>
              <w:right w:val="double" w:sz="6" w:space="0" w:color="538DD5"/>
            </w:tcBorders>
            <w:shd w:val="clear" w:color="auto" w:fill="auto"/>
            <w:noWrap/>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Nuk ka ende planifikim</w:t>
            </w:r>
          </w:p>
        </w:tc>
      </w:tr>
      <w:tr w:rsidR="008110C8" w:rsidRPr="00B73581" w:rsidTr="008110C8">
        <w:trPr>
          <w:trHeight w:val="212"/>
          <w:jc w:val="center"/>
        </w:trPr>
        <w:tc>
          <w:tcPr>
            <w:tcW w:w="1911" w:type="dxa"/>
            <w:tcBorders>
              <w:top w:val="nil"/>
              <w:left w:val="double" w:sz="6" w:space="0" w:color="538DD5"/>
              <w:bottom w:val="single" w:sz="4" w:space="0" w:color="538DD5"/>
              <w:right w:val="single" w:sz="4" w:space="0" w:color="538DD5"/>
            </w:tcBorders>
            <w:shd w:val="clear" w:color="000000" w:fill="FFFFFF"/>
            <w:vAlign w:val="center"/>
            <w:hideMark/>
          </w:tcPr>
          <w:p w:rsidR="008110C8" w:rsidRPr="00B73581" w:rsidRDefault="008110C8" w:rsidP="008110C8">
            <w:pPr>
              <w:rPr>
                <w:rFonts w:ascii="Calibri" w:hAnsi="Calibri"/>
                <w:b/>
                <w:bCs/>
                <w:sz w:val="14"/>
                <w:szCs w:val="20"/>
              </w:rPr>
            </w:pPr>
            <w:r w:rsidRPr="00B73581">
              <w:rPr>
                <w:rFonts w:ascii="Calibri" w:hAnsi="Calibri"/>
                <w:b/>
                <w:bCs/>
                <w:sz w:val="14"/>
                <w:szCs w:val="20"/>
              </w:rPr>
              <w:t xml:space="preserve">MINISTRIA E FINANCAVE DHE EKONOMISË </w:t>
            </w:r>
            <w:r w:rsidRPr="00B73581">
              <w:rPr>
                <w:rFonts w:ascii="Calibri" w:hAnsi="Calibri"/>
                <w:b/>
                <w:bCs/>
                <w:sz w:val="14"/>
                <w:szCs w:val="20"/>
              </w:rPr>
              <w:br/>
              <w:t>(Shteti Shqiptar)</w:t>
            </w:r>
          </w:p>
        </w:tc>
        <w:tc>
          <w:tcPr>
            <w:tcW w:w="3887" w:type="dxa"/>
            <w:tcBorders>
              <w:top w:val="nil"/>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292934"/>
                <w:sz w:val="14"/>
                <w:szCs w:val="22"/>
              </w:rPr>
            </w:pPr>
            <w:r w:rsidRPr="00B73581">
              <w:rPr>
                <w:rFonts w:ascii="Calibri" w:hAnsi="Calibri"/>
                <w:color w:val="292934"/>
                <w:sz w:val="14"/>
                <w:szCs w:val="22"/>
              </w:rPr>
              <w:t xml:space="preserve">99.487.000 EUR dhe 111.579,989 EUR Arbitrazhi ICSID nr.ARB/15/28 </w:t>
            </w:r>
            <w:r w:rsidRPr="00B73581">
              <w:rPr>
                <w:rFonts w:ascii="Calibri" w:hAnsi="Calibri"/>
                <w:i/>
                <w:iCs/>
                <w:color w:val="292934"/>
                <w:sz w:val="14"/>
                <w:szCs w:val="22"/>
              </w:rPr>
              <w:t>“Hydro dhe të tjerët kundër Shqipërisë”</w:t>
            </w:r>
          </w:p>
        </w:tc>
        <w:tc>
          <w:tcPr>
            <w:tcW w:w="1326"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99,598,580</w:t>
            </w:r>
          </w:p>
        </w:tc>
        <w:tc>
          <w:tcPr>
            <w:tcW w:w="1031"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w:t>
            </w:r>
          </w:p>
        </w:tc>
        <w:tc>
          <w:tcPr>
            <w:tcW w:w="2665" w:type="dxa"/>
            <w:tcBorders>
              <w:top w:val="nil"/>
              <w:left w:val="nil"/>
              <w:bottom w:val="single" w:sz="4" w:space="0" w:color="538DD5"/>
              <w:right w:val="double" w:sz="6" w:space="0" w:color="538DD5"/>
            </w:tcBorders>
            <w:shd w:val="clear" w:color="auto" w:fill="auto"/>
            <w:vAlign w:val="center"/>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Nuk ka planifikim pasi në MFE nuk është dorëzuar ende praktika lidhur me këtë çështje arbitrazhi</w:t>
            </w:r>
          </w:p>
        </w:tc>
      </w:tr>
      <w:tr w:rsidR="008110C8" w:rsidRPr="00B73581" w:rsidTr="008110C8">
        <w:trPr>
          <w:trHeight w:val="212"/>
          <w:jc w:val="center"/>
        </w:trPr>
        <w:tc>
          <w:tcPr>
            <w:tcW w:w="1911" w:type="dxa"/>
            <w:tcBorders>
              <w:top w:val="nil"/>
              <w:left w:val="double" w:sz="6" w:space="0" w:color="538DD5"/>
              <w:bottom w:val="single" w:sz="4" w:space="0" w:color="538DD5"/>
              <w:right w:val="single" w:sz="4" w:space="0" w:color="538DD5"/>
            </w:tcBorders>
            <w:shd w:val="clear" w:color="000000" w:fill="FFFFFF"/>
            <w:vAlign w:val="center"/>
            <w:hideMark/>
          </w:tcPr>
          <w:p w:rsidR="008110C8" w:rsidRPr="00B73581" w:rsidRDefault="008110C8" w:rsidP="008110C8">
            <w:pPr>
              <w:rPr>
                <w:rFonts w:ascii="Calibri" w:hAnsi="Calibri"/>
                <w:b/>
                <w:bCs/>
                <w:sz w:val="14"/>
                <w:szCs w:val="20"/>
              </w:rPr>
            </w:pPr>
            <w:r w:rsidRPr="00B73581">
              <w:rPr>
                <w:rFonts w:ascii="Calibri" w:hAnsi="Calibri"/>
                <w:b/>
                <w:bCs/>
                <w:sz w:val="14"/>
                <w:szCs w:val="20"/>
              </w:rPr>
              <w:t>MINISTRIA E BUJQËSISË DHE ZHVILLIMIT RURAL</w:t>
            </w:r>
          </w:p>
        </w:tc>
        <w:tc>
          <w:tcPr>
            <w:tcW w:w="3887" w:type="dxa"/>
            <w:tcBorders>
              <w:top w:val="nil"/>
              <w:left w:val="nil"/>
              <w:bottom w:val="single" w:sz="4" w:space="0" w:color="538DD5"/>
              <w:right w:val="single" w:sz="4" w:space="0" w:color="538DD5"/>
            </w:tcBorders>
            <w:shd w:val="clear" w:color="auto" w:fill="auto"/>
            <w:vAlign w:val="center"/>
            <w:hideMark/>
          </w:tcPr>
          <w:p w:rsidR="008110C8" w:rsidRPr="00B73581" w:rsidRDefault="008110C8" w:rsidP="008110C8">
            <w:pPr>
              <w:rPr>
                <w:rFonts w:ascii="Calibri" w:hAnsi="Calibri"/>
                <w:color w:val="292934"/>
                <w:sz w:val="14"/>
                <w:szCs w:val="22"/>
              </w:rPr>
            </w:pPr>
            <w:r w:rsidRPr="00B73581">
              <w:rPr>
                <w:rFonts w:ascii="Calibri" w:hAnsi="Calibri"/>
                <w:color w:val="292934"/>
                <w:sz w:val="14"/>
                <w:szCs w:val="22"/>
              </w:rPr>
              <w:t>750.000 EUR shpenzimet për avokatët dhe 19.500 euro kostot fillestare të arbitrazhit,  Arbitrazhi për çështjen Valeria Italia S.r.l</w:t>
            </w:r>
          </w:p>
        </w:tc>
        <w:tc>
          <w:tcPr>
            <w:tcW w:w="1326"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769,500</w:t>
            </w:r>
          </w:p>
        </w:tc>
        <w:tc>
          <w:tcPr>
            <w:tcW w:w="1031" w:type="dxa"/>
            <w:tcBorders>
              <w:top w:val="nil"/>
              <w:left w:val="nil"/>
              <w:bottom w:val="single" w:sz="4" w:space="0" w:color="538DD5"/>
              <w:right w:val="single" w:sz="4"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219,500</w:t>
            </w:r>
          </w:p>
        </w:tc>
        <w:tc>
          <w:tcPr>
            <w:tcW w:w="2665" w:type="dxa"/>
            <w:tcBorders>
              <w:top w:val="nil"/>
              <w:left w:val="nil"/>
              <w:bottom w:val="single" w:sz="4" w:space="0" w:color="538DD5"/>
              <w:right w:val="double" w:sz="6" w:space="0" w:color="538DD5"/>
            </w:tcBorders>
            <w:shd w:val="clear" w:color="auto" w:fill="auto"/>
            <w:noWrap/>
            <w:vAlign w:val="center"/>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200,000</w:t>
            </w:r>
          </w:p>
        </w:tc>
      </w:tr>
      <w:tr w:rsidR="008110C8" w:rsidRPr="00B73581" w:rsidTr="008110C8">
        <w:trPr>
          <w:trHeight w:val="17"/>
          <w:jc w:val="center"/>
        </w:trPr>
        <w:tc>
          <w:tcPr>
            <w:tcW w:w="1911" w:type="dxa"/>
            <w:tcBorders>
              <w:top w:val="nil"/>
              <w:left w:val="double" w:sz="6" w:space="0" w:color="538DD5"/>
              <w:bottom w:val="double" w:sz="6" w:space="0" w:color="538DD5"/>
              <w:right w:val="single" w:sz="4" w:space="0" w:color="538DD5"/>
            </w:tcBorders>
            <w:shd w:val="clear" w:color="auto" w:fill="auto"/>
            <w:noWrap/>
            <w:vAlign w:val="bottom"/>
            <w:hideMark/>
          </w:tcPr>
          <w:p w:rsidR="008110C8" w:rsidRPr="00B73581" w:rsidRDefault="008110C8" w:rsidP="008110C8">
            <w:pPr>
              <w:rPr>
                <w:rFonts w:ascii="Calibri" w:hAnsi="Calibri"/>
                <w:color w:val="000000"/>
                <w:sz w:val="14"/>
                <w:szCs w:val="22"/>
              </w:rPr>
            </w:pPr>
            <w:r w:rsidRPr="00B73581">
              <w:rPr>
                <w:rFonts w:ascii="Calibri" w:hAnsi="Calibri"/>
                <w:color w:val="000000"/>
                <w:sz w:val="14"/>
                <w:szCs w:val="22"/>
              </w:rPr>
              <w:t> </w:t>
            </w:r>
          </w:p>
        </w:tc>
        <w:tc>
          <w:tcPr>
            <w:tcW w:w="3887" w:type="dxa"/>
            <w:tcBorders>
              <w:top w:val="nil"/>
              <w:left w:val="nil"/>
              <w:bottom w:val="double" w:sz="6" w:space="0" w:color="538DD5"/>
              <w:right w:val="single" w:sz="4" w:space="0" w:color="538DD5"/>
            </w:tcBorders>
            <w:shd w:val="clear" w:color="auto" w:fill="auto"/>
            <w:vAlign w:val="center"/>
            <w:hideMark/>
          </w:tcPr>
          <w:p w:rsidR="008110C8" w:rsidRPr="00B73581" w:rsidRDefault="008110C8" w:rsidP="008110C8">
            <w:pPr>
              <w:jc w:val="center"/>
              <w:rPr>
                <w:rFonts w:ascii="Calibri" w:hAnsi="Calibri"/>
                <w:b/>
                <w:bCs/>
                <w:color w:val="000000"/>
                <w:sz w:val="14"/>
              </w:rPr>
            </w:pPr>
            <w:r w:rsidRPr="00B73581">
              <w:rPr>
                <w:rFonts w:ascii="Calibri" w:hAnsi="Calibri"/>
                <w:b/>
                <w:bCs/>
                <w:color w:val="000000"/>
                <w:sz w:val="14"/>
              </w:rPr>
              <w:t>Total</w:t>
            </w:r>
          </w:p>
        </w:tc>
        <w:tc>
          <w:tcPr>
            <w:tcW w:w="1326" w:type="dxa"/>
            <w:tcBorders>
              <w:top w:val="nil"/>
              <w:left w:val="nil"/>
              <w:bottom w:val="double" w:sz="6" w:space="0" w:color="538DD5"/>
              <w:right w:val="single" w:sz="4" w:space="0" w:color="538DD5"/>
            </w:tcBorders>
            <w:shd w:val="clear" w:color="auto" w:fill="auto"/>
            <w:noWrap/>
            <w:vAlign w:val="bottom"/>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108,741,912</w:t>
            </w:r>
          </w:p>
        </w:tc>
        <w:tc>
          <w:tcPr>
            <w:tcW w:w="1031" w:type="dxa"/>
            <w:tcBorders>
              <w:top w:val="nil"/>
              <w:left w:val="nil"/>
              <w:bottom w:val="double" w:sz="6" w:space="0" w:color="538DD5"/>
              <w:right w:val="single" w:sz="4" w:space="0" w:color="538DD5"/>
            </w:tcBorders>
            <w:shd w:val="clear" w:color="auto" w:fill="auto"/>
            <w:noWrap/>
            <w:vAlign w:val="bottom"/>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835,593</w:t>
            </w:r>
          </w:p>
        </w:tc>
        <w:tc>
          <w:tcPr>
            <w:tcW w:w="2665" w:type="dxa"/>
            <w:tcBorders>
              <w:top w:val="nil"/>
              <w:left w:val="nil"/>
              <w:bottom w:val="double" w:sz="6" w:space="0" w:color="538DD5"/>
              <w:right w:val="double" w:sz="6" w:space="0" w:color="538DD5"/>
            </w:tcBorders>
            <w:shd w:val="clear" w:color="auto" w:fill="auto"/>
            <w:noWrap/>
            <w:vAlign w:val="bottom"/>
            <w:hideMark/>
          </w:tcPr>
          <w:p w:rsidR="008110C8" w:rsidRPr="00B73581" w:rsidRDefault="008110C8" w:rsidP="008110C8">
            <w:pPr>
              <w:jc w:val="center"/>
              <w:rPr>
                <w:rFonts w:ascii="Calibri" w:hAnsi="Calibri"/>
                <w:color w:val="000000"/>
                <w:sz w:val="14"/>
                <w:szCs w:val="22"/>
              </w:rPr>
            </w:pPr>
            <w:r w:rsidRPr="00B73581">
              <w:rPr>
                <w:rFonts w:ascii="Calibri" w:hAnsi="Calibri"/>
                <w:color w:val="000000"/>
                <w:sz w:val="14"/>
                <w:szCs w:val="22"/>
              </w:rPr>
              <w:t>200,000</w:t>
            </w:r>
          </w:p>
        </w:tc>
      </w:tr>
    </w:tbl>
    <w:p w:rsidR="00880BDE" w:rsidRPr="004E355C" w:rsidRDefault="00765663" w:rsidP="00B95810">
      <w:pPr>
        <w:pStyle w:val="Heading1"/>
        <w:numPr>
          <w:ilvl w:val="0"/>
          <w:numId w:val="1"/>
        </w:numPr>
        <w:spacing w:line="276" w:lineRule="auto"/>
        <w:ind w:left="720"/>
        <w:jc w:val="both"/>
        <w:rPr>
          <w:sz w:val="32"/>
          <w:u w:val="none"/>
        </w:rPr>
      </w:pPr>
      <w:bookmarkStart w:id="110" w:name="_Toc12527235"/>
      <w:r w:rsidRPr="004E355C">
        <w:rPr>
          <w:sz w:val="32"/>
          <w:u w:val="none"/>
        </w:rPr>
        <w:t>KONKLUZIONE DHE PROPOZIME</w:t>
      </w:r>
      <w:bookmarkEnd w:id="110"/>
    </w:p>
    <w:p w:rsidR="00041651" w:rsidRPr="004E355C" w:rsidRDefault="00041651" w:rsidP="00A61AD8">
      <w:pPr>
        <w:spacing w:before="120" w:line="276" w:lineRule="auto"/>
        <w:jc w:val="both"/>
        <w:rPr>
          <w:rFonts w:ascii="Calibri" w:hAnsi="Calibri"/>
          <w:lang w:val="sq-AL"/>
        </w:rPr>
      </w:pPr>
      <w:r w:rsidRPr="004E355C">
        <w:rPr>
          <w:rFonts w:ascii="Calibri" w:hAnsi="Calibri"/>
          <w:lang w:val="sq-AL"/>
        </w:rPr>
        <w:t>Ekonomia nё tёrёsi pritet tё vijojё tё performojё me ritme pozitive deri nё fund tё vitit 2019, nё linjё me parashikimet fillestare. Pёrkatёsisht pёr tё gjithё vitin 2019 pritet qe Prodhimi i Brendshёm Bruto tё rritet me 4.3% nё terma real. Kjo pritet tё gjenerohet kry</w:t>
      </w:r>
      <w:r w:rsidR="00A61AD8" w:rsidRPr="004E355C">
        <w:rPr>
          <w:rFonts w:ascii="Calibri" w:hAnsi="Calibri"/>
          <w:lang w:val="sq-AL"/>
        </w:rPr>
        <w:t>esisht nga kёrkesa e brendshme si konsumi privat ashtu edhe investimet</w:t>
      </w:r>
      <w:r w:rsidRPr="004E355C">
        <w:rPr>
          <w:rFonts w:ascii="Calibri" w:hAnsi="Calibri"/>
          <w:lang w:val="sq-AL"/>
        </w:rPr>
        <w:t>, ndёrkohё qё kerkesa e huaj pritet tё ketё njё kontribut marxhinal.</w:t>
      </w:r>
    </w:p>
    <w:p w:rsidR="0078470D" w:rsidRPr="004E355C" w:rsidRDefault="0078470D" w:rsidP="0078470D">
      <w:pPr>
        <w:spacing w:before="240" w:line="276" w:lineRule="auto"/>
        <w:jc w:val="both"/>
        <w:rPr>
          <w:rFonts w:asciiTheme="minorHAnsi" w:hAnsiTheme="minorHAnsi"/>
          <w:lang w:val="sq-AL"/>
        </w:rPr>
      </w:pPr>
      <w:r w:rsidRPr="004E355C">
        <w:rPr>
          <w:rFonts w:asciiTheme="minorHAnsi" w:hAnsiTheme="minorHAnsi"/>
          <w:lang w:val="sq-AL"/>
        </w:rPr>
        <w:t xml:space="preserve">Zërat e </w:t>
      </w:r>
      <w:r w:rsidRPr="004E355C">
        <w:rPr>
          <w:rFonts w:asciiTheme="minorHAnsi" w:hAnsiTheme="minorHAnsi"/>
          <w:i/>
          <w:lang w:val="sq-AL"/>
        </w:rPr>
        <w:t>të ardhurave buxhetore</w:t>
      </w:r>
      <w:r w:rsidRPr="004E355C">
        <w:rPr>
          <w:rFonts w:asciiTheme="minorHAnsi" w:hAnsiTheme="minorHAnsi"/>
          <w:lang w:val="sq-AL"/>
        </w:rPr>
        <w:t xml:space="preserve">, përfshirë ato tatimore e doganore së bashku me </w:t>
      </w:r>
      <w:r w:rsidRPr="004E355C">
        <w:rPr>
          <w:rFonts w:asciiTheme="minorHAnsi" w:hAnsiTheme="minorHAnsi"/>
          <w:noProof/>
          <w:lang w:val="sq-AL"/>
        </w:rPr>
        <w:t xml:space="preserve">kontributet e sigurimeve shoqërore e shëndetësore, </w:t>
      </w:r>
      <w:r w:rsidR="0084340E" w:rsidRPr="004E355C">
        <w:rPr>
          <w:rFonts w:asciiTheme="minorHAnsi" w:hAnsiTheme="minorHAnsi" w:cstheme="minorHAnsi"/>
          <w:noProof/>
          <w:lang w:val="sq-AL"/>
        </w:rPr>
        <w:t xml:space="preserve">pritet të realizohen në nivelin 97.5% - 98% </w:t>
      </w:r>
      <w:r w:rsidRPr="004E355C">
        <w:rPr>
          <w:rFonts w:asciiTheme="minorHAnsi" w:hAnsiTheme="minorHAnsi"/>
          <w:noProof/>
          <w:lang w:val="sq-AL"/>
        </w:rPr>
        <w:t>të planit vjetor 201</w:t>
      </w:r>
      <w:r w:rsidR="0084340E" w:rsidRPr="004E355C">
        <w:rPr>
          <w:rFonts w:asciiTheme="minorHAnsi" w:hAnsiTheme="minorHAnsi"/>
          <w:noProof/>
          <w:lang w:val="sq-AL"/>
        </w:rPr>
        <w:t>9</w:t>
      </w:r>
      <w:r w:rsidRPr="004E355C">
        <w:rPr>
          <w:rFonts w:asciiTheme="minorHAnsi" w:hAnsiTheme="minorHAnsi"/>
          <w:noProof/>
          <w:lang w:val="sq-AL"/>
        </w:rPr>
        <w:t>. Të ardhurat e pritshme për vitin 201</w:t>
      </w:r>
      <w:r w:rsidR="0084340E" w:rsidRPr="004E355C">
        <w:rPr>
          <w:rFonts w:asciiTheme="minorHAnsi" w:hAnsiTheme="minorHAnsi"/>
          <w:noProof/>
          <w:lang w:val="sq-AL"/>
        </w:rPr>
        <w:t>9</w:t>
      </w:r>
      <w:r w:rsidRPr="004E355C">
        <w:rPr>
          <w:rFonts w:asciiTheme="minorHAnsi" w:hAnsiTheme="minorHAnsi"/>
          <w:noProof/>
          <w:lang w:val="sq-AL"/>
        </w:rPr>
        <w:t>, vlerësuar mbi bazën e performancës Janar-Maj 201</w:t>
      </w:r>
      <w:r w:rsidR="0084340E" w:rsidRPr="004E355C">
        <w:rPr>
          <w:rFonts w:asciiTheme="minorHAnsi" w:hAnsiTheme="minorHAnsi"/>
          <w:noProof/>
          <w:lang w:val="sq-AL"/>
        </w:rPr>
        <w:t>9</w:t>
      </w:r>
      <w:r w:rsidRPr="004E355C">
        <w:rPr>
          <w:rFonts w:asciiTheme="minorHAnsi" w:hAnsiTheme="minorHAnsi"/>
          <w:noProof/>
          <w:lang w:val="sq-AL"/>
        </w:rPr>
        <w:t xml:space="preserve">, </w:t>
      </w:r>
      <w:r w:rsidR="005A1363" w:rsidRPr="004E355C">
        <w:rPr>
          <w:rFonts w:asciiTheme="minorHAnsi" w:hAnsiTheme="minorHAnsi"/>
          <w:noProof/>
          <w:lang w:val="sq-AL"/>
        </w:rPr>
        <w:t xml:space="preserve">dhe nisur nga faktorët </w:t>
      </w:r>
      <w:r w:rsidR="005A1363" w:rsidRPr="004E355C">
        <w:rPr>
          <w:rFonts w:asciiTheme="minorHAnsi" w:hAnsiTheme="minorHAnsi" w:cstheme="minorHAnsi"/>
          <w:lang w:val="sq-AL"/>
        </w:rPr>
        <w:t xml:space="preserve">që mund të impaktojnë realizimin e tyre në 7 mujorin në vijim të vitit 2019, </w:t>
      </w:r>
      <w:r w:rsidRPr="004E355C">
        <w:rPr>
          <w:rFonts w:asciiTheme="minorHAnsi" w:hAnsiTheme="minorHAnsi"/>
          <w:noProof/>
          <w:lang w:val="sq-AL"/>
        </w:rPr>
        <w:t>mbajnë parasysh një sërë</w:t>
      </w:r>
      <w:r w:rsidRPr="004E355C">
        <w:rPr>
          <w:rFonts w:asciiTheme="minorHAnsi" w:hAnsiTheme="minorHAnsi"/>
          <w:lang w:val="sq-AL"/>
        </w:rPr>
        <w:t xml:space="preserve"> </w:t>
      </w:r>
      <w:r w:rsidR="005A1363" w:rsidRPr="004E355C">
        <w:rPr>
          <w:rFonts w:asciiTheme="minorHAnsi" w:hAnsiTheme="minorHAnsi"/>
          <w:lang w:val="sq-AL"/>
        </w:rPr>
        <w:t>aspektesh kyç të tilla</w:t>
      </w:r>
      <w:r w:rsidRPr="004E355C">
        <w:rPr>
          <w:rFonts w:asciiTheme="minorHAnsi" w:hAnsiTheme="minorHAnsi"/>
          <w:lang w:val="sq-AL"/>
        </w:rPr>
        <w:t xml:space="preserve"> si: (i) Efektet e kursit të këmbimit </w:t>
      </w:r>
      <w:r w:rsidR="005A1363" w:rsidRPr="004E355C">
        <w:rPr>
          <w:rFonts w:asciiTheme="minorHAnsi" w:hAnsiTheme="minorHAnsi"/>
          <w:lang w:val="sq-AL"/>
        </w:rPr>
        <w:t>kundrejt</w:t>
      </w:r>
      <w:r w:rsidRPr="004E355C">
        <w:rPr>
          <w:rFonts w:asciiTheme="minorHAnsi" w:hAnsiTheme="minorHAnsi"/>
          <w:lang w:val="sq-AL"/>
        </w:rPr>
        <w:t xml:space="preserve"> valutave EUR&amp;USD ndaj monedhës vendase; (ii) </w:t>
      </w:r>
      <w:r w:rsidR="005A1363" w:rsidRPr="004E355C">
        <w:rPr>
          <w:rFonts w:asciiTheme="minorHAnsi" w:hAnsiTheme="minorHAnsi"/>
          <w:lang w:val="sq-AL"/>
        </w:rPr>
        <w:t>Ecurinë</w:t>
      </w:r>
      <w:r w:rsidRPr="004E355C">
        <w:rPr>
          <w:rFonts w:asciiTheme="minorHAnsi" w:hAnsiTheme="minorHAnsi"/>
          <w:lang w:val="sq-AL"/>
        </w:rPr>
        <w:t xml:space="preserve"> e çmimit brent të naftës bruto; </w:t>
      </w:r>
      <w:r w:rsidR="005A1363" w:rsidRPr="004E355C">
        <w:rPr>
          <w:rFonts w:asciiTheme="minorHAnsi" w:hAnsiTheme="minorHAnsi"/>
          <w:lang w:val="sq-AL"/>
        </w:rPr>
        <w:t xml:space="preserve">(iii) </w:t>
      </w:r>
      <w:r w:rsidR="005A1363" w:rsidRPr="004E355C">
        <w:rPr>
          <w:rFonts w:asciiTheme="minorHAnsi" w:hAnsiTheme="minorHAnsi" w:cstheme="minorHAnsi"/>
          <w:lang w:val="sq-AL"/>
        </w:rPr>
        <w:t>performancën e në administrimin e TVSH-së së brendshme, në rimbursimin  e stokut të TVSH-së për investitorët e mëdhenj</w:t>
      </w:r>
      <w:r w:rsidR="005A1363" w:rsidRPr="004E355C">
        <w:rPr>
          <w:rFonts w:asciiTheme="minorHAnsi" w:hAnsiTheme="minorHAnsi"/>
          <w:lang w:val="sq-AL"/>
        </w:rPr>
        <w:t xml:space="preserve"> dhe </w:t>
      </w:r>
      <w:r w:rsidR="005A1363" w:rsidRPr="004E355C">
        <w:rPr>
          <w:rFonts w:asciiTheme="minorHAnsi" w:hAnsiTheme="minorHAnsi" w:cstheme="minorHAnsi"/>
          <w:lang w:val="sq-AL"/>
        </w:rPr>
        <w:t>rimbursimi n</w:t>
      </w:r>
      <w:r w:rsidR="005A1363" w:rsidRPr="004E355C">
        <w:rPr>
          <w:rFonts w:ascii="Calibri" w:hAnsi="Calibri" w:cs="Calibri"/>
          <w:lang w:val="sq-AL"/>
        </w:rPr>
        <w:t>ë</w:t>
      </w:r>
      <w:r w:rsidR="005A1363" w:rsidRPr="004E355C">
        <w:rPr>
          <w:rFonts w:asciiTheme="minorHAnsi" w:hAnsiTheme="minorHAnsi" w:cstheme="minorHAnsi"/>
          <w:lang w:val="sq-AL"/>
        </w:rPr>
        <w:t xml:space="preserve"> afatet kohore ligjore të  TVSH-së për eksportuesit dhe industrinë fasone;</w:t>
      </w:r>
      <w:r w:rsidR="005A1363" w:rsidRPr="004E355C">
        <w:rPr>
          <w:rFonts w:asciiTheme="minorHAnsi" w:hAnsiTheme="minorHAnsi"/>
          <w:lang w:val="sq-AL"/>
        </w:rPr>
        <w:t xml:space="preserve"> </w:t>
      </w:r>
      <w:r w:rsidRPr="004E355C">
        <w:rPr>
          <w:rFonts w:asciiTheme="minorHAnsi" w:hAnsiTheme="minorHAnsi"/>
          <w:lang w:val="sq-AL"/>
        </w:rPr>
        <w:t xml:space="preserve">(iv) Progresin në mirëadministrim dhe luftën kundër informalitetit. </w:t>
      </w:r>
    </w:p>
    <w:p w:rsidR="00417DCB" w:rsidRPr="004E355C" w:rsidRDefault="0046055E" w:rsidP="0078470D">
      <w:pPr>
        <w:spacing w:before="240" w:line="276" w:lineRule="auto"/>
        <w:jc w:val="both"/>
        <w:rPr>
          <w:rFonts w:asciiTheme="minorHAnsi" w:hAnsiTheme="minorHAnsi"/>
          <w:lang w:val="sq-AL"/>
        </w:rPr>
      </w:pPr>
      <w:r>
        <w:rPr>
          <w:rFonts w:asciiTheme="minorHAnsi" w:hAnsiTheme="minorHAnsi"/>
          <w:lang w:val="sq-AL"/>
        </w:rPr>
        <w:t>N</w:t>
      </w:r>
      <w:r w:rsidR="00417DCB" w:rsidRPr="004E355C">
        <w:rPr>
          <w:rFonts w:asciiTheme="minorHAnsi" w:hAnsiTheme="minorHAnsi"/>
          <w:lang w:val="sq-AL"/>
        </w:rPr>
        <w:t>iveli i borxhit publik në raport me PBB, në fund të vitit 2019 parashikohet në rënie me rreth 1.7 pp. Gjatë periudhës së mbetur të vitit 2019, menaxhimi i borxhit do të ketë në fokus përmirësimin e mëtejshëm të strukturës së borxhit (kryesisht strukturën e portofolit të borxhit të brendshëm) në drejtim të uljes së ekspozimit ndaj risqeve.</w:t>
      </w:r>
    </w:p>
    <w:p w:rsidR="0078470D" w:rsidRPr="004E355C" w:rsidRDefault="0078470D" w:rsidP="0078470D">
      <w:pPr>
        <w:spacing w:before="240" w:line="276" w:lineRule="auto"/>
        <w:jc w:val="both"/>
        <w:rPr>
          <w:rFonts w:asciiTheme="minorHAnsi" w:hAnsiTheme="minorHAnsi"/>
          <w:noProof/>
          <w:lang w:val="sq-AL"/>
        </w:rPr>
      </w:pPr>
      <w:r w:rsidRPr="004E355C">
        <w:rPr>
          <w:rFonts w:asciiTheme="minorHAnsi" w:hAnsiTheme="minorHAnsi"/>
          <w:noProof/>
          <w:lang w:val="sq-AL"/>
        </w:rPr>
        <w:t xml:space="preserve">Përsa i përket </w:t>
      </w:r>
      <w:r w:rsidRPr="004E355C">
        <w:rPr>
          <w:rFonts w:asciiTheme="minorHAnsi" w:hAnsiTheme="minorHAnsi"/>
          <w:i/>
          <w:noProof/>
          <w:lang w:val="sq-AL"/>
        </w:rPr>
        <w:t>shpenzimeve buxhetore</w:t>
      </w:r>
      <w:r w:rsidRPr="004E355C">
        <w:rPr>
          <w:rFonts w:asciiTheme="minorHAnsi" w:hAnsiTheme="minorHAnsi"/>
          <w:noProof/>
          <w:lang w:val="sq-AL"/>
        </w:rPr>
        <w:t>, pritshmëritë deri në fund të vitit 201</w:t>
      </w:r>
      <w:r w:rsidR="00417DCB" w:rsidRPr="004E355C">
        <w:rPr>
          <w:rFonts w:asciiTheme="minorHAnsi" w:hAnsiTheme="minorHAnsi"/>
          <w:noProof/>
          <w:lang w:val="sq-AL"/>
        </w:rPr>
        <w:t>9</w:t>
      </w:r>
      <w:r w:rsidRPr="004E355C">
        <w:rPr>
          <w:rFonts w:asciiTheme="minorHAnsi" w:hAnsiTheme="minorHAnsi"/>
          <w:noProof/>
          <w:lang w:val="sq-AL"/>
        </w:rPr>
        <w:t xml:space="preserve"> janë për një ecu</w:t>
      </w:r>
      <w:r w:rsidR="00417DCB" w:rsidRPr="004E355C">
        <w:rPr>
          <w:rFonts w:asciiTheme="minorHAnsi" w:hAnsiTheme="minorHAnsi"/>
          <w:noProof/>
          <w:lang w:val="sq-AL"/>
        </w:rPr>
        <w:t>ri të qëndrueshme të tyre</w:t>
      </w:r>
      <w:r w:rsidRPr="004E355C">
        <w:rPr>
          <w:rFonts w:asciiTheme="minorHAnsi" w:hAnsiTheme="minorHAnsi"/>
          <w:noProof/>
          <w:lang w:val="sq-AL"/>
        </w:rPr>
        <w:t>.</w:t>
      </w:r>
    </w:p>
    <w:p w:rsidR="0078470D" w:rsidRPr="004E355C" w:rsidRDefault="0078470D" w:rsidP="0078470D">
      <w:pPr>
        <w:spacing w:before="240" w:after="240" w:line="276" w:lineRule="auto"/>
        <w:jc w:val="both"/>
        <w:rPr>
          <w:rFonts w:asciiTheme="minorHAnsi" w:hAnsiTheme="minorHAnsi"/>
          <w:i/>
          <w:noProof/>
          <w:lang w:val="sq-AL"/>
        </w:rPr>
      </w:pPr>
      <w:r w:rsidRPr="004E355C">
        <w:rPr>
          <w:rFonts w:asciiTheme="minorHAnsi" w:hAnsiTheme="minorHAnsi"/>
          <w:i/>
          <w:noProof/>
          <w:lang w:val="sq-AL"/>
        </w:rPr>
        <w:t>Në përfundim, nën dritën e analizës së mësipërme mbi ecurinë 5-mujore dhe pritshmëritë deri n</w:t>
      </w:r>
      <w:r w:rsidR="00CB2AA1" w:rsidRPr="004E355C">
        <w:rPr>
          <w:rFonts w:asciiTheme="minorHAnsi" w:hAnsiTheme="minorHAnsi"/>
          <w:i/>
          <w:noProof/>
          <w:lang w:val="sq-AL"/>
        </w:rPr>
        <w:t>ë</w:t>
      </w:r>
      <w:r w:rsidRPr="004E355C">
        <w:rPr>
          <w:rFonts w:asciiTheme="minorHAnsi" w:hAnsiTheme="minorHAnsi"/>
          <w:i/>
          <w:noProof/>
          <w:lang w:val="sq-AL"/>
        </w:rPr>
        <w:t xml:space="preserve"> fund t</w:t>
      </w:r>
      <w:r w:rsidR="00CB2AA1" w:rsidRPr="004E355C">
        <w:rPr>
          <w:rFonts w:asciiTheme="minorHAnsi" w:hAnsiTheme="minorHAnsi"/>
          <w:i/>
          <w:noProof/>
          <w:lang w:val="sq-AL"/>
        </w:rPr>
        <w:t>ë</w:t>
      </w:r>
      <w:r w:rsidRPr="004E355C">
        <w:rPr>
          <w:rFonts w:asciiTheme="minorHAnsi" w:hAnsiTheme="minorHAnsi"/>
          <w:i/>
          <w:noProof/>
          <w:lang w:val="sq-AL"/>
        </w:rPr>
        <w:t xml:space="preserve"> vitit fiskal 201</w:t>
      </w:r>
      <w:r w:rsidR="00417DCB" w:rsidRPr="004E355C">
        <w:rPr>
          <w:rFonts w:asciiTheme="minorHAnsi" w:hAnsiTheme="minorHAnsi"/>
          <w:i/>
          <w:noProof/>
          <w:lang w:val="sq-AL"/>
        </w:rPr>
        <w:t>9</w:t>
      </w:r>
      <w:r w:rsidRPr="004E355C">
        <w:rPr>
          <w:rFonts w:asciiTheme="minorHAnsi" w:hAnsiTheme="minorHAnsi"/>
          <w:i/>
          <w:noProof/>
          <w:lang w:val="sq-AL"/>
        </w:rPr>
        <w:t xml:space="preserve">, Ministria e Financave dhe Ekonomisë gjykon se vlerësimi i performancës          7-mujore të ecurisë së treguesve të konsoliduar makro-fiskal dhe buxhetorë, si të të ardhurave ashtu edhe të shpenzimeve, do të jetë vendimtar në drejtim të </w:t>
      </w:r>
      <w:r w:rsidR="00417DCB" w:rsidRPr="004E355C">
        <w:rPr>
          <w:rFonts w:asciiTheme="minorHAnsi" w:hAnsiTheme="minorHAnsi"/>
          <w:i/>
          <w:noProof/>
          <w:lang w:val="sq-AL"/>
        </w:rPr>
        <w:t>angazhimit</w:t>
      </w:r>
      <w:r w:rsidRPr="004E355C">
        <w:rPr>
          <w:rFonts w:asciiTheme="minorHAnsi" w:hAnsiTheme="minorHAnsi"/>
          <w:i/>
          <w:noProof/>
          <w:lang w:val="sq-AL"/>
        </w:rPr>
        <w:t xml:space="preserve"> për një rishikim eventual të </w:t>
      </w:r>
      <w:r w:rsidR="00417DCB" w:rsidRPr="004E355C">
        <w:rPr>
          <w:rFonts w:asciiTheme="minorHAnsi" w:hAnsiTheme="minorHAnsi"/>
          <w:i/>
          <w:noProof/>
          <w:lang w:val="sq-AL"/>
        </w:rPr>
        <w:t>ligjit t</w:t>
      </w:r>
      <w:r w:rsidR="000D1394" w:rsidRPr="004E355C">
        <w:rPr>
          <w:rFonts w:asciiTheme="minorHAnsi" w:hAnsiTheme="minorHAnsi"/>
          <w:i/>
          <w:noProof/>
          <w:lang w:val="sq-AL"/>
        </w:rPr>
        <w:t>ë</w:t>
      </w:r>
      <w:r w:rsidR="00417DCB" w:rsidRPr="004E355C">
        <w:rPr>
          <w:rFonts w:asciiTheme="minorHAnsi" w:hAnsiTheme="minorHAnsi"/>
          <w:i/>
          <w:noProof/>
          <w:lang w:val="sq-AL"/>
        </w:rPr>
        <w:t xml:space="preserve"> </w:t>
      </w:r>
      <w:r w:rsidRPr="004E355C">
        <w:rPr>
          <w:rFonts w:asciiTheme="minorHAnsi" w:hAnsiTheme="minorHAnsi"/>
          <w:i/>
          <w:noProof/>
          <w:lang w:val="sq-AL"/>
        </w:rPr>
        <w:t xml:space="preserve">buxhetit të </w:t>
      </w:r>
      <w:r w:rsidR="00417DCB" w:rsidRPr="004E355C">
        <w:rPr>
          <w:rFonts w:asciiTheme="minorHAnsi" w:hAnsiTheme="minorHAnsi"/>
          <w:i/>
          <w:noProof/>
          <w:lang w:val="sq-AL"/>
        </w:rPr>
        <w:t>vitit</w:t>
      </w:r>
      <w:r w:rsidRPr="004E355C">
        <w:rPr>
          <w:rFonts w:asciiTheme="minorHAnsi" w:hAnsiTheme="minorHAnsi"/>
          <w:i/>
          <w:noProof/>
          <w:lang w:val="sq-AL"/>
        </w:rPr>
        <w:t xml:space="preserve"> 201</w:t>
      </w:r>
      <w:r w:rsidR="00417DCB" w:rsidRPr="004E355C">
        <w:rPr>
          <w:rFonts w:asciiTheme="minorHAnsi" w:hAnsiTheme="minorHAnsi"/>
          <w:i/>
          <w:noProof/>
          <w:lang w:val="sq-AL"/>
        </w:rPr>
        <w:t>9</w:t>
      </w:r>
      <w:r w:rsidRPr="004E355C">
        <w:rPr>
          <w:rFonts w:asciiTheme="minorHAnsi" w:hAnsiTheme="minorHAnsi"/>
          <w:i/>
          <w:noProof/>
          <w:lang w:val="sq-AL"/>
        </w:rPr>
        <w:t>.</w:t>
      </w:r>
    </w:p>
    <w:p w:rsidR="000A1A4D" w:rsidRPr="004E355C" w:rsidRDefault="00D3619E" w:rsidP="00B95810">
      <w:pPr>
        <w:pStyle w:val="Heading1"/>
        <w:numPr>
          <w:ilvl w:val="0"/>
          <w:numId w:val="1"/>
        </w:numPr>
        <w:spacing w:line="276" w:lineRule="auto"/>
        <w:ind w:left="720"/>
        <w:jc w:val="both"/>
        <w:rPr>
          <w:sz w:val="32"/>
          <w:u w:val="none"/>
        </w:rPr>
      </w:pPr>
      <w:bookmarkStart w:id="111" w:name="_Toc12527236"/>
      <w:r w:rsidRPr="004E355C">
        <w:rPr>
          <w:sz w:val="32"/>
          <w:u w:val="none"/>
        </w:rPr>
        <w:lastRenderedPageBreak/>
        <w:t>SHTOJCAT</w:t>
      </w:r>
      <w:bookmarkEnd w:id="111"/>
    </w:p>
    <w:p w:rsidR="000A1A4D" w:rsidRPr="004E355C" w:rsidRDefault="000A1A4D" w:rsidP="00231E75">
      <w:pPr>
        <w:pStyle w:val="Heading2"/>
        <w:spacing w:line="276" w:lineRule="auto"/>
        <w:rPr>
          <w:rFonts w:asciiTheme="minorHAnsi" w:hAnsiTheme="minorHAnsi"/>
          <w:noProof/>
          <w:color w:val="4F81BD" w:themeColor="accent1"/>
          <w:sz w:val="28"/>
          <w:szCs w:val="24"/>
          <w:lang w:val="sq-AL"/>
        </w:rPr>
      </w:pPr>
      <w:bookmarkStart w:id="112" w:name="_Toc12527237"/>
      <w:r w:rsidRPr="004E355C">
        <w:rPr>
          <w:rFonts w:asciiTheme="minorHAnsi" w:hAnsiTheme="minorHAnsi"/>
          <w:noProof/>
          <w:color w:val="4F81BD" w:themeColor="accent1"/>
          <w:sz w:val="28"/>
          <w:szCs w:val="24"/>
          <w:lang w:val="sq-AL"/>
        </w:rPr>
        <w:t>VI.1</w:t>
      </w:r>
      <w:r w:rsidRPr="004E355C">
        <w:rPr>
          <w:rFonts w:asciiTheme="minorHAnsi" w:hAnsiTheme="minorHAnsi"/>
          <w:noProof/>
          <w:color w:val="4F81BD" w:themeColor="accent1"/>
          <w:sz w:val="28"/>
          <w:szCs w:val="24"/>
          <w:lang w:val="sq-AL"/>
        </w:rPr>
        <w:tab/>
        <w:t xml:space="preserve">Ecuria e </w:t>
      </w:r>
      <w:r w:rsidR="003D082B" w:rsidRPr="004E355C">
        <w:rPr>
          <w:rFonts w:asciiTheme="minorHAnsi" w:hAnsiTheme="minorHAnsi"/>
          <w:noProof/>
          <w:color w:val="4F81BD" w:themeColor="accent1"/>
          <w:sz w:val="28"/>
          <w:szCs w:val="24"/>
          <w:lang w:val="sq-AL"/>
        </w:rPr>
        <w:t xml:space="preserve">detajuar e </w:t>
      </w:r>
      <w:r w:rsidRPr="004E355C">
        <w:rPr>
          <w:rFonts w:asciiTheme="minorHAnsi" w:hAnsiTheme="minorHAnsi"/>
          <w:noProof/>
          <w:color w:val="4F81BD" w:themeColor="accent1"/>
          <w:sz w:val="28"/>
          <w:szCs w:val="24"/>
          <w:lang w:val="sq-AL"/>
        </w:rPr>
        <w:t>treguesve makroekonomik</w:t>
      </w:r>
      <w:r w:rsidR="00CB4E18" w:rsidRPr="004E355C">
        <w:rPr>
          <w:rFonts w:asciiTheme="minorHAnsi" w:hAnsiTheme="minorHAnsi"/>
          <w:noProof/>
          <w:color w:val="4F81BD" w:themeColor="accent1"/>
          <w:sz w:val="28"/>
          <w:szCs w:val="24"/>
          <w:lang w:val="sq-AL"/>
        </w:rPr>
        <w:t>ë</w:t>
      </w:r>
      <w:r w:rsidRPr="004E355C">
        <w:rPr>
          <w:rFonts w:asciiTheme="minorHAnsi" w:hAnsiTheme="minorHAnsi"/>
          <w:noProof/>
          <w:color w:val="4F81BD" w:themeColor="accent1"/>
          <w:sz w:val="28"/>
          <w:szCs w:val="24"/>
          <w:lang w:val="sq-AL"/>
        </w:rPr>
        <w:t xml:space="preserve"> gjat</w:t>
      </w:r>
      <w:r w:rsidR="00CB4E18" w:rsidRPr="004E355C">
        <w:rPr>
          <w:rFonts w:asciiTheme="minorHAnsi" w:hAnsiTheme="minorHAnsi"/>
          <w:noProof/>
          <w:color w:val="4F81BD" w:themeColor="accent1"/>
          <w:sz w:val="28"/>
          <w:szCs w:val="24"/>
          <w:lang w:val="sq-AL"/>
        </w:rPr>
        <w:t>ë</w:t>
      </w:r>
      <w:r w:rsidRPr="004E355C">
        <w:rPr>
          <w:rFonts w:asciiTheme="minorHAnsi" w:hAnsiTheme="minorHAnsi"/>
          <w:noProof/>
          <w:color w:val="4F81BD" w:themeColor="accent1"/>
          <w:sz w:val="28"/>
          <w:szCs w:val="24"/>
          <w:lang w:val="sq-AL"/>
        </w:rPr>
        <w:t xml:space="preserve"> janar-maj 201</w:t>
      </w:r>
      <w:r w:rsidR="009A3607" w:rsidRPr="004E355C">
        <w:rPr>
          <w:rFonts w:asciiTheme="minorHAnsi" w:hAnsiTheme="minorHAnsi"/>
          <w:noProof/>
          <w:color w:val="4F81BD" w:themeColor="accent1"/>
          <w:sz w:val="28"/>
          <w:szCs w:val="24"/>
          <w:lang w:val="sq-AL"/>
        </w:rPr>
        <w:t>9</w:t>
      </w:r>
      <w:r w:rsidR="00302A6A" w:rsidRPr="004E355C">
        <w:rPr>
          <w:rStyle w:val="FootnoteReference"/>
          <w:rFonts w:asciiTheme="minorHAnsi" w:hAnsiTheme="minorHAnsi"/>
          <w:noProof/>
          <w:color w:val="4F81BD" w:themeColor="accent1"/>
          <w:sz w:val="28"/>
          <w:szCs w:val="24"/>
          <w:lang w:val="sq-AL"/>
        </w:rPr>
        <w:footnoteReference w:id="5"/>
      </w:r>
      <w:bookmarkEnd w:id="112"/>
    </w:p>
    <w:p w:rsidR="000A1A4D" w:rsidRPr="004E355C"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rsidR="00231E75" w:rsidRPr="004E355C" w:rsidRDefault="00231E75" w:rsidP="00231E75">
      <w:pPr>
        <w:autoSpaceDE w:val="0"/>
        <w:autoSpaceDN w:val="0"/>
        <w:adjustRightInd w:val="0"/>
        <w:spacing w:line="276" w:lineRule="auto"/>
        <w:contextualSpacing/>
        <w:jc w:val="both"/>
        <w:rPr>
          <w:rFonts w:asciiTheme="minorHAnsi" w:hAnsiTheme="minorHAnsi"/>
          <w:b/>
          <w:i/>
          <w:noProof/>
          <w:lang w:val="sq-AL"/>
        </w:rPr>
      </w:pPr>
      <w:r w:rsidRPr="004E355C">
        <w:rPr>
          <w:rFonts w:asciiTheme="minorHAnsi" w:hAnsiTheme="minorHAnsi"/>
          <w:b/>
          <w:i/>
          <w:noProof/>
          <w:lang w:val="sq-AL"/>
        </w:rPr>
        <w:t>Sektori real</w:t>
      </w:r>
    </w:p>
    <w:p w:rsidR="009A3607" w:rsidRPr="004E355C" w:rsidRDefault="009A3607" w:rsidP="000D1394">
      <w:pPr>
        <w:spacing w:after="120" w:line="276" w:lineRule="auto"/>
        <w:jc w:val="both"/>
        <w:rPr>
          <w:rFonts w:asciiTheme="minorHAnsi" w:hAnsiTheme="minorHAnsi"/>
          <w:noProof/>
          <w:lang w:val="sq-AL"/>
        </w:rPr>
      </w:pPr>
      <w:r w:rsidRPr="004E355C">
        <w:rPr>
          <w:rFonts w:asciiTheme="minorHAnsi" w:hAnsiTheme="minorHAnsi"/>
          <w:noProof/>
          <w:lang w:val="sq-AL"/>
        </w:rPr>
        <w:t xml:space="preserve">Bazuar në statistikat dhe informacionin më të fundit të disponueshëm, rezulton se ekonomia ka vijuar të performojë përgjithësisht në linjë me parashikimet makroekonomike fillestare mbi të cilat është bazuar buxheti i vitit aktual 2019. </w:t>
      </w:r>
    </w:p>
    <w:p w:rsidR="009A3607" w:rsidRPr="004E355C" w:rsidRDefault="009A3607" w:rsidP="009A3607">
      <w:pPr>
        <w:spacing w:before="120" w:after="120" w:line="276" w:lineRule="auto"/>
        <w:jc w:val="both"/>
        <w:rPr>
          <w:rFonts w:asciiTheme="minorHAnsi" w:hAnsiTheme="minorHAnsi"/>
          <w:noProof/>
          <w:lang w:val="sq-AL"/>
        </w:rPr>
      </w:pPr>
      <w:r w:rsidRPr="004E355C">
        <w:rPr>
          <w:rFonts w:asciiTheme="minorHAnsi" w:hAnsiTheme="minorHAnsi"/>
          <w:noProof/>
          <w:lang w:val="sq-AL"/>
        </w:rPr>
        <w:t>Tendencat e punësimit dhe papunësisë, sipas vlerësimeve të INSTAT, flasin për një trend të qartë pozitiv të punësimit, ndërkohë që norma e papunësisë ka shënuar një reduktim të konsiderueshëm. Përgjatë tremujorit të parë të vitit 2019 punësimi vijoi trendin pozitiv të rritjes së tij, të rezultuar edhe pёrgjatё vitit 2018. Pёr tremujorin e parё tё 2019, shkalla zyrtare e papunёsisё pёr grup-moshёn 15 vjeç e lart ra nё vlerёn 12.1% duke qenё mё e ulta nё tё paktёn  gjashtё vitet e fundit, ndërsa për grupmoshën 15-64 vjeç shkalla zyrtare e papunësisë ishte 12.6%. Krahasuar me tremujorin e mëparshëm (T4-2018), shkalla e papunësisë pësoi rënie prej 0.13 pikë përqindje. Ndërsa krahasuar me të njëjtin tremujor të një viti më parë (T1-2018), shkalla e papunësisë u ul me 0.4 pikë përqindje. Numri i tё punёsuarve pёr tremujorin e parё 2019 u rrit me 1.5% nё terma vjetor pёr grup-moshёn 15-64 vjeç. Trendin rritёs e ka vijuar edhe shkalla e punёsimit duke arritur vlerёn 60.3% pёr grup-moshёn 15-64 vjeç, duke shёnuar vlerёn mё tё lartё nё dhjetё vitet e fundit. Krahasuar me tremujorin e mëparshëm ajo u rrit me 0.3 pikë përqindje.</w:t>
      </w:r>
    </w:p>
    <w:p w:rsidR="000D1394" w:rsidRPr="004E355C" w:rsidRDefault="009A3607" w:rsidP="009A3607">
      <w:pPr>
        <w:spacing w:before="120" w:after="120" w:line="276" w:lineRule="auto"/>
        <w:jc w:val="both"/>
        <w:rPr>
          <w:rFonts w:asciiTheme="minorHAnsi" w:hAnsiTheme="minorHAnsi"/>
          <w:noProof/>
          <w:lang w:val="sq-AL"/>
        </w:rPr>
      </w:pPr>
      <w:r w:rsidRPr="004E355C">
        <w:rPr>
          <w:rFonts w:asciiTheme="minorHAnsi" w:hAnsiTheme="minorHAnsi"/>
          <w:noProof/>
          <w:lang w:val="sq-AL"/>
        </w:rPr>
        <w:t xml:space="preserve">Një tjetër tregues i rendësishëm që jep sinjale mbi rritjen ekonomike të tremujorin e parё tё 2019, siç është dhe treguesi i ndjesisë ekonomike (TNE), marrë nga Vrojtimi i Besimit të Biznesit dhe Konsumatorit, shënoi nivelin 106.5 në T1-2019 duke pësuar një rritje prej 4.6 pikësh nga tremujori i kaluar dhe një rënie me 5.6 pikë përqindje në krahasim me T1-2018. Niveli aktual i TNE-së qëndron 6.5 pikë mbi mesataren afatgjatë dhe rreth 6.4 pikë përqindje mbi mesataren e gjashtё viteve të fundit. Rritja e TNE-së, rreth nivelit 106.5, i atribuohet kryesisht rritjes së besimit në sektorin e ndërtimit dhe besimit konsumator. Besimi u përmirësua edhe në sektorin e tregtisë, e paralelisht me të u rrit lehtësisht në sektorin e shërbimeve. Në të njëjtin tremujor, besimi në sektorin e industrisë shënoi rënie. </w:t>
      </w:r>
    </w:p>
    <w:p w:rsidR="009A3607" w:rsidRDefault="009A3607" w:rsidP="009A3607">
      <w:pPr>
        <w:spacing w:before="120" w:after="120" w:line="276" w:lineRule="auto"/>
        <w:jc w:val="both"/>
        <w:rPr>
          <w:rFonts w:asciiTheme="minorHAnsi" w:hAnsiTheme="minorHAnsi"/>
          <w:noProof/>
          <w:lang w:val="sq-AL"/>
        </w:rPr>
      </w:pPr>
      <w:r w:rsidRPr="004E355C">
        <w:rPr>
          <w:rFonts w:asciiTheme="minorHAnsi" w:hAnsiTheme="minorHAnsi"/>
          <w:noProof/>
          <w:lang w:val="sq-AL"/>
        </w:rPr>
        <w:t xml:space="preserve">Treguesi i besimit në sektorin e industrisë (TBI) shënoi nivelin -2.0 në T1-2019 (3.9 pikë përqindje më pak krahasuar me T1-2018), duke pësuar një rënie tremujore prej 0.7 pikë përqindje. Treguesi i besimit në sektorin e ndërtimit (TBN) shënoi nivelin -19.7 në T1-2019 (12.1 pikë përqindje më shumё krahasuar me T1-2018), duke pësuar një rritje tremujore prej 8.0 pikë përqindje. Treguesi i besimit në shërbime (TBSH) shënoi nivelin 6.5 në T1-2019 (10.3 pikë përqindje më pak krahasuar me T1-2018), duke pësuar një rritje tremujore me rreth 0.3 pikë përqindje. Treguesi i besimit të konsumatorëve (TBK) shënoi nivelin -8.7 në T1-2019 (2.4 pikë përqindje më shumё krahasuar me T1-2018) duke pësuar pësuar rritje tremujore me 3.2 pikë përqindje. Treguesi i besimit të tregtisë në T1-2019 ishte në nivelin -4.9 (9.9 pikë përqindje më pak krahasuar me T1-2018), duke pësuar një rritje tremujore prej 4.0 pikë përqindje. </w:t>
      </w:r>
    </w:p>
    <w:p w:rsidR="00666B9F" w:rsidRPr="004E355C" w:rsidRDefault="00666B9F" w:rsidP="009A3607">
      <w:pPr>
        <w:spacing w:before="120" w:after="120" w:line="276" w:lineRule="auto"/>
        <w:jc w:val="both"/>
        <w:rPr>
          <w:rFonts w:asciiTheme="minorHAnsi" w:hAnsiTheme="minorHAnsi"/>
          <w:noProof/>
          <w:lang w:val="sq-AL"/>
        </w:rPr>
      </w:pPr>
    </w:p>
    <w:p w:rsidR="00041651" w:rsidRPr="004E355C" w:rsidRDefault="00231E75" w:rsidP="000D1394">
      <w:pPr>
        <w:spacing w:line="276" w:lineRule="auto"/>
        <w:jc w:val="both"/>
        <w:rPr>
          <w:rFonts w:asciiTheme="minorHAnsi" w:hAnsiTheme="minorHAnsi"/>
          <w:i/>
          <w:noProof/>
          <w:lang w:val="sq-AL"/>
        </w:rPr>
      </w:pPr>
      <w:r w:rsidRPr="004E355C">
        <w:rPr>
          <w:rFonts w:asciiTheme="minorHAnsi" w:hAnsiTheme="minorHAnsi"/>
          <w:b/>
          <w:i/>
          <w:noProof/>
          <w:lang w:val="sq-AL"/>
        </w:rPr>
        <w:lastRenderedPageBreak/>
        <w:t>Sektori i jashtëm</w:t>
      </w:r>
      <w:r w:rsidRPr="004E355C">
        <w:rPr>
          <w:rFonts w:asciiTheme="minorHAnsi" w:hAnsiTheme="minorHAnsi"/>
          <w:i/>
          <w:noProof/>
          <w:lang w:val="sq-AL"/>
        </w:rPr>
        <w:t xml:space="preserve"> </w:t>
      </w:r>
    </w:p>
    <w:p w:rsidR="009A3607" w:rsidRPr="004E355C" w:rsidRDefault="009A3607" w:rsidP="000D1394">
      <w:pPr>
        <w:spacing w:after="120" w:line="276" w:lineRule="auto"/>
        <w:jc w:val="both"/>
        <w:rPr>
          <w:rFonts w:asciiTheme="minorHAnsi" w:hAnsiTheme="minorHAnsi"/>
          <w:noProof/>
          <w:lang w:val="sq-AL"/>
        </w:rPr>
      </w:pPr>
      <w:r w:rsidRPr="004E355C">
        <w:rPr>
          <w:rFonts w:asciiTheme="minorHAnsi" w:hAnsiTheme="minorHAnsi"/>
          <w:noProof/>
          <w:lang w:val="sq-AL"/>
        </w:rPr>
        <w:t>Eksportet e mallrave për periudhёn janar - prill 2019 shënuan rënie prej -2.3% krahasuar me të njëjtën periudhë të një viti më parë, gjithashtu vetёm pёr muajin prill 2019 eksportet shёnuan rënie prej -0.2% nё krahasim mё muajin prill 2018. Në prill 2019 eksportet e mallrave arritën vlerën 27 mld lekë, duke u ulur me 0.2%, në krahasim me të njëjtën periudhë të një viti më parë dhe me 4.1% në krahasim me mars 2019. Ulja vjetore e eksporteve prej 0.2%, këtë muaj është ndikuar nga grupi: “Minerale, lëndë djegëse, energji elektrike” me -8.6 pikë përqindje. Në ndryshimin vjetor të eksporteve kanë ndikuar pozitivisht grupet: “Makineri, pajisje, pjesë këmbimi” me +2.2 pikë përqindje, “Materiale ndërtimi dhe metale” me +2.0 pikë përqindje, “Ushqime, pije, duhan” me +1.9 pikë përqindje. Zhvillimet sipas kategorive kryesore të mallrave të eksportit, si dhe kontributi i tyre në totalin e eksporteve, paraqiten në tabelën e mëposhtme.</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13" w:name="_Toc12449204"/>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18</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Rritja e eksportit të mallrave, sipas kategorive kryesore</w:t>
      </w:r>
      <w:bookmarkEnd w:id="113"/>
    </w:p>
    <w:p w:rsidR="00231E75" w:rsidRPr="004E355C" w:rsidRDefault="009A3607" w:rsidP="00231E75">
      <w:pPr>
        <w:spacing w:before="120" w:after="120" w:line="276" w:lineRule="auto"/>
        <w:jc w:val="center"/>
        <w:rPr>
          <w:rFonts w:asciiTheme="minorHAnsi" w:hAnsiTheme="minorHAnsi"/>
          <w:noProof/>
          <w:lang w:val="sq-AL"/>
        </w:rPr>
      </w:pPr>
      <w:r w:rsidRPr="004E355C">
        <w:rPr>
          <w:rFonts w:asciiTheme="minorHAnsi" w:hAnsiTheme="minorHAnsi"/>
          <w:noProof/>
          <w:sz w:val="22"/>
        </w:rPr>
        <w:drawing>
          <wp:inline distT="0" distB="0" distL="0" distR="0" wp14:anchorId="1E3FDFE4" wp14:editId="137CE02F">
            <wp:extent cx="5684520" cy="141732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84520" cy="1417320"/>
                    </a:xfrm>
                    <a:prstGeom prst="rect">
                      <a:avLst/>
                    </a:prstGeom>
                    <a:noFill/>
                  </pic:spPr>
                </pic:pic>
              </a:graphicData>
            </a:graphic>
          </wp:inline>
        </w:drawing>
      </w:r>
    </w:p>
    <w:p w:rsidR="00231E75" w:rsidRPr="004E355C" w:rsidRDefault="00231E75" w:rsidP="00231E75">
      <w:pPr>
        <w:spacing w:before="240" w:line="276" w:lineRule="auto"/>
        <w:rPr>
          <w:rFonts w:asciiTheme="minorHAnsi" w:hAnsiTheme="minorHAnsi"/>
          <w:noProof/>
          <w:lang w:val="sq-AL"/>
        </w:rPr>
      </w:pPr>
      <w:r w:rsidRPr="004E355C">
        <w:rPr>
          <w:rFonts w:asciiTheme="minorHAnsi" w:hAnsiTheme="minorHAnsi"/>
          <w:noProof/>
          <w:lang w:val="sq-AL"/>
        </w:rPr>
        <w:t>Në grafikun e mëposhtëm paraqitet rritja mujore e totalit të eksporteve në përqindje, kundrejt të n</w:t>
      </w:r>
      <w:r w:rsidR="009A3607" w:rsidRPr="004E355C">
        <w:rPr>
          <w:rFonts w:asciiTheme="minorHAnsi" w:hAnsiTheme="minorHAnsi"/>
          <w:noProof/>
          <w:lang w:val="sq-AL"/>
        </w:rPr>
        <w:t>jëjtit muaj të një viti më parë</w:t>
      </w:r>
      <w:r w:rsidRPr="004E355C">
        <w:rPr>
          <w:rFonts w:asciiTheme="minorHAnsi" w:hAnsiTheme="minorHAnsi"/>
          <w:noProof/>
          <w:lang w:val="sq-AL"/>
        </w:rPr>
        <w:t xml:space="preserve">. </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14" w:name="_Toc12448468"/>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Rritja mujore e totalit të eksporteve, në përqindje</w:t>
      </w:r>
      <w:bookmarkEnd w:id="114"/>
    </w:p>
    <w:p w:rsidR="002740E3" w:rsidRPr="004E355C" w:rsidRDefault="009A3607" w:rsidP="000D1394">
      <w:pPr>
        <w:spacing w:line="276" w:lineRule="auto"/>
        <w:jc w:val="both"/>
        <w:rPr>
          <w:rFonts w:asciiTheme="minorHAnsi" w:hAnsiTheme="minorHAnsi"/>
          <w:noProof/>
          <w:lang w:val="sq-AL"/>
        </w:rPr>
      </w:pPr>
      <w:r w:rsidRPr="004E355C">
        <w:rPr>
          <w:noProof/>
        </w:rPr>
        <w:drawing>
          <wp:inline distT="0" distB="0" distL="0" distR="0" wp14:anchorId="38B120F3" wp14:editId="7E49D4C1">
            <wp:extent cx="5844540" cy="1562100"/>
            <wp:effectExtent l="133350" t="114300" r="156210" b="1714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44540" cy="156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2740E3" w:rsidRPr="004E355C">
        <w:rPr>
          <w:rFonts w:asciiTheme="minorHAnsi" w:hAnsiTheme="minorHAnsi"/>
          <w:bCs/>
          <w:noProof/>
          <w:lang w:val="sq-AL"/>
        </w:rPr>
        <w:t>Importet e mallrave për periudhёn janar - prill 2019 shënuan rritje prej 3.2% krahasuar me të njëjtën periudhë të një viti më parё, ndërsa vetëm për muajin prill 2019 importet shënuan rritje vjetore prej 8.4% në krahasim me muajin prill 2018. Importet e mallrave në prill 2019 arritën vlerën 57 mld lekë, duke u rritur me 8.4%, në krahasim me një vit më parë dhe me 1.6%, në krahasim me mars 2019. Rritja vjetore e importeve prej 8.4%, këtë muaj është ndikuar kryesisht nga grupet: “Materiale ndërtimi dhe metale” me +3.3 pikë përqindje, “Minerale, lëndë djegëse, energji elektrike” me +3.2 pikë përqindje, “Makineri, pajisje, pjesë këmbim” me +2.2 pikë përqindje. Në ndryshimin vjetor të importeve ka ndikuar negativisht grupi: “Produkte kimike dhe plastike” me -1.3 pikë përqindje, etj. Zhvillimet sipas kategorive kryesore të mallrave të importit, si dhe kontributi i tyre në totalin e importeve, paraqiten në tabelën e mëposhtme.</w:t>
      </w:r>
    </w:p>
    <w:p w:rsidR="005D4A49" w:rsidRPr="004E355C" w:rsidRDefault="007434A1" w:rsidP="007434A1">
      <w:pPr>
        <w:pStyle w:val="Caption"/>
        <w:rPr>
          <w:rFonts w:asciiTheme="minorHAnsi" w:hAnsiTheme="minorHAnsi"/>
          <w:b w:val="0"/>
          <w:bCs w:val="0"/>
          <w:i/>
          <w:color w:val="auto"/>
          <w:sz w:val="24"/>
          <w:szCs w:val="24"/>
          <w:lang w:val="sq-AL"/>
        </w:rPr>
      </w:pPr>
      <w:bookmarkStart w:id="115" w:name="_Toc12449205"/>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19</w:t>
      </w:r>
      <w:r w:rsidRPr="004E355C">
        <w:rPr>
          <w:rFonts w:asciiTheme="minorHAnsi" w:hAnsiTheme="minorHAnsi"/>
          <w:b w:val="0"/>
          <w:bCs w:val="0"/>
          <w:i/>
          <w:color w:val="auto"/>
          <w:sz w:val="24"/>
          <w:szCs w:val="24"/>
          <w:lang w:val="sq-AL"/>
        </w:rPr>
        <w:fldChar w:fldCharType="end"/>
      </w:r>
      <w:r w:rsidR="005D4A49" w:rsidRPr="004E355C">
        <w:rPr>
          <w:rFonts w:asciiTheme="minorHAnsi" w:hAnsiTheme="minorHAnsi"/>
          <w:b w:val="0"/>
          <w:bCs w:val="0"/>
          <w:i/>
          <w:color w:val="auto"/>
          <w:sz w:val="24"/>
          <w:szCs w:val="24"/>
          <w:lang w:val="sq-AL"/>
        </w:rPr>
        <w:t>: Rritja e importit të mallrave, sipas kategorive kryesore</w:t>
      </w:r>
      <w:bookmarkEnd w:id="115"/>
    </w:p>
    <w:p w:rsidR="00231E75" w:rsidRPr="004E355C" w:rsidRDefault="00036D1F" w:rsidP="00231E75">
      <w:pPr>
        <w:spacing w:before="120" w:after="120" w:line="276" w:lineRule="auto"/>
        <w:jc w:val="center"/>
        <w:rPr>
          <w:rFonts w:asciiTheme="minorHAnsi" w:hAnsiTheme="minorHAnsi"/>
          <w:noProof/>
          <w:lang w:val="sq-AL"/>
        </w:rPr>
      </w:pPr>
      <w:r w:rsidRPr="004E355C">
        <w:rPr>
          <w:rFonts w:asciiTheme="minorHAnsi" w:hAnsiTheme="minorHAnsi"/>
          <w:noProof/>
        </w:rPr>
        <w:drawing>
          <wp:inline distT="0" distB="0" distL="0" distR="0" wp14:anchorId="7173DF14" wp14:editId="054202EC">
            <wp:extent cx="5387340" cy="1463040"/>
            <wp:effectExtent l="0" t="0" r="381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87340" cy="1463040"/>
                    </a:xfrm>
                    <a:prstGeom prst="rect">
                      <a:avLst/>
                    </a:prstGeom>
                    <a:noFill/>
                  </pic:spPr>
                </pic:pic>
              </a:graphicData>
            </a:graphic>
          </wp:inline>
        </w:drawing>
      </w:r>
    </w:p>
    <w:p w:rsidR="005D4A49" w:rsidRPr="004E355C" w:rsidRDefault="00231E75" w:rsidP="00515024">
      <w:pPr>
        <w:spacing w:before="240" w:line="276" w:lineRule="auto"/>
        <w:jc w:val="both"/>
        <w:rPr>
          <w:rFonts w:asciiTheme="minorHAnsi" w:hAnsiTheme="minorHAnsi"/>
          <w:noProof/>
          <w:lang w:val="sq-AL"/>
        </w:rPr>
      </w:pPr>
      <w:r w:rsidRPr="004E355C">
        <w:rPr>
          <w:rFonts w:asciiTheme="minorHAnsi" w:hAnsiTheme="minorHAnsi"/>
          <w:noProof/>
          <w:lang w:val="sq-AL"/>
        </w:rPr>
        <w:t>Në grafikun e mëposhtëm paraqitet rritja mujore e totalit të importeve në përqindje, kundrejt të n</w:t>
      </w:r>
      <w:r w:rsidR="00036D1F" w:rsidRPr="004E355C">
        <w:rPr>
          <w:rFonts w:asciiTheme="minorHAnsi" w:hAnsiTheme="minorHAnsi"/>
          <w:noProof/>
          <w:lang w:val="sq-AL"/>
        </w:rPr>
        <w:t>jëjtit muaj të një viti më parë</w:t>
      </w:r>
      <w:r w:rsidRPr="004E355C">
        <w:rPr>
          <w:rFonts w:asciiTheme="minorHAnsi" w:hAnsiTheme="minorHAnsi"/>
          <w:noProof/>
          <w:lang w:val="sq-AL"/>
        </w:rPr>
        <w:t xml:space="preserve">. </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16" w:name="_Toc12448469"/>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Rritja mujore e totalit të importeve, në përqindje</w:t>
      </w:r>
      <w:bookmarkEnd w:id="116"/>
    </w:p>
    <w:p w:rsidR="00231E75" w:rsidRPr="004E355C" w:rsidRDefault="00036D1F" w:rsidP="00231E75">
      <w:pPr>
        <w:spacing w:before="120" w:after="120" w:line="276" w:lineRule="auto"/>
        <w:jc w:val="center"/>
        <w:rPr>
          <w:rFonts w:asciiTheme="minorHAnsi" w:hAnsiTheme="minorHAnsi"/>
          <w:noProof/>
          <w:lang w:val="sq-AL"/>
        </w:rPr>
      </w:pPr>
      <w:r w:rsidRPr="004E355C">
        <w:rPr>
          <w:noProof/>
        </w:rPr>
        <w:drawing>
          <wp:inline distT="0" distB="0" distL="0" distR="0" wp14:anchorId="5076C690" wp14:editId="77AC704E">
            <wp:extent cx="6010275" cy="1691640"/>
            <wp:effectExtent l="0" t="0" r="9525"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033586" cy="1698201"/>
                    </a:xfrm>
                    <a:prstGeom prst="rect">
                      <a:avLst/>
                    </a:prstGeom>
                    <a:noFill/>
                    <a:ln>
                      <a:noFill/>
                    </a:ln>
                  </pic:spPr>
                </pic:pic>
              </a:graphicData>
            </a:graphic>
          </wp:inline>
        </w:drawing>
      </w:r>
    </w:p>
    <w:p w:rsidR="00231E75" w:rsidRPr="004E355C" w:rsidRDefault="00E87B91" w:rsidP="00515024">
      <w:pPr>
        <w:spacing w:before="240" w:line="276" w:lineRule="auto"/>
        <w:contextualSpacing/>
        <w:jc w:val="both"/>
        <w:rPr>
          <w:rFonts w:asciiTheme="minorHAnsi" w:hAnsiTheme="minorHAnsi"/>
          <w:noProof/>
          <w:lang w:val="sq-AL"/>
        </w:rPr>
      </w:pPr>
      <w:r w:rsidRPr="004E355C">
        <w:rPr>
          <w:rFonts w:asciiTheme="minorHAnsi" w:hAnsiTheme="minorHAnsi"/>
          <w:noProof/>
          <w:lang w:val="sq-AL"/>
        </w:rPr>
        <w:t>Këto zhvillime në tregtinë e jashtme janë reflektuar dhe tek deficiti tregtar, i cili për periudhën        janar – prill 2019 u përkeqësua me rreth 8.9% krahasuar me të njëjtën periudhë të një viti më parë, gjithashtu vetёm pёr muajin prill 2019 bilanci tregtar u pёrkeqёsua me 17.3%  krahasuar me muajin prill 2018. Deficiti tregtar i këtij muaji është 30 mld lekë, duke u rritur me 17.4%, krahasuar me prill 2018 dhe me 7.3%, në krahasim me mars 2019</w:t>
      </w:r>
      <w:r w:rsidR="00231E75" w:rsidRPr="004E355C">
        <w:rPr>
          <w:rFonts w:asciiTheme="minorHAnsi" w:hAnsiTheme="minorHAnsi"/>
          <w:noProof/>
          <w:lang w:val="sq-AL"/>
        </w:rPr>
        <w:t>.</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17" w:name="_Toc12449206"/>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20</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Bilanci tregtar, sipas kategorive kryesore</w:t>
      </w:r>
      <w:bookmarkEnd w:id="117"/>
    </w:p>
    <w:p w:rsidR="00231E75" w:rsidRPr="004E355C" w:rsidRDefault="00E87B91" w:rsidP="00231E75">
      <w:pPr>
        <w:spacing w:before="120" w:after="120" w:line="276" w:lineRule="auto"/>
        <w:jc w:val="center"/>
        <w:rPr>
          <w:rFonts w:asciiTheme="minorHAnsi" w:hAnsiTheme="minorHAnsi"/>
          <w:noProof/>
          <w:lang w:val="sq-AL"/>
        </w:rPr>
      </w:pPr>
      <w:r w:rsidRPr="004E355C">
        <w:rPr>
          <w:rFonts w:asciiTheme="minorHAnsi" w:hAnsiTheme="minorHAnsi"/>
          <w:noProof/>
        </w:rPr>
        <w:drawing>
          <wp:inline distT="0" distB="0" distL="0" distR="0" wp14:anchorId="2D5D530D" wp14:editId="7047F728">
            <wp:extent cx="6088380" cy="1424940"/>
            <wp:effectExtent l="0" t="0" r="762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8380" cy="1424940"/>
                    </a:xfrm>
                    <a:prstGeom prst="rect">
                      <a:avLst/>
                    </a:prstGeom>
                    <a:noFill/>
                  </pic:spPr>
                </pic:pic>
              </a:graphicData>
            </a:graphic>
          </wp:inline>
        </w:drawing>
      </w:r>
    </w:p>
    <w:p w:rsidR="00231E75" w:rsidRPr="004E355C" w:rsidRDefault="00231E75" w:rsidP="00231E75">
      <w:pPr>
        <w:spacing w:before="120" w:after="120" w:line="276" w:lineRule="auto"/>
        <w:jc w:val="both"/>
        <w:rPr>
          <w:rFonts w:asciiTheme="minorHAnsi" w:hAnsiTheme="minorHAnsi"/>
          <w:b/>
          <w:noProof/>
          <w:sz w:val="8"/>
          <w:lang w:val="sq-AL"/>
        </w:rPr>
      </w:pPr>
    </w:p>
    <w:p w:rsidR="00231E75" w:rsidRPr="004E355C" w:rsidRDefault="00231E75" w:rsidP="00231E75">
      <w:pPr>
        <w:spacing w:before="120" w:after="120" w:line="276" w:lineRule="auto"/>
        <w:jc w:val="both"/>
        <w:rPr>
          <w:rFonts w:asciiTheme="minorHAnsi" w:hAnsiTheme="minorHAnsi"/>
          <w:b/>
          <w:noProof/>
          <w:lang w:val="sq-AL"/>
        </w:rPr>
      </w:pPr>
      <w:r w:rsidRPr="004E355C">
        <w:rPr>
          <w:rFonts w:asciiTheme="minorHAnsi" w:hAnsiTheme="minorHAnsi"/>
          <w:b/>
          <w:noProof/>
          <w:lang w:val="sq-AL"/>
        </w:rPr>
        <w:t>Sektori monetar</w:t>
      </w:r>
    </w:p>
    <w:p w:rsidR="00231E75" w:rsidRPr="004E355C" w:rsidRDefault="00E87B91" w:rsidP="00231E75">
      <w:pPr>
        <w:spacing w:before="120" w:after="120" w:line="276" w:lineRule="auto"/>
        <w:jc w:val="both"/>
        <w:rPr>
          <w:rFonts w:asciiTheme="minorHAnsi" w:hAnsiTheme="minorHAnsi"/>
          <w:noProof/>
          <w:lang w:val="sq-AL"/>
        </w:rPr>
      </w:pPr>
      <w:r w:rsidRPr="004E355C">
        <w:rPr>
          <w:rFonts w:asciiTheme="minorHAnsi" w:hAnsiTheme="minorHAnsi"/>
          <w:noProof/>
          <w:lang w:val="sq-AL"/>
        </w:rPr>
        <w:t>Në muajin maj 2019 ndryshimi vjetor i indeksit të çmimeve të konsumit ishte +1.5%. Ndërsa një vit më parë ndryshimi vjetor i indeksit të çmimeve të konsumit ishte +2.1%. Inflacioni mesatar pёr periudhёn janar – maj 2019 ёshtё +1.5%.Nё grafikun më poshtë paraqitet ecuria e çmimeve për tre vitet e fundit</w:t>
      </w:r>
      <w:r w:rsidR="00231E75" w:rsidRPr="004E355C">
        <w:rPr>
          <w:rFonts w:asciiTheme="minorHAnsi" w:hAnsiTheme="minorHAnsi"/>
          <w:noProof/>
          <w:lang w:val="sq-AL"/>
        </w:rPr>
        <w:t>:</w:t>
      </w:r>
    </w:p>
    <w:p w:rsidR="005D4A49" w:rsidRPr="004E355C" w:rsidRDefault="005D4A49" w:rsidP="00515024">
      <w:pPr>
        <w:pStyle w:val="Caption"/>
        <w:keepNext/>
        <w:spacing w:after="0"/>
        <w:jc w:val="both"/>
        <w:rPr>
          <w:rFonts w:asciiTheme="minorHAnsi" w:hAnsiTheme="minorHAnsi"/>
          <w:b w:val="0"/>
          <w:bCs w:val="0"/>
          <w:i/>
          <w:color w:val="auto"/>
          <w:sz w:val="24"/>
          <w:szCs w:val="24"/>
          <w:lang w:val="sq-AL"/>
        </w:rPr>
      </w:pPr>
      <w:bookmarkStart w:id="118" w:name="_Toc12448470"/>
      <w:r w:rsidRPr="004E355C">
        <w:rPr>
          <w:rFonts w:asciiTheme="minorHAnsi" w:hAnsiTheme="minorHAnsi"/>
          <w:b w:val="0"/>
          <w:bCs w:val="0"/>
          <w:i/>
          <w:color w:val="auto"/>
          <w:sz w:val="24"/>
          <w:szCs w:val="24"/>
          <w:lang w:val="sq-AL"/>
        </w:rPr>
        <w:lastRenderedPageBreak/>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44</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Ndryshimi vjetor i Inflacionit 201</w:t>
      </w:r>
      <w:r w:rsidR="00E87B91" w:rsidRPr="004E355C">
        <w:rPr>
          <w:rFonts w:asciiTheme="minorHAnsi" w:hAnsiTheme="minorHAnsi"/>
          <w:b w:val="0"/>
          <w:bCs w:val="0"/>
          <w:i/>
          <w:color w:val="auto"/>
          <w:sz w:val="24"/>
          <w:szCs w:val="24"/>
          <w:lang w:val="sq-AL"/>
        </w:rPr>
        <w:t>6-2019</w:t>
      </w:r>
      <w:r w:rsidRPr="004E355C">
        <w:rPr>
          <w:rFonts w:asciiTheme="minorHAnsi" w:hAnsiTheme="minorHAnsi"/>
          <w:b w:val="0"/>
          <w:bCs w:val="0"/>
          <w:i/>
          <w:color w:val="auto"/>
          <w:sz w:val="24"/>
          <w:szCs w:val="24"/>
          <w:lang w:val="sq-AL"/>
        </w:rPr>
        <w:t>, në përqindje</w:t>
      </w:r>
      <w:bookmarkEnd w:id="118"/>
    </w:p>
    <w:p w:rsidR="00231E75" w:rsidRPr="004E355C" w:rsidRDefault="00E87B91" w:rsidP="00231E75">
      <w:pPr>
        <w:spacing w:before="120" w:after="120" w:line="276" w:lineRule="auto"/>
        <w:jc w:val="center"/>
        <w:rPr>
          <w:rFonts w:asciiTheme="minorHAnsi" w:hAnsiTheme="minorHAnsi"/>
          <w:noProof/>
          <w:lang w:val="sq-AL"/>
        </w:rPr>
      </w:pPr>
      <w:r w:rsidRPr="004E355C">
        <w:rPr>
          <w:rFonts w:asciiTheme="minorHAnsi" w:hAnsiTheme="minorHAnsi"/>
          <w:noProof/>
        </w:rPr>
        <w:drawing>
          <wp:inline distT="0" distB="0" distL="0" distR="0" wp14:anchorId="13E1A6C8" wp14:editId="52C7F3B0">
            <wp:extent cx="5875020" cy="16535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5020" cy="1653540"/>
                    </a:xfrm>
                    <a:prstGeom prst="rect">
                      <a:avLst/>
                    </a:prstGeom>
                    <a:noFill/>
                  </pic:spPr>
                </pic:pic>
              </a:graphicData>
            </a:graphic>
          </wp:inline>
        </w:drawing>
      </w:r>
    </w:p>
    <w:p w:rsidR="00231E75" w:rsidRPr="004E355C" w:rsidRDefault="00E87B91" w:rsidP="00515024">
      <w:pPr>
        <w:spacing w:before="240" w:line="276" w:lineRule="auto"/>
        <w:jc w:val="both"/>
        <w:rPr>
          <w:rFonts w:asciiTheme="minorHAnsi" w:hAnsiTheme="minorHAnsi"/>
          <w:noProof/>
          <w:lang w:val="sq-AL"/>
        </w:rPr>
      </w:pPr>
      <w:r w:rsidRPr="004E355C">
        <w:rPr>
          <w:rFonts w:asciiTheme="minorHAnsi" w:hAnsiTheme="minorHAnsi"/>
          <w:noProof/>
          <w:lang w:val="sq-AL"/>
        </w:rPr>
        <w:t>Pёrgjatё kёsaj periudhe, nga tërësia e mallrave dhe shërbimeve që përbëjnë shportën e konsumit, kontributin mё tё lartё nё inflacionin e pёrgjithshёm e ka pasur zёri i ushqimeve dhe pijeve jo alkolike. Në tabelën e mëposhtme mund të vihen re kontributet dhe rritjet respektive në çmime për çdo grup mallrash pёr muajin maj 2019</w:t>
      </w:r>
      <w:r w:rsidR="00231E75" w:rsidRPr="004E355C">
        <w:rPr>
          <w:rFonts w:asciiTheme="minorHAnsi" w:hAnsiTheme="minorHAnsi"/>
          <w:noProof/>
          <w:lang w:val="sq-AL"/>
        </w:rPr>
        <w:t>.</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19" w:name="_Toc12449207"/>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21</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Rritja vjetore e çmimeve, në përqindje</w:t>
      </w:r>
      <w:bookmarkEnd w:id="119"/>
    </w:p>
    <w:p w:rsidR="00231E75" w:rsidRPr="004E355C" w:rsidRDefault="00E87B91" w:rsidP="00231E75">
      <w:pPr>
        <w:spacing w:before="120" w:after="120" w:line="276" w:lineRule="auto"/>
        <w:jc w:val="center"/>
        <w:rPr>
          <w:rFonts w:asciiTheme="minorHAnsi" w:hAnsiTheme="minorHAnsi"/>
          <w:noProof/>
          <w:lang w:val="sq-AL"/>
        </w:rPr>
      </w:pPr>
      <w:r w:rsidRPr="004E355C">
        <w:rPr>
          <w:noProof/>
        </w:rPr>
        <w:drawing>
          <wp:inline distT="0" distB="0" distL="0" distR="0" wp14:anchorId="5BDC8725" wp14:editId="363978F9">
            <wp:extent cx="5905500" cy="1562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5500" cy="1562100"/>
                    </a:xfrm>
                    <a:prstGeom prst="rect">
                      <a:avLst/>
                    </a:prstGeom>
                    <a:noFill/>
                  </pic:spPr>
                </pic:pic>
              </a:graphicData>
            </a:graphic>
          </wp:inline>
        </w:drawing>
      </w:r>
      <w:r w:rsidR="00231E75" w:rsidRPr="004E355C">
        <w:rPr>
          <w:lang w:val="sq-AL"/>
        </w:rPr>
        <w:t xml:space="preserve"> </w:t>
      </w:r>
    </w:p>
    <w:p w:rsidR="00E87B91" w:rsidRPr="004E355C" w:rsidRDefault="00E87B91" w:rsidP="00E87B91">
      <w:pPr>
        <w:spacing w:before="240" w:line="276" w:lineRule="auto"/>
        <w:jc w:val="both"/>
        <w:rPr>
          <w:rFonts w:asciiTheme="minorHAnsi" w:hAnsiTheme="minorHAnsi"/>
          <w:noProof/>
          <w:lang w:val="sq-AL"/>
        </w:rPr>
      </w:pPr>
      <w:r w:rsidRPr="004E355C">
        <w:rPr>
          <w:rFonts w:asciiTheme="minorHAnsi" w:hAnsiTheme="minorHAnsi"/>
          <w:noProof/>
          <w:lang w:val="sq-AL"/>
        </w:rPr>
        <w:t xml:space="preserve">Rezultatet e Vrojtimit të Aktivitetit Kreditues për tremujorin e parë të vitit 2019 tregojnë se standardet e kredisë janë shtrënguar si për bizneset ashtu edhe për individët. Sipas madhësisë së biznesit vihet re se shtrëngimi i standardeve të kreditimit ka qenë i dukshëm në segmentin e ndërmarrjeve të mëdha, ndërkohë që për ndërmarrjet e vogla dhe të mesme standardet janë raportuar të lehtësuara. Për individët standardet e kredisë janë raportuar të shtrënguara, si në segmentin e kredisë për blerje banese, ashtu edhe për kredinë konsumatore. Bankat raportuan për një shtrëngim të standardeve për kredinë dhënë bizneseve gjatë tremujorit të parë të 2019 në nivelin (3.1%), krahasuar me 0% në tremujorin e katërt të vitit 2018. Ndërkohë, bankat raportuan për një shtrëngim të standardeve për kredinë drejt individëve gjatë tremujorit të parë të vitit 2019 në nivelin (3.5%), krahasuar me një lehtësim në nivelin 15.9% të shënuar në tremujorin e katërt të vitit 2018. Kërkesa për kredi e bizneseve në tremujorin e parë të vitit 2019 është raportuar më e ulët si në segmentin e ndërmarrjeve të vogla dhe të mesme, ashtu edhe për ndërmarrjet e mëdha. Gjithashtu, edhe kërkesa e individëve për kredi ka rezultuar në rënie në të dyja segmentet, si për kredinë konsumatore, ashtu edhe për kredinë hipotekore. Për bizneset, bankat raportuan se përgjatë tremujorit të parë të vitit 2019 kërkesa për kredi e SME-ve dhe korporatave u zvogëlua përkatësisht me -11.9% dhe me -0.3%. Për individët, bankat raportuan se përgjatë tremujorit të parë kërkesa për kredi për shtëpi shënoi një rënie prej -2.2%, nga një rënie prej -9.5% të shënuar në tremujorin e katërt të vitit 2018. Ndërkohë, për kredinë e individëve për konsum u raportua një rënie prej -9.9%, nga niveli prej +6.3% që u shënua në tremujorin e mëparshëm. </w:t>
      </w:r>
    </w:p>
    <w:p w:rsidR="00231E75" w:rsidRPr="004E355C" w:rsidRDefault="00E87B91" w:rsidP="00E87B91">
      <w:pPr>
        <w:spacing w:before="240" w:line="276" w:lineRule="auto"/>
        <w:jc w:val="both"/>
        <w:rPr>
          <w:rFonts w:asciiTheme="minorHAnsi" w:hAnsiTheme="minorHAnsi"/>
          <w:noProof/>
          <w:lang w:val="sq-AL"/>
        </w:rPr>
      </w:pPr>
      <w:r w:rsidRPr="004E355C">
        <w:rPr>
          <w:rFonts w:asciiTheme="minorHAnsi" w:hAnsiTheme="minorHAnsi"/>
          <w:noProof/>
          <w:lang w:val="sq-AL"/>
        </w:rPr>
        <w:lastRenderedPageBreak/>
        <w:t>Referuar tё dhёnave tё deritanishme, gjatë muajit prill të vitit 2019 stoku total i depozitave bankare ka shënuar rritje me 2.1% krahasuar me prillin e vitit 2018. Stoku total i depozitave në Lekë pësoi rënie me 0.7%, ndërsa ai në valutë është rritur me 4.5% krahasuar me të njëjtin muaj të vitit 2018. Në Prill 2019 rezulton se rreth 45.9% e totalit të stokut të depozitave përbëhet nga depozitat në Lekë, ndërsa pjesa tjetër prej 54.1% përbëhet nga depozitat në valutë të huaj. Stoku total i depozitave vetëm për muajin Prill 2019 shënoi rënie me 4.6 miliardë Lekë kundrejt muajit paraardhës (Mars 2019). Stoku total i depozitave të bizneseve në muajin Prill të vitit 2019 shënoi rritje prej 5.0% krahasuar me Prillin e vitit 2018, ndërsa stoku total i depozitave të individëve ka shënuar rritje prej 1.1% krahasuar me të njëjtin muaj të një viti më parë</w:t>
      </w:r>
      <w:r w:rsidR="00231E75" w:rsidRPr="004E355C">
        <w:rPr>
          <w:rFonts w:asciiTheme="minorHAnsi" w:hAnsiTheme="minorHAnsi"/>
          <w:noProof/>
          <w:lang w:val="sq-AL"/>
        </w:rPr>
        <w:t xml:space="preserve">.  </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20" w:name="_Toc12448471"/>
      <w:r w:rsidRPr="004E355C">
        <w:rPr>
          <w:rFonts w:asciiTheme="minorHAnsi" w:hAnsiTheme="minorHAnsi"/>
          <w:b w:val="0"/>
          <w:bCs w:val="0"/>
          <w:i/>
          <w:color w:val="auto"/>
          <w:sz w:val="24"/>
          <w:szCs w:val="24"/>
          <w:lang w:val="sq-AL"/>
        </w:rPr>
        <w:t xml:space="preserve">Grafiku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Grafiku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45</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Ecuria e stokut të depozitave 201</w:t>
      </w:r>
      <w:r w:rsidR="00E87B91" w:rsidRPr="004E355C">
        <w:rPr>
          <w:rFonts w:asciiTheme="minorHAnsi" w:hAnsiTheme="minorHAnsi"/>
          <w:b w:val="0"/>
          <w:bCs w:val="0"/>
          <w:i/>
          <w:color w:val="auto"/>
          <w:sz w:val="24"/>
          <w:szCs w:val="24"/>
          <w:lang w:val="sq-AL"/>
        </w:rPr>
        <w:t>8</w:t>
      </w:r>
      <w:r w:rsidRPr="004E355C">
        <w:rPr>
          <w:rFonts w:asciiTheme="minorHAnsi" w:hAnsiTheme="minorHAnsi"/>
          <w:b w:val="0"/>
          <w:bCs w:val="0"/>
          <w:i/>
          <w:color w:val="auto"/>
          <w:sz w:val="24"/>
          <w:szCs w:val="24"/>
          <w:lang w:val="sq-AL"/>
        </w:rPr>
        <w:t>-201</w:t>
      </w:r>
      <w:r w:rsidR="00E87B91" w:rsidRPr="004E355C">
        <w:rPr>
          <w:rFonts w:asciiTheme="minorHAnsi" w:hAnsiTheme="minorHAnsi"/>
          <w:b w:val="0"/>
          <w:bCs w:val="0"/>
          <w:i/>
          <w:color w:val="auto"/>
          <w:sz w:val="24"/>
          <w:szCs w:val="24"/>
          <w:lang w:val="sq-AL"/>
        </w:rPr>
        <w:t>9</w:t>
      </w:r>
      <w:r w:rsidRPr="004E355C">
        <w:rPr>
          <w:rFonts w:asciiTheme="minorHAnsi" w:hAnsiTheme="minorHAnsi"/>
          <w:b w:val="0"/>
          <w:bCs w:val="0"/>
          <w:i/>
          <w:color w:val="auto"/>
          <w:sz w:val="24"/>
          <w:szCs w:val="24"/>
          <w:lang w:val="sq-AL"/>
        </w:rPr>
        <w:t>, në përqindje</w:t>
      </w:r>
      <w:bookmarkEnd w:id="120"/>
    </w:p>
    <w:p w:rsidR="00231E75" w:rsidRPr="004E355C" w:rsidRDefault="00E87B91" w:rsidP="00231E75">
      <w:pPr>
        <w:spacing w:line="276" w:lineRule="auto"/>
        <w:jc w:val="center"/>
        <w:rPr>
          <w:rFonts w:asciiTheme="minorHAnsi" w:hAnsiTheme="minorHAnsi"/>
          <w:noProof/>
          <w:lang w:val="sq-AL"/>
        </w:rPr>
      </w:pPr>
      <w:r w:rsidRPr="004E355C">
        <w:rPr>
          <w:rFonts w:asciiTheme="minorHAnsi" w:hAnsiTheme="minorHAnsi"/>
          <w:noProof/>
        </w:rPr>
        <w:drawing>
          <wp:inline distT="0" distB="0" distL="0" distR="0" wp14:anchorId="0F18C712" wp14:editId="4499BDAD">
            <wp:extent cx="5684520" cy="17983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84520" cy="1798320"/>
                    </a:xfrm>
                    <a:prstGeom prst="rect">
                      <a:avLst/>
                    </a:prstGeom>
                    <a:noFill/>
                  </pic:spPr>
                </pic:pic>
              </a:graphicData>
            </a:graphic>
          </wp:inline>
        </w:drawing>
      </w:r>
    </w:p>
    <w:p w:rsidR="00E87B91" w:rsidRPr="004E355C" w:rsidRDefault="00E87B91" w:rsidP="00E87B91">
      <w:pPr>
        <w:spacing w:before="240" w:line="276" w:lineRule="auto"/>
        <w:jc w:val="both"/>
        <w:rPr>
          <w:rFonts w:asciiTheme="minorHAnsi" w:hAnsiTheme="minorHAnsi"/>
          <w:noProof/>
          <w:lang w:val="sq-AL"/>
        </w:rPr>
      </w:pPr>
      <w:r w:rsidRPr="004E355C">
        <w:rPr>
          <w:rFonts w:asciiTheme="minorHAnsi" w:hAnsiTheme="minorHAnsi"/>
          <w:noProof/>
          <w:lang w:val="sq-AL"/>
        </w:rPr>
        <w:t xml:space="preserve">Referuar të dhënave të deritanishme, gjatë muajit prill të vitit 2019, stoku total i kredive bankare pati një rënie me 0.1%, krahasuar me muajin prill të vitit 2018. Stoku i kredive në lekë shënoi një rënie prej 1%, ndërsa ai në valutë rritje prej 0.9%, krahasuar me muajin prill të vitit të kaluar. </w:t>
      </w:r>
    </w:p>
    <w:p w:rsidR="00231E75" w:rsidRPr="004E355C" w:rsidRDefault="00E87B91" w:rsidP="00E87B91">
      <w:pPr>
        <w:spacing w:before="240" w:line="276" w:lineRule="auto"/>
        <w:jc w:val="both"/>
        <w:rPr>
          <w:rFonts w:asciiTheme="minorHAnsi" w:hAnsiTheme="minorHAnsi"/>
          <w:noProof/>
          <w:lang w:val="sq-AL"/>
        </w:rPr>
      </w:pPr>
      <w:r w:rsidRPr="004E355C">
        <w:rPr>
          <w:rFonts w:asciiTheme="minorHAnsi" w:hAnsiTheme="minorHAnsi"/>
          <w:noProof/>
          <w:u w:val="single"/>
          <w:lang w:val="sq-AL"/>
        </w:rPr>
        <w:t>Shënim</w:t>
      </w:r>
      <w:r w:rsidRPr="004E355C">
        <w:rPr>
          <w:rFonts w:asciiTheme="minorHAnsi" w:hAnsiTheme="minorHAnsi"/>
          <w:noProof/>
          <w:lang w:val="sq-AL"/>
        </w:rPr>
        <w:t xml:space="preserve">: </w:t>
      </w:r>
      <w:r w:rsidRPr="004E355C">
        <w:rPr>
          <w:rFonts w:asciiTheme="minorHAnsi" w:hAnsiTheme="minorHAnsi"/>
          <w:i/>
          <w:noProof/>
          <w:lang w:val="sq-AL"/>
        </w:rPr>
        <w:t>Sipas vlerësimeve të BSH (në raportin e fundit të politikës monetare) rezulton se për tremujorin e parë të 2019, e rregulluar për kursin e këmbimit dhe kreditë e nxjerra nga bilanci, portofoli i kredisë për sektorin privat (biznese dhe konsumatorë) shënoi një rritje vjetore prej 6% në tremujorin e parë të vitit</w:t>
      </w:r>
      <w:r w:rsidR="00231E75" w:rsidRPr="004E355C">
        <w:rPr>
          <w:rFonts w:asciiTheme="minorHAnsi" w:hAnsiTheme="minorHAnsi"/>
          <w:noProof/>
          <w:lang w:val="sq-AL"/>
        </w:rPr>
        <w:t xml:space="preserve">. </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21" w:name="_Toc12449208"/>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22</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Ecuria e kredisë për bizneset dhe individët, në përqindje</w:t>
      </w:r>
      <w:bookmarkEnd w:id="121"/>
    </w:p>
    <w:p w:rsidR="00231E75" w:rsidRPr="004E355C" w:rsidRDefault="00E87B91" w:rsidP="00231E75">
      <w:pPr>
        <w:spacing w:before="120" w:after="120" w:line="276" w:lineRule="auto"/>
        <w:jc w:val="center"/>
        <w:rPr>
          <w:rFonts w:asciiTheme="minorHAnsi" w:hAnsiTheme="minorHAnsi"/>
          <w:noProof/>
          <w:lang w:val="sq-AL"/>
        </w:rPr>
      </w:pPr>
      <w:r w:rsidRPr="004E355C">
        <w:rPr>
          <w:rFonts w:asciiTheme="minorHAnsi" w:hAnsiTheme="minorHAnsi"/>
          <w:noProof/>
        </w:rPr>
        <w:drawing>
          <wp:inline distT="0" distB="0" distL="0" distR="0" wp14:anchorId="590E8245" wp14:editId="1CA8648A">
            <wp:extent cx="5944235" cy="90678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4235" cy="906780"/>
                    </a:xfrm>
                    <a:prstGeom prst="rect">
                      <a:avLst/>
                    </a:prstGeom>
                    <a:noFill/>
                  </pic:spPr>
                </pic:pic>
              </a:graphicData>
            </a:graphic>
          </wp:inline>
        </w:drawing>
      </w:r>
    </w:p>
    <w:p w:rsidR="00231E75" w:rsidRPr="004E355C" w:rsidRDefault="00E87B91" w:rsidP="00E87B91">
      <w:pPr>
        <w:spacing w:line="276" w:lineRule="auto"/>
        <w:jc w:val="both"/>
        <w:rPr>
          <w:rFonts w:asciiTheme="minorHAnsi" w:hAnsiTheme="minorHAnsi"/>
          <w:noProof/>
          <w:lang w:val="sq-AL"/>
        </w:rPr>
      </w:pPr>
      <w:r w:rsidRPr="004E355C">
        <w:rPr>
          <w:rFonts w:asciiTheme="minorHAnsi" w:hAnsiTheme="minorHAnsi"/>
          <w:noProof/>
          <w:lang w:val="sq-AL"/>
        </w:rPr>
        <w:t>Stoku i kredive akorduar individëve deri në muajin prill të vitit 2019 shënoi rritje prej 4.5% krahasuar me prillin e vitit 2018, duke kontribuar pozitivisht me 1.5 pikë përqindje në ndryshimin e stokut total të kredisë. Stoku i kredive akorduar bizneseve jo-financiare (private dhe publike) për muajin prill 2019 shënoi një rënie me 3.2%. Kredia vetëm për bizneset private jo-financiare u rrit me 0.4%, duke kontribuar pozitivisht me 0.3 pikë përqindje në ndryshimin e stokut total të kredisë. Ndërsa, stoku i kredive akorduar bizneseve publike jo-financiare për muajin prill të vitit 2019 ka shënuar rënie me 37.7%, krahasuar me prillin e vitit 2018, me kontribut negativ prej 2.3 pikë përqindje. Në prill 2019 rezulton se rreth 50.2% e totalit të stokut të kredive përbëhet nga kreditë në Lekë, ndërsa pjesa tjetër prej 49.8% përbëhet nga kreditë në valutë</w:t>
      </w:r>
      <w:r w:rsidR="00231E75" w:rsidRPr="004E355C">
        <w:rPr>
          <w:rFonts w:asciiTheme="minorHAnsi" w:hAnsiTheme="minorHAnsi"/>
          <w:noProof/>
          <w:lang w:val="sq-AL"/>
        </w:rPr>
        <w:t>.</w:t>
      </w:r>
    </w:p>
    <w:p w:rsidR="005D4A49" w:rsidRPr="004E355C" w:rsidRDefault="005D4A49" w:rsidP="00515024">
      <w:pPr>
        <w:pStyle w:val="Caption"/>
        <w:keepNext/>
        <w:spacing w:before="240" w:after="0"/>
        <w:jc w:val="both"/>
        <w:rPr>
          <w:rFonts w:asciiTheme="minorHAnsi" w:hAnsiTheme="minorHAnsi"/>
          <w:b w:val="0"/>
          <w:bCs w:val="0"/>
          <w:i/>
          <w:color w:val="auto"/>
          <w:sz w:val="24"/>
          <w:szCs w:val="24"/>
          <w:lang w:val="sq-AL"/>
        </w:rPr>
      </w:pPr>
      <w:bookmarkStart w:id="122" w:name="_Toc12449209"/>
      <w:r w:rsidRPr="004E355C">
        <w:rPr>
          <w:rFonts w:asciiTheme="minorHAnsi" w:hAnsiTheme="minorHAnsi"/>
          <w:b w:val="0"/>
          <w:bCs w:val="0"/>
          <w:i/>
          <w:color w:val="auto"/>
          <w:sz w:val="24"/>
          <w:szCs w:val="24"/>
          <w:lang w:val="sq-AL"/>
        </w:rPr>
        <w:lastRenderedPageBreak/>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23</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Ecuria e kredive të këqija, në përqindje</w:t>
      </w:r>
      <w:bookmarkEnd w:id="122"/>
    </w:p>
    <w:p w:rsidR="00231E75" w:rsidRPr="004E355C" w:rsidRDefault="00E87B91" w:rsidP="00231E75">
      <w:pPr>
        <w:spacing w:before="120" w:after="120" w:line="276" w:lineRule="auto"/>
        <w:jc w:val="center"/>
        <w:rPr>
          <w:rFonts w:asciiTheme="minorHAnsi" w:hAnsiTheme="minorHAnsi"/>
          <w:noProof/>
          <w:lang w:val="sq-AL"/>
        </w:rPr>
      </w:pPr>
      <w:r w:rsidRPr="004E355C">
        <w:rPr>
          <w:rFonts w:asciiTheme="minorHAnsi" w:hAnsiTheme="minorHAnsi"/>
          <w:noProof/>
        </w:rPr>
        <w:drawing>
          <wp:inline distT="0" distB="0" distL="0" distR="0" wp14:anchorId="0325C2F3" wp14:editId="5AB49C53">
            <wp:extent cx="5944235" cy="6248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4235" cy="624840"/>
                    </a:xfrm>
                    <a:prstGeom prst="rect">
                      <a:avLst/>
                    </a:prstGeom>
                    <a:noFill/>
                  </pic:spPr>
                </pic:pic>
              </a:graphicData>
            </a:graphic>
          </wp:inline>
        </w:drawing>
      </w:r>
    </w:p>
    <w:p w:rsidR="00231E75" w:rsidRPr="004E355C" w:rsidRDefault="00231E75" w:rsidP="000E73FC">
      <w:pPr>
        <w:spacing w:before="120" w:line="276" w:lineRule="auto"/>
        <w:jc w:val="both"/>
        <w:rPr>
          <w:rFonts w:asciiTheme="minorHAnsi" w:hAnsiTheme="minorHAnsi"/>
          <w:i/>
          <w:noProof/>
          <w:lang w:val="sq-AL"/>
        </w:rPr>
      </w:pPr>
      <w:r w:rsidRPr="004E355C">
        <w:rPr>
          <w:rFonts w:asciiTheme="minorHAnsi" w:hAnsiTheme="minorHAnsi"/>
          <w:i/>
          <w:noProof/>
          <w:lang w:val="sq-AL"/>
        </w:rPr>
        <w:t xml:space="preserve">Sa i takon ecurisë së normave të interesit vihet re: </w:t>
      </w:r>
    </w:p>
    <w:p w:rsidR="00E87B91" w:rsidRPr="004E355C" w:rsidRDefault="00E87B91" w:rsidP="00B95810">
      <w:pPr>
        <w:pStyle w:val="ListParagraph"/>
        <w:numPr>
          <w:ilvl w:val="0"/>
          <w:numId w:val="5"/>
        </w:numPr>
        <w:spacing w:line="276" w:lineRule="auto"/>
        <w:ind w:left="360" w:hanging="270"/>
        <w:jc w:val="both"/>
        <w:rPr>
          <w:rFonts w:asciiTheme="minorHAnsi" w:hAnsiTheme="minorHAnsi"/>
          <w:i/>
          <w:noProof/>
          <w:lang w:val="sq-AL"/>
        </w:rPr>
      </w:pPr>
      <w:r w:rsidRPr="004E355C">
        <w:rPr>
          <w:rFonts w:asciiTheme="minorHAnsi" w:hAnsiTheme="minorHAnsi"/>
          <w:i/>
          <w:noProof/>
          <w:lang w:val="sq-AL"/>
        </w:rPr>
        <w:t>Për depozitat në Lekë - Norma mesatare e interesit për totalin e depozitave (duke përfshirë të gjitha maturimet) për prillin 2019 shënoi vlerën 0.8%, duke rënë me 0.17 p.p krahasuar me të njëjtën periudhë të vitit të kaluar dhe me 0.02 p.p krahasuar me muajin paraardhës. Ndërkohë, norma e interesit për depozitën 12 mujore u zvogëlua me 0.29 p.p. krahasuar me një vit më parë dhe me 0.1 p.p në  krahasim me një muaj më parë.</w:t>
      </w:r>
    </w:p>
    <w:p w:rsidR="00E87B91" w:rsidRPr="004E355C" w:rsidRDefault="00E87B91" w:rsidP="00B95810">
      <w:pPr>
        <w:pStyle w:val="ListParagraph"/>
        <w:numPr>
          <w:ilvl w:val="0"/>
          <w:numId w:val="5"/>
        </w:numPr>
        <w:spacing w:before="240" w:line="276" w:lineRule="auto"/>
        <w:ind w:left="360" w:hanging="270"/>
        <w:jc w:val="both"/>
        <w:rPr>
          <w:rFonts w:asciiTheme="minorHAnsi" w:hAnsiTheme="minorHAnsi"/>
          <w:i/>
          <w:noProof/>
          <w:lang w:val="sq-AL"/>
        </w:rPr>
      </w:pPr>
      <w:r w:rsidRPr="004E355C">
        <w:rPr>
          <w:rFonts w:asciiTheme="minorHAnsi" w:hAnsiTheme="minorHAnsi"/>
          <w:i/>
          <w:noProof/>
          <w:lang w:val="sq-AL"/>
        </w:rPr>
        <w:t>Për depozitat në US ($) – Norma mesatare e interesit për totalin e depozitave shënoi vlerën 0.41%, ose 0.04 p.p. më shumë krahasuar me një vit më parë dhe 0.37 p.p. më pak, krahasuar me një muaj më parë. Ndërkohë, norma e interesit për depozitën 12 mujore ka shënuar rritje prej 0.10 p.p. krahasuar me një vit më parë dhe rënie me 0.5 p.p në  krahasim me një muaj më parë.</w:t>
      </w:r>
    </w:p>
    <w:p w:rsidR="00E87B91" w:rsidRPr="004E355C" w:rsidRDefault="00E87B91" w:rsidP="00B95810">
      <w:pPr>
        <w:pStyle w:val="ListParagraph"/>
        <w:numPr>
          <w:ilvl w:val="0"/>
          <w:numId w:val="5"/>
        </w:numPr>
        <w:spacing w:before="240" w:line="276" w:lineRule="auto"/>
        <w:ind w:left="360" w:hanging="270"/>
        <w:jc w:val="both"/>
        <w:rPr>
          <w:rFonts w:asciiTheme="minorHAnsi" w:hAnsiTheme="minorHAnsi"/>
          <w:i/>
          <w:noProof/>
          <w:lang w:val="sq-AL"/>
        </w:rPr>
      </w:pPr>
      <w:r w:rsidRPr="004E355C">
        <w:rPr>
          <w:rFonts w:asciiTheme="minorHAnsi" w:hAnsiTheme="minorHAnsi"/>
          <w:i/>
          <w:noProof/>
          <w:lang w:val="sq-AL"/>
        </w:rPr>
        <w:t>Për depozitat në EUR (€) - Norma mesatare e interesit për totalin e depozitave shënoi vlerën 0.12%, duke rënë me 0.02 p.p krahasuar me një vit më parë dhe duke mos patur ndryshim krahasuar me një muaj më parë. Ndërkohë, norma e interesit për depozitën 12 mujore u zvogëlua me 0.05 p.p krahasuar me një vit më parë dhe pati rënie me 0.05 në krahasim me muajin paraardhës.</w:t>
      </w:r>
    </w:p>
    <w:p w:rsidR="00E87B91" w:rsidRPr="004E355C" w:rsidRDefault="00E87B91" w:rsidP="00B95810">
      <w:pPr>
        <w:pStyle w:val="ListParagraph"/>
        <w:numPr>
          <w:ilvl w:val="0"/>
          <w:numId w:val="5"/>
        </w:numPr>
        <w:spacing w:before="240" w:line="276" w:lineRule="auto"/>
        <w:ind w:left="360" w:hanging="270"/>
        <w:jc w:val="both"/>
        <w:rPr>
          <w:rFonts w:asciiTheme="minorHAnsi" w:hAnsiTheme="minorHAnsi"/>
          <w:i/>
          <w:noProof/>
          <w:lang w:val="sq-AL"/>
        </w:rPr>
      </w:pPr>
      <w:r w:rsidRPr="004E355C">
        <w:rPr>
          <w:rFonts w:asciiTheme="minorHAnsi" w:hAnsiTheme="minorHAnsi"/>
          <w:i/>
          <w:noProof/>
          <w:lang w:val="sq-AL"/>
        </w:rPr>
        <w:t xml:space="preserve">Për kreditë në Lekë - Norma mesatare e interesit për totalin e kredive (duke përfshirë të gjitha maturimet) për prillin 2019 shënoi vlerën 6.37%, ose 0.85 p.p. më shumë se e njëjta periudhë e vitit të kaluar dhe 0.1 p.p. më pak se muaji paraardhës. Ndërkohë, norma e interesit për kreditimin mbi 5 vjeçarë ka shënuar rënie prej 0.2 p.p. krahasuar me një vit më parë dhe një rënie  prej 0.42 p.p. krahasuar me muajin mars 2019. </w:t>
      </w:r>
    </w:p>
    <w:p w:rsidR="00E87B91" w:rsidRPr="004E355C" w:rsidRDefault="00E87B91" w:rsidP="00B95810">
      <w:pPr>
        <w:pStyle w:val="ListParagraph"/>
        <w:numPr>
          <w:ilvl w:val="0"/>
          <w:numId w:val="5"/>
        </w:numPr>
        <w:spacing w:before="240" w:line="276" w:lineRule="auto"/>
        <w:ind w:left="360" w:hanging="270"/>
        <w:jc w:val="both"/>
        <w:rPr>
          <w:rFonts w:asciiTheme="minorHAnsi" w:hAnsiTheme="minorHAnsi"/>
          <w:i/>
          <w:noProof/>
          <w:lang w:val="sq-AL"/>
        </w:rPr>
      </w:pPr>
      <w:r w:rsidRPr="004E355C">
        <w:rPr>
          <w:rFonts w:asciiTheme="minorHAnsi" w:hAnsiTheme="minorHAnsi"/>
          <w:i/>
          <w:noProof/>
          <w:lang w:val="sq-AL"/>
        </w:rPr>
        <w:t xml:space="preserve">Për kreditë në US ($) - Norma mesatare e interesit për totalin e kredive shënoi vlerën 4.12%, duke shënuar rënie me 1.96 p.p. krahasuar me një vit më parë dhe një rënie me 0.31 p.p krahasuar me muajin paraardhës. </w:t>
      </w:r>
    </w:p>
    <w:p w:rsidR="00E87B91" w:rsidRPr="004E355C" w:rsidRDefault="00E87B91" w:rsidP="00B95810">
      <w:pPr>
        <w:pStyle w:val="ListParagraph"/>
        <w:numPr>
          <w:ilvl w:val="0"/>
          <w:numId w:val="5"/>
        </w:numPr>
        <w:spacing w:before="240" w:line="276" w:lineRule="auto"/>
        <w:ind w:left="360" w:hanging="270"/>
        <w:jc w:val="both"/>
        <w:rPr>
          <w:rFonts w:asciiTheme="minorHAnsi" w:hAnsiTheme="minorHAnsi"/>
          <w:i/>
          <w:noProof/>
          <w:lang w:val="sq-AL"/>
        </w:rPr>
      </w:pPr>
      <w:r w:rsidRPr="004E355C">
        <w:rPr>
          <w:rFonts w:asciiTheme="minorHAnsi" w:hAnsiTheme="minorHAnsi"/>
          <w:i/>
          <w:noProof/>
          <w:lang w:val="sq-AL"/>
        </w:rPr>
        <w:t xml:space="preserve">Për kreditë në EUR (€) - Norma mesatare e interesit për totalin e kredive për prillin 2019 shënoi vlerën 4.38%, ose 0.29 p.p. më shumë se e njëjta periudhë e vitit të kaluar dhe u zvogëlua me 0.21 p.p. krahasuar me një muaj më parë. Ndërkohë, norma e interesit për kreditimin mbi 5 vjeçar ka shënuar rritje prej 0.72 p.p. krahasuar me një vit më parë dhe një rritje me 0.23 p.p. krahasuar me muajin mars 2019.  </w:t>
      </w:r>
    </w:p>
    <w:p w:rsidR="00231E75" w:rsidRPr="004E355C" w:rsidRDefault="00E87B91" w:rsidP="00E87B91">
      <w:pPr>
        <w:spacing w:before="240" w:line="276" w:lineRule="auto"/>
        <w:jc w:val="both"/>
        <w:rPr>
          <w:rFonts w:asciiTheme="minorHAnsi" w:hAnsiTheme="minorHAnsi"/>
          <w:noProof/>
          <w:lang w:val="sq-AL"/>
        </w:rPr>
      </w:pPr>
      <w:r w:rsidRPr="004E355C">
        <w:rPr>
          <w:rFonts w:asciiTheme="minorHAnsi" w:hAnsiTheme="minorHAnsi"/>
          <w:noProof/>
          <w:lang w:val="sq-AL"/>
        </w:rPr>
        <w:t>Ndërkohë, kursi i këmbimit të Lek-ut ndaj Dollarit Amerikan dhe Euros, në muajin maj 2019 arriti respektivisht nivelin 109.96 dhe 122.99 në vlerë mesatare mujore, ku monedha Lek është forcuar kundrejt monedhës EUR, krahasuar me mesataren e kursit për vitin 2018</w:t>
      </w:r>
      <w:r w:rsidR="00231E75" w:rsidRPr="004E355C">
        <w:rPr>
          <w:rFonts w:asciiTheme="minorHAnsi" w:hAnsiTheme="minorHAnsi"/>
          <w:noProof/>
          <w:lang w:val="sq-AL"/>
        </w:rPr>
        <w:t>.</w:t>
      </w:r>
    </w:p>
    <w:p w:rsidR="000D1394" w:rsidRPr="004E355C" w:rsidRDefault="000D1394" w:rsidP="000D1394">
      <w:pPr>
        <w:jc w:val="both"/>
        <w:rPr>
          <w:rFonts w:asciiTheme="minorHAnsi" w:hAnsiTheme="minorHAnsi"/>
          <w:noProof/>
          <w:sz w:val="8"/>
          <w:lang w:val="sq-AL"/>
        </w:rPr>
      </w:pPr>
    </w:p>
    <w:p w:rsidR="005D4A49" w:rsidRPr="004E355C" w:rsidRDefault="005D4A49" w:rsidP="000D1394">
      <w:pPr>
        <w:pStyle w:val="Caption"/>
        <w:keepNext/>
        <w:spacing w:after="0"/>
        <w:jc w:val="both"/>
        <w:rPr>
          <w:rFonts w:asciiTheme="minorHAnsi" w:hAnsiTheme="minorHAnsi"/>
          <w:b w:val="0"/>
          <w:bCs w:val="0"/>
          <w:i/>
          <w:color w:val="auto"/>
          <w:sz w:val="24"/>
          <w:szCs w:val="24"/>
          <w:lang w:val="sq-AL"/>
        </w:rPr>
      </w:pPr>
      <w:bookmarkStart w:id="123" w:name="_Toc12449210"/>
      <w:r w:rsidRPr="004E355C">
        <w:rPr>
          <w:rFonts w:asciiTheme="minorHAnsi" w:hAnsiTheme="minorHAnsi"/>
          <w:b w:val="0"/>
          <w:bCs w:val="0"/>
          <w:i/>
          <w:color w:val="auto"/>
          <w:sz w:val="24"/>
          <w:szCs w:val="24"/>
          <w:lang w:val="sq-AL"/>
        </w:rPr>
        <w:t xml:space="preserve">Tabela </w:t>
      </w:r>
      <w:r w:rsidRPr="004E355C">
        <w:rPr>
          <w:rFonts w:asciiTheme="minorHAnsi" w:hAnsiTheme="minorHAnsi"/>
          <w:b w:val="0"/>
          <w:bCs w:val="0"/>
          <w:i/>
          <w:color w:val="auto"/>
          <w:sz w:val="24"/>
          <w:szCs w:val="24"/>
          <w:lang w:val="sq-AL"/>
        </w:rPr>
        <w:fldChar w:fldCharType="begin"/>
      </w:r>
      <w:r w:rsidRPr="004E355C">
        <w:rPr>
          <w:rFonts w:asciiTheme="minorHAnsi" w:hAnsiTheme="minorHAnsi"/>
          <w:b w:val="0"/>
          <w:bCs w:val="0"/>
          <w:i/>
          <w:color w:val="auto"/>
          <w:sz w:val="24"/>
          <w:szCs w:val="24"/>
          <w:lang w:val="sq-AL"/>
        </w:rPr>
        <w:instrText xml:space="preserve"> SEQ Tabela \* ARABIC </w:instrText>
      </w:r>
      <w:r w:rsidRPr="004E355C">
        <w:rPr>
          <w:rFonts w:asciiTheme="minorHAnsi" w:hAnsiTheme="minorHAnsi"/>
          <w:b w:val="0"/>
          <w:bCs w:val="0"/>
          <w:i/>
          <w:color w:val="auto"/>
          <w:sz w:val="24"/>
          <w:szCs w:val="24"/>
          <w:lang w:val="sq-AL"/>
        </w:rPr>
        <w:fldChar w:fldCharType="separate"/>
      </w:r>
      <w:r w:rsidR="00C83C78">
        <w:rPr>
          <w:rFonts w:asciiTheme="minorHAnsi" w:hAnsiTheme="minorHAnsi"/>
          <w:b w:val="0"/>
          <w:bCs w:val="0"/>
          <w:i/>
          <w:noProof/>
          <w:color w:val="auto"/>
          <w:sz w:val="24"/>
          <w:szCs w:val="24"/>
          <w:lang w:val="sq-AL"/>
        </w:rPr>
        <w:t>24</w:t>
      </w:r>
      <w:r w:rsidRPr="004E355C">
        <w:rPr>
          <w:rFonts w:asciiTheme="minorHAnsi" w:hAnsiTheme="minorHAnsi"/>
          <w:b w:val="0"/>
          <w:bCs w:val="0"/>
          <w:i/>
          <w:color w:val="auto"/>
          <w:sz w:val="24"/>
          <w:szCs w:val="24"/>
          <w:lang w:val="sq-AL"/>
        </w:rPr>
        <w:fldChar w:fldCharType="end"/>
      </w:r>
      <w:r w:rsidRPr="004E355C">
        <w:rPr>
          <w:rFonts w:asciiTheme="minorHAnsi" w:hAnsiTheme="minorHAnsi"/>
          <w:b w:val="0"/>
          <w:bCs w:val="0"/>
          <w:i/>
          <w:color w:val="auto"/>
          <w:sz w:val="24"/>
          <w:szCs w:val="24"/>
          <w:lang w:val="sq-AL"/>
        </w:rPr>
        <w:t>: Ecuria e kursit të këmbimit 201</w:t>
      </w:r>
      <w:r w:rsidR="00E87B91" w:rsidRPr="004E355C">
        <w:rPr>
          <w:rFonts w:asciiTheme="minorHAnsi" w:hAnsiTheme="minorHAnsi"/>
          <w:b w:val="0"/>
          <w:bCs w:val="0"/>
          <w:i/>
          <w:color w:val="auto"/>
          <w:sz w:val="24"/>
          <w:szCs w:val="24"/>
          <w:lang w:val="sq-AL"/>
        </w:rPr>
        <w:t>5</w:t>
      </w:r>
      <w:r w:rsidRPr="004E355C">
        <w:rPr>
          <w:rFonts w:asciiTheme="minorHAnsi" w:hAnsiTheme="minorHAnsi"/>
          <w:b w:val="0"/>
          <w:bCs w:val="0"/>
          <w:i/>
          <w:color w:val="auto"/>
          <w:sz w:val="24"/>
          <w:szCs w:val="24"/>
          <w:lang w:val="sq-AL"/>
        </w:rPr>
        <w:t>-201</w:t>
      </w:r>
      <w:r w:rsidR="00E87B91" w:rsidRPr="004E355C">
        <w:rPr>
          <w:rFonts w:asciiTheme="minorHAnsi" w:hAnsiTheme="minorHAnsi"/>
          <w:b w:val="0"/>
          <w:bCs w:val="0"/>
          <w:i/>
          <w:color w:val="auto"/>
          <w:sz w:val="24"/>
          <w:szCs w:val="24"/>
          <w:lang w:val="sq-AL"/>
        </w:rPr>
        <w:t>9</w:t>
      </w:r>
      <w:bookmarkEnd w:id="123"/>
    </w:p>
    <w:p w:rsidR="00231E75" w:rsidRPr="004E355C" w:rsidRDefault="00E87B91" w:rsidP="00231E75">
      <w:pPr>
        <w:spacing w:before="120" w:after="120" w:line="276" w:lineRule="auto"/>
        <w:jc w:val="center"/>
        <w:rPr>
          <w:rFonts w:asciiTheme="minorHAnsi" w:hAnsiTheme="minorHAnsi"/>
          <w:noProof/>
          <w:lang w:val="sq-AL"/>
        </w:rPr>
      </w:pPr>
      <w:r w:rsidRPr="004E355C">
        <w:rPr>
          <w:noProof/>
        </w:rPr>
        <w:drawing>
          <wp:inline distT="0" distB="0" distL="0" distR="0" wp14:anchorId="215EE5E1" wp14:editId="50A5AEF2">
            <wp:extent cx="5943600" cy="942563"/>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942563"/>
                    </a:xfrm>
                    <a:prstGeom prst="rect">
                      <a:avLst/>
                    </a:prstGeom>
                    <a:noFill/>
                    <a:ln>
                      <a:noFill/>
                    </a:ln>
                  </pic:spPr>
                </pic:pic>
              </a:graphicData>
            </a:graphic>
          </wp:inline>
        </w:drawing>
      </w:r>
    </w:p>
    <w:p w:rsidR="00527686" w:rsidRPr="004E355C" w:rsidRDefault="00E05051" w:rsidP="00527686">
      <w:pPr>
        <w:pStyle w:val="Heading2"/>
        <w:spacing w:line="276" w:lineRule="auto"/>
        <w:rPr>
          <w:rFonts w:asciiTheme="minorHAnsi" w:hAnsiTheme="minorHAnsi"/>
          <w:noProof/>
          <w:color w:val="4F81BD" w:themeColor="accent1"/>
          <w:sz w:val="28"/>
          <w:szCs w:val="24"/>
          <w:lang w:val="sq-AL"/>
        </w:rPr>
      </w:pPr>
      <w:bookmarkStart w:id="124" w:name="_Toc12527238"/>
      <w:r w:rsidRPr="004E355C">
        <w:rPr>
          <w:rFonts w:asciiTheme="minorHAnsi" w:hAnsiTheme="minorHAnsi"/>
          <w:noProof/>
          <w:color w:val="4F81BD" w:themeColor="accent1"/>
          <w:sz w:val="28"/>
          <w:szCs w:val="24"/>
          <w:lang w:val="sq-AL"/>
        </w:rPr>
        <w:lastRenderedPageBreak/>
        <w:t>VI.2</w:t>
      </w:r>
      <w:r w:rsidRPr="004E355C">
        <w:rPr>
          <w:rFonts w:asciiTheme="minorHAnsi" w:hAnsiTheme="minorHAnsi"/>
          <w:noProof/>
          <w:color w:val="4F81BD" w:themeColor="accent1"/>
          <w:sz w:val="28"/>
          <w:szCs w:val="24"/>
          <w:lang w:val="sq-AL"/>
        </w:rPr>
        <w:tab/>
      </w:r>
      <w:bookmarkStart w:id="125" w:name="_Toc11134224"/>
      <w:r w:rsidR="00527686" w:rsidRPr="004E355C">
        <w:rPr>
          <w:rFonts w:asciiTheme="minorHAnsi" w:hAnsiTheme="minorHAnsi"/>
          <w:noProof/>
          <w:color w:val="4F81BD" w:themeColor="accent1"/>
          <w:sz w:val="28"/>
          <w:szCs w:val="24"/>
          <w:lang w:val="sq-AL"/>
        </w:rPr>
        <w:t>Treguesit kryesorë të performancës sipas ministrive të linjës</w:t>
      </w:r>
      <w:bookmarkEnd w:id="125"/>
      <w:r w:rsidR="00527686" w:rsidRPr="004E355C">
        <w:rPr>
          <w:rFonts w:asciiTheme="minorHAnsi" w:hAnsiTheme="minorHAnsi"/>
          <w:noProof/>
          <w:color w:val="4F81BD" w:themeColor="accent1"/>
          <w:sz w:val="28"/>
          <w:szCs w:val="24"/>
          <w:lang w:val="sq-AL"/>
        </w:rPr>
        <w:t>, 4M I 2019</w:t>
      </w:r>
      <w:bookmarkEnd w:id="124"/>
      <w:r w:rsidR="00527686" w:rsidRPr="004E355C">
        <w:rPr>
          <w:rFonts w:asciiTheme="minorHAnsi" w:hAnsiTheme="minorHAnsi"/>
          <w:noProof/>
          <w:color w:val="4F81BD" w:themeColor="accent1"/>
          <w:sz w:val="28"/>
          <w:szCs w:val="24"/>
          <w:lang w:val="sq-AL"/>
        </w:rPr>
        <w:t xml:space="preserve"> </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lang w:val="sq-AL"/>
        </w:rPr>
        <w:t>Buxheti i vitit 2019, ka financuar 127 programe buxhetore si edhe buxhetin e 61 bashkive dhe 12 qarqeve. Realizimi i buxhetit për 5 mujorin e vitit 2019 për ministrite dhe disa nga institucionet qendrore kryesore</w:t>
      </w:r>
      <w:r w:rsidR="008133EB" w:rsidRPr="004E355C">
        <w:rPr>
          <w:rFonts w:ascii="Calibri" w:eastAsia="MS Mincho" w:hAnsi="Calibri"/>
          <w:lang w:val="sq-AL"/>
        </w:rPr>
        <w:t>, paraqitet në tabelën e mëposht</w:t>
      </w:r>
      <w:r w:rsidRPr="004E355C">
        <w:rPr>
          <w:rFonts w:ascii="Calibri" w:eastAsia="MS Mincho" w:hAnsi="Calibri"/>
          <w:lang w:val="sq-AL"/>
        </w:rPr>
        <w:t xml:space="preserve">me: </w:t>
      </w:r>
      <w:bookmarkStart w:id="126" w:name="_Toc10033294"/>
      <w:bookmarkStart w:id="127" w:name="_Toc10033295"/>
      <w:bookmarkEnd w:id="126"/>
    </w:p>
    <w:p w:rsidR="00527686" w:rsidRPr="004E355C" w:rsidRDefault="00527686" w:rsidP="00527686">
      <w:pPr>
        <w:spacing w:line="276" w:lineRule="auto"/>
        <w:rPr>
          <w:rFonts w:ascii="Calibri" w:eastAsia="MS Mincho" w:hAnsi="Calibri"/>
          <w:i/>
          <w:iCs/>
          <w:color w:val="1F497D"/>
          <w:sz w:val="18"/>
          <w:szCs w:val="18"/>
        </w:rPr>
      </w:pPr>
      <w:bookmarkStart w:id="128" w:name="_Toc11135126"/>
    </w:p>
    <w:tbl>
      <w:tblPr>
        <w:tblW w:w="10457" w:type="dxa"/>
        <w:jc w:val="center"/>
        <w:tblLook w:val="04A0" w:firstRow="1" w:lastRow="0" w:firstColumn="1" w:lastColumn="0" w:noHBand="0" w:noVBand="1"/>
      </w:tblPr>
      <w:tblGrid>
        <w:gridCol w:w="3541"/>
        <w:gridCol w:w="1235"/>
        <w:gridCol w:w="1235"/>
        <w:gridCol w:w="1235"/>
        <w:gridCol w:w="1157"/>
        <w:gridCol w:w="1027"/>
        <w:gridCol w:w="1027"/>
      </w:tblGrid>
      <w:tr w:rsidR="00527686" w:rsidRPr="004E355C" w:rsidTr="00527686">
        <w:trPr>
          <w:trHeight w:val="1107"/>
          <w:jc w:val="center"/>
        </w:trPr>
        <w:tc>
          <w:tcPr>
            <w:tcW w:w="3541" w:type="dxa"/>
            <w:tcBorders>
              <w:top w:val="single" w:sz="4" w:space="0" w:color="auto"/>
              <w:left w:val="single" w:sz="4" w:space="0" w:color="auto"/>
              <w:bottom w:val="nil"/>
              <w:right w:val="single" w:sz="4" w:space="0" w:color="4F81BD"/>
            </w:tcBorders>
            <w:shd w:val="clear" w:color="000000" w:fill="B7DEE8"/>
            <w:noWrap/>
            <w:vAlign w:val="center"/>
            <w:hideMark/>
          </w:tcPr>
          <w:bookmarkEnd w:id="128"/>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Institucionet</w:t>
            </w:r>
          </w:p>
        </w:tc>
        <w:tc>
          <w:tcPr>
            <w:tcW w:w="1235" w:type="dxa"/>
            <w:tcBorders>
              <w:top w:val="single" w:sz="4" w:space="0" w:color="auto"/>
              <w:left w:val="single" w:sz="4" w:space="0" w:color="4F81BD"/>
              <w:bottom w:val="nil"/>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2019</w:t>
            </w:r>
          </w:p>
        </w:tc>
        <w:tc>
          <w:tcPr>
            <w:tcW w:w="1235" w:type="dxa"/>
            <w:tcBorders>
              <w:top w:val="single" w:sz="4" w:space="0" w:color="auto"/>
              <w:left w:val="single" w:sz="4" w:space="0" w:color="4F81BD"/>
              <w:bottom w:val="nil"/>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2019</w:t>
            </w:r>
          </w:p>
        </w:tc>
        <w:tc>
          <w:tcPr>
            <w:tcW w:w="1235" w:type="dxa"/>
            <w:tcBorders>
              <w:top w:val="single" w:sz="4" w:space="0" w:color="auto"/>
              <w:left w:val="single" w:sz="4" w:space="0" w:color="4F81BD"/>
              <w:bottom w:val="nil"/>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2019</w:t>
            </w:r>
          </w:p>
        </w:tc>
        <w:tc>
          <w:tcPr>
            <w:tcW w:w="1157" w:type="dxa"/>
            <w:tcBorders>
              <w:top w:val="single" w:sz="4" w:space="0" w:color="auto"/>
              <w:left w:val="single" w:sz="4" w:space="0" w:color="4F81BD"/>
              <w:bottom w:val="nil"/>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Total</w:t>
            </w:r>
          </w:p>
        </w:tc>
        <w:tc>
          <w:tcPr>
            <w:tcW w:w="1027" w:type="dxa"/>
            <w:tcBorders>
              <w:top w:val="single" w:sz="4" w:space="0" w:color="auto"/>
              <w:left w:val="single" w:sz="4" w:space="0" w:color="4F81BD"/>
              <w:bottom w:val="nil"/>
              <w:right w:val="single" w:sz="4" w:space="0" w:color="4F81BD"/>
            </w:tcBorders>
            <w:shd w:val="clear" w:color="000000" w:fill="B7DEE8"/>
            <w:vAlign w:val="bottom"/>
            <w:hideMark/>
          </w:tcPr>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Shpenzime korrente</w:t>
            </w:r>
          </w:p>
        </w:tc>
        <w:tc>
          <w:tcPr>
            <w:tcW w:w="1027" w:type="dxa"/>
            <w:tcBorders>
              <w:top w:val="single" w:sz="4" w:space="0" w:color="auto"/>
              <w:left w:val="single" w:sz="4" w:space="0" w:color="4F81BD"/>
              <w:bottom w:val="nil"/>
              <w:right w:val="single" w:sz="4" w:space="0" w:color="auto"/>
            </w:tcBorders>
            <w:shd w:val="clear" w:color="000000" w:fill="B7DEE8"/>
            <w:vAlign w:val="bottom"/>
            <w:hideMark/>
          </w:tcPr>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Shpenzime kapitale</w:t>
            </w:r>
          </w:p>
        </w:tc>
      </w:tr>
      <w:tr w:rsidR="00527686" w:rsidRPr="004E355C" w:rsidTr="00527686">
        <w:trPr>
          <w:trHeight w:val="577"/>
          <w:jc w:val="center"/>
        </w:trPr>
        <w:tc>
          <w:tcPr>
            <w:tcW w:w="3541" w:type="dxa"/>
            <w:tcBorders>
              <w:top w:val="nil"/>
              <w:left w:val="single" w:sz="4" w:space="0" w:color="auto"/>
              <w:bottom w:val="single" w:sz="4" w:space="0" w:color="auto"/>
              <w:right w:val="single" w:sz="4" w:space="0" w:color="4F81BD"/>
            </w:tcBorders>
            <w:shd w:val="clear" w:color="000000" w:fill="B7DEE8"/>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w:t>
            </w:r>
          </w:p>
        </w:tc>
        <w:tc>
          <w:tcPr>
            <w:tcW w:w="1235" w:type="dxa"/>
            <w:tcBorders>
              <w:top w:val="nil"/>
              <w:left w:val="single" w:sz="4" w:space="0" w:color="4F81BD"/>
              <w:bottom w:val="single" w:sz="4" w:space="0" w:color="auto"/>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Plan Fillestar</w:t>
            </w:r>
          </w:p>
        </w:tc>
        <w:tc>
          <w:tcPr>
            <w:tcW w:w="1235" w:type="dxa"/>
            <w:tcBorders>
              <w:top w:val="nil"/>
              <w:left w:val="single" w:sz="4" w:space="0" w:color="4F81BD"/>
              <w:bottom w:val="single" w:sz="4" w:space="0" w:color="auto"/>
              <w:right w:val="single" w:sz="4" w:space="0" w:color="4F81BD"/>
            </w:tcBorders>
            <w:shd w:val="clear" w:color="000000" w:fill="B7DEE8"/>
            <w:noWrap/>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Plan I     Rishikuar</w:t>
            </w:r>
          </w:p>
        </w:tc>
        <w:tc>
          <w:tcPr>
            <w:tcW w:w="1235" w:type="dxa"/>
            <w:tcBorders>
              <w:top w:val="nil"/>
              <w:left w:val="single" w:sz="4" w:space="0" w:color="4F81BD"/>
              <w:bottom w:val="single" w:sz="4" w:space="0" w:color="auto"/>
              <w:right w:val="single" w:sz="4" w:space="0" w:color="4F81BD"/>
            </w:tcBorders>
            <w:shd w:val="clear" w:color="000000" w:fill="B7DEE8"/>
            <w:vAlign w:val="center"/>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Fakt 5 Mujori</w:t>
            </w:r>
          </w:p>
        </w:tc>
        <w:tc>
          <w:tcPr>
            <w:tcW w:w="1157" w:type="dxa"/>
            <w:tcBorders>
              <w:top w:val="nil"/>
              <w:left w:val="single" w:sz="4" w:space="0" w:color="4F81BD"/>
              <w:bottom w:val="single" w:sz="4" w:space="0" w:color="auto"/>
              <w:right w:val="single" w:sz="4" w:space="0" w:color="4F81BD"/>
            </w:tcBorders>
            <w:shd w:val="clear" w:color="000000" w:fill="B7DEE8"/>
            <w:noWrap/>
            <w:vAlign w:val="center"/>
            <w:hideMark/>
          </w:tcPr>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Fakt/Plan Vjetor</w:t>
            </w:r>
          </w:p>
        </w:tc>
        <w:tc>
          <w:tcPr>
            <w:tcW w:w="1027" w:type="dxa"/>
            <w:tcBorders>
              <w:top w:val="nil"/>
              <w:left w:val="single" w:sz="4" w:space="0" w:color="4F81BD"/>
              <w:bottom w:val="single" w:sz="4" w:space="0" w:color="auto"/>
              <w:right w:val="single" w:sz="4" w:space="0" w:color="4F81BD"/>
            </w:tcBorders>
            <w:shd w:val="clear" w:color="000000" w:fill="B7DEE8"/>
            <w:noWrap/>
            <w:vAlign w:val="center"/>
            <w:hideMark/>
          </w:tcPr>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Fakt/Plan</w:t>
            </w:r>
          </w:p>
        </w:tc>
        <w:tc>
          <w:tcPr>
            <w:tcW w:w="1027" w:type="dxa"/>
            <w:tcBorders>
              <w:top w:val="nil"/>
              <w:left w:val="single" w:sz="4" w:space="0" w:color="4F81BD"/>
              <w:bottom w:val="single" w:sz="4" w:space="0" w:color="auto"/>
              <w:right w:val="single" w:sz="4" w:space="0" w:color="auto"/>
            </w:tcBorders>
            <w:shd w:val="clear" w:color="000000" w:fill="B7DEE8"/>
            <w:noWrap/>
            <w:vAlign w:val="center"/>
            <w:hideMark/>
          </w:tcPr>
          <w:p w:rsidR="00527686" w:rsidRPr="004E355C" w:rsidRDefault="00527686" w:rsidP="00527686">
            <w:pPr>
              <w:spacing w:line="276" w:lineRule="auto"/>
              <w:jc w:val="center"/>
              <w:rPr>
                <w:rFonts w:ascii="Calibri" w:hAnsi="Calibri"/>
                <w:b/>
                <w:bCs/>
                <w:color w:val="000000"/>
                <w:sz w:val="16"/>
                <w:szCs w:val="16"/>
              </w:rPr>
            </w:pPr>
            <w:r w:rsidRPr="004E355C">
              <w:rPr>
                <w:rFonts w:ascii="Calibri" w:hAnsi="Calibri"/>
                <w:b/>
                <w:bCs/>
                <w:color w:val="000000"/>
                <w:sz w:val="16"/>
                <w:szCs w:val="16"/>
              </w:rPr>
              <w:t>Fakt/Plan</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color w:val="000000"/>
                <w:sz w:val="16"/>
                <w:szCs w:val="16"/>
              </w:rPr>
            </w:pPr>
            <w:r w:rsidRPr="004E355C">
              <w:rPr>
                <w:rFonts w:ascii="Calibri" w:hAnsi="Calibri"/>
                <w:color w:val="000000"/>
                <w:sz w:val="16"/>
                <w:szCs w:val="16"/>
              </w:rPr>
              <w:t>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color w:val="000000"/>
                <w:sz w:val="16"/>
                <w:szCs w:val="16"/>
              </w:rPr>
            </w:pPr>
            <w:r w:rsidRPr="004E355C">
              <w:rPr>
                <w:rFonts w:ascii="Calibri" w:hAnsi="Calibri"/>
                <w:color w:val="000000"/>
                <w:sz w:val="16"/>
                <w:szCs w:val="16"/>
              </w:rPr>
              <w:t>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color w:val="000000"/>
                <w:sz w:val="16"/>
                <w:szCs w:val="16"/>
              </w:rPr>
            </w:pPr>
            <w:r w:rsidRPr="004E355C">
              <w:rPr>
                <w:rFonts w:ascii="Calibri" w:hAnsi="Calibri"/>
                <w:color w:val="000000"/>
                <w:sz w:val="16"/>
                <w:szCs w:val="16"/>
              </w:rPr>
              <w:t>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color w:val="000000"/>
                <w:sz w:val="16"/>
                <w:szCs w:val="16"/>
              </w:rPr>
            </w:pPr>
            <w:r w:rsidRPr="004E355C">
              <w:rPr>
                <w:rFonts w:ascii="Calibri" w:hAnsi="Calibri"/>
                <w:color w:val="000000"/>
                <w:sz w:val="16"/>
                <w:szCs w:val="16"/>
              </w:rPr>
              <w:t> </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 </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 </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 </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Presidenca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248,000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248,346</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82,879</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33</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34</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13</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Kuvendi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1,323,788</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1,342,864</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350,615</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26</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30</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Kryeministria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1,000,000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1,001,985</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175,716</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18</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Bujqesise dhe Zhvillimit Rural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9,903,962</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9,992,962</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1,175,165</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12</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25</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Infrastruktures dhe Energjise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46,703,704</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46,706,704</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13,910,287</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30</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41</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29</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Financave dhe Ekonomise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58,031,139</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60,205,227</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20,233,797</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34</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34</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27</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Arsimit Sportit dhe Rinise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39,135,143</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41,610,168</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15,727,327</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38</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39</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29</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Kultures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2,165,867</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2,169,421</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633,762</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29</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13</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Shendetesise dhe Mbrojtjes Sociale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60,900,377</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60,610,377</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24,176,556</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40</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40</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29</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Drejtesise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12,201,758</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12,211,896</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3,915,290</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32</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32</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32</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per Evropen dhe Punet e Jashtme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3,180,500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3,274,000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948,078</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29</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30</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24</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Brendshme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20,775,335</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21,094,327</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7,924,537</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38</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40</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12</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Mbrojtjes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21,702,417</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21,769,817</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8,422,843</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39</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40</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34</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Akademia e Shkencave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111,000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111,000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31,332</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28</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28</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47</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Kontrolli Larte i Shtetit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417,900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419,729</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148,592</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35</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Ministria e Turizmit dhe Mjedisit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2,637,880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2,652,180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698,859</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26</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17</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Prokuroria e Pergjithshme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1,750,000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2,352,200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816,332</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35</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Keshilli i Larte Gjyqesor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2,380,150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2,520,485</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988,721</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39</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41</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11</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Keshilli i Larte i Prokurorise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88,000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0</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Veprimtaria e Mbikqyrjes dhe Rivleresimit ne sistemin e Drejtesise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524,500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450,480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194,421</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43</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44</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19</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Gjykata Kushtetuese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162,700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162,850</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37,323</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23</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23</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5</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Fondi i Zhvillimit Shqipetar                                                                     </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16,870,000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16,870,000</w:t>
            </w:r>
          </w:p>
        </w:tc>
        <w:tc>
          <w:tcPr>
            <w:tcW w:w="1235"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3,068,961</w:t>
            </w:r>
          </w:p>
        </w:tc>
        <w:tc>
          <w:tcPr>
            <w:tcW w:w="115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18</w:t>
            </w:r>
          </w:p>
        </w:tc>
        <w:tc>
          <w:tcPr>
            <w:tcW w:w="1027" w:type="dxa"/>
            <w:tcBorders>
              <w:top w:val="nil"/>
              <w:left w:val="single" w:sz="4" w:space="0" w:color="4F81BD"/>
              <w:bottom w:val="single" w:sz="4" w:space="0" w:color="auto"/>
              <w:right w:val="single" w:sz="4" w:space="0" w:color="4F81BD"/>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0</w:t>
            </w:r>
          </w:p>
        </w:tc>
        <w:tc>
          <w:tcPr>
            <w:tcW w:w="1027" w:type="dxa"/>
            <w:tcBorders>
              <w:top w:val="nil"/>
              <w:left w:val="single" w:sz="4" w:space="0" w:color="4F81BD"/>
              <w:bottom w:val="single" w:sz="4" w:space="0" w:color="auto"/>
              <w:right w:val="single" w:sz="4" w:space="0" w:color="auto"/>
            </w:tcBorders>
            <w:shd w:val="clear" w:color="auto" w:fill="auto"/>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18</w:t>
            </w:r>
          </w:p>
        </w:tc>
      </w:tr>
      <w:tr w:rsidR="00527686" w:rsidRPr="004E355C" w:rsidTr="00527686">
        <w:trPr>
          <w:trHeight w:val="369"/>
          <w:jc w:val="center"/>
        </w:trPr>
        <w:tc>
          <w:tcPr>
            <w:tcW w:w="3541" w:type="dxa"/>
            <w:tcBorders>
              <w:top w:val="nil"/>
              <w:left w:val="single" w:sz="4" w:space="0" w:color="auto"/>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rPr>
                <w:rFonts w:ascii="Calibri" w:hAnsi="Calibri"/>
                <w:b/>
                <w:bCs/>
                <w:color w:val="000000"/>
                <w:sz w:val="16"/>
                <w:szCs w:val="16"/>
              </w:rPr>
            </w:pPr>
            <w:r w:rsidRPr="004E355C">
              <w:rPr>
                <w:rFonts w:ascii="Calibri" w:hAnsi="Calibri"/>
                <w:b/>
                <w:bCs/>
                <w:color w:val="000000"/>
                <w:sz w:val="16"/>
                <w:szCs w:val="16"/>
              </w:rPr>
              <w:t xml:space="preserve"> Institucione te tjera Qeveritare                                                                 </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5,611,168</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5,663,814</w:t>
            </w:r>
          </w:p>
        </w:tc>
        <w:tc>
          <w:tcPr>
            <w:tcW w:w="1235"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right"/>
              <w:rPr>
                <w:rFonts w:ascii="Calibri" w:hAnsi="Calibri"/>
                <w:color w:val="000000"/>
                <w:sz w:val="16"/>
                <w:szCs w:val="16"/>
              </w:rPr>
            </w:pPr>
            <w:r w:rsidRPr="004E355C">
              <w:rPr>
                <w:rFonts w:ascii="Calibri" w:hAnsi="Calibri"/>
                <w:color w:val="000000"/>
                <w:sz w:val="16"/>
                <w:szCs w:val="16"/>
              </w:rPr>
              <w:t>2,343,926</w:t>
            </w:r>
          </w:p>
        </w:tc>
        <w:tc>
          <w:tcPr>
            <w:tcW w:w="115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41</w:t>
            </w:r>
          </w:p>
        </w:tc>
        <w:tc>
          <w:tcPr>
            <w:tcW w:w="1027" w:type="dxa"/>
            <w:tcBorders>
              <w:top w:val="nil"/>
              <w:left w:val="single" w:sz="4" w:space="0" w:color="4F81BD"/>
              <w:bottom w:val="single" w:sz="4" w:space="0" w:color="auto"/>
              <w:right w:val="single" w:sz="4" w:space="0" w:color="4F81BD"/>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43</w:t>
            </w:r>
          </w:p>
        </w:tc>
        <w:tc>
          <w:tcPr>
            <w:tcW w:w="1027" w:type="dxa"/>
            <w:tcBorders>
              <w:top w:val="nil"/>
              <w:left w:val="single" w:sz="4" w:space="0" w:color="4F81BD"/>
              <w:bottom w:val="single" w:sz="4" w:space="0" w:color="auto"/>
              <w:right w:val="single" w:sz="4" w:space="0" w:color="auto"/>
            </w:tcBorders>
            <w:shd w:val="clear" w:color="000000" w:fill="DAEEF3"/>
            <w:noWrap/>
            <w:vAlign w:val="bottom"/>
            <w:hideMark/>
          </w:tcPr>
          <w:p w:rsidR="00527686" w:rsidRPr="004E355C" w:rsidRDefault="00527686" w:rsidP="00527686">
            <w:pPr>
              <w:spacing w:line="276" w:lineRule="auto"/>
              <w:jc w:val="center"/>
              <w:rPr>
                <w:rFonts w:ascii="Calibri" w:hAnsi="Calibri"/>
                <w:color w:val="000000"/>
                <w:sz w:val="16"/>
                <w:szCs w:val="16"/>
              </w:rPr>
            </w:pPr>
            <w:r w:rsidRPr="004E355C">
              <w:rPr>
                <w:rFonts w:ascii="Calibri" w:hAnsi="Calibri"/>
                <w:color w:val="000000"/>
                <w:sz w:val="16"/>
                <w:szCs w:val="16"/>
              </w:rPr>
              <w:t>37</w:t>
            </w:r>
          </w:p>
        </w:tc>
      </w:tr>
    </w:tbl>
    <w:p w:rsidR="00527686" w:rsidRPr="004E355C" w:rsidRDefault="00527686" w:rsidP="00527686">
      <w:pPr>
        <w:spacing w:line="276" w:lineRule="auto"/>
        <w:rPr>
          <w:rFonts w:ascii="Calibri" w:eastAsia="MS Mincho" w:hAnsi="Calibri"/>
          <w:lang w:val="sq-AL"/>
        </w:rPr>
      </w:pPr>
      <w:bookmarkStart w:id="129" w:name="_Toc10721431"/>
    </w:p>
    <w:p w:rsidR="00527686" w:rsidRPr="004E355C" w:rsidRDefault="00527686" w:rsidP="00527686">
      <w:pPr>
        <w:spacing w:line="276" w:lineRule="auto"/>
        <w:rPr>
          <w:rFonts w:ascii="Calibri" w:eastAsia="MS Mincho" w:hAnsi="Calibri"/>
          <w:lang w:val="sq-AL"/>
        </w:rPr>
      </w:pPr>
    </w:p>
    <w:p w:rsidR="0071340F" w:rsidRPr="004E355C" w:rsidRDefault="0071340F" w:rsidP="0071340F">
      <w:pPr>
        <w:spacing w:before="120" w:after="120" w:line="276" w:lineRule="auto"/>
        <w:jc w:val="both"/>
        <w:rPr>
          <w:rFonts w:asciiTheme="minorHAnsi" w:hAnsiTheme="minorHAnsi"/>
          <w:b/>
          <w:noProof/>
          <w:color w:val="0070C0"/>
          <w:lang w:val="sq-AL"/>
        </w:rPr>
      </w:pPr>
      <w:bookmarkStart w:id="130" w:name="_Toc11134225"/>
    </w:p>
    <w:p w:rsidR="008133EB" w:rsidRPr="004E355C" w:rsidRDefault="008133EB" w:rsidP="0071340F">
      <w:pPr>
        <w:spacing w:before="120" w:after="120" w:line="276" w:lineRule="auto"/>
        <w:jc w:val="both"/>
        <w:rPr>
          <w:rFonts w:asciiTheme="minorHAnsi" w:hAnsiTheme="minorHAnsi"/>
          <w:b/>
          <w:noProof/>
          <w:color w:val="0070C0"/>
          <w:lang w:val="sq-AL"/>
        </w:rPr>
      </w:pPr>
    </w:p>
    <w:p w:rsidR="00527686" w:rsidRPr="004E355C" w:rsidRDefault="0071340F" w:rsidP="0071340F">
      <w:pPr>
        <w:spacing w:before="120" w:after="120" w:line="276" w:lineRule="auto"/>
        <w:jc w:val="both"/>
        <w:rPr>
          <w:rFonts w:asciiTheme="minorHAnsi" w:hAnsiTheme="minorHAnsi"/>
          <w:b/>
          <w:noProof/>
          <w:color w:val="0070C0"/>
          <w:lang w:val="sq-AL"/>
        </w:rPr>
      </w:pPr>
      <w:r w:rsidRPr="004E355C">
        <w:rPr>
          <w:rFonts w:asciiTheme="minorHAnsi" w:hAnsiTheme="minorHAnsi"/>
          <w:b/>
          <w:noProof/>
          <w:color w:val="0070C0"/>
          <w:lang w:val="sq-AL"/>
        </w:rPr>
        <w:lastRenderedPageBreak/>
        <w:t>SHËNDETËSIA DHE MBROJTJA SOCIALE</w:t>
      </w:r>
      <w:bookmarkEnd w:id="127"/>
      <w:bookmarkEnd w:id="129"/>
      <w:bookmarkEnd w:id="130"/>
    </w:p>
    <w:p w:rsidR="00527686" w:rsidRPr="004E355C" w:rsidRDefault="00527686" w:rsidP="0071340F">
      <w:pPr>
        <w:keepNext/>
        <w:spacing w:before="240" w:line="276" w:lineRule="auto"/>
        <w:rPr>
          <w:rFonts w:ascii="Calibri" w:eastAsia="MS Mincho" w:hAnsi="Calibri"/>
          <w:color w:val="000000"/>
          <w:lang w:val="sq-AL"/>
        </w:rPr>
      </w:pPr>
      <w:r w:rsidRPr="004E355C">
        <w:rPr>
          <w:rFonts w:ascii="Calibri" w:eastAsia="MS Mincho" w:hAnsi="Calibri"/>
          <w:color w:val="000000"/>
          <w:lang w:val="sq-AL"/>
        </w:rPr>
        <w:t>Në përputhje me drejtimet kryesore të politikës së përgjithshme shtetërore, me fondet buxhetore të miratuara për vitin 2018, performanca e treguesve buxhetorë për këto katër programe kryesore në Ministrinë e Shëndetësisë dhe Mbrojtjes Sociale, paraqitet si më poshtë:</w:t>
      </w:r>
    </w:p>
    <w:p w:rsidR="00527686" w:rsidRPr="004E355C" w:rsidRDefault="00527686" w:rsidP="00527686">
      <w:pPr>
        <w:spacing w:line="276" w:lineRule="auto"/>
        <w:jc w:val="right"/>
        <w:rPr>
          <w:rFonts w:ascii="Calibri" w:hAnsi="Calibri"/>
          <w:bCs/>
          <w:i/>
          <w:iCs/>
          <w:u w:val="single"/>
          <w:lang w:val="sq-AL"/>
        </w:rPr>
      </w:pPr>
      <w:r w:rsidRPr="004E355C">
        <w:rPr>
          <w:rFonts w:ascii="Calibri" w:hAnsi="Calibri"/>
          <w:bCs/>
          <w:i/>
          <w:iCs/>
          <w:u w:val="single"/>
          <w:lang w:val="sq-AL"/>
        </w:rPr>
        <w:t>Në mijë lekë</w:t>
      </w:r>
    </w:p>
    <w:tbl>
      <w:tblPr>
        <w:tblStyle w:val="ListTable3-Accent52"/>
        <w:tblW w:w="5242" w:type="pct"/>
        <w:jc w:val="center"/>
        <w:tblLayout w:type="fixed"/>
        <w:tblLook w:val="01E0" w:firstRow="1" w:lastRow="1" w:firstColumn="1" w:lastColumn="1" w:noHBand="0" w:noVBand="0"/>
      </w:tblPr>
      <w:tblGrid>
        <w:gridCol w:w="525"/>
        <w:gridCol w:w="12"/>
        <w:gridCol w:w="3043"/>
        <w:gridCol w:w="1136"/>
        <w:gridCol w:w="1059"/>
        <w:gridCol w:w="1212"/>
        <w:gridCol w:w="6"/>
        <w:gridCol w:w="1216"/>
        <w:gridCol w:w="1034"/>
        <w:gridCol w:w="21"/>
        <w:gridCol w:w="1059"/>
      </w:tblGrid>
      <w:tr w:rsidR="00527686" w:rsidRPr="004E355C" w:rsidTr="008133EB">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100" w:firstRow="0" w:lastRow="0" w:firstColumn="1" w:lastColumn="0" w:oddVBand="0" w:evenVBand="0" w:oddHBand="0" w:evenHBand="0" w:firstRowFirstColumn="1" w:firstRowLastColumn="0" w:lastRowFirstColumn="0" w:lastRowLastColumn="0"/>
            <w:tcW w:w="260" w:type="pct"/>
            <w:gridSpan w:val="2"/>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NR</w:t>
            </w:r>
          </w:p>
        </w:tc>
        <w:tc>
          <w:tcPr>
            <w:cnfStyle w:val="000010000000" w:firstRow="0" w:lastRow="0" w:firstColumn="0" w:lastColumn="0" w:oddVBand="1" w:evenVBand="0" w:oddHBand="0" w:evenHBand="0" w:firstRowFirstColumn="0" w:firstRowLastColumn="0" w:lastRowFirstColumn="0" w:lastRowLastColumn="0"/>
            <w:tcW w:w="1474" w:type="pct"/>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Emërtimi i Programit</w:t>
            </w:r>
          </w:p>
        </w:tc>
        <w:tc>
          <w:tcPr>
            <w:tcW w:w="1063" w:type="pct"/>
            <w:gridSpan w:val="2"/>
          </w:tcPr>
          <w:p w:rsidR="00527686" w:rsidRPr="004E355C" w:rsidRDefault="00527686" w:rsidP="00527686">
            <w:pPr>
              <w:spacing w:line="276" w:lineRule="auto"/>
              <w:ind w:left="80"/>
              <w:jc w:val="center"/>
              <w:cnfStyle w:val="100000000000" w:firstRow="1"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Plani 2019</w:t>
            </w:r>
          </w:p>
        </w:tc>
        <w:tc>
          <w:tcPr>
            <w:cnfStyle w:val="000010000000" w:firstRow="0" w:lastRow="0" w:firstColumn="0" w:lastColumn="0" w:oddVBand="1" w:evenVBand="0" w:oddHBand="0" w:evenHBand="0" w:firstRowFirstColumn="0" w:firstRowLastColumn="0" w:lastRowFirstColumn="0" w:lastRowLastColumn="0"/>
            <w:tcW w:w="1179" w:type="pct"/>
            <w:gridSpan w:val="3"/>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Fakti 4/M I 2019</w:t>
            </w:r>
          </w:p>
        </w:tc>
        <w:tc>
          <w:tcPr>
            <w:cnfStyle w:val="000100001000" w:firstRow="0" w:lastRow="0" w:firstColumn="0" w:lastColumn="1" w:oddVBand="0" w:evenVBand="0" w:oddHBand="0" w:evenHBand="0" w:firstRowFirstColumn="0" w:firstRowLastColumn="1" w:lastRowFirstColumn="0" w:lastRowLastColumn="0"/>
            <w:tcW w:w="1024" w:type="pct"/>
            <w:gridSpan w:val="3"/>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Përqindja  e realizimit</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260" w:type="pct"/>
            <w:gridSpan w:val="2"/>
            <w:vMerge/>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74" w:type="pct"/>
            <w:vMerge/>
          </w:tcPr>
          <w:p w:rsidR="00527686" w:rsidRPr="004E355C" w:rsidRDefault="00527686" w:rsidP="00527686">
            <w:pPr>
              <w:spacing w:line="276" w:lineRule="auto"/>
              <w:jc w:val="center"/>
              <w:rPr>
                <w:rFonts w:ascii="Calibri" w:hAnsi="Calibri"/>
                <w:b/>
                <w:sz w:val="18"/>
                <w:lang w:val="sq-AL"/>
              </w:rPr>
            </w:pPr>
          </w:p>
        </w:tc>
        <w:tc>
          <w:tcPr>
            <w:tcW w:w="550" w:type="pct"/>
          </w:tcPr>
          <w:p w:rsidR="00527686" w:rsidRPr="004E355C" w:rsidRDefault="00527686" w:rsidP="00527686">
            <w:pPr>
              <w:spacing w:line="276" w:lineRule="auto"/>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ind w:left="80"/>
              <w:jc w:val="center"/>
              <w:rPr>
                <w:rFonts w:ascii="Calibri" w:hAnsi="Calibri"/>
                <w:b/>
                <w:sz w:val="18"/>
                <w:lang w:val="sq-AL"/>
              </w:rPr>
            </w:pPr>
            <w:r w:rsidRPr="004E355C">
              <w:rPr>
                <w:rFonts w:ascii="Calibri" w:hAnsi="Calibri"/>
                <w:b/>
                <w:sz w:val="18"/>
                <w:lang w:val="sq-AL"/>
              </w:rPr>
              <w:t>Investime</w:t>
            </w:r>
          </w:p>
        </w:tc>
        <w:tc>
          <w:tcPr>
            <w:tcW w:w="587"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92" w:type="pct"/>
            <w:gridSpan w:val="2"/>
          </w:tcPr>
          <w:p w:rsidR="00527686" w:rsidRPr="004E355C" w:rsidRDefault="00527686" w:rsidP="00527686">
            <w:pPr>
              <w:spacing w:line="276" w:lineRule="auto"/>
              <w:jc w:val="center"/>
              <w:rPr>
                <w:rFonts w:ascii="Calibri" w:hAnsi="Calibri"/>
                <w:b/>
                <w:sz w:val="18"/>
                <w:lang w:val="sq-AL"/>
              </w:rPr>
            </w:pPr>
            <w:r w:rsidRPr="004E355C">
              <w:rPr>
                <w:rFonts w:ascii="Calibri" w:hAnsi="Calibri"/>
                <w:b/>
                <w:sz w:val="18"/>
                <w:lang w:val="sq-AL"/>
              </w:rPr>
              <w:t>Investime</w:t>
            </w:r>
          </w:p>
        </w:tc>
        <w:tc>
          <w:tcPr>
            <w:tcW w:w="501"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23" w:type="pct"/>
            <w:gridSpan w:val="2"/>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Investime</w:t>
            </w:r>
          </w:p>
        </w:tc>
      </w:tr>
      <w:tr w:rsidR="00527686" w:rsidRPr="004E355C" w:rsidTr="008133EB">
        <w:trPr>
          <w:trHeight w:val="36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b/>
                <w:sz w:val="16"/>
                <w:lang w:val="sq-AL"/>
              </w:rPr>
            </w:pPr>
            <w:r w:rsidRPr="004E355C">
              <w:rPr>
                <w:rFonts w:ascii="Calibri" w:hAnsi="Calibri"/>
                <w:b/>
                <w:sz w:val="16"/>
                <w:lang w:val="sq-AL"/>
              </w:rPr>
              <w:t>Ministria e Shëndet.dhe Mbrojtjes Sociale</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b/>
                <w:bCs/>
                <w:sz w:val="16"/>
                <w:szCs w:val="21"/>
              </w:rPr>
              <w:t>57,480,377</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b/>
                <w:bCs/>
                <w:sz w:val="16"/>
                <w:szCs w:val="21"/>
              </w:rPr>
            </w:pPr>
            <w:r w:rsidRPr="004E355C">
              <w:rPr>
                <w:rFonts w:ascii="Calibri" w:hAnsi="Calibri"/>
                <w:b/>
                <w:bCs/>
                <w:sz w:val="16"/>
                <w:szCs w:val="21"/>
              </w:rPr>
              <w:t>3,130,000</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bCs/>
                <w:sz w:val="16"/>
                <w:szCs w:val="21"/>
              </w:rPr>
            </w:pPr>
            <w:r w:rsidRPr="004E355C">
              <w:rPr>
                <w:rFonts w:ascii="Calibri" w:hAnsi="Calibri"/>
                <w:b/>
                <w:bCs/>
                <w:sz w:val="16"/>
                <w:szCs w:val="21"/>
              </w:rPr>
              <w:t>18,145,366</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b/>
                <w:bCs/>
                <w:sz w:val="16"/>
                <w:szCs w:val="21"/>
              </w:rPr>
            </w:pPr>
            <w:r w:rsidRPr="004E355C">
              <w:rPr>
                <w:rFonts w:ascii="Calibri" w:hAnsi="Calibri"/>
                <w:b/>
                <w:bCs/>
                <w:sz w:val="16"/>
                <w:szCs w:val="21"/>
              </w:rPr>
              <w:t>652,165</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bCs/>
                <w:sz w:val="16"/>
                <w:szCs w:val="21"/>
              </w:rPr>
            </w:pPr>
            <w:r w:rsidRPr="004E355C">
              <w:rPr>
                <w:rFonts w:ascii="Calibri" w:hAnsi="Calibri"/>
                <w:b/>
                <w:bCs/>
                <w:sz w:val="16"/>
                <w:szCs w:val="21"/>
              </w:rPr>
              <w:t>32</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21</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b/>
                <w:sz w:val="16"/>
                <w:lang w:val="sq-AL"/>
              </w:rPr>
            </w:pPr>
            <w:r w:rsidRPr="004E355C">
              <w:rPr>
                <w:rFonts w:ascii="Calibri" w:hAnsi="Calibri"/>
                <w:b/>
                <w:sz w:val="16"/>
                <w:lang w:val="sq-AL"/>
              </w:rPr>
              <w:t>Financimi i huaj (total)</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b/>
                <w:sz w:val="16"/>
                <w:szCs w:val="21"/>
              </w:rPr>
            </w:pPr>
            <w:r w:rsidRPr="004E355C">
              <w:rPr>
                <w:rFonts w:ascii="Calibri" w:hAnsi="Calibri"/>
                <w:b/>
                <w:sz w:val="16"/>
                <w:szCs w:val="21"/>
              </w:rPr>
              <w:t>1,140,000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szCs w:val="21"/>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b/>
                <w:sz w:val="16"/>
                <w:szCs w:val="21"/>
              </w:rPr>
            </w:pPr>
            <w:r w:rsidRPr="004E355C">
              <w:rPr>
                <w:rFonts w:ascii="Calibri" w:hAnsi="Calibri"/>
                <w:b/>
                <w:sz w:val="16"/>
                <w:szCs w:val="21"/>
              </w:rPr>
              <w:t>393,919</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35</w:t>
            </w:r>
          </w:p>
        </w:tc>
      </w:tr>
      <w:tr w:rsidR="00527686" w:rsidRPr="004E355C" w:rsidTr="008133EB">
        <w:trPr>
          <w:trHeight w:val="36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1</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Planifikimi, Menaxhimi dhe Administrimi</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408,920</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25,550</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79,872</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76</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20</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36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r>
      <w:tr w:rsidR="00527686" w:rsidRPr="004E355C" w:rsidTr="008133EB">
        <w:trPr>
          <w:trHeight w:val="36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2</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Shërbime të Kujdesit Shëndetësor Parësor</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7,584,130</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638,433</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3,016,765</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135,996</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40</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21</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ind w:left="60"/>
              <w:contextualSpacing/>
              <w:jc w:val="right"/>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0</w:t>
            </w:r>
          </w:p>
        </w:tc>
      </w:tr>
      <w:tr w:rsidR="00527686" w:rsidRPr="004E355C" w:rsidTr="008133EB">
        <w:trPr>
          <w:trHeight w:val="251"/>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3.</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Shërbime të Kujdesit Shëndetësor Dytësor</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22,105,736</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2,250,732</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6,474,139</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447,949</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szCs w:val="21"/>
              </w:rPr>
            </w:pPr>
            <w:r w:rsidRPr="004E355C">
              <w:rPr>
                <w:rFonts w:ascii="Calibri" w:hAnsi="Calibri"/>
                <w:sz w:val="16"/>
                <w:szCs w:val="21"/>
              </w:rPr>
              <w:t>29</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20</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b/>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882,000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209,917</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6"/>
                <w:szCs w:val="21"/>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szCs w:val="21"/>
              </w:rPr>
            </w:pPr>
            <w:r w:rsidRPr="004E355C">
              <w:rPr>
                <w:rFonts w:ascii="Calibri" w:hAnsi="Calibri"/>
                <w:sz w:val="16"/>
                <w:szCs w:val="21"/>
              </w:rPr>
              <w:t>24</w:t>
            </w:r>
          </w:p>
        </w:tc>
      </w:tr>
      <w:tr w:rsidR="00527686" w:rsidRPr="004E355C" w:rsidTr="008133EB">
        <w:trPr>
          <w:trHeight w:val="287"/>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4.</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Shërbime të Shëndetit Publik</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szCs w:val="21"/>
              </w:rPr>
              <w:t>2,949,812</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szCs w:val="21"/>
              </w:rPr>
              <w:t>53,652</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szCs w:val="21"/>
              </w:rPr>
              <w:t>887,940</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szCs w:val="21"/>
              </w:rPr>
              <w:t>3,207</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lang w:val="sq-AL"/>
              </w:rPr>
              <w:t>30</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6</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0</w:t>
            </w:r>
          </w:p>
        </w:tc>
        <w:tc>
          <w:tcPr>
            <w:tcW w:w="590" w:type="pct"/>
            <w:gridSpan w:val="2"/>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b/>
                <w:sz w:val="16"/>
                <w:lang w:val="sq-AL"/>
              </w:rPr>
            </w:pPr>
            <w:r w:rsidRPr="004E355C">
              <w:rPr>
                <w:rFonts w:ascii="Calibri" w:hAnsi="Calibri"/>
                <w:b/>
                <w:sz w:val="16"/>
                <w:lang w:val="sq-AL"/>
              </w:rPr>
              <w:t>0</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r>
      <w:tr w:rsidR="00527686" w:rsidRPr="004E355C" w:rsidTr="008133EB">
        <w:trPr>
          <w:trHeight w:val="18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5</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Shërbimi Kombëtar i Urgjencës</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sz w:val="16"/>
                <w:lang w:val="sq-AL"/>
              </w:rPr>
            </w:pPr>
            <w:r w:rsidRPr="004E355C">
              <w:rPr>
                <w:rFonts w:ascii="Calibri" w:hAnsi="Calibri"/>
                <w:sz w:val="16"/>
                <w:szCs w:val="21"/>
              </w:rPr>
              <w:t>360,200</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szCs w:val="21"/>
              </w:rPr>
              <w:t>20,098</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sz w:val="16"/>
                <w:lang w:val="sq-AL"/>
              </w:rPr>
            </w:pPr>
            <w:r w:rsidRPr="004E355C">
              <w:rPr>
                <w:rFonts w:ascii="Calibri" w:hAnsi="Calibri"/>
                <w:sz w:val="16"/>
                <w:szCs w:val="21"/>
              </w:rPr>
              <w:t>39,279</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b/>
                <w:sz w:val="16"/>
                <w:lang w:val="sq-AL"/>
              </w:rPr>
            </w:pPr>
            <w:r w:rsidRPr="004E355C">
              <w:rPr>
                <w:rFonts w:ascii="Calibri" w:hAnsi="Calibri"/>
                <w:b/>
                <w:sz w:val="16"/>
                <w:lang w:val="sq-AL"/>
              </w:rPr>
              <w:t>0</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sz w:val="16"/>
                <w:lang w:val="sq-AL"/>
              </w:rPr>
            </w:pPr>
            <w:r w:rsidRPr="004E355C">
              <w:rPr>
                <w:rFonts w:ascii="Calibri" w:hAnsi="Calibri"/>
                <w:b/>
                <w:sz w:val="16"/>
                <w:lang w:val="sq-AL"/>
              </w:rPr>
              <w:t>11</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b/>
                <w:sz w:val="16"/>
                <w:lang w:val="sq-AL"/>
              </w:rPr>
            </w:pPr>
            <w:r w:rsidRPr="004E355C">
              <w:rPr>
                <w:rFonts w:ascii="Calibri" w:hAnsi="Calibri"/>
                <w:b/>
                <w:sz w:val="16"/>
                <w:lang w:val="sq-AL"/>
              </w:rPr>
              <w:t>0</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r>
      <w:tr w:rsidR="00527686" w:rsidRPr="004E355C" w:rsidTr="008133EB">
        <w:trPr>
          <w:trHeight w:val="287"/>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6.</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Përkujdesi Social</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szCs w:val="21"/>
              </w:rPr>
              <w:t>23,047,079</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szCs w:val="21"/>
              </w:rPr>
              <w:t>141,535</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szCs w:val="21"/>
              </w:rPr>
              <w:t>7,250,135</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szCs w:val="21"/>
              </w:rPr>
              <w:t>64,936</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lang w:val="sq-AL"/>
              </w:rPr>
              <w:t>32</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46</w:t>
            </w:r>
          </w:p>
        </w:tc>
      </w:tr>
      <w:tr w:rsidR="00527686" w:rsidRPr="004E355C" w:rsidTr="008133EB">
        <w:trPr>
          <w:cnfStyle w:val="000000100000" w:firstRow="0" w:lastRow="0" w:firstColumn="0" w:lastColumn="0" w:oddVBand="0" w:evenVBand="0" w:oddHBand="1" w:evenHBand="0" w:firstRowFirstColumn="0" w:firstRowLastColumn="0" w:lastRowFirstColumn="0" w:lastRowLastColumn="0"/>
          <w:trHeight w:val="251"/>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100,000</w:t>
            </w:r>
          </w:p>
        </w:tc>
        <w:tc>
          <w:tcPr>
            <w:tcW w:w="590"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64,299</w:t>
            </w:r>
          </w:p>
        </w:tc>
        <w:tc>
          <w:tcPr>
            <w:tcW w:w="511"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6"/>
                <w:lang w:val="sq-AL"/>
              </w:rPr>
            </w:pP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64</w:t>
            </w:r>
          </w:p>
        </w:tc>
      </w:tr>
      <w:tr w:rsidR="00527686" w:rsidRPr="004E355C" w:rsidTr="008133EB">
        <w:trPr>
          <w:trHeight w:val="251"/>
          <w:jc w:val="center"/>
        </w:trPr>
        <w:tc>
          <w:tcPr>
            <w:cnfStyle w:val="001000000000" w:firstRow="0" w:lastRow="0" w:firstColumn="1" w:lastColumn="0" w:oddVBand="0" w:evenVBand="0" w:oddHBand="0" w:evenHBand="0" w:firstRowFirstColumn="0" w:firstRowLastColumn="0" w:lastRowFirstColumn="0" w:lastRowLastColumn="0"/>
            <w:tcW w:w="254" w:type="pct"/>
          </w:tcPr>
          <w:p w:rsidR="00527686" w:rsidRPr="004E355C" w:rsidRDefault="00527686" w:rsidP="00527686">
            <w:pPr>
              <w:spacing w:line="276" w:lineRule="auto"/>
              <w:jc w:val="center"/>
              <w:rPr>
                <w:rFonts w:ascii="Calibri" w:hAnsi="Calibri"/>
                <w:sz w:val="16"/>
                <w:lang w:val="sq-AL"/>
              </w:rPr>
            </w:pPr>
            <w:r w:rsidRPr="004E355C">
              <w:rPr>
                <w:rFonts w:ascii="Calibri" w:hAnsi="Calibri"/>
                <w:sz w:val="16"/>
                <w:lang w:val="sq-AL"/>
              </w:rPr>
              <w:t>7</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6"/>
                <w:lang w:val="sq-AL"/>
              </w:rPr>
            </w:pPr>
            <w:r w:rsidRPr="004E355C">
              <w:rPr>
                <w:rFonts w:ascii="Calibri" w:hAnsi="Calibri"/>
                <w:sz w:val="16"/>
                <w:lang w:val="sq-AL"/>
              </w:rPr>
              <w:t>Rehabilitimi  i të Përndjekurve Politik</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sz w:val="16"/>
                <w:lang w:val="sq-AL"/>
              </w:rPr>
            </w:pPr>
            <w:r w:rsidRPr="004E355C">
              <w:rPr>
                <w:rFonts w:ascii="Calibri" w:hAnsi="Calibri"/>
                <w:sz w:val="16"/>
                <w:szCs w:val="21"/>
              </w:rPr>
              <w:t>1,047,500</w:t>
            </w: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c>
          <w:tcPr>
            <w:tcW w:w="590"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sz w:val="16"/>
                <w:lang w:val="sq-AL"/>
              </w:rPr>
            </w:pPr>
            <w:r w:rsidRPr="004E355C">
              <w:rPr>
                <w:rFonts w:ascii="Calibri" w:hAnsi="Calibri"/>
                <w:sz w:val="16"/>
                <w:szCs w:val="21"/>
              </w:rPr>
              <w:t>397,238</w:t>
            </w: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c>
          <w:tcPr>
            <w:tcW w:w="511"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6"/>
                <w:lang w:val="sq-AL"/>
              </w:rPr>
            </w:pPr>
            <w:r w:rsidRPr="004E355C">
              <w:rPr>
                <w:rFonts w:ascii="Calibri" w:hAnsi="Calibri"/>
                <w:sz w:val="16"/>
                <w:lang w:val="sq-AL"/>
              </w:rPr>
              <w:t>38</w:t>
            </w:r>
          </w:p>
        </w:tc>
        <w:tc>
          <w:tcPr>
            <w:cnfStyle w:val="000100000000" w:firstRow="0" w:lastRow="0" w:firstColumn="0" w:lastColumn="1" w:oddVBand="0"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r>
      <w:tr w:rsidR="00527686" w:rsidRPr="004E355C" w:rsidTr="008133EB">
        <w:trPr>
          <w:cnfStyle w:val="010000000000" w:firstRow="0" w:lastRow="1" w:firstColumn="0" w:lastColumn="0" w:oddVBand="0" w:evenVBand="0" w:oddHBand="0" w:evenHBand="0" w:firstRowFirstColumn="0" w:firstRowLastColumn="0" w:lastRowFirstColumn="0" w:lastRowLastColumn="0"/>
          <w:trHeight w:val="251"/>
          <w:jc w:val="center"/>
        </w:trPr>
        <w:tc>
          <w:tcPr>
            <w:cnfStyle w:val="001000000001" w:firstRow="0" w:lastRow="0" w:firstColumn="1" w:lastColumn="0" w:oddVBand="0" w:evenVBand="0" w:oddHBand="0" w:evenHBand="0" w:firstRowFirstColumn="0" w:firstRowLastColumn="0" w:lastRowFirstColumn="1" w:lastRowLastColumn="0"/>
            <w:tcW w:w="254" w:type="pct"/>
          </w:tcPr>
          <w:p w:rsidR="00527686" w:rsidRPr="004E355C" w:rsidRDefault="00527686" w:rsidP="00527686">
            <w:pPr>
              <w:spacing w:line="276" w:lineRule="auto"/>
              <w:jc w:val="center"/>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Financimi i huaj</w:t>
            </w:r>
          </w:p>
        </w:tc>
        <w:tc>
          <w:tcPr>
            <w:tcW w:w="550" w:type="pct"/>
          </w:tcPr>
          <w:p w:rsidR="00527686" w:rsidRPr="004E355C" w:rsidRDefault="00527686" w:rsidP="00527686">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c>
          <w:tcPr>
            <w:tcW w:w="590" w:type="pct"/>
            <w:gridSpan w:val="2"/>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6"/>
                <w:lang w:val="sq-AL"/>
              </w:rPr>
            </w:pPr>
          </w:p>
        </w:tc>
        <w:tc>
          <w:tcPr>
            <w:cnfStyle w:val="000010000000" w:firstRow="0" w:lastRow="0" w:firstColumn="0" w:lastColumn="0" w:oddVBand="1" w:evenVBand="0" w:oddHBand="0" w:evenHBand="0" w:firstRowFirstColumn="0" w:firstRowLastColumn="0" w:lastRowFirstColumn="0" w:lastRowLastColumn="0"/>
            <w:tcW w:w="589"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c>
          <w:tcPr>
            <w:tcW w:w="511" w:type="pct"/>
            <w:gridSpan w:val="2"/>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6"/>
                <w:lang w:val="sq-AL"/>
              </w:rPr>
            </w:pPr>
          </w:p>
        </w:tc>
        <w:tc>
          <w:tcPr>
            <w:cnfStyle w:val="000100000010" w:firstRow="0" w:lastRow="0" w:firstColumn="0" w:lastColumn="1" w:oddVBand="0" w:evenVBand="0" w:oddHBand="0" w:evenHBand="0" w:firstRowFirstColumn="0" w:firstRowLastColumn="0" w:lastRowFirstColumn="0" w:lastRowLastColumn="1"/>
            <w:tcW w:w="513" w:type="pct"/>
          </w:tcPr>
          <w:p w:rsidR="00527686" w:rsidRPr="004E355C" w:rsidRDefault="00527686" w:rsidP="00527686">
            <w:pPr>
              <w:spacing w:line="276" w:lineRule="auto"/>
              <w:jc w:val="right"/>
              <w:rPr>
                <w:rFonts w:ascii="Calibri" w:hAnsi="Calibri"/>
                <w:sz w:val="16"/>
                <w:lang w:val="sq-AL"/>
              </w:rPr>
            </w:pPr>
            <w:r w:rsidRPr="004E355C">
              <w:rPr>
                <w:rFonts w:ascii="Calibri" w:hAnsi="Calibri"/>
                <w:sz w:val="16"/>
                <w:lang w:val="sq-AL"/>
              </w:rPr>
              <w:t>0</w:t>
            </w:r>
          </w:p>
        </w:tc>
      </w:tr>
    </w:tbl>
    <w:p w:rsidR="00527686" w:rsidRPr="004E355C" w:rsidRDefault="00527686" w:rsidP="00527686">
      <w:pPr>
        <w:spacing w:after="120" w:line="276" w:lineRule="auto"/>
        <w:jc w:val="both"/>
        <w:rPr>
          <w:rFonts w:ascii="Calibri" w:hAnsi="Calibri"/>
          <w:sz w:val="16"/>
          <w:lang w:val="sq-AL"/>
        </w:rPr>
      </w:pPr>
    </w:p>
    <w:p w:rsidR="00527686" w:rsidRPr="004E355C" w:rsidRDefault="00527686" w:rsidP="00527686">
      <w:pPr>
        <w:spacing w:after="120" w:line="276" w:lineRule="auto"/>
        <w:jc w:val="both"/>
        <w:rPr>
          <w:rFonts w:ascii="Calibri" w:hAnsi="Calibri"/>
          <w:lang w:val="sq-AL"/>
        </w:rPr>
      </w:pPr>
      <w:r w:rsidRPr="004E355C">
        <w:rPr>
          <w:rFonts w:ascii="Calibri" w:hAnsi="Calibri"/>
          <w:lang w:val="sq-AL"/>
        </w:rPr>
        <w:t xml:space="preserve">Në programin </w:t>
      </w:r>
      <w:r w:rsidRPr="004E355C">
        <w:rPr>
          <w:rFonts w:ascii="Calibri" w:hAnsi="Calibri"/>
          <w:b/>
          <w:lang w:val="sq-AL"/>
        </w:rPr>
        <w:t>“Shërbime të Kujdesit Shëndetësor Parësor”</w:t>
      </w:r>
      <w:r w:rsidRPr="004E355C">
        <w:rPr>
          <w:rFonts w:ascii="Calibri" w:hAnsi="Calibri"/>
          <w:color w:val="000000"/>
          <w:lang w:val="sq-AL"/>
        </w:rPr>
        <w:t xml:space="preserve"> </w:t>
      </w:r>
      <w:r w:rsidRPr="004E355C">
        <w:rPr>
          <w:rFonts w:ascii="Calibri" w:hAnsi="Calibri"/>
          <w:lang w:val="sq-AL"/>
        </w:rPr>
        <w:t>janë realizuar objektivat e:</w:t>
      </w:r>
    </w:p>
    <w:p w:rsidR="00527686" w:rsidRPr="004E355C" w:rsidRDefault="00527686" w:rsidP="00B95810">
      <w:pPr>
        <w:numPr>
          <w:ilvl w:val="0"/>
          <w:numId w:val="33"/>
        </w:numPr>
        <w:spacing w:after="200" w:line="276" w:lineRule="auto"/>
        <w:jc w:val="both"/>
        <w:rPr>
          <w:rFonts w:ascii="Calibri" w:eastAsia="MS Mincho" w:hAnsi="Calibri"/>
        </w:rPr>
      </w:pPr>
      <w:r w:rsidRPr="004E355C">
        <w:rPr>
          <w:rFonts w:ascii="Calibri" w:eastAsia="MS Mincho" w:hAnsi="Calibri"/>
        </w:rPr>
        <w:t>Përmirësimi i shërbimeve parandaluese dhe të diagnostikimit të hershëm të sëmundjeve për persona që do të kryejnë kontrollin mjekësor bazë periodik.</w:t>
      </w:r>
    </w:p>
    <w:p w:rsidR="00527686" w:rsidRPr="004E355C" w:rsidRDefault="00527686" w:rsidP="00B95810">
      <w:pPr>
        <w:numPr>
          <w:ilvl w:val="0"/>
          <w:numId w:val="33"/>
        </w:numPr>
        <w:spacing w:after="200" w:line="276" w:lineRule="auto"/>
        <w:jc w:val="both"/>
        <w:rPr>
          <w:rFonts w:ascii="Calibri" w:eastAsia="MS Mincho" w:hAnsi="Calibri"/>
        </w:rPr>
      </w:pPr>
      <w:r w:rsidRPr="004E355C">
        <w:rPr>
          <w:rFonts w:ascii="Calibri" w:eastAsia="MS Mincho" w:hAnsi="Calibri"/>
        </w:rPr>
        <w:t>Përmirësim i ofrimit të shërbimit parësor nëpërmjet zgjerimit të skemës së medikamenteve për të gjithë popullatën e siguruar ose jo.</w:t>
      </w:r>
    </w:p>
    <w:p w:rsidR="00527686" w:rsidRPr="004E355C" w:rsidRDefault="00527686" w:rsidP="00B95810">
      <w:pPr>
        <w:numPr>
          <w:ilvl w:val="0"/>
          <w:numId w:val="33"/>
        </w:numPr>
        <w:spacing w:after="200" w:line="276" w:lineRule="auto"/>
        <w:jc w:val="both"/>
        <w:rPr>
          <w:rFonts w:ascii="Calibri" w:eastAsia="MS Mincho" w:hAnsi="Calibri"/>
        </w:rPr>
      </w:pPr>
      <w:r w:rsidRPr="004E355C">
        <w:rPr>
          <w:rFonts w:ascii="Calibri" w:eastAsia="MS Mincho" w:hAnsi="Calibri"/>
        </w:rPr>
        <w:t>Plotësim i qendrave shëndetësore me infrastrukturën e nevojshme për funksionimin e sistemit të informacionit.</w:t>
      </w:r>
    </w:p>
    <w:p w:rsidR="00527686" w:rsidRPr="004E355C" w:rsidRDefault="00527686" w:rsidP="00527686">
      <w:pPr>
        <w:spacing w:line="276" w:lineRule="auto"/>
        <w:jc w:val="both"/>
        <w:rPr>
          <w:rFonts w:ascii="Calibri" w:hAnsi="Calibri"/>
          <w:lang w:val="sq-AL"/>
        </w:rPr>
      </w:pPr>
      <w:r w:rsidRPr="004E355C">
        <w:rPr>
          <w:rFonts w:ascii="Calibri" w:hAnsi="Calibri"/>
          <w:lang w:val="sq-AL"/>
        </w:rPr>
        <w:t>Këto objektiva janë arritur nëpërmjet realizimit të produkteve, si më poshtë:</w:t>
      </w:r>
    </w:p>
    <w:p w:rsidR="00527686" w:rsidRPr="004E355C" w:rsidRDefault="00527686" w:rsidP="00B95810">
      <w:pPr>
        <w:numPr>
          <w:ilvl w:val="0"/>
          <w:numId w:val="26"/>
        </w:numPr>
        <w:spacing w:after="120" w:line="276" w:lineRule="auto"/>
        <w:jc w:val="both"/>
        <w:rPr>
          <w:rFonts w:ascii="Calibri" w:hAnsi="Calibri"/>
          <w:i/>
          <w:u w:val="single"/>
          <w:lang w:val="sq-AL"/>
        </w:rPr>
      </w:pPr>
      <w:r w:rsidRPr="004E355C">
        <w:rPr>
          <w:rFonts w:ascii="Calibri" w:hAnsi="Calibri"/>
          <w:lang w:val="sq-AL"/>
        </w:rPr>
        <w:t xml:space="preserve"> “Mbulimi me kujdesin parësor ”, janë realizuar vizita tek mjeku i familjes, gjatë kësaj periudhe , 2.099.149 pacientë me një kosto faktike 1,067 milionë lekë. </w:t>
      </w:r>
    </w:p>
    <w:p w:rsidR="00527686" w:rsidRPr="004E355C" w:rsidRDefault="00527686" w:rsidP="00B95810">
      <w:pPr>
        <w:numPr>
          <w:ilvl w:val="0"/>
          <w:numId w:val="26"/>
        </w:numPr>
        <w:spacing w:after="120" w:line="276" w:lineRule="auto"/>
        <w:jc w:val="both"/>
        <w:rPr>
          <w:rFonts w:ascii="Calibri" w:hAnsi="Calibri"/>
          <w:i/>
          <w:u w:val="single"/>
          <w:lang w:val="sq-AL"/>
        </w:rPr>
      </w:pPr>
      <w:r w:rsidRPr="004E355C">
        <w:rPr>
          <w:rFonts w:ascii="Calibri" w:hAnsi="Calibri"/>
          <w:lang w:val="sq-AL"/>
        </w:rPr>
        <w:t xml:space="preserve">“Kryerja e Chek-Up”, ku gjatë 4/Mujorit te parë të vitit 2019 kanë kryer chek-up rreth 166 mijë  pacientë. </w:t>
      </w:r>
    </w:p>
    <w:p w:rsidR="00527686" w:rsidRPr="004E355C" w:rsidRDefault="00527686" w:rsidP="00B95810">
      <w:pPr>
        <w:numPr>
          <w:ilvl w:val="0"/>
          <w:numId w:val="26"/>
        </w:numPr>
        <w:spacing w:line="276" w:lineRule="auto"/>
        <w:contextualSpacing/>
        <w:jc w:val="both"/>
        <w:rPr>
          <w:rFonts w:ascii="Calibri" w:eastAsia="MS Mincho" w:hAnsi="Calibri"/>
          <w:lang w:val="sq-AL"/>
        </w:rPr>
      </w:pPr>
      <w:r w:rsidRPr="004E355C">
        <w:rPr>
          <w:rFonts w:ascii="Calibri" w:eastAsia="MS Mincho" w:hAnsi="Calibri"/>
          <w:lang w:val="sq-AL"/>
        </w:rPr>
        <w:t>“Pacientë të trajtuar me recetë me rimbursim nga mjeku i familjes” , me një kosto faktike prej 1,950 milionë lekë për 400.000 pacientë</w:t>
      </w:r>
    </w:p>
    <w:p w:rsidR="00527686" w:rsidRPr="004E355C" w:rsidRDefault="00527686" w:rsidP="00527686">
      <w:pPr>
        <w:spacing w:after="120" w:line="276" w:lineRule="auto"/>
        <w:ind w:left="720"/>
        <w:jc w:val="both"/>
        <w:rPr>
          <w:rFonts w:ascii="Calibri" w:hAnsi="Calibri"/>
          <w:i/>
          <w:u w:val="single"/>
          <w:lang w:val="sq-AL"/>
        </w:rPr>
      </w:pPr>
    </w:p>
    <w:p w:rsidR="0071340F" w:rsidRPr="004E355C" w:rsidRDefault="0071340F" w:rsidP="00527686">
      <w:pPr>
        <w:spacing w:after="120" w:line="276" w:lineRule="auto"/>
        <w:ind w:left="720"/>
        <w:jc w:val="both"/>
        <w:rPr>
          <w:rFonts w:ascii="Calibri" w:hAnsi="Calibri"/>
          <w:i/>
          <w:u w:val="single"/>
          <w:lang w:val="sq-AL"/>
        </w:rPr>
      </w:pPr>
    </w:p>
    <w:p w:rsidR="00527686" w:rsidRPr="004E355C" w:rsidRDefault="00527686" w:rsidP="00527686">
      <w:pPr>
        <w:spacing w:before="240" w:after="120" w:line="276" w:lineRule="auto"/>
        <w:jc w:val="both"/>
        <w:rPr>
          <w:rFonts w:ascii="Calibri" w:hAnsi="Calibri"/>
          <w:lang w:val="sq-AL"/>
        </w:rPr>
      </w:pPr>
      <w:r w:rsidRPr="004E355C">
        <w:rPr>
          <w:rFonts w:ascii="Calibri" w:hAnsi="Calibri"/>
          <w:lang w:val="sq-AL"/>
        </w:rPr>
        <w:lastRenderedPageBreak/>
        <w:t>Në programin</w:t>
      </w:r>
      <w:r w:rsidRPr="004E355C">
        <w:rPr>
          <w:rFonts w:ascii="Calibri" w:hAnsi="Calibri"/>
          <w:b/>
          <w:lang w:val="sq-AL"/>
        </w:rPr>
        <w:t xml:space="preserve"> “Shërbime të Kujdesit Shëndetësor Dytësor”</w:t>
      </w:r>
      <w:r w:rsidRPr="004E355C">
        <w:rPr>
          <w:rFonts w:ascii="Calibri" w:hAnsi="Calibri"/>
          <w:color w:val="000000"/>
          <w:lang w:val="sq-AL"/>
        </w:rPr>
        <w:t xml:space="preserve"> </w:t>
      </w:r>
      <w:r w:rsidRPr="004E355C">
        <w:rPr>
          <w:rFonts w:ascii="Calibri" w:hAnsi="Calibri"/>
          <w:lang w:val="sq-AL"/>
        </w:rPr>
        <w:t>janë realizuar objektivat e:</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Mbulimit të popullatës me kujdes mjekësor spitalor;</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Rritja e efektshmërisë në dhënien e shërbimit spitalor nëpërmjet uljes së kohës së pritjes së pacientëve që kanë nevojë për shërbim spitalor të 10 paketave të shërbimeve në spitalet publike e private të financuara nga FSDKSH.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Rritja e sigurisë së shërbimit të rregjistrimit dhe kontrollit të barnave dhe materialeve mjekësore;</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Rritja e aksesit të pacientëve për shërbimin e dializës, nëpërmjet ofrimit në qendra të reja;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Plotësimin e nevojave të spitaleve me infrastrukturë ndërtimore, </w:t>
      </w:r>
    </w:p>
    <w:p w:rsidR="00527686" w:rsidRPr="004E355C" w:rsidRDefault="00527686" w:rsidP="00527686">
      <w:pPr>
        <w:spacing w:line="276" w:lineRule="auto"/>
        <w:jc w:val="both"/>
        <w:rPr>
          <w:rFonts w:ascii="Calibri" w:hAnsi="Calibri"/>
          <w:lang w:val="sq-AL"/>
        </w:rPr>
      </w:pPr>
      <w:r w:rsidRPr="004E355C">
        <w:rPr>
          <w:rFonts w:ascii="Calibri" w:hAnsi="Calibri"/>
          <w:lang w:val="sq-AL"/>
        </w:rPr>
        <w:t>Këto objektiva janë realizuar nëpërmjet  produkteve, performanca e të cilave për 4/mujorin e parë të vitit 2019, është realizuar, si më poshtë:</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 xml:space="preserve">“Trajtimi i pacientëve të shtruar në spitale”, ku janë shtruar 103.703 pacientë me një kosto faktike prej 5,970 milionë lekë. </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 xml:space="preserve">“Pacientë të trajtuar nga paketat spitalore”, ku janë trajtuar 2.631 pacientë, me një kosto faktike, prej 1,338 milion lekë; </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“Trajtimi i pacientëve në spitalet psikiatrike”, ku janë trajtuar 430 pacientë, me një kosto faktike, prej 388 milionë lekë, nga 1450  pacientë të planifikuar me një kosto 685 milion lekë.</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“Pacientë të trajtuar me dializë”, ku janë kryer 61,097 seanca me një kosto faktike prej 115 milionë lekë, duke rritur aksesin e pacientëve për shërbimin e dializës nëpërmjet ofrimit në 5 qendra të reja.</w:t>
      </w:r>
    </w:p>
    <w:p w:rsidR="00527686" w:rsidRPr="004E355C" w:rsidRDefault="00527686" w:rsidP="00527686">
      <w:pPr>
        <w:spacing w:before="240" w:line="276" w:lineRule="auto"/>
        <w:ind w:left="360"/>
        <w:jc w:val="both"/>
        <w:rPr>
          <w:rFonts w:ascii="Calibri" w:hAnsi="Calibri"/>
          <w:lang w:val="sq-AL"/>
        </w:rPr>
      </w:pPr>
      <w:r w:rsidRPr="004E355C">
        <w:rPr>
          <w:rFonts w:ascii="Calibri" w:hAnsi="Calibri"/>
          <w:lang w:val="sq-AL"/>
        </w:rPr>
        <w:t>Në programin</w:t>
      </w:r>
      <w:r w:rsidRPr="004E355C">
        <w:rPr>
          <w:rFonts w:ascii="Calibri" w:hAnsi="Calibri"/>
          <w:b/>
          <w:lang w:val="sq-AL"/>
        </w:rPr>
        <w:t xml:space="preserve"> “Shërbime të Shëndetit Publik”</w:t>
      </w:r>
      <w:r w:rsidRPr="004E355C">
        <w:rPr>
          <w:rFonts w:ascii="Calibri" w:hAnsi="Calibri"/>
          <w:lang w:val="sq-AL"/>
        </w:rPr>
        <w:t xml:space="preserve"> janë realizuar objektivat e:</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Sigurimit të qëndrueshmërisë së mbulesës vaksinare, për vaksinat e kalendarit të vaksinimit;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Reduktimit të numrit të shpërthimeve epidemike me burim ndotjen e ujit;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Rritjes së përputhshmërisë ligjore dhe ndëshkimin e parregullsive të evidentuara nëpërmjet sigurimit të kryerjes së inspektime shëndetësore;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Depistimit të grave për kancerin e gjirit. </w:t>
      </w:r>
    </w:p>
    <w:p w:rsidR="00527686" w:rsidRPr="004E355C" w:rsidRDefault="00527686" w:rsidP="00527686">
      <w:pPr>
        <w:spacing w:after="120" w:line="276" w:lineRule="auto"/>
        <w:jc w:val="both"/>
        <w:rPr>
          <w:rFonts w:ascii="Calibri" w:hAnsi="Calibri"/>
          <w:lang w:val="sq-AL"/>
        </w:rPr>
      </w:pPr>
      <w:r w:rsidRPr="004E355C">
        <w:rPr>
          <w:rFonts w:ascii="Calibri" w:hAnsi="Calibri"/>
          <w:lang w:val="sq-AL"/>
        </w:rPr>
        <w:t>Këto objektiva, për 4/mujorin e parë të vitit 2019, janë realizuar nëpërmjet realizimit të produkteve, performanca e të cilave paraqitet si më poshtë:</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“Inspektime të kryera nga inspektoriatet” është realizuar me një kosto faktike prej 78 milion lekë dhe janë kryer 5.312 inspektime.</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 xml:space="preserve">“Blerja dhe monitorimi i vaksinave” është realizuar me një kosto faktike prej 177 milion lekë dhe janë vaksinuar rreth 68 mijë. </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“Monitorimi i situatave epidemiollogjike”, është realizuar me një kosto faktike prej   632 milion lekë dhe janë kryer rreth 938</w:t>
      </w:r>
      <w:r w:rsidRPr="004E355C">
        <w:rPr>
          <w:rFonts w:ascii="Calibri" w:hAnsi="Calibri"/>
          <w:color w:val="FF0000"/>
          <w:lang w:val="sq-AL"/>
        </w:rPr>
        <w:t xml:space="preserve"> </w:t>
      </w:r>
      <w:r w:rsidRPr="004E355C">
        <w:rPr>
          <w:rFonts w:ascii="Calibri" w:hAnsi="Calibri"/>
          <w:lang w:val="sq-AL"/>
        </w:rPr>
        <w:t>kontrolle për të monitoruar agjentët mjedisore për ujrat, ambjentin, ushqyerjen, shëndetin në punë, duke respektuar standartet e BE-se.</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“Depistimi i grave për kancerin e gjirit”, ku janë depistuar 993 gra me një kosto faktike prej 1,234 milionë lekë.</w:t>
      </w:r>
    </w:p>
    <w:p w:rsidR="00527686" w:rsidRPr="004E355C" w:rsidRDefault="00527686" w:rsidP="00527686">
      <w:pPr>
        <w:spacing w:line="276" w:lineRule="auto"/>
        <w:jc w:val="both"/>
        <w:rPr>
          <w:rFonts w:ascii="Calibri" w:hAnsi="Calibri"/>
          <w:lang w:val="sq-AL"/>
        </w:rPr>
      </w:pPr>
    </w:p>
    <w:p w:rsidR="00527686" w:rsidRPr="004E355C" w:rsidRDefault="00527686" w:rsidP="00527686">
      <w:pPr>
        <w:spacing w:line="276" w:lineRule="auto"/>
        <w:jc w:val="both"/>
        <w:rPr>
          <w:rFonts w:ascii="Calibri" w:hAnsi="Calibri"/>
          <w:lang w:val="sq-AL"/>
        </w:rPr>
      </w:pPr>
    </w:p>
    <w:p w:rsidR="00527686" w:rsidRPr="004E355C" w:rsidRDefault="00527686" w:rsidP="00527686">
      <w:pPr>
        <w:spacing w:line="276" w:lineRule="auto"/>
        <w:jc w:val="both"/>
        <w:rPr>
          <w:rFonts w:ascii="Calibri" w:hAnsi="Calibri"/>
          <w:lang w:val="sq-AL"/>
        </w:rPr>
      </w:pPr>
      <w:r w:rsidRPr="004E355C">
        <w:rPr>
          <w:rFonts w:ascii="Calibri" w:hAnsi="Calibri"/>
          <w:lang w:val="sq-AL"/>
        </w:rPr>
        <w:lastRenderedPageBreak/>
        <w:t>Në programin</w:t>
      </w:r>
      <w:r w:rsidRPr="004E355C">
        <w:rPr>
          <w:rFonts w:ascii="Calibri" w:hAnsi="Calibri"/>
          <w:b/>
          <w:lang w:val="sq-AL"/>
        </w:rPr>
        <w:t xml:space="preserve"> “Kujdesit Social”</w:t>
      </w:r>
      <w:r w:rsidRPr="004E355C">
        <w:rPr>
          <w:rFonts w:ascii="Calibri" w:hAnsi="Calibri"/>
          <w:color w:val="000000"/>
          <w:lang w:val="sq-AL"/>
        </w:rPr>
        <w:t xml:space="preserve"> </w:t>
      </w:r>
      <w:r w:rsidRPr="004E355C">
        <w:rPr>
          <w:rFonts w:ascii="Calibri" w:hAnsi="Calibri"/>
          <w:lang w:val="sq-AL"/>
        </w:rPr>
        <w:t>janë realizuar objektivat e:</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Rritjes së efikasitetit dhe transparencës së skemës të ndihmës ekonomike nëpërmjet administrimit të regjistrit elektronik kombëtar dhe përdorimit të sistemit të pikëzimit;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Reformimit të sistemit të vlerësimit të personave me aftësi të kufizuar, duke vënë në zbatim sistemin e ri të vlerësimit sipas Modelit Social  dhe duke ulur përqindjen e rasteve abuzive të përfituesve që nuk shfaqin aftësi të kufizuar;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Ngritjes së një sistemi të integruar të shërbimeve të kujdesit social në njësitë e qeverisjes vendore dhe ofrimi i modeleve të reja të shërbimeve sociale;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 xml:space="preserve">Zhvillimit të Sistemit të Menaxhimit të Informacionit për mbrojtjen sociale; </w:t>
      </w:r>
    </w:p>
    <w:p w:rsidR="00527686" w:rsidRPr="004E355C" w:rsidRDefault="00527686" w:rsidP="00B95810">
      <w:pPr>
        <w:numPr>
          <w:ilvl w:val="0"/>
          <w:numId w:val="25"/>
        </w:numPr>
        <w:spacing w:after="120" w:line="276" w:lineRule="auto"/>
        <w:contextualSpacing/>
        <w:jc w:val="both"/>
        <w:rPr>
          <w:rFonts w:ascii="Calibri" w:hAnsi="Calibri"/>
          <w:lang w:val="sq-AL"/>
        </w:rPr>
      </w:pPr>
      <w:r w:rsidRPr="004E355C">
        <w:rPr>
          <w:rFonts w:ascii="Calibri" w:hAnsi="Calibri"/>
          <w:lang w:val="sq-AL"/>
        </w:rPr>
        <w:t>Rritjes së kapaciteteve të strukturave qendrore, rajonale dhe vendore, në fusha që përfshijnë administrimin, monitorimin dhe vlerësimin e skemës së ndihmës ekonomike dhe përmirësimi i shërbimeve të kontrollit/auditit për të reduktuar numrin e abuzimeve.</w:t>
      </w:r>
    </w:p>
    <w:p w:rsidR="00527686" w:rsidRPr="004E355C" w:rsidRDefault="00527686" w:rsidP="00527686">
      <w:pPr>
        <w:spacing w:line="276" w:lineRule="auto"/>
        <w:jc w:val="both"/>
        <w:rPr>
          <w:rFonts w:ascii="Calibri" w:hAnsi="Calibri"/>
          <w:lang w:val="sq-AL"/>
        </w:rPr>
      </w:pPr>
      <w:r w:rsidRPr="004E355C">
        <w:rPr>
          <w:rFonts w:ascii="Calibri" w:hAnsi="Calibri"/>
          <w:lang w:val="sq-AL"/>
        </w:rPr>
        <w:t>Këto objektiva janë realizuar nëpërmjet  produkteve, performanca e të cilave për 4/mujorin e parë të vitit 2018, është realizuar, si më poshtë:</w:t>
      </w:r>
    </w:p>
    <w:p w:rsidR="00527686" w:rsidRPr="004E355C" w:rsidRDefault="00527686" w:rsidP="00B95810">
      <w:pPr>
        <w:numPr>
          <w:ilvl w:val="0"/>
          <w:numId w:val="26"/>
        </w:numPr>
        <w:spacing w:before="240" w:line="276" w:lineRule="auto"/>
        <w:jc w:val="both"/>
        <w:rPr>
          <w:rFonts w:ascii="Calibri" w:hAnsi="Calibri"/>
          <w:lang w:val="sq-AL"/>
        </w:rPr>
      </w:pPr>
      <w:r w:rsidRPr="004E355C">
        <w:rPr>
          <w:rFonts w:ascii="Calibri" w:hAnsi="Calibri"/>
          <w:lang w:val="sq-AL"/>
        </w:rPr>
        <w:t>“Familje dhe individë në nevojë, përfitues të ndihmës ekonomike”, është realizuar me një kosto faktike prej 1,230 milion lekë për 66.276 familje përfituese.</w:t>
      </w:r>
    </w:p>
    <w:p w:rsidR="00527686" w:rsidRPr="004E355C" w:rsidRDefault="00527686" w:rsidP="00B95810">
      <w:pPr>
        <w:numPr>
          <w:ilvl w:val="0"/>
          <w:numId w:val="26"/>
        </w:numPr>
        <w:spacing w:before="240" w:line="276" w:lineRule="auto"/>
        <w:jc w:val="both"/>
        <w:rPr>
          <w:rFonts w:ascii="Calibri" w:hAnsi="Calibri"/>
          <w:lang w:val="sq-AL"/>
        </w:rPr>
      </w:pPr>
      <w:r w:rsidRPr="004E355C">
        <w:rPr>
          <w:rFonts w:ascii="Calibri" w:hAnsi="Calibri"/>
          <w:lang w:val="sq-AL"/>
        </w:rPr>
        <w:t xml:space="preserve"> “Persona me aftësi të kufizuar përfitues nga programi i aftësisë së kufizuar” është realizuar me një kosto faktike prej 5,150 milion lekë për 162.991 persona përfitues. </w:t>
      </w:r>
    </w:p>
    <w:p w:rsidR="00527686" w:rsidRPr="004E355C" w:rsidRDefault="00527686" w:rsidP="00B95810">
      <w:pPr>
        <w:numPr>
          <w:ilvl w:val="0"/>
          <w:numId w:val="26"/>
        </w:numPr>
        <w:spacing w:line="276" w:lineRule="auto"/>
        <w:contextualSpacing/>
        <w:jc w:val="both"/>
        <w:rPr>
          <w:rFonts w:ascii="Calibri" w:eastAsia="MS Mincho" w:hAnsi="Calibri"/>
          <w:lang w:val="sq-AL"/>
        </w:rPr>
      </w:pPr>
      <w:r w:rsidRPr="004E355C">
        <w:rPr>
          <w:rFonts w:ascii="Calibri" w:eastAsia="MS Mincho" w:hAnsi="Calibri"/>
          <w:lang w:val="sq-AL"/>
        </w:rPr>
        <w:t xml:space="preserve">“Përfitues të shërbimeve të përkujdesit social të ofruara në qëndrat rezidenciale publike”, është realizuar me një kosto faktike prej 267 milionë lekë për 1.100 persona. </w:t>
      </w:r>
    </w:p>
    <w:p w:rsidR="00527686" w:rsidRPr="004E355C" w:rsidRDefault="00527686" w:rsidP="00B95810">
      <w:pPr>
        <w:numPr>
          <w:ilvl w:val="0"/>
          <w:numId w:val="26"/>
        </w:numPr>
        <w:spacing w:line="276" w:lineRule="auto"/>
        <w:jc w:val="both"/>
        <w:rPr>
          <w:rFonts w:ascii="Calibri" w:hAnsi="Calibri"/>
          <w:b/>
          <w:i/>
          <w:color w:val="0070C0"/>
          <w:sz w:val="26"/>
          <w:szCs w:val="26"/>
          <w:u w:val="single"/>
          <w:lang w:val="sq-AL"/>
        </w:rPr>
      </w:pPr>
      <w:r w:rsidRPr="004E355C">
        <w:rPr>
          <w:rFonts w:ascii="Calibri" w:eastAsia="MS Mincho" w:hAnsi="Calibri"/>
        </w:rPr>
        <w:t>“Shperblimi i lindjes” ku kanë përfituar 30.000 bebe me një kosto faktike prej 600 milion lekë</w:t>
      </w:r>
      <w:r w:rsidRPr="004E355C">
        <w:rPr>
          <w:rFonts w:ascii="Calibri" w:hAnsi="Calibri"/>
          <w:lang w:val="sq-AL"/>
        </w:rPr>
        <w:t xml:space="preserve"> </w:t>
      </w:r>
    </w:p>
    <w:p w:rsidR="00527686" w:rsidRPr="004E355C" w:rsidRDefault="00527686" w:rsidP="00527686">
      <w:pPr>
        <w:spacing w:line="276" w:lineRule="auto"/>
        <w:ind w:left="720"/>
        <w:contextualSpacing/>
        <w:jc w:val="both"/>
        <w:rPr>
          <w:rFonts w:ascii="Calibri" w:eastAsia="MS Mincho" w:hAnsi="Calibri"/>
          <w:b/>
          <w:i/>
          <w:color w:val="336699"/>
          <w:sz w:val="26"/>
          <w:szCs w:val="26"/>
          <w:u w:val="single"/>
          <w:lang w:val="sq-AL"/>
        </w:rPr>
      </w:pPr>
    </w:p>
    <w:p w:rsidR="00527686" w:rsidRPr="004E355C" w:rsidRDefault="00527686" w:rsidP="00527686">
      <w:pPr>
        <w:spacing w:line="276" w:lineRule="auto"/>
        <w:rPr>
          <w:rFonts w:ascii="Calibri" w:eastAsia="MS Mincho" w:hAnsi="Calibri"/>
          <w:b/>
          <w:lang w:val="sq-AL"/>
        </w:rPr>
      </w:pPr>
      <w:r w:rsidRPr="004E355C">
        <w:rPr>
          <w:rFonts w:ascii="Calibri" w:eastAsia="MS Mincho" w:hAnsi="Calibri"/>
          <w:b/>
          <w:lang w:val="sq-AL"/>
        </w:rPr>
        <w:t xml:space="preserve"> </w:t>
      </w:r>
    </w:p>
    <w:p w:rsidR="00527686" w:rsidRPr="004E355C" w:rsidRDefault="0071340F" w:rsidP="0071340F">
      <w:pPr>
        <w:spacing w:before="120" w:after="120" w:line="276" w:lineRule="auto"/>
        <w:jc w:val="both"/>
        <w:rPr>
          <w:rFonts w:asciiTheme="minorHAnsi" w:hAnsiTheme="minorHAnsi"/>
          <w:b/>
          <w:noProof/>
          <w:color w:val="0070C0"/>
          <w:lang w:val="sq-AL"/>
        </w:rPr>
      </w:pPr>
      <w:bookmarkStart w:id="131" w:name="_Toc10721441"/>
      <w:bookmarkStart w:id="132" w:name="_Toc11134226"/>
      <w:bookmarkStart w:id="133" w:name="_Toc10033296"/>
      <w:bookmarkStart w:id="134" w:name="_Toc10721432"/>
      <w:r w:rsidRPr="00666B9F">
        <w:rPr>
          <w:rFonts w:asciiTheme="minorHAnsi" w:hAnsiTheme="minorHAnsi"/>
          <w:b/>
          <w:noProof/>
          <w:color w:val="0070C0"/>
          <w:highlight w:val="yellow"/>
          <w:lang w:val="sq-AL"/>
        </w:rPr>
        <w:t>ARSIMI</w:t>
      </w:r>
      <w:bookmarkEnd w:id="131"/>
      <w:bookmarkEnd w:id="132"/>
    </w:p>
    <w:p w:rsidR="0071340F" w:rsidRPr="004E355C" w:rsidRDefault="00527686" w:rsidP="0071340F">
      <w:pPr>
        <w:spacing w:before="240" w:line="276" w:lineRule="auto"/>
        <w:jc w:val="both"/>
        <w:rPr>
          <w:rFonts w:ascii="Calibri" w:eastAsia="MS Mincho" w:hAnsi="Calibri"/>
          <w:bCs/>
          <w:i/>
          <w:iCs/>
          <w:lang w:val="sq-AL"/>
        </w:rPr>
      </w:pPr>
      <w:r w:rsidRPr="004E355C">
        <w:rPr>
          <w:rFonts w:ascii="Calibri" w:eastAsia="MS Mincho" w:hAnsi="Calibri"/>
          <w:color w:val="000000"/>
          <w:lang w:val="sq-AL"/>
        </w:rPr>
        <w:t>Në përputhje me drejtimet kryesore të politikës së përgjithshme shtetërore, me fondet buxhetore të miratuara për vitin 2019, performanca e treguesve buxhetorë për këto katër programe kryesore në Ministrinë e Arsimit, Sportit dhe Rinisë, për 4/ mujorin e parë të vitit 2019, paraqitet si më poshtë</w:t>
      </w:r>
      <w:r w:rsidRPr="004E355C">
        <w:rPr>
          <w:rFonts w:ascii="Calibri" w:eastAsia="MS Mincho" w:hAnsi="Calibri"/>
          <w:bCs/>
          <w:i/>
          <w:iCs/>
          <w:lang w:val="sq-AL"/>
        </w:rPr>
        <w:t xml:space="preserve">                                                                                                             </w:t>
      </w:r>
    </w:p>
    <w:p w:rsidR="00527686" w:rsidRPr="004E355C" w:rsidRDefault="00527686" w:rsidP="0071340F">
      <w:pPr>
        <w:spacing w:line="276" w:lineRule="auto"/>
        <w:jc w:val="right"/>
        <w:rPr>
          <w:rFonts w:ascii="Calibri" w:eastAsia="MS Mincho" w:hAnsi="Calibri"/>
          <w:color w:val="000000"/>
          <w:lang w:val="sq-AL"/>
        </w:rPr>
      </w:pPr>
      <w:r w:rsidRPr="004E355C">
        <w:rPr>
          <w:rFonts w:ascii="Calibri" w:eastAsia="MS Mincho" w:hAnsi="Calibri"/>
          <w:bCs/>
          <w:i/>
          <w:iCs/>
          <w:lang w:val="sq-AL"/>
        </w:rPr>
        <w:t>Në mijë lekë</w:t>
      </w:r>
    </w:p>
    <w:tbl>
      <w:tblPr>
        <w:tblStyle w:val="ListTable3-Accent52"/>
        <w:tblW w:w="5483" w:type="pct"/>
        <w:jc w:val="center"/>
        <w:tblLayout w:type="fixed"/>
        <w:tblLook w:val="01E0" w:firstRow="1" w:lastRow="1" w:firstColumn="1" w:lastColumn="1" w:noHBand="0" w:noVBand="0"/>
      </w:tblPr>
      <w:tblGrid>
        <w:gridCol w:w="545"/>
        <w:gridCol w:w="13"/>
        <w:gridCol w:w="3185"/>
        <w:gridCol w:w="1188"/>
        <w:gridCol w:w="1188"/>
        <w:gridCol w:w="1272"/>
        <w:gridCol w:w="1274"/>
        <w:gridCol w:w="1004"/>
        <w:gridCol w:w="22"/>
        <w:gridCol w:w="1106"/>
      </w:tblGrid>
      <w:tr w:rsidR="0071340F" w:rsidRPr="004E355C" w:rsidTr="0071340F">
        <w:trPr>
          <w:cnfStyle w:val="100000000000" w:firstRow="1" w:lastRow="0" w:firstColumn="0" w:lastColumn="0" w:oddVBand="0" w:evenVBand="0" w:oddHBand="0" w:evenHBand="0" w:firstRowFirstColumn="0" w:firstRowLastColumn="0" w:lastRowFirstColumn="0" w:lastRowLastColumn="0"/>
          <w:trHeight w:val="343"/>
          <w:jc w:val="center"/>
        </w:trPr>
        <w:tc>
          <w:tcPr>
            <w:cnfStyle w:val="001000000100" w:firstRow="0" w:lastRow="0" w:firstColumn="1" w:lastColumn="0" w:oddVBand="0" w:evenVBand="0" w:oddHBand="0" w:evenHBand="0" w:firstRowFirstColumn="1" w:firstRowLastColumn="0" w:lastRowFirstColumn="0" w:lastRowLastColumn="0"/>
            <w:tcW w:w="259" w:type="pct"/>
            <w:gridSpan w:val="2"/>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NR</w:t>
            </w:r>
          </w:p>
        </w:tc>
        <w:tc>
          <w:tcPr>
            <w:cnfStyle w:val="000010000000" w:firstRow="0" w:lastRow="0" w:firstColumn="0" w:lastColumn="0" w:oddVBand="1" w:evenVBand="0" w:oddHBand="0" w:evenHBand="0" w:firstRowFirstColumn="0" w:firstRowLastColumn="0" w:lastRowFirstColumn="0" w:lastRowLastColumn="0"/>
            <w:tcW w:w="1475" w:type="pct"/>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Emërtimi i Programit</w:t>
            </w:r>
          </w:p>
        </w:tc>
        <w:tc>
          <w:tcPr>
            <w:tcW w:w="1100" w:type="pct"/>
            <w:gridSpan w:val="2"/>
          </w:tcPr>
          <w:p w:rsidR="00527686" w:rsidRPr="004E355C" w:rsidRDefault="00527686" w:rsidP="00527686">
            <w:pPr>
              <w:spacing w:line="276" w:lineRule="auto"/>
              <w:ind w:left="80"/>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Plani 2019</w:t>
            </w:r>
          </w:p>
        </w:tc>
        <w:tc>
          <w:tcPr>
            <w:cnfStyle w:val="000010000000" w:firstRow="0" w:lastRow="0" w:firstColumn="0" w:lastColumn="0" w:oddVBand="1" w:evenVBand="0" w:oddHBand="0" w:evenHBand="0" w:firstRowFirstColumn="0" w:firstRowLastColumn="0" w:lastRowFirstColumn="0" w:lastRowLastColumn="0"/>
            <w:tcW w:w="1179" w:type="pct"/>
            <w:gridSpan w:val="2"/>
          </w:tcPr>
          <w:p w:rsidR="00527686" w:rsidRPr="004E355C" w:rsidRDefault="00527686" w:rsidP="00527686">
            <w:pPr>
              <w:spacing w:line="276" w:lineRule="auto"/>
              <w:ind w:left="80"/>
              <w:jc w:val="center"/>
              <w:rPr>
                <w:rFonts w:ascii="Calibri" w:hAnsi="Calibri"/>
                <w:sz w:val="18"/>
                <w:szCs w:val="20"/>
                <w:lang w:val="sq-AL"/>
              </w:rPr>
            </w:pPr>
            <w:r w:rsidRPr="004E355C">
              <w:rPr>
                <w:rFonts w:ascii="Calibri" w:hAnsi="Calibri"/>
                <w:sz w:val="18"/>
                <w:szCs w:val="20"/>
                <w:lang w:val="sq-AL"/>
              </w:rPr>
              <w:t>Fakti 4/M I 2019</w:t>
            </w:r>
          </w:p>
        </w:tc>
        <w:tc>
          <w:tcPr>
            <w:cnfStyle w:val="000100001000" w:firstRow="0" w:lastRow="0" w:firstColumn="0" w:lastColumn="1" w:oddVBand="0" w:evenVBand="0" w:oddHBand="0" w:evenHBand="0" w:firstRowFirstColumn="0" w:firstRowLastColumn="1" w:lastRowFirstColumn="0" w:lastRowLastColumn="0"/>
            <w:tcW w:w="987" w:type="pct"/>
            <w:gridSpan w:val="3"/>
          </w:tcPr>
          <w:p w:rsidR="00527686" w:rsidRPr="004E355C" w:rsidRDefault="00527686" w:rsidP="00527686">
            <w:pPr>
              <w:spacing w:line="276" w:lineRule="auto"/>
              <w:jc w:val="center"/>
              <w:rPr>
                <w:rFonts w:ascii="Calibri" w:hAnsi="Calibri"/>
                <w:sz w:val="18"/>
                <w:szCs w:val="20"/>
                <w:lang w:val="sq-AL"/>
              </w:rPr>
            </w:pPr>
            <w:r w:rsidRPr="004E355C">
              <w:rPr>
                <w:rFonts w:ascii="Calibri" w:hAnsi="Calibri"/>
                <w:sz w:val="18"/>
                <w:szCs w:val="20"/>
                <w:lang w:val="sq-AL"/>
              </w:rPr>
              <w:t>Përqindja  e realizimit</w:t>
            </w:r>
          </w:p>
        </w:tc>
      </w:tr>
      <w:tr w:rsidR="0071340F" w:rsidRPr="004E355C" w:rsidTr="0071340F">
        <w:trPr>
          <w:cnfStyle w:val="000000100000" w:firstRow="0" w:lastRow="0" w:firstColumn="0" w:lastColumn="0" w:oddVBand="0" w:evenVBand="0" w:oddHBand="1" w:evenHBand="0" w:firstRowFirstColumn="0" w:firstRowLastColumn="0" w:lastRowFirstColumn="0" w:lastRowLastColumn="0"/>
          <w:trHeight w:val="177"/>
          <w:jc w:val="center"/>
        </w:trPr>
        <w:tc>
          <w:tcPr>
            <w:cnfStyle w:val="001000000000" w:firstRow="0" w:lastRow="0" w:firstColumn="1" w:lastColumn="0" w:oddVBand="0" w:evenVBand="0" w:oddHBand="0" w:evenHBand="0" w:firstRowFirstColumn="0" w:firstRowLastColumn="0" w:lastRowFirstColumn="0" w:lastRowLastColumn="0"/>
            <w:tcW w:w="259" w:type="pct"/>
            <w:gridSpan w:val="2"/>
            <w:vMerge/>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75" w:type="pct"/>
            <w:vMerge/>
          </w:tcPr>
          <w:p w:rsidR="00527686" w:rsidRPr="004E355C" w:rsidRDefault="00527686" w:rsidP="00527686">
            <w:pPr>
              <w:spacing w:line="276" w:lineRule="auto"/>
              <w:jc w:val="center"/>
              <w:rPr>
                <w:rFonts w:ascii="Calibri" w:hAnsi="Calibri"/>
                <w:b/>
                <w:sz w:val="18"/>
                <w:lang w:val="sq-AL"/>
              </w:rPr>
            </w:pPr>
          </w:p>
        </w:tc>
        <w:tc>
          <w:tcPr>
            <w:tcW w:w="550" w:type="pct"/>
          </w:tcPr>
          <w:p w:rsidR="00527686" w:rsidRPr="004E355C" w:rsidRDefault="00527686" w:rsidP="00527686">
            <w:pPr>
              <w:spacing w:line="276" w:lineRule="auto"/>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szCs w:val="22"/>
                <w:lang w:val="sq-AL"/>
              </w:rPr>
            </w:pPr>
            <w:r w:rsidRPr="004E355C">
              <w:rPr>
                <w:rFonts w:ascii="Calibri" w:hAnsi="Calibri"/>
                <w:b/>
                <w:sz w:val="18"/>
                <w:szCs w:val="22"/>
                <w:lang w:val="sq-AL"/>
              </w:rPr>
              <w:t>Korrente</w:t>
            </w: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ind w:left="80"/>
              <w:jc w:val="center"/>
              <w:rPr>
                <w:rFonts w:ascii="Calibri" w:hAnsi="Calibri"/>
                <w:b/>
                <w:sz w:val="18"/>
                <w:szCs w:val="22"/>
                <w:lang w:val="sq-AL"/>
              </w:rPr>
            </w:pPr>
            <w:r w:rsidRPr="004E355C">
              <w:rPr>
                <w:rFonts w:ascii="Calibri" w:hAnsi="Calibri"/>
                <w:b/>
                <w:sz w:val="18"/>
                <w:szCs w:val="22"/>
                <w:lang w:val="sq-AL"/>
              </w:rPr>
              <w:t>Investime</w:t>
            </w:r>
          </w:p>
        </w:tc>
        <w:tc>
          <w:tcPr>
            <w:tcW w:w="5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szCs w:val="22"/>
                <w:lang w:val="sq-AL"/>
              </w:rPr>
            </w:pPr>
            <w:r w:rsidRPr="004E355C">
              <w:rPr>
                <w:rFonts w:ascii="Calibri" w:hAnsi="Calibri"/>
                <w:b/>
                <w:sz w:val="18"/>
                <w:szCs w:val="22"/>
                <w:lang w:val="sq-AL"/>
              </w:rPr>
              <w:t>Korrente</w:t>
            </w: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center"/>
              <w:rPr>
                <w:rFonts w:ascii="Calibri" w:hAnsi="Calibri"/>
                <w:b/>
                <w:sz w:val="18"/>
                <w:szCs w:val="22"/>
                <w:lang w:val="sq-AL"/>
              </w:rPr>
            </w:pPr>
            <w:r w:rsidRPr="004E355C">
              <w:rPr>
                <w:rFonts w:ascii="Calibri" w:hAnsi="Calibri"/>
                <w:b/>
                <w:sz w:val="18"/>
                <w:szCs w:val="22"/>
                <w:lang w:val="sq-AL"/>
              </w:rPr>
              <w:t>Investime</w:t>
            </w:r>
          </w:p>
        </w:tc>
        <w:tc>
          <w:tcPr>
            <w:tcW w:w="465"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szCs w:val="22"/>
                <w:lang w:val="sq-AL"/>
              </w:rPr>
            </w:pPr>
            <w:r w:rsidRPr="004E355C">
              <w:rPr>
                <w:rFonts w:ascii="Calibri" w:hAnsi="Calibri"/>
                <w:b/>
                <w:sz w:val="18"/>
                <w:szCs w:val="22"/>
                <w:lang w:val="sq-AL"/>
              </w:rPr>
              <w:t>Korrente</w:t>
            </w:r>
          </w:p>
        </w:tc>
        <w:tc>
          <w:tcPr>
            <w:cnfStyle w:val="000100000000" w:firstRow="0" w:lastRow="0" w:firstColumn="0" w:lastColumn="1" w:oddVBand="0" w:evenVBand="0" w:oddHBand="0" w:evenHBand="0" w:firstRowFirstColumn="0" w:firstRowLastColumn="0" w:lastRowFirstColumn="0" w:lastRowLastColumn="0"/>
            <w:tcW w:w="522" w:type="pct"/>
            <w:gridSpan w:val="2"/>
          </w:tcPr>
          <w:p w:rsidR="00527686" w:rsidRPr="004E355C" w:rsidRDefault="00527686" w:rsidP="00527686">
            <w:pPr>
              <w:spacing w:line="276" w:lineRule="auto"/>
              <w:jc w:val="center"/>
              <w:rPr>
                <w:rFonts w:ascii="Calibri" w:hAnsi="Calibri"/>
                <w:sz w:val="18"/>
                <w:szCs w:val="22"/>
                <w:lang w:val="sq-AL"/>
              </w:rPr>
            </w:pPr>
            <w:r w:rsidRPr="004E355C">
              <w:rPr>
                <w:rFonts w:ascii="Calibri" w:hAnsi="Calibri"/>
                <w:sz w:val="18"/>
                <w:szCs w:val="22"/>
                <w:lang w:val="sq-AL"/>
              </w:rPr>
              <w:t>Investime</w:t>
            </w:r>
          </w:p>
        </w:tc>
      </w:tr>
      <w:tr w:rsidR="0071340F" w:rsidRPr="004E355C" w:rsidTr="0071340F">
        <w:trPr>
          <w:trHeight w:val="360"/>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8"/>
                <w:szCs w:val="20"/>
                <w:lang w:val="sq-AL"/>
              </w:rPr>
            </w:pPr>
            <w:r w:rsidRPr="004E355C">
              <w:rPr>
                <w:rFonts w:ascii="Calibri" w:hAnsi="Calibri"/>
                <w:sz w:val="18"/>
                <w:szCs w:val="20"/>
                <w:lang w:val="sq-AL"/>
              </w:rPr>
              <w:t>Arsimi Bazë</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20,454,297</w:t>
            </w: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1,720,000</w:t>
            </w:r>
          </w:p>
        </w:tc>
        <w:tc>
          <w:tcPr>
            <w:tcW w:w="58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6,655,134</w:t>
            </w: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329,421</w:t>
            </w:r>
          </w:p>
        </w:tc>
        <w:tc>
          <w:tcPr>
            <w:tcW w:w="475"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33</w:t>
            </w: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19</w:t>
            </w:r>
          </w:p>
        </w:tc>
      </w:tr>
      <w:tr w:rsidR="0071340F" w:rsidRPr="004E355C" w:rsidTr="0071340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ind w:left="60"/>
              <w:contextualSpacing/>
              <w:jc w:val="right"/>
              <w:rPr>
                <w:rFonts w:ascii="Calibri" w:hAnsi="Calibri"/>
                <w:sz w:val="18"/>
                <w:szCs w:val="20"/>
                <w:lang w:val="sq-AL"/>
              </w:rPr>
            </w:pPr>
            <w:r w:rsidRPr="004E355C">
              <w:rPr>
                <w:rFonts w:ascii="Calibri" w:hAnsi="Calibri"/>
                <w:sz w:val="18"/>
                <w:szCs w:val="20"/>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589"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475"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20"/>
                <w:lang w:val="sq-AL"/>
              </w:rPr>
            </w:pP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r>
      <w:tr w:rsidR="0071340F" w:rsidRPr="004E355C" w:rsidTr="0071340F">
        <w:trPr>
          <w:trHeight w:val="245"/>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8"/>
                <w:szCs w:val="20"/>
                <w:lang w:val="sq-AL"/>
              </w:rPr>
            </w:pPr>
            <w:r w:rsidRPr="004E355C">
              <w:rPr>
                <w:rFonts w:ascii="Calibri" w:hAnsi="Calibri"/>
                <w:sz w:val="18"/>
                <w:szCs w:val="20"/>
                <w:lang w:val="sq-AL"/>
              </w:rPr>
              <w:t>Arsimi i Mesëm i Përgjithshëm</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6,237,225</w:t>
            </w: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1,062,000</w:t>
            </w:r>
          </w:p>
        </w:tc>
        <w:tc>
          <w:tcPr>
            <w:tcW w:w="58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1,933,701</w:t>
            </w: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247,459</w:t>
            </w:r>
          </w:p>
        </w:tc>
        <w:tc>
          <w:tcPr>
            <w:tcW w:w="475"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31</w:t>
            </w: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23</w:t>
            </w:r>
          </w:p>
        </w:tc>
      </w:tr>
      <w:tr w:rsidR="0071340F" w:rsidRPr="004E355C" w:rsidTr="0071340F">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589"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475"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8"/>
                <w:szCs w:val="20"/>
                <w:lang w:val="sq-AL"/>
              </w:rPr>
            </w:pP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r>
      <w:tr w:rsidR="0071340F" w:rsidRPr="004E355C" w:rsidTr="0071340F">
        <w:trPr>
          <w:trHeight w:val="280"/>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8"/>
                <w:szCs w:val="20"/>
                <w:lang w:val="sq-AL"/>
              </w:rPr>
            </w:pPr>
            <w:r w:rsidRPr="004E355C">
              <w:rPr>
                <w:rFonts w:ascii="Calibri" w:hAnsi="Calibri"/>
                <w:sz w:val="18"/>
                <w:szCs w:val="20"/>
                <w:lang w:val="sq-AL"/>
              </w:rPr>
              <w:t>Arsimi i Universitar</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8,879,283</w:t>
            </w: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640,000</w:t>
            </w:r>
          </w:p>
        </w:tc>
        <w:tc>
          <w:tcPr>
            <w:tcW w:w="58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2,595,692</w:t>
            </w: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90,478</w:t>
            </w:r>
          </w:p>
        </w:tc>
        <w:tc>
          <w:tcPr>
            <w:tcW w:w="475"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29</w:t>
            </w: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14</w:t>
            </w:r>
          </w:p>
        </w:tc>
      </w:tr>
      <w:tr w:rsidR="0071340F" w:rsidRPr="004E355C" w:rsidTr="0071340F">
        <w:trPr>
          <w:cnfStyle w:val="000000100000" w:firstRow="0" w:lastRow="0" w:firstColumn="0" w:lastColumn="0" w:oddVBand="0" w:evenVBand="0" w:oddHBand="1" w:evenHBand="0" w:firstRowFirstColumn="0" w:firstRowLastColumn="0" w:lastRowFirstColumn="0" w:lastRowLastColumn="0"/>
          <w:trHeight w:val="184"/>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Financimi i huaj</w:t>
            </w:r>
          </w:p>
        </w:tc>
        <w:tc>
          <w:tcPr>
            <w:tcW w:w="550"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100,000</w:t>
            </w:r>
          </w:p>
        </w:tc>
        <w:tc>
          <w:tcPr>
            <w:tcW w:w="589"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b/>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66,813</w:t>
            </w:r>
          </w:p>
        </w:tc>
        <w:tc>
          <w:tcPr>
            <w:tcW w:w="475" w:type="pct"/>
            <w:gridSpan w:val="2"/>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szCs w:val="20"/>
                <w:lang w:val="sq-AL"/>
              </w:rPr>
            </w:pP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67</w:t>
            </w:r>
          </w:p>
        </w:tc>
      </w:tr>
      <w:tr w:rsidR="0071340F" w:rsidRPr="004E355C" w:rsidTr="0071340F">
        <w:trPr>
          <w:trHeight w:val="280"/>
          <w:jc w:val="center"/>
        </w:trPr>
        <w:tc>
          <w:tcPr>
            <w:cnfStyle w:val="001000000000" w:firstRow="0" w:lastRow="0" w:firstColumn="1" w:lastColumn="0" w:oddVBand="0" w:evenVBand="0" w:oddHBand="0" w:evenHBand="0" w:firstRowFirstColumn="0" w:firstRowLastColumn="0" w:lastRowFirstColumn="0" w:lastRowLastColumn="0"/>
            <w:tcW w:w="25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4.</w:t>
            </w: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rPr>
                <w:rFonts w:ascii="Calibri" w:hAnsi="Calibri"/>
                <w:sz w:val="18"/>
                <w:szCs w:val="20"/>
                <w:lang w:val="sq-AL"/>
              </w:rPr>
            </w:pPr>
            <w:r w:rsidRPr="004E355C">
              <w:rPr>
                <w:rFonts w:ascii="Calibri" w:hAnsi="Calibri"/>
                <w:sz w:val="18"/>
                <w:szCs w:val="20"/>
                <w:lang w:val="sq-AL"/>
              </w:rPr>
              <w:t>Zhvillimi i Sportit dhe Rinisë</w:t>
            </w:r>
          </w:p>
        </w:tc>
        <w:tc>
          <w:tcPr>
            <w:tcW w:w="550"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218,100</w:t>
            </w: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250,000</w:t>
            </w:r>
          </w:p>
        </w:tc>
        <w:tc>
          <w:tcPr>
            <w:tcW w:w="58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77,946</w:t>
            </w: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123,016</w:t>
            </w:r>
          </w:p>
        </w:tc>
        <w:tc>
          <w:tcPr>
            <w:tcW w:w="475" w:type="pct"/>
            <w:gridSpan w:val="2"/>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szCs w:val="20"/>
                <w:lang w:val="sq-AL"/>
              </w:rPr>
            </w:pPr>
            <w:r w:rsidRPr="004E355C">
              <w:rPr>
                <w:rFonts w:ascii="Calibri" w:hAnsi="Calibri"/>
                <w:sz w:val="18"/>
                <w:szCs w:val="20"/>
                <w:lang w:val="sq-AL"/>
              </w:rPr>
              <w:t>36</w:t>
            </w:r>
          </w:p>
        </w:tc>
        <w:tc>
          <w:tcPr>
            <w:cnfStyle w:val="000100000000" w:firstRow="0" w:lastRow="0" w:firstColumn="0" w:lastColumn="1" w:oddVBand="0" w:evenVBand="0" w:oddHBand="0" w:evenHBand="0" w:firstRowFirstColumn="0" w:firstRowLastColumn="0" w:lastRowFirstColumn="0" w:lastRowLastColumn="0"/>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49</w:t>
            </w:r>
          </w:p>
        </w:tc>
      </w:tr>
      <w:tr w:rsidR="0071340F" w:rsidRPr="004E355C" w:rsidTr="0071340F">
        <w:trPr>
          <w:cnfStyle w:val="010000000000" w:firstRow="0" w:lastRow="1" w:firstColumn="0" w:lastColumn="0" w:oddVBand="0" w:evenVBand="0" w:oddHBand="0" w:evenHBand="0" w:firstRowFirstColumn="0" w:firstRowLastColumn="0" w:lastRowFirstColumn="0" w:lastRowLastColumn="0"/>
          <w:trHeight w:val="245"/>
          <w:jc w:val="center"/>
        </w:trPr>
        <w:tc>
          <w:tcPr>
            <w:cnfStyle w:val="001000000001" w:firstRow="0" w:lastRow="0" w:firstColumn="1" w:lastColumn="0" w:oddVBand="0" w:evenVBand="0" w:oddHBand="0" w:evenHBand="0" w:firstRowFirstColumn="0" w:firstRowLastColumn="0" w:lastRowFirstColumn="1" w:lastRowLastColumn="0"/>
            <w:tcW w:w="25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480" w:type="pct"/>
            <w:gridSpan w:val="2"/>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Financimi i huaj</w:t>
            </w:r>
          </w:p>
        </w:tc>
        <w:tc>
          <w:tcPr>
            <w:tcW w:w="550" w:type="pct"/>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5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589" w:type="pct"/>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szCs w:val="20"/>
                <w:lang w:val="sq-AL"/>
              </w:rPr>
            </w:pPr>
          </w:p>
        </w:tc>
        <w:tc>
          <w:tcPr>
            <w:cnfStyle w:val="000010000000" w:firstRow="0" w:lastRow="0" w:firstColumn="0" w:lastColumn="0" w:oddVBand="1" w:evenVBand="0" w:oddHBand="0" w:evenHBand="0" w:firstRowFirstColumn="0" w:firstRowLastColumn="0" w:lastRowFirstColumn="0" w:lastRowLastColumn="0"/>
            <w:tcW w:w="590"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c>
          <w:tcPr>
            <w:tcW w:w="475" w:type="pct"/>
            <w:gridSpan w:val="2"/>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szCs w:val="20"/>
                <w:lang w:val="sq-AL"/>
              </w:rPr>
            </w:pPr>
          </w:p>
        </w:tc>
        <w:tc>
          <w:tcPr>
            <w:cnfStyle w:val="000100000010" w:firstRow="0" w:lastRow="0" w:firstColumn="0" w:lastColumn="1" w:oddVBand="0" w:evenVBand="0" w:oddHBand="0" w:evenHBand="0" w:firstRowFirstColumn="0" w:firstRowLastColumn="0" w:lastRowFirstColumn="0" w:lastRowLastColumn="1"/>
            <w:tcW w:w="512" w:type="pct"/>
          </w:tcPr>
          <w:p w:rsidR="00527686" w:rsidRPr="004E355C" w:rsidRDefault="00527686" w:rsidP="00527686">
            <w:pPr>
              <w:spacing w:line="276" w:lineRule="auto"/>
              <w:jc w:val="right"/>
              <w:rPr>
                <w:rFonts w:ascii="Calibri" w:hAnsi="Calibri"/>
                <w:sz w:val="18"/>
                <w:szCs w:val="20"/>
                <w:lang w:val="sq-AL"/>
              </w:rPr>
            </w:pPr>
            <w:r w:rsidRPr="004E355C">
              <w:rPr>
                <w:rFonts w:ascii="Calibri" w:hAnsi="Calibri"/>
                <w:sz w:val="18"/>
                <w:szCs w:val="20"/>
                <w:lang w:val="sq-AL"/>
              </w:rPr>
              <w:t>0</w:t>
            </w:r>
          </w:p>
        </w:tc>
      </w:tr>
    </w:tbl>
    <w:p w:rsidR="00527686" w:rsidRPr="004E355C" w:rsidRDefault="00527686" w:rsidP="00527686">
      <w:pPr>
        <w:spacing w:line="276" w:lineRule="auto"/>
        <w:jc w:val="both"/>
        <w:rPr>
          <w:rFonts w:ascii="Calibri" w:eastAsia="MS Mincho" w:hAnsi="Calibri"/>
          <w:lang w:val="sq-AL"/>
        </w:rPr>
      </w:pPr>
    </w:p>
    <w:p w:rsidR="00527686" w:rsidRPr="004E355C" w:rsidRDefault="0071340F" w:rsidP="0071340F">
      <w:pPr>
        <w:spacing w:before="120" w:after="120" w:line="276" w:lineRule="auto"/>
        <w:jc w:val="both"/>
        <w:rPr>
          <w:rFonts w:asciiTheme="minorHAnsi" w:hAnsiTheme="minorHAnsi"/>
          <w:b/>
          <w:noProof/>
          <w:color w:val="0070C0"/>
          <w:lang w:val="sq-AL"/>
        </w:rPr>
      </w:pPr>
      <w:bookmarkStart w:id="135" w:name="_Toc11134227"/>
      <w:r w:rsidRPr="004E355C">
        <w:rPr>
          <w:rFonts w:asciiTheme="minorHAnsi" w:hAnsiTheme="minorHAnsi"/>
          <w:b/>
          <w:noProof/>
          <w:color w:val="0070C0"/>
          <w:lang w:val="sq-AL"/>
        </w:rPr>
        <w:lastRenderedPageBreak/>
        <w:t>BUJQËSIA DHE ZHVILLIMI RURAL</w:t>
      </w:r>
      <w:bookmarkEnd w:id="133"/>
      <w:bookmarkEnd w:id="134"/>
      <w:bookmarkEnd w:id="135"/>
    </w:p>
    <w:p w:rsidR="00527686" w:rsidRPr="004E355C" w:rsidRDefault="00527686" w:rsidP="00527686">
      <w:pPr>
        <w:spacing w:line="276" w:lineRule="auto"/>
        <w:jc w:val="both"/>
        <w:rPr>
          <w:rFonts w:ascii="Calibri" w:eastAsia="MS Mincho" w:hAnsi="Calibri"/>
          <w:color w:val="000000"/>
          <w:lang w:val="sq-AL"/>
        </w:rPr>
      </w:pPr>
      <w:r w:rsidRPr="004E355C">
        <w:rPr>
          <w:rFonts w:ascii="Calibri" w:eastAsia="MS Mincho" w:hAnsi="Calibri"/>
          <w:color w:val="000000"/>
          <w:lang w:val="sq-AL"/>
        </w:rPr>
        <w:t>Performanca e treguesve buxhetorë për tetë programet e Ministrisë së Bujqësisë dhe Zhvillimit Rural, paraqitet si më poshtë:</w:t>
      </w:r>
    </w:p>
    <w:p w:rsidR="00527686" w:rsidRPr="004E355C" w:rsidRDefault="00527686" w:rsidP="00527686">
      <w:pPr>
        <w:spacing w:line="276" w:lineRule="auto"/>
        <w:ind w:left="2880" w:firstLine="720"/>
        <w:jc w:val="right"/>
        <w:rPr>
          <w:rFonts w:ascii="Calibri" w:hAnsi="Calibri"/>
          <w:i/>
          <w:color w:val="000000"/>
          <w:lang w:val="sq-AL"/>
        </w:rPr>
      </w:pPr>
      <w:r w:rsidRPr="004E355C">
        <w:rPr>
          <w:rFonts w:ascii="Calibri" w:hAnsi="Calibri"/>
          <w:i/>
          <w:color w:val="000000"/>
          <w:lang w:val="sq-AL"/>
        </w:rPr>
        <w:t>Në mijë lekë</w:t>
      </w:r>
    </w:p>
    <w:tbl>
      <w:tblPr>
        <w:tblStyle w:val="ListTable3-Accent52"/>
        <w:tblW w:w="10162" w:type="dxa"/>
        <w:jc w:val="center"/>
        <w:tblLook w:val="0000" w:firstRow="0" w:lastRow="0" w:firstColumn="0" w:lastColumn="0" w:noHBand="0" w:noVBand="0"/>
      </w:tblPr>
      <w:tblGrid>
        <w:gridCol w:w="474"/>
        <w:gridCol w:w="3500"/>
        <w:gridCol w:w="1106"/>
        <w:gridCol w:w="1106"/>
        <w:gridCol w:w="1087"/>
        <w:gridCol w:w="1032"/>
        <w:gridCol w:w="896"/>
        <w:gridCol w:w="952"/>
        <w:gridCol w:w="9"/>
      </w:tblGrid>
      <w:tr w:rsidR="00527686" w:rsidRPr="004E355C" w:rsidTr="0071340F">
        <w:trPr>
          <w:cnfStyle w:val="000000100000" w:firstRow="0" w:lastRow="0" w:firstColumn="0" w:lastColumn="0" w:oddVBand="0" w:evenVBand="0" w:oddHBand="1" w:evenHBand="0" w:firstRowFirstColumn="0" w:firstRowLastColumn="0" w:lastRowFirstColumn="0" w:lastRowLastColumn="0"/>
          <w:trHeight w:val="236"/>
          <w:jc w:val="center"/>
        </w:trPr>
        <w:tc>
          <w:tcPr>
            <w:cnfStyle w:val="000010000000" w:firstRow="0" w:lastRow="0" w:firstColumn="0" w:lastColumn="0" w:oddVBand="1" w:evenVBand="0" w:oddHBand="0" w:evenHBand="0" w:firstRowFirstColumn="0" w:firstRowLastColumn="0" w:lastRowFirstColumn="0" w:lastRowLastColumn="0"/>
            <w:tcW w:w="474" w:type="dxa"/>
            <w:vMerge w:val="restart"/>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p>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NR</w:t>
            </w:r>
          </w:p>
        </w:tc>
        <w:tc>
          <w:tcPr>
            <w:tcW w:w="3500" w:type="dxa"/>
            <w:vMerge w:val="restart"/>
            <w:shd w:val="clear" w:color="auto" w:fill="B6DDE8" w:themeFill="accent5" w:themeFillTint="66"/>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p>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212" w:type="dxa"/>
            <w:gridSpan w:val="2"/>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Plani 2019</w:t>
            </w:r>
          </w:p>
        </w:tc>
        <w:tc>
          <w:tcPr>
            <w:tcW w:w="2119" w:type="dxa"/>
            <w:gridSpan w:val="2"/>
            <w:shd w:val="clear" w:color="auto" w:fill="B6DDE8" w:themeFill="accent5" w:themeFillTint="66"/>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MS Mincho" w:hAnsi="Calibri"/>
                <w:sz w:val="18"/>
              </w:rPr>
            </w:pPr>
            <w:r w:rsidRPr="004E355C">
              <w:rPr>
                <w:rFonts w:ascii="Calibri" w:eastAsia="MS Mincho" w:hAnsi="Calibri"/>
                <w:sz w:val="18"/>
              </w:rPr>
              <w:t>Fakti 4M 2019</w:t>
            </w:r>
          </w:p>
        </w:tc>
        <w:tc>
          <w:tcPr>
            <w:cnfStyle w:val="000010000000" w:firstRow="0" w:lastRow="0" w:firstColumn="0" w:lastColumn="0" w:oddVBand="1" w:evenVBand="0" w:oddHBand="0" w:evenHBand="0" w:firstRowFirstColumn="0" w:firstRowLastColumn="0" w:lastRowFirstColumn="0" w:lastRowLastColumn="0"/>
            <w:tcW w:w="1857" w:type="dxa"/>
            <w:gridSpan w:val="3"/>
            <w:shd w:val="clear" w:color="auto" w:fill="B6DDE8" w:themeFill="accent5" w:themeFillTint="66"/>
          </w:tcPr>
          <w:p w:rsidR="00527686" w:rsidRPr="004E355C" w:rsidRDefault="00527686" w:rsidP="00527686">
            <w:pPr>
              <w:spacing w:line="276" w:lineRule="auto"/>
              <w:jc w:val="center"/>
              <w:rPr>
                <w:rFonts w:ascii="Calibri" w:eastAsia="MS Mincho" w:hAnsi="Calibri"/>
                <w:sz w:val="18"/>
              </w:rPr>
            </w:pPr>
            <w:r w:rsidRPr="004E355C">
              <w:rPr>
                <w:rFonts w:ascii="Calibri" w:eastAsia="MS Mincho" w:hAnsi="Calibri"/>
                <w:sz w:val="18"/>
              </w:rPr>
              <w:t>% e realizimit</w:t>
            </w:r>
          </w:p>
        </w:tc>
      </w:tr>
      <w:tr w:rsidR="00527686" w:rsidRPr="004E355C" w:rsidTr="0071340F">
        <w:trPr>
          <w:gridAfter w:val="1"/>
          <w:wAfter w:w="9" w:type="dxa"/>
          <w:trHeight w:val="219"/>
          <w:jc w:val="center"/>
        </w:trPr>
        <w:tc>
          <w:tcPr>
            <w:cnfStyle w:val="000010000000" w:firstRow="0" w:lastRow="0" w:firstColumn="0" w:lastColumn="0" w:oddVBand="1" w:evenVBand="0" w:oddHBand="0" w:evenHBand="0" w:firstRowFirstColumn="0" w:firstRowLastColumn="0" w:lastRowFirstColumn="0" w:lastRowLastColumn="0"/>
            <w:tcW w:w="474" w:type="dxa"/>
            <w:vMerge/>
            <w:shd w:val="clear" w:color="auto" w:fill="B6DDE8" w:themeFill="accent5" w:themeFillTint="66"/>
          </w:tcPr>
          <w:p w:rsidR="00527686" w:rsidRPr="004E355C" w:rsidRDefault="00527686" w:rsidP="00527686">
            <w:pPr>
              <w:spacing w:line="276" w:lineRule="auto"/>
              <w:jc w:val="both"/>
              <w:rPr>
                <w:rFonts w:ascii="Calibri" w:hAnsi="Calibri"/>
                <w:color w:val="FF0000"/>
                <w:sz w:val="18"/>
                <w:lang w:val="sq-AL"/>
              </w:rPr>
            </w:pPr>
          </w:p>
        </w:tc>
        <w:tc>
          <w:tcPr>
            <w:tcW w:w="3500" w:type="dxa"/>
            <w:vMerge/>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1106"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1106"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1087"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1032"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896"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952"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r>
      <w:tr w:rsidR="00527686" w:rsidRPr="004E355C" w:rsidTr="0071340F">
        <w:trPr>
          <w:gridAfter w:val="1"/>
          <w:cnfStyle w:val="000000100000" w:firstRow="0" w:lastRow="0" w:firstColumn="0" w:lastColumn="0" w:oddVBand="0" w:evenVBand="0" w:oddHBand="1" w:evenHBand="0" w:firstRowFirstColumn="0" w:firstRowLastColumn="0" w:lastRowFirstColumn="0" w:lastRowLastColumn="0"/>
          <w:wAfter w:w="9" w:type="dxa"/>
          <w:trHeight w:val="287"/>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w:t>
            </w:r>
          </w:p>
        </w:tc>
        <w:tc>
          <w:tcPr>
            <w:tcW w:w="35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387,692</w:t>
            </w:r>
          </w:p>
        </w:tc>
        <w:tc>
          <w:tcPr>
            <w:tcW w:w="1106"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5,000</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86,992</w:t>
            </w:r>
          </w:p>
        </w:tc>
        <w:tc>
          <w:tcPr>
            <w:tcW w:w="103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22.4</w:t>
            </w:r>
          </w:p>
        </w:tc>
        <w:tc>
          <w:tcPr>
            <w:tcW w:w="95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0.0</w:t>
            </w:r>
          </w:p>
        </w:tc>
      </w:tr>
      <w:tr w:rsidR="00527686" w:rsidRPr="004E355C" w:rsidTr="0071340F">
        <w:trPr>
          <w:gridAfter w:val="1"/>
          <w:wAfter w:w="9" w:type="dxa"/>
          <w:trHeight w:val="269"/>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w:t>
            </w:r>
          </w:p>
        </w:tc>
        <w:tc>
          <w:tcPr>
            <w:tcW w:w="3500" w:type="dxa"/>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Siguria ushqimore dhe mbrojtja e konsumatorit</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1,378,450</w:t>
            </w:r>
          </w:p>
        </w:tc>
        <w:tc>
          <w:tcPr>
            <w:tcW w:w="1106"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368,338</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222,628</w:t>
            </w:r>
          </w:p>
        </w:tc>
        <w:tc>
          <w:tcPr>
            <w:tcW w:w="103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37,954</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16.2</w:t>
            </w:r>
          </w:p>
        </w:tc>
        <w:tc>
          <w:tcPr>
            <w:tcW w:w="95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10.3</w:t>
            </w:r>
          </w:p>
        </w:tc>
      </w:tr>
      <w:tr w:rsidR="00527686" w:rsidRPr="004E355C" w:rsidTr="0071340F">
        <w:trPr>
          <w:gridAfter w:val="1"/>
          <w:cnfStyle w:val="000000100000" w:firstRow="0" w:lastRow="0" w:firstColumn="0" w:lastColumn="0" w:oddVBand="0" w:evenVBand="0" w:oddHBand="1" w:evenHBand="0" w:firstRowFirstColumn="0" w:firstRowLastColumn="0" w:lastRowFirstColumn="0" w:lastRowLastColumn="0"/>
          <w:wAfter w:w="9" w:type="dxa"/>
          <w:trHeight w:val="341"/>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w:t>
            </w:r>
          </w:p>
        </w:tc>
        <w:tc>
          <w:tcPr>
            <w:tcW w:w="35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Menaxhimi i infrastruktures se kullimit dhe ujitjes</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690,600</w:t>
            </w:r>
          </w:p>
        </w:tc>
        <w:tc>
          <w:tcPr>
            <w:tcW w:w="1106"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2,555,800</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214,599</w:t>
            </w:r>
          </w:p>
        </w:tc>
        <w:tc>
          <w:tcPr>
            <w:tcW w:w="103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81,999</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31.1</w:t>
            </w:r>
          </w:p>
        </w:tc>
        <w:tc>
          <w:tcPr>
            <w:tcW w:w="95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3.2</w:t>
            </w:r>
          </w:p>
        </w:tc>
      </w:tr>
      <w:tr w:rsidR="00527686" w:rsidRPr="004E355C" w:rsidTr="0071340F">
        <w:trPr>
          <w:gridAfter w:val="1"/>
          <w:wAfter w:w="9" w:type="dxa"/>
          <w:trHeight w:val="412"/>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4.</w:t>
            </w:r>
          </w:p>
        </w:tc>
        <w:tc>
          <w:tcPr>
            <w:tcW w:w="3500" w:type="dxa"/>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Zhvillimi Rural duke mbesht. Prodh. Bujq, Blek, Agroind dhe Market.</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940,650</w:t>
            </w:r>
          </w:p>
        </w:tc>
        <w:tc>
          <w:tcPr>
            <w:tcW w:w="1106"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2,784,682</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96,124</w:t>
            </w:r>
          </w:p>
        </w:tc>
        <w:tc>
          <w:tcPr>
            <w:tcW w:w="103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10.2</w:t>
            </w:r>
          </w:p>
        </w:tc>
        <w:tc>
          <w:tcPr>
            <w:tcW w:w="95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0.0</w:t>
            </w:r>
          </w:p>
        </w:tc>
      </w:tr>
      <w:tr w:rsidR="00527686" w:rsidRPr="004E355C" w:rsidTr="0071340F">
        <w:trPr>
          <w:gridAfter w:val="1"/>
          <w:cnfStyle w:val="000000100000" w:firstRow="0" w:lastRow="0" w:firstColumn="0" w:lastColumn="0" w:oddVBand="0" w:evenVBand="0" w:oddHBand="1" w:evenHBand="0" w:firstRowFirstColumn="0" w:firstRowLastColumn="0" w:lastRowFirstColumn="0" w:lastRowLastColumn="0"/>
          <w:wAfter w:w="9" w:type="dxa"/>
          <w:trHeight w:val="332"/>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5.</w:t>
            </w:r>
          </w:p>
        </w:tc>
        <w:tc>
          <w:tcPr>
            <w:tcW w:w="35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Keshillimi dhe Informacioni Bujqesor</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489,000</w:t>
            </w:r>
          </w:p>
        </w:tc>
        <w:tc>
          <w:tcPr>
            <w:tcW w:w="1106"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20,000</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117,075</w:t>
            </w:r>
          </w:p>
        </w:tc>
        <w:tc>
          <w:tcPr>
            <w:tcW w:w="103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158</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23.9</w:t>
            </w:r>
          </w:p>
        </w:tc>
        <w:tc>
          <w:tcPr>
            <w:tcW w:w="95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0.8</w:t>
            </w:r>
          </w:p>
        </w:tc>
      </w:tr>
      <w:tr w:rsidR="00527686" w:rsidRPr="004E355C" w:rsidTr="0071340F">
        <w:trPr>
          <w:gridAfter w:val="1"/>
          <w:wAfter w:w="9" w:type="dxa"/>
          <w:trHeight w:val="269"/>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6.</w:t>
            </w:r>
          </w:p>
        </w:tc>
        <w:tc>
          <w:tcPr>
            <w:tcW w:w="3500" w:type="dxa"/>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Menaxhimi qendrueshem i tokes bujqesore</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30,000</w:t>
            </w:r>
          </w:p>
        </w:tc>
        <w:tc>
          <w:tcPr>
            <w:tcW w:w="1106"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 -</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788</w:t>
            </w:r>
          </w:p>
        </w:tc>
        <w:tc>
          <w:tcPr>
            <w:tcW w:w="1032"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 </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2.6</w:t>
            </w:r>
          </w:p>
        </w:tc>
        <w:tc>
          <w:tcPr>
            <w:tcW w:w="952"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w:t>
            </w:r>
          </w:p>
        </w:tc>
      </w:tr>
      <w:tr w:rsidR="00527686" w:rsidRPr="004E355C" w:rsidTr="0071340F">
        <w:trPr>
          <w:gridAfter w:val="1"/>
          <w:cnfStyle w:val="000000100000" w:firstRow="0" w:lastRow="0" w:firstColumn="0" w:lastColumn="0" w:oddVBand="0" w:evenVBand="0" w:oddHBand="1" w:evenHBand="0" w:firstRowFirstColumn="0" w:firstRowLastColumn="0" w:lastRowFirstColumn="0" w:lastRowLastColumn="0"/>
          <w:wAfter w:w="9" w:type="dxa"/>
          <w:trHeight w:val="305"/>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7.</w:t>
            </w:r>
          </w:p>
        </w:tc>
        <w:tc>
          <w:tcPr>
            <w:tcW w:w="35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Mbeshtetje per Peshkimin</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110,150</w:t>
            </w:r>
          </w:p>
        </w:tc>
        <w:tc>
          <w:tcPr>
            <w:tcW w:w="1106"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232,600</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26,169</w:t>
            </w:r>
          </w:p>
        </w:tc>
        <w:tc>
          <w:tcPr>
            <w:tcW w:w="103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sz w:val="18"/>
                <w:szCs w:val="18"/>
              </w:rPr>
            </w:pPr>
            <w:r w:rsidRPr="004E355C">
              <w:rPr>
                <w:rFonts w:ascii="Calibri" w:eastAsia="MS Mincho" w:hAnsi="Calibri" w:cs="Arial"/>
                <w:sz w:val="18"/>
                <w:szCs w:val="18"/>
              </w:rPr>
              <w:t>23.8</w:t>
            </w:r>
          </w:p>
        </w:tc>
        <w:tc>
          <w:tcPr>
            <w:tcW w:w="952"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Arial"/>
                <w:sz w:val="18"/>
                <w:szCs w:val="18"/>
              </w:rPr>
            </w:pPr>
            <w:r w:rsidRPr="004E355C">
              <w:rPr>
                <w:rFonts w:ascii="Calibri" w:eastAsia="MS Mincho" w:hAnsi="Calibri" w:cs="Arial"/>
                <w:sz w:val="18"/>
                <w:szCs w:val="18"/>
              </w:rPr>
              <w:t>0.0</w:t>
            </w:r>
          </w:p>
        </w:tc>
      </w:tr>
      <w:tr w:rsidR="00527686" w:rsidRPr="004E355C" w:rsidTr="0071340F">
        <w:trPr>
          <w:gridAfter w:val="1"/>
          <w:wAfter w:w="9" w:type="dxa"/>
          <w:trHeight w:val="251"/>
          <w:jc w:val="center"/>
        </w:trPr>
        <w:tc>
          <w:tcPr>
            <w:cnfStyle w:val="000010000000" w:firstRow="0" w:lastRow="0" w:firstColumn="0" w:lastColumn="0" w:oddVBand="1" w:evenVBand="0" w:oddHBand="0" w:evenHBand="0" w:firstRowFirstColumn="0" w:firstRowLastColumn="0" w:lastRowFirstColumn="0" w:lastRowLastColumn="0"/>
            <w:tcW w:w="474" w:type="dxa"/>
          </w:tcPr>
          <w:p w:rsidR="00527686" w:rsidRPr="004E355C" w:rsidRDefault="00527686" w:rsidP="00527686">
            <w:pPr>
              <w:spacing w:line="276" w:lineRule="auto"/>
              <w:jc w:val="center"/>
              <w:rPr>
                <w:rFonts w:ascii="Calibri" w:hAnsi="Calibri"/>
                <w:b/>
                <w:sz w:val="18"/>
                <w:lang w:val="sq-AL"/>
              </w:rPr>
            </w:pPr>
          </w:p>
        </w:tc>
        <w:tc>
          <w:tcPr>
            <w:tcW w:w="3500" w:type="dxa"/>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sz w:val="18"/>
                <w:lang w:val="sq-AL"/>
              </w:rPr>
            </w:pPr>
            <w:r w:rsidRPr="004E355C">
              <w:rPr>
                <w:rFonts w:ascii="Calibri" w:hAnsi="Calibri"/>
                <w:b/>
                <w:sz w:val="18"/>
                <w:lang w:val="sq-AL"/>
              </w:rPr>
              <w:t>TOTAL</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MS Mincho" w:hAnsi="Calibri" w:cs="Arial"/>
                <w:b/>
                <w:sz w:val="18"/>
                <w:szCs w:val="18"/>
              </w:rPr>
            </w:pPr>
            <w:r w:rsidRPr="004E355C">
              <w:rPr>
                <w:rFonts w:ascii="Calibri" w:eastAsia="MS Mincho" w:hAnsi="Calibri" w:cs="Arial"/>
                <w:b/>
                <w:sz w:val="18"/>
                <w:szCs w:val="18"/>
              </w:rPr>
              <w:t>4,026,542</w:t>
            </w:r>
          </w:p>
        </w:tc>
        <w:tc>
          <w:tcPr>
            <w:tcW w:w="1106"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b/>
                <w:color w:val="FF0000"/>
                <w:sz w:val="18"/>
                <w:szCs w:val="18"/>
                <w:lang w:val="sq-AL"/>
              </w:rPr>
            </w:pPr>
            <w:r w:rsidRPr="004E355C">
              <w:rPr>
                <w:rFonts w:ascii="Calibri" w:eastAsia="MS Mincho" w:hAnsi="Calibri" w:cs="Arial"/>
                <w:b/>
                <w:sz w:val="18"/>
                <w:szCs w:val="18"/>
              </w:rPr>
              <w:t>5,966,420</w:t>
            </w:r>
          </w:p>
        </w:tc>
        <w:tc>
          <w:tcPr>
            <w:cnfStyle w:val="000010000000" w:firstRow="0" w:lastRow="0" w:firstColumn="0" w:lastColumn="0" w:oddVBand="1" w:evenVBand="0" w:oddHBand="0" w:evenHBand="0" w:firstRowFirstColumn="0" w:firstRowLastColumn="0" w:lastRowFirstColumn="0" w:lastRowLastColumn="0"/>
            <w:tcW w:w="1087" w:type="dxa"/>
          </w:tcPr>
          <w:p w:rsidR="00527686" w:rsidRPr="004E355C" w:rsidRDefault="00527686" w:rsidP="00527686">
            <w:pPr>
              <w:spacing w:line="276" w:lineRule="auto"/>
              <w:jc w:val="right"/>
              <w:rPr>
                <w:rFonts w:ascii="Calibri" w:eastAsia="MS Mincho" w:hAnsi="Calibri" w:cs="Arial"/>
                <w:b/>
                <w:bCs/>
                <w:sz w:val="18"/>
                <w:szCs w:val="18"/>
              </w:rPr>
            </w:pPr>
            <w:r w:rsidRPr="004E355C">
              <w:rPr>
                <w:rFonts w:ascii="Calibri" w:eastAsia="MS Mincho" w:hAnsi="Calibri" w:cs="Arial"/>
                <w:b/>
                <w:bCs/>
                <w:sz w:val="18"/>
                <w:szCs w:val="18"/>
              </w:rPr>
              <w:t>764,374</w:t>
            </w:r>
          </w:p>
        </w:tc>
        <w:tc>
          <w:tcPr>
            <w:tcW w:w="103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b/>
                <w:bCs/>
                <w:sz w:val="18"/>
                <w:szCs w:val="18"/>
              </w:rPr>
            </w:pPr>
            <w:r w:rsidRPr="004E355C">
              <w:rPr>
                <w:rFonts w:ascii="Calibri" w:eastAsia="MS Mincho" w:hAnsi="Calibri" w:cs="Arial"/>
                <w:b/>
                <w:bCs/>
                <w:sz w:val="18"/>
                <w:szCs w:val="18"/>
              </w:rPr>
              <w:t>120,111</w:t>
            </w:r>
          </w:p>
        </w:tc>
        <w:tc>
          <w:tcPr>
            <w:cnfStyle w:val="000010000000" w:firstRow="0" w:lastRow="0" w:firstColumn="0" w:lastColumn="0" w:oddVBand="1" w:evenVBand="0" w:oddHBand="0" w:evenHBand="0" w:firstRowFirstColumn="0" w:firstRowLastColumn="0" w:lastRowFirstColumn="0" w:lastRowLastColumn="0"/>
            <w:tcW w:w="896" w:type="dxa"/>
          </w:tcPr>
          <w:p w:rsidR="00527686" w:rsidRPr="004E355C" w:rsidRDefault="00527686" w:rsidP="00527686">
            <w:pPr>
              <w:spacing w:line="276" w:lineRule="auto"/>
              <w:jc w:val="right"/>
              <w:rPr>
                <w:rFonts w:ascii="Calibri" w:eastAsia="MS Mincho" w:hAnsi="Calibri" w:cs="Arial"/>
                <w:b/>
                <w:bCs/>
                <w:sz w:val="18"/>
                <w:szCs w:val="18"/>
              </w:rPr>
            </w:pPr>
            <w:r w:rsidRPr="004E355C">
              <w:rPr>
                <w:rFonts w:ascii="Calibri" w:eastAsia="MS Mincho" w:hAnsi="Calibri" w:cs="Arial"/>
                <w:b/>
                <w:bCs/>
                <w:sz w:val="18"/>
                <w:szCs w:val="18"/>
              </w:rPr>
              <w:t>19.0</w:t>
            </w:r>
          </w:p>
        </w:tc>
        <w:tc>
          <w:tcPr>
            <w:tcW w:w="952"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Arial"/>
                <w:b/>
                <w:bCs/>
                <w:sz w:val="18"/>
                <w:szCs w:val="18"/>
              </w:rPr>
            </w:pPr>
            <w:r w:rsidRPr="004E355C">
              <w:rPr>
                <w:rFonts w:ascii="Calibri" w:eastAsia="MS Mincho" w:hAnsi="Calibri" w:cs="Arial"/>
                <w:b/>
                <w:bCs/>
                <w:sz w:val="18"/>
                <w:szCs w:val="18"/>
              </w:rPr>
              <w:t>2.0</w:t>
            </w:r>
          </w:p>
        </w:tc>
      </w:tr>
    </w:tbl>
    <w:p w:rsidR="00527686" w:rsidRPr="004E355C" w:rsidRDefault="00527686" w:rsidP="00527686">
      <w:pPr>
        <w:spacing w:line="276" w:lineRule="auto"/>
        <w:jc w:val="both"/>
        <w:rPr>
          <w:rFonts w:ascii="Calibri" w:hAnsi="Calibri"/>
          <w:color w:val="FF0000"/>
          <w:lang w:val="sq-AL"/>
        </w:rPr>
      </w:pPr>
    </w:p>
    <w:p w:rsidR="00527686" w:rsidRPr="004E355C" w:rsidRDefault="00527686" w:rsidP="00527686">
      <w:pPr>
        <w:spacing w:line="276" w:lineRule="auto"/>
        <w:jc w:val="both"/>
        <w:rPr>
          <w:rFonts w:ascii="Calibri" w:eastAsia="MS Mincho" w:hAnsi="Calibri"/>
          <w:lang w:val="sq-AL"/>
        </w:rPr>
      </w:pPr>
      <w:r w:rsidRPr="004E355C">
        <w:rPr>
          <w:rFonts w:ascii="Calibri" w:eastAsia="MS Mincho" w:hAnsi="Calibri"/>
          <w:lang w:val="sq-AL"/>
        </w:rPr>
        <w:t xml:space="preserve">Në programin e </w:t>
      </w:r>
      <w:r w:rsidRPr="004E355C">
        <w:rPr>
          <w:rFonts w:ascii="Calibri" w:eastAsia="MS Mincho" w:hAnsi="Calibri"/>
          <w:b/>
          <w:u w:val="single"/>
          <w:lang w:val="sq-AL"/>
        </w:rPr>
        <w:t>“Zhvillimit rural...”</w:t>
      </w:r>
      <w:r w:rsidRPr="004E355C">
        <w:rPr>
          <w:rFonts w:ascii="Calibri" w:eastAsia="MS Mincho" w:hAnsi="Calibri"/>
          <w:u w:val="single"/>
          <w:lang w:val="sq-AL"/>
        </w:rPr>
        <w:t>,</w:t>
      </w:r>
      <w:r w:rsidRPr="004E355C">
        <w:rPr>
          <w:rFonts w:ascii="Calibri" w:eastAsia="MS Mincho" w:hAnsi="Calibri"/>
          <w:lang w:val="sq-AL"/>
        </w:rPr>
        <w:t xml:space="preserve"> janë realizuar produkte me një kosto faktike prej 96,124 (në mijë lekë), të tilla si:</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Hapja e thirrjes për aplikime për masat kombëtare;</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Mbyllja e thirrjes për IPARD;</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 xml:space="preserve">Hartimi i Ligjit për “Skemat e Cilësisë së produkteve bujqësore dhe ushqimore”; ndryshime në Ligjin për “Materialin Mbjellës dhe Shumëzues Bimor”; në Ligjin “Për duhanin”; </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Ngritja e grupeve të punës për hartimin e legjislacionit sipas PPAP për vitin 2019;</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Organizimi i 5 aktiviteteve promovuese brenda dhe jashtë vendit;</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Certifikimi dhe testimi i rreth 2 mln fara dhe fidanë;</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Degustimi i rreth 24 mostrave të cigareve;</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Përfundimi i vrojtimeve statistikore për vitin 2018;</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 xml:space="preserve">Aplikimi për skemat e ullirit në kuadër të projektit ASDO; </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Përfundimi i procedurave për rikonstruksionin e zyrave të AZHBR, blerjen e pajisjeve për Agropikat;</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Përfunduar procesi i verifikimit në vend të sipërfaqeve me vresht dhe ullishte;</w:t>
      </w:r>
    </w:p>
    <w:p w:rsidR="00527686" w:rsidRPr="004E355C" w:rsidRDefault="00527686" w:rsidP="00B95810">
      <w:pPr>
        <w:numPr>
          <w:ilvl w:val="0"/>
          <w:numId w:val="30"/>
        </w:numPr>
        <w:spacing w:line="276" w:lineRule="auto"/>
        <w:jc w:val="both"/>
        <w:rPr>
          <w:rFonts w:ascii="Calibri" w:hAnsi="Calibri"/>
          <w:lang w:val="sq-AL"/>
        </w:rPr>
      </w:pPr>
      <w:r w:rsidRPr="004E355C">
        <w:rPr>
          <w:rFonts w:ascii="Calibri" w:hAnsi="Calibri"/>
          <w:lang w:val="sq-AL"/>
        </w:rPr>
        <w:t xml:space="preserve">Fillimi i procesit të disbursimit të fondeve nga Projekti Mjedisor; etj.  </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lang w:val="sq-AL"/>
        </w:rPr>
        <w:t xml:space="preserve">Në programin </w:t>
      </w:r>
      <w:r w:rsidRPr="004E355C">
        <w:rPr>
          <w:rFonts w:ascii="Calibri" w:eastAsia="MS Mincho" w:hAnsi="Calibri"/>
          <w:b/>
          <w:u w:val="single"/>
          <w:lang w:val="sq-AL"/>
        </w:rPr>
        <w:t>“Siguria ushqimore dhe mbrojtja e konsumatorit”</w:t>
      </w:r>
      <w:r w:rsidRPr="004E355C">
        <w:rPr>
          <w:rFonts w:ascii="Calibri" w:eastAsia="MS Mincho" w:hAnsi="Calibri"/>
          <w:u w:val="single"/>
          <w:lang w:val="sq-AL"/>
        </w:rPr>
        <w:t>,</w:t>
      </w:r>
      <w:r w:rsidRPr="004E355C">
        <w:rPr>
          <w:rFonts w:ascii="Calibri" w:eastAsia="MS Mincho" w:hAnsi="Calibri"/>
          <w:lang w:val="sq-AL"/>
        </w:rPr>
        <w:t xml:space="preserve"> janë realizuar për 4 mujorin e parë produkte me një kosto faktike prej 260,582 (në mijë lekë), ku ndër to përmendim: </w:t>
      </w:r>
    </w:p>
    <w:p w:rsidR="00527686" w:rsidRPr="004E355C" w:rsidRDefault="00527686" w:rsidP="00B95810">
      <w:pPr>
        <w:numPr>
          <w:ilvl w:val="0"/>
          <w:numId w:val="31"/>
        </w:numPr>
        <w:spacing w:line="276" w:lineRule="auto"/>
        <w:contextualSpacing/>
        <w:jc w:val="both"/>
        <w:rPr>
          <w:rFonts w:ascii="Calibri" w:hAnsi="Calibri"/>
          <w:b/>
        </w:rPr>
      </w:pPr>
      <w:r w:rsidRPr="004E355C">
        <w:rPr>
          <w:rFonts w:ascii="Calibri" w:hAnsi="Calibri"/>
        </w:rPr>
        <w:t>Mbrojtja e shëndetit të kafshëve të Imta nëpërmjet vaksinimit kundër sëmundjes së Brucelozës për vitin 2019. Numri i kafshëve që do të vaksinohen do të jetë rreth 527.000 krerë të imta, aktualisht janë blerë vaksinat dhe pritet të fillojë procesi i vaksinimit dhe gjurmimit.</w:t>
      </w:r>
    </w:p>
    <w:p w:rsidR="00527686" w:rsidRPr="004E355C" w:rsidRDefault="00527686" w:rsidP="00B95810">
      <w:pPr>
        <w:numPr>
          <w:ilvl w:val="0"/>
          <w:numId w:val="31"/>
        </w:numPr>
        <w:spacing w:line="276" w:lineRule="auto"/>
        <w:contextualSpacing/>
        <w:jc w:val="both"/>
        <w:rPr>
          <w:rFonts w:ascii="Calibri" w:hAnsi="Calibri"/>
        </w:rPr>
      </w:pPr>
      <w:r w:rsidRPr="004E355C">
        <w:rPr>
          <w:rFonts w:ascii="Calibri" w:hAnsi="Calibri"/>
        </w:rPr>
        <w:t>Janë kryer 9 000 analiza nga Instituti i Sigurisë Ushqimore dhe Veterinarisë, kampione të dërguara nga veterinerët zyrtar dhe inspektorët e AKU. Dërgimi dhe analizimi i kampioneve është i shtrirë në të gjithë vitin, planifikohet që deri në fund të 2019 të realizohen 55 000 analiza.</w:t>
      </w:r>
    </w:p>
    <w:p w:rsidR="00527686" w:rsidRPr="004E355C" w:rsidRDefault="00527686" w:rsidP="00B95810">
      <w:pPr>
        <w:numPr>
          <w:ilvl w:val="0"/>
          <w:numId w:val="31"/>
        </w:numPr>
        <w:spacing w:line="276" w:lineRule="auto"/>
        <w:contextualSpacing/>
        <w:jc w:val="both"/>
        <w:rPr>
          <w:rFonts w:ascii="Calibri" w:hAnsi="Calibri"/>
        </w:rPr>
      </w:pPr>
      <w:r w:rsidRPr="004E355C">
        <w:rPr>
          <w:rFonts w:ascii="Calibri" w:hAnsi="Calibri"/>
        </w:rPr>
        <w:lastRenderedPageBreak/>
        <w:t>Janë kryer 23 000 inspektime për menaxhimin e riskut në fushën e sigurisë ushqimore (AKU), për gjatë vitit janë planifikuar të kryern 92 500 inspektime.</w:t>
      </w:r>
    </w:p>
    <w:p w:rsidR="00527686" w:rsidRPr="004E355C" w:rsidRDefault="00527686" w:rsidP="00B95810">
      <w:pPr>
        <w:numPr>
          <w:ilvl w:val="0"/>
          <w:numId w:val="31"/>
        </w:numPr>
        <w:spacing w:line="276" w:lineRule="auto"/>
        <w:contextualSpacing/>
        <w:jc w:val="both"/>
        <w:rPr>
          <w:rFonts w:ascii="Calibri" w:hAnsi="Calibri"/>
        </w:rPr>
      </w:pPr>
      <w:r w:rsidRPr="004E355C">
        <w:rPr>
          <w:rFonts w:ascii="Calibri" w:hAnsi="Calibri"/>
        </w:rPr>
        <w:t>Për produktin “Emergjenca veterinare dhe emergjenca për sigurinë ushqimore” janë dhën dëmshpërblimet për 73 kafshë të eleminuara, deri në fund të vitit planifikohen 150 kafshë të eleminuara.</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lang w:val="sq-AL"/>
        </w:rPr>
        <w:t xml:space="preserve">Në programin </w:t>
      </w:r>
      <w:r w:rsidRPr="004E355C">
        <w:rPr>
          <w:rFonts w:ascii="Calibri" w:eastAsia="MS Mincho" w:hAnsi="Calibri"/>
          <w:b/>
          <w:lang w:val="sq-AL"/>
        </w:rPr>
        <w:t>“</w:t>
      </w:r>
      <w:r w:rsidRPr="004E355C">
        <w:rPr>
          <w:rFonts w:ascii="Calibri" w:eastAsia="MS Mincho" w:hAnsi="Calibri"/>
          <w:b/>
          <w:u w:val="single"/>
          <w:lang w:val="sq-AL"/>
        </w:rPr>
        <w:t>Këshillimi dhe informacioni bujqësor</w:t>
      </w:r>
      <w:r w:rsidRPr="004E355C">
        <w:rPr>
          <w:rFonts w:ascii="Calibri" w:eastAsia="MS Mincho" w:hAnsi="Calibri"/>
          <w:b/>
          <w:lang w:val="sq-AL"/>
        </w:rPr>
        <w:t>”</w:t>
      </w:r>
      <w:r w:rsidRPr="004E355C">
        <w:rPr>
          <w:rFonts w:ascii="Calibri" w:eastAsia="MS Mincho" w:hAnsi="Calibri"/>
          <w:lang w:val="sq-AL"/>
        </w:rPr>
        <w:t>, janë realizuar produkte me një kosto faktike prej 117,233 mijë lekë, ku përmendim:</w:t>
      </w:r>
    </w:p>
    <w:p w:rsidR="00527686" w:rsidRPr="004E355C" w:rsidRDefault="00527686" w:rsidP="00B95810">
      <w:pPr>
        <w:numPr>
          <w:ilvl w:val="0"/>
          <w:numId w:val="27"/>
        </w:numPr>
        <w:spacing w:line="276" w:lineRule="auto"/>
        <w:jc w:val="both"/>
        <w:rPr>
          <w:rFonts w:ascii="Calibri" w:hAnsi="Calibri"/>
          <w:bCs/>
          <w:lang w:val="en-GB" w:eastAsia="en-GB"/>
        </w:rPr>
      </w:pPr>
      <w:r w:rsidRPr="004E355C">
        <w:rPr>
          <w:rFonts w:ascii="Calibri" w:hAnsi="Calibri"/>
          <w:bCs/>
          <w:lang w:val="en-GB" w:eastAsia="en-GB"/>
        </w:rPr>
        <w:t xml:space="preserve">Fermerë të kontaktuar dhe ofruar shërbime ekstensioni, janë realizuar kontaktime dhe ofruar shërbime 29 000 nga 70 000 të planifikuar. </w:t>
      </w:r>
    </w:p>
    <w:p w:rsidR="00527686" w:rsidRPr="004E355C" w:rsidRDefault="00527686" w:rsidP="00B95810">
      <w:pPr>
        <w:numPr>
          <w:ilvl w:val="0"/>
          <w:numId w:val="27"/>
        </w:numPr>
        <w:spacing w:line="276" w:lineRule="auto"/>
        <w:jc w:val="both"/>
        <w:rPr>
          <w:rFonts w:ascii="Calibri" w:hAnsi="Calibri"/>
          <w:lang w:val="en-GB" w:eastAsia="en-GB"/>
        </w:rPr>
      </w:pPr>
      <w:r w:rsidRPr="004E355C">
        <w:rPr>
          <w:rFonts w:ascii="Calibri" w:hAnsi="Calibri"/>
          <w:bCs/>
          <w:lang w:val="en-GB" w:eastAsia="en-GB"/>
        </w:rPr>
        <w:t>Pajisje laboratorike të blera nga QTTB Fushë Krujë, planifikuar 6 por akoma nuk ka përfunduar lidhja e kontratës.</w:t>
      </w:r>
    </w:p>
    <w:p w:rsidR="00527686" w:rsidRPr="004E355C" w:rsidRDefault="00527686" w:rsidP="00B95810">
      <w:pPr>
        <w:numPr>
          <w:ilvl w:val="0"/>
          <w:numId w:val="27"/>
        </w:numPr>
        <w:spacing w:line="276" w:lineRule="auto"/>
        <w:jc w:val="both"/>
        <w:rPr>
          <w:rFonts w:ascii="Calibri" w:eastAsia="MS Mincho" w:hAnsi="Calibri"/>
          <w:lang w:val="sq-AL"/>
        </w:rPr>
      </w:pPr>
      <w:r w:rsidRPr="004E355C">
        <w:rPr>
          <w:rFonts w:ascii="Calibri" w:hAnsi="Calibri"/>
          <w:bCs/>
          <w:lang w:val="en-GB" w:eastAsia="en-GB"/>
        </w:rPr>
        <w:t>Agregatë bujqësorë të blerë nga QTTB Vlorë, ka dështuar procesi I tenderimit pasi nuk janë plotësuar kriteret e vendosura.</w:t>
      </w:r>
    </w:p>
    <w:p w:rsidR="00527686" w:rsidRPr="004E355C" w:rsidRDefault="00527686" w:rsidP="00B95810">
      <w:pPr>
        <w:numPr>
          <w:ilvl w:val="0"/>
          <w:numId w:val="27"/>
        </w:numPr>
        <w:spacing w:line="276" w:lineRule="auto"/>
        <w:jc w:val="both"/>
        <w:rPr>
          <w:rFonts w:ascii="Calibri" w:eastAsia="MS Mincho" w:hAnsi="Calibri"/>
          <w:lang w:val="sq-AL"/>
        </w:rPr>
      </w:pPr>
      <w:r w:rsidRPr="004E355C">
        <w:rPr>
          <w:rFonts w:ascii="Calibri" w:hAnsi="Calibri"/>
          <w:bCs/>
          <w:lang w:val="en-GB" w:eastAsia="en-GB"/>
        </w:rPr>
        <w:t>Janë asistuar 7 500 fermerë nga Agjensitë Rajonale të Ekstensionit Bujqësor për aplikimet në skemat kombëtare dhe IPARD.</w:t>
      </w:r>
    </w:p>
    <w:p w:rsidR="00527686" w:rsidRPr="004E355C" w:rsidRDefault="00527686" w:rsidP="00527686">
      <w:pPr>
        <w:spacing w:before="240" w:line="276" w:lineRule="auto"/>
        <w:jc w:val="both"/>
        <w:rPr>
          <w:rFonts w:ascii="Calibri" w:hAnsi="Calibri"/>
          <w:lang w:val="sq-AL"/>
        </w:rPr>
      </w:pPr>
      <w:r w:rsidRPr="004E355C">
        <w:rPr>
          <w:rFonts w:ascii="Calibri" w:hAnsi="Calibri"/>
          <w:lang w:val="sq-AL"/>
        </w:rPr>
        <w:t>Në programin “</w:t>
      </w:r>
      <w:r w:rsidRPr="004E355C">
        <w:rPr>
          <w:rFonts w:ascii="Calibri" w:hAnsi="Calibri"/>
          <w:b/>
          <w:lang w:val="sq-AL"/>
        </w:rPr>
        <w:t>Infrastruktura e ujitjes dhe kullimit</w:t>
      </w:r>
      <w:r w:rsidRPr="004E355C">
        <w:rPr>
          <w:rFonts w:ascii="Calibri" w:hAnsi="Calibri"/>
          <w:lang w:val="sq-AL"/>
        </w:rPr>
        <w:t>”, janë parashikuar disa produkte me një kosto totale prej 296,598 mijë lekë, ndër to përmendim:</w:t>
      </w:r>
    </w:p>
    <w:p w:rsidR="00527686" w:rsidRPr="004E355C" w:rsidRDefault="00527686" w:rsidP="00B95810">
      <w:pPr>
        <w:numPr>
          <w:ilvl w:val="0"/>
          <w:numId w:val="27"/>
        </w:numPr>
        <w:spacing w:line="276" w:lineRule="auto"/>
        <w:jc w:val="both"/>
        <w:rPr>
          <w:rFonts w:ascii="Calibri" w:hAnsi="Calibri"/>
          <w:bCs/>
          <w:lang w:val="en-GB" w:eastAsia="en-GB"/>
        </w:rPr>
      </w:pPr>
      <w:r w:rsidRPr="004E355C">
        <w:rPr>
          <w:rFonts w:ascii="Calibri" w:hAnsi="Calibri"/>
          <w:bCs/>
          <w:lang w:val="en-GB" w:eastAsia="en-GB"/>
        </w:rPr>
        <w:t xml:space="preserve">Me projektin e Bankës Botërore vazhdojnë punimet në objektin Dega Krutje, Pjesa fundore e degës së Krutjes (Kanalet V1+V2), ku deri tani janë realizuar rreth 70 % e punimeve fizike, duke mundësuar përmirësimin e ujitjes në sezonin ujitës të këtij viti. </w:t>
      </w:r>
    </w:p>
    <w:p w:rsidR="00527686" w:rsidRPr="004E355C" w:rsidRDefault="00527686" w:rsidP="00B95810">
      <w:pPr>
        <w:numPr>
          <w:ilvl w:val="0"/>
          <w:numId w:val="27"/>
        </w:numPr>
        <w:spacing w:line="276" w:lineRule="auto"/>
        <w:jc w:val="both"/>
        <w:rPr>
          <w:rFonts w:ascii="Calibri" w:hAnsi="Calibri"/>
          <w:bCs/>
          <w:lang w:val="en-GB" w:eastAsia="en-GB"/>
        </w:rPr>
      </w:pPr>
      <w:r w:rsidRPr="004E355C">
        <w:rPr>
          <w:rFonts w:ascii="Calibri" w:hAnsi="Calibri"/>
          <w:bCs/>
          <w:lang w:val="en-GB" w:eastAsia="en-GB"/>
        </w:rPr>
        <w:t>Është realizuar progresi fizik i punimeve në mirëmbajtjen e infrastrukturës së ujitjes dhe kullimit, është në masën rreth 25-30 % duke kontribuar deri tani në bërjen funksional të kanaleve kryesorë ujitës dhe kullues si dhe është mundësuar funksionimi normal i 27 hidrovoreve për kullimin e rreth 70 000 ha.</w:t>
      </w:r>
    </w:p>
    <w:p w:rsidR="00527686" w:rsidRPr="004E355C" w:rsidRDefault="00527686" w:rsidP="00527686">
      <w:pPr>
        <w:shd w:val="clear" w:color="auto" w:fill="FFFFFF"/>
        <w:spacing w:line="276" w:lineRule="auto"/>
        <w:ind w:left="720"/>
        <w:jc w:val="both"/>
        <w:rPr>
          <w:rFonts w:ascii="Calibri" w:hAnsi="Calibri"/>
          <w:bCs/>
          <w:lang w:val="sq-AL" w:eastAsia="en-GB"/>
        </w:rPr>
      </w:pPr>
    </w:p>
    <w:p w:rsidR="0071340F" w:rsidRPr="004E355C" w:rsidRDefault="0071340F" w:rsidP="00527686">
      <w:pPr>
        <w:shd w:val="clear" w:color="auto" w:fill="FFFFFF"/>
        <w:spacing w:line="276" w:lineRule="auto"/>
        <w:ind w:left="720"/>
        <w:jc w:val="both"/>
        <w:rPr>
          <w:rFonts w:ascii="Calibri" w:hAnsi="Calibri"/>
          <w:bCs/>
          <w:lang w:val="sq-AL" w:eastAsia="en-GB"/>
        </w:rPr>
      </w:pPr>
    </w:p>
    <w:p w:rsidR="00527686" w:rsidRPr="004E355C" w:rsidRDefault="0071340F" w:rsidP="0071340F">
      <w:pPr>
        <w:spacing w:before="120" w:after="120" w:line="276" w:lineRule="auto"/>
        <w:jc w:val="both"/>
        <w:rPr>
          <w:rFonts w:asciiTheme="minorHAnsi" w:hAnsiTheme="minorHAnsi"/>
          <w:b/>
          <w:noProof/>
          <w:color w:val="0070C0"/>
          <w:lang w:val="sq-AL"/>
        </w:rPr>
      </w:pPr>
      <w:bookmarkStart w:id="136" w:name="_Toc10033297"/>
      <w:bookmarkStart w:id="137" w:name="_Toc10721433"/>
      <w:bookmarkStart w:id="138" w:name="_Toc11134228"/>
      <w:r w:rsidRPr="004E355C">
        <w:rPr>
          <w:rFonts w:asciiTheme="minorHAnsi" w:hAnsiTheme="minorHAnsi"/>
          <w:b/>
          <w:noProof/>
          <w:color w:val="0070C0"/>
          <w:lang w:val="sq-AL"/>
        </w:rPr>
        <w:t>INFRASTRUKTURA DHE ENERGJIA</w:t>
      </w:r>
      <w:bookmarkEnd w:id="136"/>
      <w:bookmarkEnd w:id="137"/>
      <w:bookmarkEnd w:id="138"/>
    </w:p>
    <w:p w:rsidR="00527686" w:rsidRPr="004E355C" w:rsidRDefault="00527686" w:rsidP="00527686">
      <w:pPr>
        <w:spacing w:line="276" w:lineRule="auto"/>
        <w:jc w:val="both"/>
        <w:rPr>
          <w:rFonts w:ascii="Calibri" w:hAnsi="Calibri"/>
          <w:color w:val="000000"/>
          <w:lang w:val="sq-AL"/>
        </w:rPr>
      </w:pPr>
      <w:r w:rsidRPr="004E355C">
        <w:rPr>
          <w:rFonts w:ascii="Calibri" w:hAnsi="Calibri"/>
          <w:color w:val="000000"/>
          <w:lang w:val="sq-AL"/>
        </w:rPr>
        <w:t>Performanca e treguesve buxhetorë për tre programet kryesore të Ministrisë së Infrastrukturës dhe Energjisë, paraqitet si më poshtë:</w:t>
      </w:r>
    </w:p>
    <w:p w:rsidR="00527686" w:rsidRPr="004E355C" w:rsidRDefault="00527686" w:rsidP="0071340F">
      <w:pPr>
        <w:spacing w:line="276" w:lineRule="auto"/>
        <w:jc w:val="right"/>
        <w:rPr>
          <w:rFonts w:ascii="Calibri" w:hAnsi="Calibri"/>
          <w:bCs/>
          <w:i/>
          <w:iCs/>
          <w:lang w:val="sq-AL"/>
        </w:rPr>
      </w:pPr>
      <w:r w:rsidRPr="004E355C">
        <w:rPr>
          <w:rFonts w:ascii="Calibri" w:hAnsi="Calibri"/>
          <w:bCs/>
          <w:i/>
          <w:iCs/>
          <w:lang w:val="sq-AL"/>
        </w:rPr>
        <w:t>në mijë lekë</w:t>
      </w:r>
    </w:p>
    <w:tbl>
      <w:tblPr>
        <w:tblStyle w:val="ListTable3-Accent52"/>
        <w:tblW w:w="5250" w:type="pct"/>
        <w:jc w:val="center"/>
        <w:tblLayout w:type="fixed"/>
        <w:tblLook w:val="01E0" w:firstRow="1" w:lastRow="1" w:firstColumn="1" w:lastColumn="1" w:noHBand="0" w:noVBand="0"/>
      </w:tblPr>
      <w:tblGrid>
        <w:gridCol w:w="544"/>
        <w:gridCol w:w="2725"/>
        <w:gridCol w:w="1222"/>
        <w:gridCol w:w="1257"/>
        <w:gridCol w:w="1238"/>
        <w:gridCol w:w="1245"/>
        <w:gridCol w:w="1011"/>
        <w:gridCol w:w="1096"/>
      </w:tblGrid>
      <w:tr w:rsidR="00527686" w:rsidRPr="004E355C" w:rsidTr="0071340F">
        <w:trPr>
          <w:cnfStyle w:val="100000000000" w:firstRow="1" w:lastRow="0" w:firstColumn="0" w:lastColumn="0" w:oddVBand="0" w:evenVBand="0" w:oddHBand="0" w:evenHBand="0" w:firstRowFirstColumn="0" w:firstRowLastColumn="0" w:lastRowFirstColumn="0" w:lastRowLastColumn="0"/>
          <w:trHeight w:val="350"/>
          <w:jc w:val="center"/>
        </w:trPr>
        <w:tc>
          <w:tcPr>
            <w:cnfStyle w:val="001000000100" w:firstRow="0" w:lastRow="0" w:firstColumn="1" w:lastColumn="0" w:oddVBand="0" w:evenVBand="0" w:oddHBand="0" w:evenHBand="0" w:firstRowFirstColumn="1" w:firstRowLastColumn="0" w:lastRowFirstColumn="0" w:lastRowLastColumn="0"/>
            <w:tcW w:w="263" w:type="pct"/>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NR</w:t>
            </w:r>
          </w:p>
        </w:tc>
        <w:tc>
          <w:tcPr>
            <w:cnfStyle w:val="000010000000" w:firstRow="0" w:lastRow="0" w:firstColumn="0" w:lastColumn="0" w:oddVBand="1" w:evenVBand="0" w:oddHBand="0" w:evenHBand="0" w:firstRowFirstColumn="0" w:firstRowLastColumn="0" w:lastRowFirstColumn="0" w:lastRowLastColumn="0"/>
            <w:tcW w:w="1318" w:type="pct"/>
            <w:vMerge w:val="restar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Emërtimi i Programit</w:t>
            </w:r>
          </w:p>
        </w:tc>
        <w:tc>
          <w:tcPr>
            <w:tcW w:w="1199" w:type="pct"/>
            <w:gridSpan w:val="2"/>
          </w:tcPr>
          <w:p w:rsidR="00527686" w:rsidRPr="004E355C" w:rsidRDefault="00527686" w:rsidP="00527686">
            <w:pPr>
              <w:spacing w:line="276" w:lineRule="auto"/>
              <w:ind w:left="80"/>
              <w:jc w:val="center"/>
              <w:cnfStyle w:val="100000000000" w:firstRow="1"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Plani 2019</w:t>
            </w:r>
          </w:p>
        </w:tc>
        <w:tc>
          <w:tcPr>
            <w:cnfStyle w:val="000010000000" w:firstRow="0" w:lastRow="0" w:firstColumn="0" w:lastColumn="0" w:oddVBand="1" w:evenVBand="0" w:oddHBand="0" w:evenHBand="0" w:firstRowFirstColumn="0" w:firstRowLastColumn="0" w:lastRowFirstColumn="0" w:lastRowLastColumn="0"/>
            <w:tcW w:w="1201" w:type="pct"/>
            <w:gridSpan w:val="2"/>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Fakti 4-mujori 2019</w:t>
            </w:r>
          </w:p>
        </w:tc>
        <w:tc>
          <w:tcPr>
            <w:cnfStyle w:val="000100001000" w:firstRow="0" w:lastRow="0" w:firstColumn="0" w:lastColumn="1" w:oddVBand="0" w:evenVBand="0" w:oddHBand="0" w:evenHBand="0" w:firstRowFirstColumn="0" w:firstRowLastColumn="1" w:lastRowFirstColumn="0" w:lastRowLastColumn="0"/>
            <w:tcW w:w="1019" w:type="pct"/>
            <w:gridSpan w:val="2"/>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Përqindja  e realizimit</w:t>
            </w:r>
          </w:p>
        </w:tc>
      </w:tr>
      <w:tr w:rsidR="00527686" w:rsidRPr="004E355C" w:rsidTr="0071340F">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263" w:type="pct"/>
            <w:vMerge/>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318" w:type="pct"/>
            <w:vMerge/>
          </w:tcPr>
          <w:p w:rsidR="00527686" w:rsidRPr="004E355C" w:rsidRDefault="00527686" w:rsidP="00527686">
            <w:pPr>
              <w:spacing w:line="276" w:lineRule="auto"/>
              <w:jc w:val="center"/>
              <w:rPr>
                <w:rFonts w:ascii="Calibri" w:hAnsi="Calibri"/>
                <w:b/>
                <w:sz w:val="18"/>
                <w:lang w:val="sq-AL"/>
              </w:rPr>
            </w:pPr>
          </w:p>
        </w:tc>
        <w:tc>
          <w:tcPr>
            <w:tcW w:w="591" w:type="pct"/>
          </w:tcPr>
          <w:p w:rsidR="00527686" w:rsidRPr="004E355C" w:rsidRDefault="00527686" w:rsidP="00527686">
            <w:pPr>
              <w:spacing w:line="276" w:lineRule="auto"/>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ind w:left="80"/>
              <w:jc w:val="center"/>
              <w:rPr>
                <w:rFonts w:ascii="Calibri" w:hAnsi="Calibri"/>
                <w:b/>
                <w:sz w:val="18"/>
                <w:lang w:val="sq-AL"/>
              </w:rPr>
            </w:pPr>
            <w:r w:rsidRPr="004E355C">
              <w:rPr>
                <w:rFonts w:ascii="Calibri" w:hAnsi="Calibri"/>
                <w:b/>
                <w:sz w:val="18"/>
                <w:lang w:val="sq-AL"/>
              </w:rPr>
              <w:t>Investime</w:t>
            </w:r>
          </w:p>
        </w:tc>
        <w:tc>
          <w:tcPr>
            <w:tcW w:w="59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center"/>
              <w:rPr>
                <w:rFonts w:ascii="Calibri" w:hAnsi="Calibri"/>
                <w:b/>
                <w:sz w:val="18"/>
                <w:lang w:val="sq-AL"/>
              </w:rPr>
            </w:pPr>
            <w:r w:rsidRPr="004E355C">
              <w:rPr>
                <w:rFonts w:ascii="Calibri" w:hAnsi="Calibri"/>
                <w:b/>
                <w:sz w:val="18"/>
                <w:lang w:val="sq-AL"/>
              </w:rPr>
              <w:t>Investime</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Investime</w:t>
            </w:r>
          </w:p>
        </w:tc>
      </w:tr>
      <w:tr w:rsidR="00527686" w:rsidRPr="004E355C" w:rsidTr="0071340F">
        <w:trPr>
          <w:trHeight w:val="255"/>
          <w:jc w:val="center"/>
        </w:trPr>
        <w:tc>
          <w:tcPr>
            <w:cnfStyle w:val="001000000000" w:firstRow="0" w:lastRow="0" w:firstColumn="1" w:lastColumn="0" w:oddVBand="0" w:evenVBand="0" w:oddHBand="0" w:evenHBand="0" w:firstRowFirstColumn="0" w:firstRowLastColumn="0" w:lastRowFirstColumn="0" w:lastRowLastColumn="0"/>
            <w:tcW w:w="26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Transporti Rrugor</w:t>
            </w:r>
          </w:p>
        </w:tc>
        <w:tc>
          <w:tcPr>
            <w:tcW w:w="591"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1,879,908</w:t>
            </w: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14,755,100</w:t>
            </w:r>
          </w:p>
        </w:tc>
        <w:tc>
          <w:tcPr>
            <w:tcW w:w="59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593,467</w:t>
            </w: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3,378,649</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31.57%</w:t>
            </w: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22.9%</w:t>
            </w:r>
          </w:p>
        </w:tc>
      </w:tr>
      <w:tr w:rsidR="00527686" w:rsidRPr="004E355C" w:rsidTr="0071340F">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26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contextualSpacing/>
              <w:rPr>
                <w:rFonts w:ascii="Calibri" w:hAnsi="Calibri"/>
                <w:sz w:val="18"/>
                <w:lang w:val="sq-AL"/>
              </w:rPr>
            </w:pPr>
            <w:r w:rsidRPr="004E355C">
              <w:rPr>
                <w:rFonts w:ascii="Calibri" w:hAnsi="Calibri"/>
                <w:sz w:val="18"/>
                <w:lang w:val="sq-AL"/>
              </w:rPr>
              <w:t>Financimi i huaj</w:t>
            </w:r>
          </w:p>
        </w:tc>
        <w:tc>
          <w:tcPr>
            <w:tcW w:w="591"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6,308,132</w:t>
            </w:r>
          </w:p>
        </w:tc>
        <w:tc>
          <w:tcPr>
            <w:tcW w:w="599"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2,125,422</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33.69%</w:t>
            </w:r>
          </w:p>
        </w:tc>
      </w:tr>
      <w:tr w:rsidR="00527686" w:rsidRPr="004E355C" w:rsidTr="0071340F">
        <w:trPr>
          <w:trHeight w:val="282"/>
          <w:jc w:val="center"/>
        </w:trPr>
        <w:tc>
          <w:tcPr>
            <w:cnfStyle w:val="001000000000" w:firstRow="0" w:lastRow="0" w:firstColumn="1" w:lastColumn="0" w:oddVBand="0" w:evenVBand="0" w:oddHBand="0" w:evenHBand="0" w:firstRowFirstColumn="0" w:firstRowLastColumn="0" w:lastRowFirstColumn="0" w:lastRowLastColumn="0"/>
            <w:tcW w:w="26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Mbështetje për Energjinë</w:t>
            </w:r>
          </w:p>
        </w:tc>
        <w:tc>
          <w:tcPr>
            <w:tcW w:w="591"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93,930</w:t>
            </w: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1,750,000</w:t>
            </w:r>
          </w:p>
        </w:tc>
        <w:tc>
          <w:tcPr>
            <w:tcW w:w="59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26,372</w:t>
            </w: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1,523,662</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28.08%</w:t>
            </w: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87.07%</w:t>
            </w:r>
          </w:p>
        </w:tc>
      </w:tr>
      <w:tr w:rsidR="00527686" w:rsidRPr="004E355C" w:rsidTr="0071340F">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26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Financimi i huaj</w:t>
            </w:r>
          </w:p>
        </w:tc>
        <w:tc>
          <w:tcPr>
            <w:tcW w:w="591"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4,160,000</w:t>
            </w:r>
          </w:p>
        </w:tc>
        <w:tc>
          <w:tcPr>
            <w:tcW w:w="599" w:type="pct"/>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201,165</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4.84%</w:t>
            </w:r>
          </w:p>
        </w:tc>
      </w:tr>
      <w:tr w:rsidR="00527686" w:rsidRPr="004E355C" w:rsidTr="0071340F">
        <w:trPr>
          <w:trHeight w:val="305"/>
          <w:jc w:val="center"/>
        </w:trPr>
        <w:tc>
          <w:tcPr>
            <w:cnfStyle w:val="001000000000" w:firstRow="0" w:lastRow="0" w:firstColumn="1" w:lastColumn="0" w:oddVBand="0" w:evenVBand="0" w:oddHBand="0" w:evenHBand="0" w:firstRowFirstColumn="0" w:firstRowLastColumn="0" w:lastRowFirstColumn="0" w:lastRowLastColumn="0"/>
            <w:tcW w:w="26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Furnizimi me ujë dhe Kanalizime</w:t>
            </w:r>
          </w:p>
        </w:tc>
        <w:tc>
          <w:tcPr>
            <w:tcW w:w="591"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463,285</w:t>
            </w: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4,399,500</w:t>
            </w:r>
          </w:p>
        </w:tc>
        <w:tc>
          <w:tcPr>
            <w:tcW w:w="599" w:type="pct"/>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14,097</w:t>
            </w: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1,249,784</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3.04%</w:t>
            </w:r>
          </w:p>
        </w:tc>
        <w:tc>
          <w:tcPr>
            <w:cnfStyle w:val="000100000000" w:firstRow="0" w:lastRow="0" w:firstColumn="0" w:lastColumn="1" w:oddVBand="0" w:evenVBand="0" w:oddHBand="0" w:evenHBand="0" w:firstRowFirstColumn="0" w:firstRowLastColumn="0" w:lastRowFirstColumn="0" w:lastRowLastColumn="0"/>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28.41%</w:t>
            </w:r>
          </w:p>
        </w:tc>
      </w:tr>
      <w:tr w:rsidR="00527686" w:rsidRPr="004E355C" w:rsidTr="0071340F">
        <w:trPr>
          <w:cnfStyle w:val="010000000000" w:firstRow="0" w:lastRow="1" w:firstColumn="0" w:lastColumn="0" w:oddVBand="0" w:evenVBand="0" w:oddHBand="0" w:evenHBand="0" w:firstRowFirstColumn="0" w:firstRowLastColumn="0" w:lastRowFirstColumn="0" w:lastRowLastColumn="0"/>
          <w:trHeight w:val="218"/>
          <w:jc w:val="center"/>
        </w:trPr>
        <w:tc>
          <w:tcPr>
            <w:cnfStyle w:val="001000000001" w:firstRow="0" w:lastRow="0" w:firstColumn="1" w:lastColumn="0" w:oddVBand="0" w:evenVBand="0" w:oddHBand="0" w:evenHBand="0" w:firstRowFirstColumn="0" w:firstRowLastColumn="0" w:lastRowFirstColumn="1" w:lastRowLastColumn="0"/>
            <w:tcW w:w="263" w:type="pct"/>
          </w:tcPr>
          <w:p w:rsidR="00527686" w:rsidRPr="004E355C" w:rsidRDefault="00527686" w:rsidP="00527686">
            <w:pPr>
              <w:spacing w:line="276" w:lineRule="auto"/>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318"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Financimi i huaj</w:t>
            </w:r>
          </w:p>
        </w:tc>
        <w:tc>
          <w:tcPr>
            <w:tcW w:w="591" w:type="pct"/>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8"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5,520,000</w:t>
            </w:r>
          </w:p>
        </w:tc>
        <w:tc>
          <w:tcPr>
            <w:tcW w:w="599" w:type="pct"/>
          </w:tcPr>
          <w:p w:rsidR="00527686" w:rsidRPr="004E355C" w:rsidRDefault="00527686" w:rsidP="00527686">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2" w:type="pct"/>
          </w:tcPr>
          <w:p w:rsidR="00527686" w:rsidRPr="004E355C" w:rsidRDefault="00527686" w:rsidP="00527686">
            <w:pPr>
              <w:spacing w:line="276" w:lineRule="auto"/>
              <w:jc w:val="right"/>
              <w:rPr>
                <w:rFonts w:ascii="Calibri" w:hAnsi="Calibri"/>
                <w:sz w:val="18"/>
                <w:lang w:val="sq-AL"/>
              </w:rPr>
            </w:pPr>
            <w:r w:rsidRPr="004E355C">
              <w:rPr>
                <w:rFonts w:ascii="Calibri" w:hAnsi="Calibri"/>
                <w:sz w:val="18"/>
                <w:lang w:val="sq-AL"/>
              </w:rPr>
              <w:t>598,238</w:t>
            </w:r>
          </w:p>
        </w:tc>
        <w:tc>
          <w:tcPr>
            <w:tcW w:w="489" w:type="pct"/>
          </w:tcPr>
          <w:p w:rsidR="00527686" w:rsidRPr="004E355C" w:rsidRDefault="00527686" w:rsidP="00527686">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100000010" w:firstRow="0" w:lastRow="0" w:firstColumn="0" w:lastColumn="1" w:oddVBand="0" w:evenVBand="0" w:oddHBand="0" w:evenHBand="0" w:firstRowFirstColumn="0" w:firstRowLastColumn="0" w:lastRowFirstColumn="0" w:lastRowLastColumn="1"/>
            <w:tcW w:w="530"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10.84%</w:t>
            </w:r>
          </w:p>
        </w:tc>
      </w:tr>
    </w:tbl>
    <w:p w:rsidR="0071340F" w:rsidRPr="004E355C" w:rsidRDefault="0071340F" w:rsidP="00527686">
      <w:pPr>
        <w:spacing w:before="240" w:after="120" w:line="276" w:lineRule="auto"/>
        <w:jc w:val="both"/>
        <w:rPr>
          <w:rFonts w:ascii="Calibri" w:eastAsia="MS Mincho" w:hAnsi="Calibri"/>
          <w:b/>
          <w:lang w:val="sq-AL"/>
        </w:rPr>
      </w:pPr>
    </w:p>
    <w:p w:rsidR="0071340F" w:rsidRPr="004E355C" w:rsidRDefault="0071340F" w:rsidP="00527686">
      <w:pPr>
        <w:spacing w:before="240" w:after="120" w:line="276" w:lineRule="auto"/>
        <w:jc w:val="both"/>
        <w:rPr>
          <w:rFonts w:ascii="Calibri" w:eastAsia="MS Mincho" w:hAnsi="Calibri"/>
          <w:b/>
          <w:lang w:val="sq-AL"/>
        </w:rPr>
      </w:pP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b/>
          <w:lang w:val="sq-AL"/>
        </w:rPr>
        <w:lastRenderedPageBreak/>
        <w:t>Për programin “Transporti Rrugor</w:t>
      </w:r>
      <w:r w:rsidRPr="004E355C">
        <w:rPr>
          <w:rFonts w:ascii="Calibri" w:eastAsia="MS Mincho" w:hAnsi="Calibri"/>
          <w:lang w:val="sq-AL"/>
        </w:rPr>
        <w:t xml:space="preserve">” për 4 Mujorin e parë të vitit 2019, fondet janë realizuar në nivelin 27% kundrejt fondeve vjetore te planifikuara.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lang w:val="sq-AL"/>
        </w:rPr>
        <w:t xml:space="preserve"> Produkti </w:t>
      </w:r>
      <w:r w:rsidRPr="004E355C">
        <w:rPr>
          <w:rFonts w:ascii="Calibri" w:eastAsia="MS Mincho" w:hAnsi="Calibri"/>
          <w:i/>
          <w:lang w:val="sq-AL"/>
        </w:rPr>
        <w:t>“Kontrata Punimesh dhe Mirëmbajtje të Rrugëve Nacionale të Menaxhuara”,</w:t>
      </w:r>
      <w:r w:rsidRPr="004E355C">
        <w:rPr>
          <w:rFonts w:ascii="Calibri" w:eastAsia="MS Mincho" w:hAnsi="Calibri"/>
          <w:lang w:val="sq-AL"/>
        </w:rPr>
        <w:t xml:space="preserve"> është realizuar në masën  22.63 % përgjatë 4 mujorit, kundrejt fondeve të planifikuara për vitin 2019.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“Studime/Projekte të kryera nga Instituti i Transportit”</w:t>
      </w:r>
      <w:r w:rsidRPr="004E355C">
        <w:rPr>
          <w:rFonts w:ascii="Calibri" w:eastAsia="MS Mincho" w:hAnsi="Calibri"/>
          <w:lang w:val="sq-AL"/>
        </w:rPr>
        <w:t xml:space="preserve"> është realizuar në masën  28 % përgjatë 4 mujorit, kundrejt fondeve të planifikuara për vitin 2019.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“Rrugë Nacionale të Mirëmbajtura”</w:t>
      </w:r>
      <w:r w:rsidRPr="004E355C">
        <w:rPr>
          <w:rFonts w:ascii="Calibri" w:eastAsia="MS Mincho" w:hAnsi="Calibri"/>
          <w:lang w:val="sq-AL"/>
        </w:rPr>
        <w:t xml:space="preserve"> është realizuar në masën  34 % përgjatë 4 mujorit, kundrejt fondeve të planifikuara për vitin 2019.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rPr>
        <w:t xml:space="preserve">Për </w:t>
      </w:r>
      <w:r w:rsidRPr="004E355C">
        <w:rPr>
          <w:rFonts w:ascii="Calibri" w:eastAsia="MS Mincho" w:hAnsi="Calibri"/>
          <w:lang w:val="sq-AL"/>
        </w:rPr>
        <w:t xml:space="preserve">programin “Transporti Rrugor” është kërkuar </w:t>
      </w:r>
      <w:r w:rsidRPr="004E355C">
        <w:rPr>
          <w:rFonts w:ascii="Calibri" w:eastAsia="MS Mincho" w:hAnsi="Calibri"/>
        </w:rPr>
        <w:t xml:space="preserve">fond shtesë në vlerën </w:t>
      </w:r>
      <w:r w:rsidRPr="004E355C">
        <w:rPr>
          <w:rFonts w:ascii="Calibri" w:hAnsi="Calibri"/>
          <w:lang w:eastAsia="it-IT"/>
        </w:rPr>
        <w:t>302,500 USD, për përballimin e kostos administrative të arbitrazhit për çështjen e projektit “Ndërtimi i rrugës Tiranë-Elbasan”,</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b/>
          <w:lang w:val="sq-AL"/>
        </w:rPr>
        <w:t>Në programin “Furnizimi me Ujë dhe Kanalizime</w:t>
      </w:r>
      <w:r w:rsidRPr="004E355C">
        <w:rPr>
          <w:rFonts w:ascii="Calibri" w:eastAsia="MS Mincho" w:hAnsi="Calibri"/>
          <w:lang w:val="sq-AL"/>
        </w:rPr>
        <w:t xml:space="preserve">” për 4 Mujorin e parë të vitit 2019, fondet janë realizuar në nivelin 18 % kundrejt fondeve vjetore te planifikuara.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“Monitorime të kryera në sektorin e ujësjellës kanalizimeve”</w:t>
      </w:r>
      <w:r w:rsidRPr="004E355C">
        <w:rPr>
          <w:rFonts w:ascii="Calibri" w:eastAsia="MS Mincho" w:hAnsi="Calibri"/>
          <w:lang w:val="sq-AL"/>
        </w:rPr>
        <w:t xml:space="preserve">, është realizuar në masën  22.38 % përgjatë 4 mujorit, kundrejt fondeve të planifikuara për vitin 2019. </w:t>
      </w:r>
    </w:p>
    <w:p w:rsidR="00527686" w:rsidRPr="004E355C" w:rsidRDefault="00527686" w:rsidP="00527686">
      <w:pPr>
        <w:spacing w:after="200" w:line="276" w:lineRule="auto"/>
        <w:jc w:val="both"/>
        <w:rPr>
          <w:rFonts w:ascii="Calibri" w:eastAsia="Calibri" w:hAnsi="Calibri"/>
          <w:i/>
        </w:rPr>
      </w:pPr>
      <w:r w:rsidRPr="004E355C">
        <w:rPr>
          <w:rFonts w:ascii="Calibri" w:eastAsia="MS Mincho" w:hAnsi="Calibri"/>
          <w:lang w:val="sq-AL"/>
        </w:rPr>
        <w:t xml:space="preserve">Produkti </w:t>
      </w:r>
      <w:r w:rsidRPr="004E355C">
        <w:rPr>
          <w:rFonts w:ascii="Calibri" w:eastAsia="MS Mincho" w:hAnsi="Calibri"/>
          <w:i/>
          <w:lang w:val="sq-AL"/>
        </w:rPr>
        <w:t>“Ndërmarrje të ujesjellës kanalizimeve të subvencionuara</w:t>
      </w:r>
      <w:r w:rsidRPr="004E355C">
        <w:rPr>
          <w:rFonts w:ascii="Calibri" w:eastAsia="MS Mincho" w:hAnsi="Calibri"/>
          <w:lang w:val="sq-AL"/>
        </w:rPr>
        <w:t xml:space="preserve">” paraqitet pa realizim përgjatë 4 Mujorit të parë të vitit 2019. </w:t>
      </w:r>
      <w:r w:rsidRPr="004E355C">
        <w:rPr>
          <w:rFonts w:ascii="Calibri" w:eastAsia="Calibri" w:hAnsi="Calibri"/>
        </w:rPr>
        <w:t>Aryeja e mosrealizimit lidhet me :</w:t>
      </w:r>
      <w:r w:rsidRPr="004E355C">
        <w:rPr>
          <w:rFonts w:ascii="Calibri" w:eastAsia="Calibri" w:hAnsi="Calibri"/>
          <w:i/>
        </w:rPr>
        <w:t xml:space="preserve"> </w:t>
      </w:r>
    </w:p>
    <w:p w:rsidR="00527686" w:rsidRPr="004E355C" w:rsidRDefault="00527686" w:rsidP="00B95810">
      <w:pPr>
        <w:numPr>
          <w:ilvl w:val="0"/>
          <w:numId w:val="32"/>
        </w:numPr>
        <w:spacing w:after="200" w:line="276" w:lineRule="auto"/>
        <w:contextualSpacing/>
        <w:jc w:val="both"/>
        <w:rPr>
          <w:rFonts w:ascii="Calibri" w:eastAsia="Calibri" w:hAnsi="Calibri"/>
          <w:i/>
        </w:rPr>
      </w:pPr>
      <w:r w:rsidRPr="004E355C">
        <w:rPr>
          <w:rFonts w:ascii="Calibri" w:eastAsia="Calibri" w:hAnsi="Calibri"/>
          <w:i/>
        </w:rPr>
        <w:t xml:space="preserve">AKUM-ja, bazuar në vlerësimin e performancës të sh.a. UK-ve, brenda muajit shtator të çdo viti i propozon ministrisë përgjegjëse për infrastrukturën, metodologjinë dhe skemën që duhet të zbatohet për ndarjen e fondeve, për përqindjen që shkon për mbulimin e "Kostos direkte të operimit" (në rastet e shoqërive me vlerë negative të diferencës së të ardhurave të faturuara -KDO) dhe përqindjen e fondit të përgjithshëm që do të shkojë për nxitjen e performancës së shoqërive, pavarësisht diferencës së kostos. (Për këtë vit është miratuar </w:t>
      </w:r>
      <w:r w:rsidRPr="004E355C">
        <w:rPr>
          <w:rFonts w:ascii="Calibri" w:eastAsia="MS Mincho" w:hAnsi="Calibri"/>
          <w:bCs/>
          <w:i/>
        </w:rPr>
        <w:t xml:space="preserve">Udhëzimi nr. 2, datë 2.4.2019 “Për miratimin e metodologjisë për kriteret dhe procedurat për shpërndarjen dhe përdorimin e subvencioneve shtetërore për </w:t>
      </w:r>
      <w:r w:rsidRPr="004E355C">
        <w:rPr>
          <w:rFonts w:ascii="Calibri" w:eastAsia="Calibri" w:hAnsi="Calibri"/>
          <w:bCs/>
          <w:i/>
        </w:rPr>
        <w:t>ofruesit e shërbimeve në sektorin e ujësjellës-kanalizimeve”, por ende nuk është sjellë detajimi për shpërndarjen e fondeve nga ana e MIE)</w:t>
      </w:r>
    </w:p>
    <w:p w:rsidR="0071340F" w:rsidRPr="004E355C" w:rsidRDefault="0071340F" w:rsidP="0071340F">
      <w:pPr>
        <w:spacing w:before="240" w:line="276" w:lineRule="auto"/>
        <w:jc w:val="both"/>
        <w:rPr>
          <w:rFonts w:ascii="Calibri" w:eastAsia="MS Mincho" w:hAnsi="Calibri"/>
          <w:sz w:val="8"/>
          <w:szCs w:val="8"/>
        </w:rPr>
      </w:pPr>
    </w:p>
    <w:p w:rsidR="00527686" w:rsidRPr="004E355C" w:rsidRDefault="00527686" w:rsidP="00527686">
      <w:pPr>
        <w:spacing w:before="240" w:after="120" w:line="276" w:lineRule="auto"/>
        <w:jc w:val="both"/>
        <w:rPr>
          <w:rFonts w:ascii="Calibri" w:eastAsia="MS Mincho" w:hAnsi="Calibri"/>
        </w:rPr>
      </w:pPr>
      <w:r w:rsidRPr="004E355C">
        <w:rPr>
          <w:rFonts w:ascii="Calibri" w:eastAsia="MS Mincho" w:hAnsi="Calibri"/>
        </w:rPr>
        <w:t xml:space="preserve">Në </w:t>
      </w:r>
      <w:r w:rsidRPr="004E355C">
        <w:rPr>
          <w:rFonts w:ascii="Calibri" w:eastAsia="MS Mincho" w:hAnsi="Calibri"/>
          <w:lang w:val="sq-AL"/>
        </w:rPr>
        <w:t>programin “Furnizimi me Ujë dhe Kanalizime” është kërkuar</w:t>
      </w:r>
      <w:r w:rsidRPr="004E355C">
        <w:rPr>
          <w:rFonts w:ascii="Calibri" w:eastAsia="MS Mincho" w:hAnsi="Calibri"/>
        </w:rPr>
        <w:t xml:space="preserve">: </w:t>
      </w:r>
    </w:p>
    <w:p w:rsidR="00527686" w:rsidRPr="004E355C" w:rsidRDefault="00527686" w:rsidP="00B95810">
      <w:pPr>
        <w:numPr>
          <w:ilvl w:val="0"/>
          <w:numId w:val="32"/>
        </w:numPr>
        <w:spacing w:after="200" w:line="276" w:lineRule="auto"/>
        <w:contextualSpacing/>
        <w:jc w:val="both"/>
        <w:rPr>
          <w:rFonts w:ascii="Calibri" w:eastAsia="MS Mincho" w:hAnsi="Calibri"/>
          <w:i/>
        </w:rPr>
      </w:pPr>
      <w:r w:rsidRPr="004E355C">
        <w:rPr>
          <w:rFonts w:ascii="Calibri" w:eastAsia="MS Mincho" w:hAnsi="Calibri"/>
          <w:i/>
        </w:rPr>
        <w:t>Shtesë fondi për paga në shumën prej 5 milion lekë. Realizimi i fondeve për 5- mujorin është 35.86 %, pretendimi vjen për periudhën në vazhdim në kushtet kur organika është duke u plotësuar dhe fondet janë të pamjaftueshëm.</w:t>
      </w:r>
    </w:p>
    <w:p w:rsidR="00527686" w:rsidRPr="004E355C" w:rsidRDefault="00527686" w:rsidP="00B95810">
      <w:pPr>
        <w:numPr>
          <w:ilvl w:val="0"/>
          <w:numId w:val="32"/>
        </w:numPr>
        <w:spacing w:after="200" w:line="276" w:lineRule="auto"/>
        <w:contextualSpacing/>
        <w:jc w:val="both"/>
        <w:rPr>
          <w:rFonts w:ascii="Calibri" w:eastAsia="MS Mincho" w:hAnsi="Calibri"/>
          <w:i/>
        </w:rPr>
      </w:pPr>
      <w:r w:rsidRPr="004E355C">
        <w:rPr>
          <w:rFonts w:ascii="Calibri" w:eastAsia="MS Mincho" w:hAnsi="Calibri"/>
          <w:i/>
        </w:rPr>
        <w:t xml:space="preserve">Shtesë fondi në shumën 7.7 milion lekë për dëmshpërbimin e punonjësve, pas përfundimit të mardhënieve në shërbimin civil, për shkak të ristrukturimit. </w:t>
      </w:r>
    </w:p>
    <w:p w:rsidR="0071340F" w:rsidRPr="004E355C" w:rsidRDefault="0071340F" w:rsidP="00527686">
      <w:pPr>
        <w:spacing w:before="240" w:after="120" w:line="276" w:lineRule="auto"/>
        <w:jc w:val="both"/>
        <w:rPr>
          <w:rFonts w:ascii="Calibri" w:hAnsi="Calibri"/>
          <w:b/>
          <w:lang w:val="sq-AL"/>
        </w:rPr>
      </w:pPr>
    </w:p>
    <w:p w:rsidR="0071340F" w:rsidRPr="004E355C" w:rsidRDefault="0071340F" w:rsidP="00527686">
      <w:pPr>
        <w:spacing w:before="240" w:after="120" w:line="276" w:lineRule="auto"/>
        <w:jc w:val="both"/>
        <w:rPr>
          <w:rFonts w:ascii="Calibri" w:hAnsi="Calibri"/>
          <w:b/>
          <w:lang w:val="sq-AL"/>
        </w:rPr>
      </w:pP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hAnsi="Calibri"/>
          <w:b/>
          <w:lang w:val="sq-AL"/>
        </w:rPr>
        <w:lastRenderedPageBreak/>
        <w:t>Në programin “Mbështetje për Energjinë”</w:t>
      </w:r>
      <w:r w:rsidRPr="004E355C">
        <w:rPr>
          <w:rFonts w:ascii="Calibri" w:hAnsi="Calibri"/>
          <w:lang w:val="sq-AL"/>
        </w:rPr>
        <w:t xml:space="preserve"> </w:t>
      </w:r>
      <w:r w:rsidRPr="004E355C">
        <w:rPr>
          <w:rFonts w:ascii="Calibri" w:eastAsia="MS Mincho" w:hAnsi="Calibri"/>
          <w:lang w:val="sq-AL"/>
        </w:rPr>
        <w:t xml:space="preserve">për 4 Mujorin e parë të vitit 2019, fondet janë realizuar në nivelin 29.17 % kundrejt fondeve vjetore te planifikuara. </w:t>
      </w:r>
    </w:p>
    <w:p w:rsidR="00527686" w:rsidRPr="004E355C" w:rsidRDefault="00527686" w:rsidP="00527686">
      <w:pPr>
        <w:spacing w:before="240" w:after="12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“Kuadër ligjor i përmirësuar në fushën e energjisë bërthamore”</w:t>
      </w:r>
      <w:r w:rsidRPr="004E355C">
        <w:rPr>
          <w:rFonts w:ascii="Calibri" w:eastAsia="MS Mincho" w:hAnsi="Calibri"/>
          <w:lang w:val="sq-AL"/>
        </w:rPr>
        <w:t xml:space="preserve">, është realizuar në masën  29.65 % përgjatë 4 mujorit, kundrejt fondeve të planifikuara për vitin 2019. </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“Ligje të përmirësuara në fushën e eficencës së energjisë</w:t>
      </w:r>
      <w:r w:rsidRPr="004E355C">
        <w:rPr>
          <w:rFonts w:ascii="Calibri" w:eastAsia="MS Mincho" w:hAnsi="Calibri"/>
          <w:lang w:val="sq-AL"/>
        </w:rPr>
        <w:t>”, është realizuar në masën  33.86 % përgjatë 4 mujorit, kundrejt fondeve të planifikuara për vitin 2019.</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“Shërbime të kryera asistencë arbitrazh në fushën e energjisë</w:t>
      </w:r>
      <w:r w:rsidRPr="004E355C">
        <w:rPr>
          <w:rFonts w:ascii="Calibri" w:eastAsia="MS Mincho" w:hAnsi="Calibri"/>
          <w:lang w:val="sq-AL"/>
        </w:rPr>
        <w:t>”, është realizuar në masën  27.41 % përgjatë 4 mujorit, kundrejt fondeve të planifikuara për vitin 2019.</w:t>
      </w:r>
    </w:p>
    <w:p w:rsidR="00527686" w:rsidRPr="004E355C" w:rsidRDefault="00527686" w:rsidP="00527686">
      <w:pPr>
        <w:spacing w:before="240" w:line="276" w:lineRule="auto"/>
        <w:jc w:val="both"/>
        <w:rPr>
          <w:rFonts w:ascii="Calibri" w:eastAsia="MS Mincho" w:hAnsi="Calibri"/>
          <w:lang w:val="sq-AL"/>
        </w:rPr>
      </w:pPr>
      <w:r w:rsidRPr="004E355C">
        <w:rPr>
          <w:rFonts w:ascii="Calibri" w:eastAsia="MS Mincho" w:hAnsi="Calibri"/>
        </w:rPr>
        <w:t xml:space="preserve">Në </w:t>
      </w:r>
      <w:r w:rsidRPr="004E355C">
        <w:rPr>
          <w:rFonts w:ascii="Calibri" w:eastAsia="MS Mincho" w:hAnsi="Calibri"/>
          <w:lang w:val="sq-AL"/>
        </w:rPr>
        <w:t>programin “</w:t>
      </w:r>
      <w:r w:rsidRPr="004E355C">
        <w:rPr>
          <w:rFonts w:ascii="Calibri" w:hAnsi="Calibri"/>
          <w:lang w:val="sq-AL"/>
        </w:rPr>
        <w:t xml:space="preserve">Mbështetje për Energjinë”, </w:t>
      </w:r>
      <w:r w:rsidRPr="004E355C">
        <w:rPr>
          <w:rFonts w:ascii="Calibri" w:eastAsia="MS Mincho" w:hAnsi="Calibri"/>
        </w:rPr>
        <w:t>fondet për personelin për Agjensinë e Eficencës së Energjisë</w:t>
      </w:r>
      <w:r w:rsidRPr="004E355C">
        <w:rPr>
          <w:rFonts w:ascii="Calibri" w:eastAsia="MS Mincho" w:hAnsi="Calibri"/>
          <w:b/>
        </w:rPr>
        <w:t xml:space="preserve"> </w:t>
      </w:r>
      <w:r w:rsidRPr="004E355C">
        <w:rPr>
          <w:rFonts w:ascii="Calibri" w:eastAsia="MS Mincho" w:hAnsi="Calibri"/>
        </w:rPr>
        <w:t>do të jenë të pamjaftueshme deri në fund të vitit 2019 duke patur në konsideratë ritmin e realizimit të shpenzimeve, për këtë artikull.</w:t>
      </w:r>
    </w:p>
    <w:p w:rsidR="00527686" w:rsidRPr="004E355C" w:rsidRDefault="00527686" w:rsidP="00527686">
      <w:pPr>
        <w:spacing w:line="276" w:lineRule="auto"/>
        <w:ind w:left="780"/>
        <w:contextualSpacing/>
        <w:jc w:val="both"/>
        <w:rPr>
          <w:rFonts w:ascii="Calibri" w:eastAsia="Calibri" w:hAnsi="Calibri"/>
          <w:lang w:val="sq-AL"/>
        </w:rPr>
      </w:pPr>
    </w:p>
    <w:p w:rsidR="00527686" w:rsidRPr="004E355C" w:rsidRDefault="0071340F" w:rsidP="0071340F">
      <w:pPr>
        <w:spacing w:before="120" w:after="120" w:line="276" w:lineRule="auto"/>
        <w:jc w:val="both"/>
        <w:rPr>
          <w:rFonts w:asciiTheme="minorHAnsi" w:hAnsiTheme="minorHAnsi"/>
          <w:b/>
          <w:noProof/>
          <w:color w:val="0070C0"/>
          <w:lang w:val="sq-AL"/>
        </w:rPr>
      </w:pPr>
      <w:bookmarkStart w:id="139" w:name="_Toc10033298"/>
      <w:bookmarkStart w:id="140" w:name="_Toc10721434"/>
      <w:bookmarkStart w:id="141" w:name="_Toc11134229"/>
      <w:r w:rsidRPr="004E355C">
        <w:rPr>
          <w:rFonts w:asciiTheme="minorHAnsi" w:hAnsiTheme="minorHAnsi"/>
          <w:b/>
          <w:noProof/>
          <w:color w:val="0070C0"/>
          <w:lang w:val="sq-AL"/>
        </w:rPr>
        <w:t>TURIZMI DHE MJEDISI</w:t>
      </w:r>
      <w:bookmarkEnd w:id="139"/>
      <w:bookmarkEnd w:id="140"/>
      <w:bookmarkEnd w:id="141"/>
    </w:p>
    <w:p w:rsidR="00977916" w:rsidRPr="004E355C" w:rsidRDefault="00527686" w:rsidP="00977916">
      <w:pPr>
        <w:spacing w:before="240" w:line="276" w:lineRule="auto"/>
        <w:jc w:val="both"/>
        <w:rPr>
          <w:rFonts w:ascii="Calibri" w:hAnsi="Calibri"/>
          <w:b/>
          <w:bCs/>
          <w:i/>
          <w:iCs/>
          <w:lang w:val="sq-AL"/>
        </w:rPr>
      </w:pPr>
      <w:r w:rsidRPr="004E355C">
        <w:rPr>
          <w:rFonts w:ascii="Calibri" w:hAnsi="Calibri"/>
          <w:color w:val="000000"/>
          <w:lang w:val="sq-AL"/>
        </w:rPr>
        <w:t>Performanca e treguesve buxhetorë për tre programet kryesore në Ministrinë e Mjedisit dhe Turizmit paraqitet si më poshtë:</w:t>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t xml:space="preserve"> </w:t>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b/>
          <w:bCs/>
          <w:i/>
          <w:iCs/>
          <w:lang w:val="sq-AL"/>
        </w:rPr>
        <w:t xml:space="preserve"> </w:t>
      </w:r>
    </w:p>
    <w:p w:rsidR="00527686" w:rsidRPr="004E355C" w:rsidRDefault="00527686" w:rsidP="00977916">
      <w:pPr>
        <w:spacing w:line="276" w:lineRule="auto"/>
        <w:jc w:val="right"/>
        <w:rPr>
          <w:rFonts w:ascii="Calibri" w:hAnsi="Calibri"/>
          <w:color w:val="000000"/>
          <w:lang w:val="sq-AL"/>
        </w:rPr>
      </w:pPr>
      <w:r w:rsidRPr="004E355C">
        <w:rPr>
          <w:rFonts w:ascii="Calibri" w:hAnsi="Calibri"/>
          <w:bCs/>
          <w:i/>
          <w:iCs/>
          <w:lang w:val="sq-AL"/>
        </w:rPr>
        <w:t>në mijë lekë</w:t>
      </w:r>
    </w:p>
    <w:tbl>
      <w:tblPr>
        <w:tblStyle w:val="ListTable3-Accent52"/>
        <w:tblW w:w="5000" w:type="pct"/>
        <w:tblLayout w:type="fixed"/>
        <w:tblLook w:val="01E0" w:firstRow="1" w:lastRow="1" w:firstColumn="1" w:lastColumn="1" w:noHBand="0" w:noVBand="0"/>
      </w:tblPr>
      <w:tblGrid>
        <w:gridCol w:w="538"/>
        <w:gridCol w:w="2188"/>
        <w:gridCol w:w="1185"/>
        <w:gridCol w:w="1518"/>
        <w:gridCol w:w="1272"/>
        <w:gridCol w:w="1180"/>
        <w:gridCol w:w="963"/>
        <w:gridCol w:w="1002"/>
      </w:tblGrid>
      <w:tr w:rsidR="00527686" w:rsidRPr="004E355C" w:rsidTr="00977916">
        <w:trPr>
          <w:cnfStyle w:val="100000000000" w:firstRow="1" w:lastRow="0" w:firstColumn="0" w:lastColumn="0" w:oddVBand="0" w:evenVBand="0" w:oddHBand="0" w:evenHBand="0" w:firstRowFirstColumn="0" w:firstRowLastColumn="0" w:lastRowFirstColumn="0" w:lastRowLastColumn="0"/>
          <w:trHeight w:val="179"/>
        </w:trPr>
        <w:tc>
          <w:tcPr>
            <w:cnfStyle w:val="001000000100" w:firstRow="0" w:lastRow="0" w:firstColumn="1" w:lastColumn="0" w:oddVBand="0" w:evenVBand="0" w:oddHBand="0" w:evenHBand="0" w:firstRowFirstColumn="1" w:firstRowLastColumn="0" w:lastRowFirstColumn="0" w:lastRowLastColumn="0"/>
            <w:tcW w:w="273" w:type="pct"/>
            <w:vMerge w:val="restart"/>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sz w:val="18"/>
                <w:lang w:val="sq-AL"/>
              </w:rPr>
              <w:t>NR</w:t>
            </w:r>
          </w:p>
        </w:tc>
        <w:tc>
          <w:tcPr>
            <w:cnfStyle w:val="000010000000" w:firstRow="0" w:lastRow="0" w:firstColumn="0" w:lastColumn="0" w:oddVBand="1" w:evenVBand="0" w:oddHBand="0" w:evenHBand="0" w:firstRowFirstColumn="0" w:firstRowLastColumn="0" w:lastRowFirstColumn="0" w:lastRowLastColumn="0"/>
            <w:tcW w:w="1111" w:type="pct"/>
            <w:vMerge w:val="restart"/>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sz w:val="18"/>
                <w:lang w:val="sq-AL"/>
              </w:rPr>
              <w:t>Emërtimi i Programit</w:t>
            </w:r>
          </w:p>
        </w:tc>
        <w:tc>
          <w:tcPr>
            <w:tcW w:w="1373" w:type="pct"/>
            <w:gridSpan w:val="2"/>
          </w:tcPr>
          <w:p w:rsidR="00527686" w:rsidRPr="004E355C" w:rsidRDefault="00527686" w:rsidP="00527686">
            <w:pPr>
              <w:spacing w:line="276" w:lineRule="auto"/>
              <w:ind w:left="84"/>
              <w:jc w:val="center"/>
              <w:cnfStyle w:val="100000000000" w:firstRow="1" w:lastRow="0" w:firstColumn="0" w:lastColumn="0" w:oddVBand="0" w:evenVBand="0" w:oddHBand="0" w:evenHBand="0" w:firstRowFirstColumn="0" w:firstRowLastColumn="0" w:lastRowFirstColumn="0" w:lastRowLastColumn="0"/>
              <w:rPr>
                <w:rFonts w:ascii="Calibri" w:hAnsi="Calibri"/>
                <w:b w:val="0"/>
                <w:sz w:val="18"/>
                <w:lang w:val="sq-AL"/>
              </w:rPr>
            </w:pPr>
            <w:r w:rsidRPr="004E355C">
              <w:rPr>
                <w:rFonts w:ascii="Calibri" w:hAnsi="Calibri"/>
                <w:b w:val="0"/>
                <w:sz w:val="18"/>
                <w:lang w:val="sq-AL"/>
              </w:rPr>
              <w:t>Plani 2019</w:t>
            </w:r>
          </w:p>
        </w:tc>
        <w:tc>
          <w:tcPr>
            <w:cnfStyle w:val="000010000000" w:firstRow="0" w:lastRow="0" w:firstColumn="0" w:lastColumn="0" w:oddVBand="1" w:evenVBand="0" w:oddHBand="0" w:evenHBand="0" w:firstRowFirstColumn="0" w:firstRowLastColumn="0" w:lastRowFirstColumn="0" w:lastRowLastColumn="0"/>
            <w:tcW w:w="1245" w:type="pct"/>
            <w:gridSpan w:val="2"/>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sz w:val="18"/>
                <w:lang w:val="sq-AL"/>
              </w:rPr>
              <w:t>Fakti 4M 2019</w:t>
            </w:r>
          </w:p>
        </w:tc>
        <w:tc>
          <w:tcPr>
            <w:cnfStyle w:val="000100001000" w:firstRow="0" w:lastRow="0" w:firstColumn="0" w:lastColumn="1" w:oddVBand="0" w:evenVBand="0" w:oddHBand="0" w:evenHBand="0" w:firstRowFirstColumn="0" w:firstRowLastColumn="1" w:lastRowFirstColumn="0" w:lastRowLastColumn="0"/>
            <w:tcW w:w="998" w:type="pct"/>
            <w:gridSpan w:val="2"/>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bCs w:val="0"/>
                <w:sz w:val="18"/>
                <w:lang w:val="sq-AL"/>
              </w:rPr>
              <w:t>Përqindja  e realizimit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89"/>
        </w:trPr>
        <w:tc>
          <w:tcPr>
            <w:cnfStyle w:val="001000000000" w:firstRow="0" w:lastRow="0" w:firstColumn="1" w:lastColumn="0" w:oddVBand="0" w:evenVBand="0" w:oddHBand="0" w:evenHBand="0" w:firstRowFirstColumn="0" w:firstRowLastColumn="0" w:lastRowFirstColumn="0" w:lastRowLastColumn="0"/>
            <w:tcW w:w="273" w:type="pct"/>
            <w:vMerge/>
          </w:tcPr>
          <w:p w:rsidR="00527686" w:rsidRPr="004E355C" w:rsidRDefault="00527686" w:rsidP="00527686">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111" w:type="pct"/>
            <w:vMerge/>
          </w:tcPr>
          <w:p w:rsidR="00527686" w:rsidRPr="004E355C" w:rsidRDefault="00527686" w:rsidP="00527686">
            <w:pPr>
              <w:spacing w:line="276" w:lineRule="auto"/>
              <w:jc w:val="center"/>
              <w:rPr>
                <w:rFonts w:ascii="Calibri" w:hAnsi="Calibri"/>
                <w:b/>
                <w:sz w:val="18"/>
                <w:lang w:val="sq-AL"/>
              </w:rPr>
            </w:pPr>
          </w:p>
        </w:tc>
        <w:tc>
          <w:tcPr>
            <w:tcW w:w="602" w:type="pct"/>
          </w:tcPr>
          <w:p w:rsidR="00527686" w:rsidRPr="004E355C" w:rsidRDefault="00527686" w:rsidP="00527686">
            <w:pPr>
              <w:spacing w:line="276" w:lineRule="auto"/>
              <w:ind w:left="85"/>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ind w:left="85"/>
              <w:jc w:val="center"/>
              <w:rPr>
                <w:rFonts w:ascii="Calibri" w:hAnsi="Calibri"/>
                <w:b/>
                <w:sz w:val="18"/>
                <w:lang w:val="sq-AL"/>
              </w:rPr>
            </w:pPr>
            <w:r w:rsidRPr="004E355C">
              <w:rPr>
                <w:rFonts w:ascii="Calibri" w:hAnsi="Calibri"/>
                <w:b/>
                <w:sz w:val="18"/>
                <w:lang w:val="sq-AL"/>
              </w:rPr>
              <w:t>Investime</w:t>
            </w:r>
          </w:p>
        </w:tc>
        <w:tc>
          <w:tcPr>
            <w:tcW w:w="646"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b/>
                <w:sz w:val="18"/>
                <w:lang w:val="sq-AL"/>
              </w:rPr>
            </w:pPr>
            <w:r w:rsidRPr="004E355C">
              <w:rPr>
                <w:rFonts w:ascii="Calibri" w:hAnsi="Calibri"/>
                <w:b/>
                <w:sz w:val="18"/>
                <w:lang w:val="sq-AL"/>
              </w:rPr>
              <w:t>Investime</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sz w:val="18"/>
                <w:lang w:val="sq-AL"/>
              </w:rPr>
              <w:t>Investime</w:t>
            </w:r>
          </w:p>
        </w:tc>
      </w:tr>
      <w:tr w:rsidR="00527686" w:rsidRPr="004E355C" w:rsidTr="00977916">
        <w:tc>
          <w:tcPr>
            <w:cnfStyle w:val="001000000000" w:firstRow="0" w:lastRow="0" w:firstColumn="1" w:lastColumn="0" w:oddVBand="0" w:evenVBand="0" w:oddHBand="0" w:evenHBand="0" w:firstRowFirstColumn="0" w:firstRowLastColumn="0" w:lastRowFirstColumn="0" w:lastRowLastColumn="0"/>
            <w:tcW w:w="273"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Mbrojtja e Mjedisit</w:t>
            </w:r>
          </w:p>
        </w:tc>
        <w:tc>
          <w:tcPr>
            <w:tcW w:w="602"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458,800</w:t>
            </w: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281,170</w:t>
            </w:r>
          </w:p>
        </w:tc>
        <w:tc>
          <w:tcPr>
            <w:tcW w:w="646"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122,008</w:t>
            </w: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27,173</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26.59%</w:t>
            </w: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9.66%</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273" w:type="pct"/>
          </w:tcPr>
          <w:p w:rsidR="00527686" w:rsidRPr="004E355C" w:rsidRDefault="00527686" w:rsidP="00527686">
            <w:pPr>
              <w:spacing w:line="276" w:lineRule="auto"/>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ind w:left="65"/>
              <w:contextualSpacing/>
              <w:rPr>
                <w:rFonts w:ascii="Calibri" w:hAnsi="Calibri"/>
                <w:sz w:val="18"/>
                <w:lang w:val="sq-AL"/>
              </w:rPr>
            </w:pPr>
            <w:r w:rsidRPr="004E355C">
              <w:rPr>
                <w:rFonts w:ascii="Calibri" w:hAnsi="Calibri"/>
                <w:sz w:val="18"/>
                <w:lang w:val="sq-AL"/>
              </w:rPr>
              <w:t>Financimi i huaj</w:t>
            </w:r>
          </w:p>
        </w:tc>
        <w:tc>
          <w:tcPr>
            <w:tcW w:w="602"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215,000</w:t>
            </w:r>
          </w:p>
        </w:tc>
        <w:tc>
          <w:tcPr>
            <w:tcW w:w="646"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65,239</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30.34%</w:t>
            </w:r>
          </w:p>
        </w:tc>
      </w:tr>
      <w:tr w:rsidR="00527686" w:rsidRPr="004E355C" w:rsidTr="00977916">
        <w:trPr>
          <w:trHeight w:val="116"/>
        </w:trPr>
        <w:tc>
          <w:tcPr>
            <w:cnfStyle w:val="001000000000" w:firstRow="0" w:lastRow="0" w:firstColumn="1" w:lastColumn="0" w:oddVBand="0" w:evenVBand="0" w:oddHBand="0" w:evenHBand="0" w:firstRowFirstColumn="0" w:firstRowLastColumn="0" w:lastRowFirstColumn="0" w:lastRowLastColumn="0"/>
            <w:tcW w:w="273"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Administrimi i Pyjeve</w:t>
            </w:r>
          </w:p>
        </w:tc>
        <w:tc>
          <w:tcPr>
            <w:tcW w:w="602"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447,040</w:t>
            </w: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165,790</w:t>
            </w:r>
          </w:p>
        </w:tc>
        <w:tc>
          <w:tcPr>
            <w:tcW w:w="646"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125,355</w:t>
            </w: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12,949</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28.04%</w:t>
            </w: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7.81%</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125"/>
        </w:trPr>
        <w:tc>
          <w:tcPr>
            <w:cnfStyle w:val="001000000000" w:firstRow="0" w:lastRow="0" w:firstColumn="1" w:lastColumn="0" w:oddVBand="0" w:evenVBand="0" w:oddHBand="0" w:evenHBand="0" w:firstRowFirstColumn="0" w:firstRowLastColumn="0" w:lastRowFirstColumn="0" w:lastRowLastColumn="0"/>
            <w:tcW w:w="273" w:type="pct"/>
          </w:tcPr>
          <w:p w:rsidR="00527686" w:rsidRPr="004E355C" w:rsidRDefault="00527686" w:rsidP="00527686">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rPr>
                <w:rFonts w:ascii="Calibri" w:hAnsi="Calibri"/>
                <w:b/>
                <w:sz w:val="18"/>
                <w:lang w:val="sq-AL"/>
              </w:rPr>
            </w:pPr>
            <w:r w:rsidRPr="004E355C">
              <w:rPr>
                <w:rFonts w:ascii="Calibri" w:hAnsi="Calibri"/>
                <w:sz w:val="18"/>
                <w:lang w:val="sq-AL"/>
              </w:rPr>
              <w:t>Financimi i huaj</w:t>
            </w:r>
          </w:p>
        </w:tc>
        <w:tc>
          <w:tcPr>
            <w:tcW w:w="602"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375,000</w:t>
            </w:r>
          </w:p>
        </w:tc>
        <w:tc>
          <w:tcPr>
            <w:tcW w:w="646"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54,717</w:t>
            </w:r>
          </w:p>
        </w:tc>
        <w:tc>
          <w:tcPr>
            <w:tcW w:w="48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14.59%</w:t>
            </w:r>
          </w:p>
        </w:tc>
      </w:tr>
      <w:tr w:rsidR="00527686" w:rsidRPr="004E355C" w:rsidTr="00977916">
        <w:trPr>
          <w:trHeight w:val="125"/>
        </w:trPr>
        <w:tc>
          <w:tcPr>
            <w:cnfStyle w:val="001000000000" w:firstRow="0" w:lastRow="0" w:firstColumn="1" w:lastColumn="0" w:oddVBand="0" w:evenVBand="0" w:oddHBand="0" w:evenHBand="0" w:firstRowFirstColumn="0" w:firstRowLastColumn="0" w:lastRowFirstColumn="0" w:lastRowLastColumn="0"/>
            <w:tcW w:w="273"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Zhvillimi i Turizmit</w:t>
            </w:r>
          </w:p>
        </w:tc>
        <w:tc>
          <w:tcPr>
            <w:tcW w:w="602"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153,000</w:t>
            </w: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322,000</w:t>
            </w:r>
          </w:p>
        </w:tc>
        <w:tc>
          <w:tcPr>
            <w:tcW w:w="646"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36,848</w:t>
            </w: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270</w:t>
            </w:r>
          </w:p>
        </w:tc>
        <w:tc>
          <w:tcPr>
            <w:tcW w:w="48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24.08%</w:t>
            </w:r>
          </w:p>
        </w:tc>
        <w:tc>
          <w:tcPr>
            <w:cnfStyle w:val="000100000000" w:firstRow="0" w:lastRow="0" w:firstColumn="0" w:lastColumn="1" w:oddVBand="0" w:evenVBand="0" w:oddHBand="0" w:evenHBand="0" w:firstRowFirstColumn="0" w:firstRowLastColumn="0" w:lastRowFirstColumn="0" w:lastRowLastColumn="0"/>
            <w:tcW w:w="50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0.08%</w:t>
            </w:r>
          </w:p>
        </w:tc>
      </w:tr>
      <w:tr w:rsidR="00527686" w:rsidRPr="004E355C" w:rsidTr="00977916">
        <w:trPr>
          <w:cnfStyle w:val="010000000000" w:firstRow="0" w:lastRow="1" w:firstColumn="0" w:lastColumn="0" w:oddVBand="0" w:evenVBand="0" w:oddHBand="0" w:evenHBand="0" w:firstRowFirstColumn="0" w:firstRowLastColumn="0" w:lastRowFirstColumn="0" w:lastRowLastColumn="0"/>
          <w:trHeight w:val="125"/>
        </w:trPr>
        <w:tc>
          <w:tcPr>
            <w:cnfStyle w:val="001000000001" w:firstRow="0" w:lastRow="0" w:firstColumn="1" w:lastColumn="0" w:oddVBand="0" w:evenVBand="0" w:oddHBand="0" w:evenHBand="0" w:firstRowFirstColumn="0" w:firstRowLastColumn="0" w:lastRowFirstColumn="1" w:lastRowLastColumn="0"/>
            <w:tcW w:w="273" w:type="pct"/>
          </w:tcPr>
          <w:p w:rsidR="00527686" w:rsidRPr="004E355C" w:rsidRDefault="00527686" w:rsidP="00527686">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111"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Financimi i huaj</w:t>
            </w:r>
          </w:p>
        </w:tc>
        <w:tc>
          <w:tcPr>
            <w:tcW w:w="602" w:type="pct"/>
          </w:tcPr>
          <w:p w:rsidR="00527686" w:rsidRPr="004E355C" w:rsidRDefault="00527686" w:rsidP="00527686">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771"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w:t>
            </w:r>
          </w:p>
        </w:tc>
        <w:tc>
          <w:tcPr>
            <w:tcW w:w="646" w:type="pct"/>
          </w:tcPr>
          <w:p w:rsidR="00527686" w:rsidRPr="004E355C" w:rsidRDefault="00527686" w:rsidP="00527686">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599" w:type="pc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w:t>
            </w:r>
          </w:p>
        </w:tc>
        <w:tc>
          <w:tcPr>
            <w:tcW w:w="489" w:type="pct"/>
          </w:tcPr>
          <w:p w:rsidR="00527686" w:rsidRPr="004E355C" w:rsidRDefault="00527686" w:rsidP="00527686">
            <w:pPr>
              <w:spacing w:line="276" w:lineRule="auto"/>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100000010" w:firstRow="0" w:lastRow="0" w:firstColumn="0" w:lastColumn="1" w:oddVBand="0" w:evenVBand="0" w:oddHBand="0" w:evenHBand="0" w:firstRowFirstColumn="0" w:firstRowLastColumn="0" w:lastRowFirstColumn="0" w:lastRowLastColumn="1"/>
            <w:tcW w:w="509"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w:t>
            </w:r>
          </w:p>
        </w:tc>
      </w:tr>
    </w:tbl>
    <w:p w:rsidR="00977916" w:rsidRPr="004E355C" w:rsidRDefault="00977916" w:rsidP="00977916">
      <w:pPr>
        <w:spacing w:before="240" w:after="120" w:line="276" w:lineRule="auto"/>
        <w:contextualSpacing/>
        <w:jc w:val="both"/>
        <w:rPr>
          <w:rFonts w:ascii="Calibri" w:eastAsia="MS Mincho" w:hAnsi="Calibri"/>
          <w:b/>
          <w:lang w:val="sq-AL"/>
        </w:rPr>
      </w:pP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b/>
          <w:lang w:val="sq-AL"/>
        </w:rPr>
        <w:t>Në programin “Mbrojtja e Mjedisit</w:t>
      </w:r>
      <w:r w:rsidRPr="004E355C">
        <w:rPr>
          <w:rFonts w:ascii="Calibri" w:eastAsia="MS Mincho" w:hAnsi="Calibri"/>
          <w:lang w:val="sq-AL"/>
        </w:rPr>
        <w:t xml:space="preserve">” për 4 Mujorin e parë të vitit 2019, fondet janë realizuar në nivelin 22.45 % kundrejt fondeve vjetore te planifikuara.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“Inspektime te kryera”,</w:t>
      </w:r>
      <w:r w:rsidRPr="004E355C">
        <w:rPr>
          <w:rFonts w:ascii="Calibri" w:eastAsia="MS Mincho" w:hAnsi="Calibri"/>
          <w:lang w:val="sq-AL"/>
        </w:rPr>
        <w:t xml:space="preserve"> është realizuar në masën  26.44 %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“Raporte monitorimi”</w:t>
      </w:r>
      <w:r w:rsidRPr="004E355C">
        <w:rPr>
          <w:rFonts w:ascii="Calibri" w:eastAsia="MS Mincho" w:hAnsi="Calibri"/>
          <w:lang w:val="sq-AL"/>
        </w:rPr>
        <w:t xml:space="preserve"> është realizuar në masën  36.79 %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“Dosje te  shqyrtuara per perftimin e lejeve te mjedisit”</w:t>
      </w:r>
      <w:r w:rsidRPr="004E355C">
        <w:rPr>
          <w:rFonts w:ascii="Calibri" w:eastAsia="MS Mincho" w:hAnsi="Calibri"/>
          <w:lang w:val="sq-AL"/>
        </w:rPr>
        <w:t xml:space="preserve"> është realizuar në masën  25.91 %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rPr>
        <w:t xml:space="preserve">Për </w:t>
      </w:r>
      <w:r w:rsidRPr="004E355C">
        <w:rPr>
          <w:rFonts w:ascii="Calibri" w:eastAsia="MS Mincho" w:hAnsi="Calibri"/>
          <w:lang w:val="sq-AL"/>
        </w:rPr>
        <w:t>programin “</w:t>
      </w:r>
      <w:r w:rsidRPr="004E355C">
        <w:rPr>
          <w:rFonts w:ascii="Calibri" w:eastAsia="MS Mincho" w:hAnsi="Calibri"/>
          <w:i/>
          <w:lang w:val="sq-AL"/>
        </w:rPr>
        <w:t>Mbrojtja e Mjedisit</w:t>
      </w:r>
      <w:r w:rsidRPr="004E355C">
        <w:rPr>
          <w:rFonts w:ascii="Calibri" w:eastAsia="MS Mincho" w:hAnsi="Calibri"/>
          <w:lang w:val="sq-AL"/>
        </w:rPr>
        <w:t xml:space="preserve">” është kërkuar </w:t>
      </w:r>
      <w:r w:rsidRPr="004E355C">
        <w:rPr>
          <w:rFonts w:ascii="Calibri" w:eastAsia="MS Mincho" w:hAnsi="Calibri"/>
        </w:rPr>
        <w:t xml:space="preserve">fond shtesë në vlerën </w:t>
      </w:r>
      <w:r w:rsidRPr="004E355C">
        <w:rPr>
          <w:rFonts w:ascii="Calibri" w:hAnsi="Calibri"/>
          <w:lang w:eastAsia="it-IT"/>
        </w:rPr>
        <w:t>49.9 milionë lekë, për përballimin e shpenzimeve të personelit.</w:t>
      </w:r>
    </w:p>
    <w:p w:rsidR="00977916" w:rsidRPr="004E355C" w:rsidRDefault="00977916" w:rsidP="00977916">
      <w:pPr>
        <w:spacing w:after="120" w:line="276" w:lineRule="auto"/>
        <w:contextualSpacing/>
        <w:jc w:val="both"/>
        <w:rPr>
          <w:rFonts w:ascii="Calibri" w:eastAsia="MS Mincho" w:hAnsi="Calibri"/>
          <w:b/>
          <w:lang w:val="sq-AL"/>
        </w:rPr>
      </w:pPr>
    </w:p>
    <w:p w:rsidR="00527686" w:rsidRPr="004E355C" w:rsidRDefault="00527686" w:rsidP="00977916">
      <w:pPr>
        <w:spacing w:after="120" w:line="276" w:lineRule="auto"/>
        <w:contextualSpacing/>
        <w:jc w:val="both"/>
        <w:rPr>
          <w:rFonts w:ascii="Calibri" w:eastAsia="MS Mincho" w:hAnsi="Calibri"/>
          <w:lang w:val="sq-AL"/>
        </w:rPr>
      </w:pPr>
      <w:r w:rsidRPr="004E355C">
        <w:rPr>
          <w:rFonts w:ascii="Calibri" w:eastAsia="MS Mincho" w:hAnsi="Calibri"/>
          <w:b/>
          <w:lang w:val="sq-AL"/>
        </w:rPr>
        <w:t>Në programin “Administrimi i Pyjeve</w:t>
      </w:r>
      <w:r w:rsidRPr="004E355C">
        <w:rPr>
          <w:rFonts w:ascii="Calibri" w:eastAsia="MS Mincho" w:hAnsi="Calibri"/>
          <w:lang w:val="sq-AL"/>
        </w:rPr>
        <w:t xml:space="preserve">” për 4 Mujorin e parë të vitit 2019, fondet janë realizuar në nivelin 19.54 % kundrejt fondeve vjetore te planifikuara.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“Raporte monitorimi në Zonat e Mbrojtura”,</w:t>
      </w:r>
      <w:r w:rsidRPr="004E355C">
        <w:rPr>
          <w:rFonts w:ascii="Calibri" w:eastAsia="MS Mincho" w:hAnsi="Calibri"/>
          <w:lang w:val="sq-AL"/>
        </w:rPr>
        <w:t xml:space="preserve"> është realizuar në masën  30.76 %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lastRenderedPageBreak/>
        <w:t xml:space="preserve">Produkti </w:t>
      </w:r>
      <w:r w:rsidRPr="004E355C">
        <w:rPr>
          <w:rFonts w:ascii="Calibri" w:eastAsia="MS Mincho" w:hAnsi="Calibri"/>
          <w:i/>
          <w:lang w:val="sq-AL"/>
        </w:rPr>
        <w:t>“Objekte te administruara nga Agjensia Kombëtare e Zonave të Mbrojtura”</w:t>
      </w:r>
      <w:r w:rsidRPr="004E355C">
        <w:rPr>
          <w:rFonts w:ascii="Calibri" w:eastAsia="MS Mincho" w:hAnsi="Calibri"/>
          <w:lang w:val="sq-AL"/>
        </w:rPr>
        <w:t xml:space="preserve"> është realizuar në masën  4.75 %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“Inspektime te kryera”</w:t>
      </w:r>
      <w:r w:rsidRPr="004E355C">
        <w:rPr>
          <w:rFonts w:ascii="Calibri" w:eastAsia="MS Mincho" w:hAnsi="Calibri"/>
          <w:lang w:val="sq-AL"/>
        </w:rPr>
        <w:t xml:space="preserve"> është realizuar në masën  30.62 % përgjatë 4 mujorit, kundrejt fondeve të planifikuara për vitin 2019. </w:t>
      </w:r>
    </w:p>
    <w:p w:rsidR="00977916" w:rsidRPr="004E355C" w:rsidRDefault="00977916" w:rsidP="00977916">
      <w:pPr>
        <w:spacing w:before="240" w:after="120" w:line="276" w:lineRule="auto"/>
        <w:contextualSpacing/>
        <w:jc w:val="both"/>
        <w:rPr>
          <w:rFonts w:ascii="Calibri" w:eastAsia="MS Mincho" w:hAnsi="Calibri"/>
          <w:b/>
          <w:lang w:val="sq-AL"/>
        </w:rPr>
      </w:pP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b/>
          <w:lang w:val="sq-AL"/>
        </w:rPr>
        <w:t>Në programin “Zhvillimi i Turizmit</w:t>
      </w:r>
      <w:r w:rsidRPr="004E355C">
        <w:rPr>
          <w:rFonts w:ascii="Calibri" w:eastAsia="MS Mincho" w:hAnsi="Calibri"/>
          <w:lang w:val="sq-AL"/>
        </w:rPr>
        <w:t xml:space="preserve">” për 4 Mujorin e parë të vitit 2019, fondet janë realizuar në nivelin 7.81 % kundrejt fondeve vjetore te planifikuara. Mosrealizimi vihet re të jetë për zërin shpenzime kapitale.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“Monitorime të kryera përgjatë gjithë vijës bregdetare”,</w:t>
      </w:r>
      <w:r w:rsidRPr="004E355C">
        <w:rPr>
          <w:rFonts w:ascii="Calibri" w:eastAsia="MS Mincho" w:hAnsi="Calibri"/>
          <w:lang w:val="sq-AL"/>
        </w:rPr>
        <w:t xml:space="preserve"> është realizuar në masën  18.85 %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lang w:val="sq-AL"/>
        </w:rPr>
        <w:t xml:space="preserve">Produkti </w:t>
      </w:r>
      <w:r w:rsidRPr="004E355C">
        <w:rPr>
          <w:rFonts w:ascii="Calibri" w:eastAsia="MS Mincho" w:hAnsi="Calibri"/>
          <w:i/>
          <w:lang w:val="sq-AL"/>
        </w:rPr>
        <w:t>“Turizëm i promovuar”</w:t>
      </w:r>
      <w:r w:rsidRPr="004E355C">
        <w:rPr>
          <w:rFonts w:ascii="Calibri" w:eastAsia="MS Mincho" w:hAnsi="Calibri"/>
          <w:lang w:val="sq-AL"/>
        </w:rPr>
        <w:t xml:space="preserve"> është realizuar në masën  21.73 % përgjatë 4 mujorit, kundrejt fondeve të planifikuara për vitin 2019. </w:t>
      </w:r>
    </w:p>
    <w:p w:rsidR="00527686" w:rsidRPr="004E355C" w:rsidRDefault="00527686" w:rsidP="00977916">
      <w:pPr>
        <w:spacing w:before="240" w:after="120" w:line="276" w:lineRule="auto"/>
        <w:contextualSpacing/>
        <w:jc w:val="both"/>
        <w:rPr>
          <w:rFonts w:ascii="Calibri" w:eastAsia="MS Mincho" w:hAnsi="Calibri"/>
          <w:lang w:val="sq-AL"/>
        </w:rPr>
      </w:pPr>
      <w:r w:rsidRPr="004E355C">
        <w:rPr>
          <w:rFonts w:ascii="Calibri" w:eastAsia="MS Mincho" w:hAnsi="Calibri"/>
        </w:rPr>
        <w:t xml:space="preserve">Për </w:t>
      </w:r>
      <w:r w:rsidRPr="004E355C">
        <w:rPr>
          <w:rFonts w:ascii="Calibri" w:eastAsia="MS Mincho" w:hAnsi="Calibri"/>
          <w:lang w:val="sq-AL"/>
        </w:rPr>
        <w:t>programin “</w:t>
      </w:r>
      <w:r w:rsidRPr="004E355C">
        <w:rPr>
          <w:rFonts w:ascii="Calibri" w:eastAsia="MS Mincho" w:hAnsi="Calibri"/>
          <w:i/>
          <w:lang w:val="sq-AL"/>
        </w:rPr>
        <w:t>Zhvillimi i Turizmit</w:t>
      </w:r>
      <w:r w:rsidRPr="004E355C">
        <w:rPr>
          <w:rFonts w:ascii="Calibri" w:eastAsia="MS Mincho" w:hAnsi="Calibri"/>
          <w:lang w:val="sq-AL"/>
        </w:rPr>
        <w:t xml:space="preserve">” është kërkuar </w:t>
      </w:r>
      <w:r w:rsidRPr="004E355C">
        <w:rPr>
          <w:rFonts w:ascii="Calibri" w:eastAsia="MS Mincho" w:hAnsi="Calibri"/>
        </w:rPr>
        <w:t xml:space="preserve">fond shtesë në vlerën </w:t>
      </w:r>
      <w:r w:rsidRPr="004E355C">
        <w:rPr>
          <w:rFonts w:ascii="Calibri" w:hAnsi="Calibri"/>
          <w:lang w:eastAsia="it-IT"/>
        </w:rPr>
        <w:t>34 milionë lekë, për përballimin e shpenzimeve të personelit.</w:t>
      </w:r>
    </w:p>
    <w:p w:rsidR="00527686" w:rsidRPr="004E355C" w:rsidRDefault="00527686" w:rsidP="00527686">
      <w:pPr>
        <w:spacing w:line="276" w:lineRule="auto"/>
        <w:jc w:val="both"/>
        <w:rPr>
          <w:rFonts w:ascii="Calibri" w:eastAsia="MS Mincho" w:hAnsi="Calibri"/>
          <w:b/>
          <w:i/>
          <w:color w:val="0070C0"/>
          <w:sz w:val="26"/>
          <w:szCs w:val="26"/>
          <w:u w:val="single"/>
          <w:lang w:val="sq-AL"/>
        </w:rPr>
      </w:pPr>
    </w:p>
    <w:p w:rsidR="00527686" w:rsidRPr="004E355C" w:rsidRDefault="00977916" w:rsidP="00977916">
      <w:pPr>
        <w:spacing w:before="120" w:after="120" w:line="276" w:lineRule="auto"/>
        <w:jc w:val="both"/>
        <w:rPr>
          <w:rFonts w:asciiTheme="minorHAnsi" w:hAnsiTheme="minorHAnsi"/>
          <w:b/>
          <w:noProof/>
          <w:color w:val="0070C0"/>
          <w:lang w:val="sq-AL"/>
        </w:rPr>
      </w:pPr>
      <w:bookmarkStart w:id="142" w:name="_Toc10033302"/>
      <w:bookmarkStart w:id="143" w:name="_Toc10721438"/>
      <w:bookmarkStart w:id="144" w:name="_Toc11134230"/>
      <w:r w:rsidRPr="004E355C">
        <w:rPr>
          <w:rFonts w:asciiTheme="minorHAnsi" w:hAnsiTheme="minorHAnsi"/>
          <w:b/>
          <w:noProof/>
          <w:color w:val="0070C0"/>
          <w:lang w:val="sq-AL"/>
        </w:rPr>
        <w:t>DREJTËSIA</w:t>
      </w:r>
      <w:bookmarkEnd w:id="142"/>
      <w:bookmarkEnd w:id="143"/>
      <w:bookmarkEnd w:id="144"/>
    </w:p>
    <w:p w:rsidR="00527686" w:rsidRPr="004E355C" w:rsidRDefault="00527686" w:rsidP="00527686">
      <w:pPr>
        <w:spacing w:line="276" w:lineRule="auto"/>
        <w:jc w:val="both"/>
        <w:rPr>
          <w:rFonts w:ascii="Calibri" w:eastAsia="MS Mincho" w:hAnsi="Calibri"/>
          <w:color w:val="000000"/>
          <w:lang w:val="sq-AL"/>
        </w:rPr>
      </w:pPr>
      <w:r w:rsidRPr="004E355C">
        <w:rPr>
          <w:rFonts w:ascii="Calibri" w:eastAsia="MS Mincho" w:hAnsi="Calibri"/>
          <w:color w:val="000000"/>
          <w:lang w:val="sq-AL"/>
        </w:rPr>
        <w:t>Performanca e treguesve buxhetorë për tetë programet kryesore në Ministrinë Drejtësisë, paraqitet si më poshtë:</w:t>
      </w:r>
    </w:p>
    <w:p w:rsidR="00527686" w:rsidRPr="004E355C" w:rsidRDefault="00527686" w:rsidP="00527686">
      <w:pPr>
        <w:spacing w:line="276" w:lineRule="auto"/>
        <w:ind w:left="2880" w:firstLine="720"/>
        <w:jc w:val="right"/>
        <w:rPr>
          <w:rFonts w:ascii="Calibri" w:hAnsi="Calibri"/>
          <w:i/>
          <w:color w:val="000000"/>
          <w:lang w:val="sq-AL"/>
        </w:rPr>
      </w:pPr>
      <w:r w:rsidRPr="004E355C">
        <w:rPr>
          <w:rFonts w:ascii="Calibri" w:hAnsi="Calibri"/>
          <w:i/>
          <w:color w:val="000000"/>
          <w:lang w:val="sq-AL"/>
        </w:rPr>
        <w:t>Në mijë lekë</w:t>
      </w:r>
    </w:p>
    <w:tbl>
      <w:tblPr>
        <w:tblStyle w:val="ListTable3-Accent52"/>
        <w:tblW w:w="10437" w:type="dxa"/>
        <w:jc w:val="center"/>
        <w:tblLook w:val="0000" w:firstRow="0" w:lastRow="0" w:firstColumn="0" w:lastColumn="0" w:noHBand="0" w:noVBand="0"/>
      </w:tblPr>
      <w:tblGrid>
        <w:gridCol w:w="508"/>
        <w:gridCol w:w="3163"/>
        <w:gridCol w:w="1282"/>
        <w:gridCol w:w="1311"/>
        <w:gridCol w:w="1106"/>
        <w:gridCol w:w="1143"/>
        <w:gridCol w:w="945"/>
        <w:gridCol w:w="979"/>
      </w:tblGrid>
      <w:tr w:rsidR="00527686" w:rsidRPr="004E355C" w:rsidTr="00977916">
        <w:trPr>
          <w:cnfStyle w:val="000000100000" w:firstRow="0" w:lastRow="0" w:firstColumn="0" w:lastColumn="0" w:oddVBand="0" w:evenVBand="0" w:oddHBand="1" w:evenHBand="0" w:firstRowFirstColumn="0" w:firstRowLastColumn="0" w:lastRowFirstColumn="0" w:lastRowLastColumn="0"/>
          <w:trHeight w:val="144"/>
          <w:jc w:val="center"/>
        </w:trPr>
        <w:tc>
          <w:tcPr>
            <w:cnfStyle w:val="000010000000" w:firstRow="0" w:lastRow="0" w:firstColumn="0" w:lastColumn="0" w:oddVBand="1" w:evenVBand="0" w:oddHBand="0" w:evenHBand="0" w:firstRowFirstColumn="0" w:firstRowLastColumn="0" w:lastRowFirstColumn="0" w:lastRowLastColumn="0"/>
            <w:tcW w:w="508" w:type="dxa"/>
            <w:vMerge w:val="restart"/>
            <w:shd w:val="clear" w:color="auto" w:fill="B6DDE8" w:themeFill="accent5" w:themeFillTint="66"/>
          </w:tcPr>
          <w:p w:rsidR="00977916" w:rsidRPr="004E355C" w:rsidRDefault="00977916" w:rsidP="00527686">
            <w:pPr>
              <w:spacing w:line="276" w:lineRule="auto"/>
              <w:jc w:val="both"/>
              <w:rPr>
                <w:rFonts w:ascii="Calibri" w:hAnsi="Calibri"/>
                <w:b/>
                <w:bCs/>
                <w:sz w:val="18"/>
                <w:lang w:val="sq-AL"/>
              </w:rPr>
            </w:pPr>
          </w:p>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NR</w:t>
            </w:r>
          </w:p>
        </w:tc>
        <w:tc>
          <w:tcPr>
            <w:tcW w:w="3163" w:type="dxa"/>
            <w:vMerge w:val="restart"/>
            <w:shd w:val="clear" w:color="auto" w:fill="B6DDE8" w:themeFill="accent5" w:themeFillTint="66"/>
          </w:tcPr>
          <w:p w:rsidR="00977916" w:rsidRPr="004E355C" w:rsidRDefault="0097791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p>
          <w:p w:rsidR="00527686" w:rsidRPr="004E355C" w:rsidRDefault="00527686" w:rsidP="0097791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593" w:type="dxa"/>
            <w:gridSpan w:val="2"/>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Plani 2019</w:t>
            </w:r>
          </w:p>
        </w:tc>
        <w:tc>
          <w:tcPr>
            <w:tcW w:w="2249" w:type="dxa"/>
            <w:gridSpan w:val="2"/>
            <w:shd w:val="clear" w:color="auto" w:fill="B6DDE8" w:themeFill="accent5" w:themeFillTint="66"/>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Fakti 2019</w:t>
            </w:r>
          </w:p>
        </w:tc>
        <w:tc>
          <w:tcPr>
            <w:cnfStyle w:val="000010000000" w:firstRow="0" w:lastRow="0" w:firstColumn="0" w:lastColumn="0" w:oddVBand="1" w:evenVBand="0" w:oddHBand="0" w:evenHBand="0" w:firstRowFirstColumn="0" w:firstRowLastColumn="0" w:lastRowFirstColumn="0" w:lastRowLastColumn="0"/>
            <w:tcW w:w="1924" w:type="dxa"/>
            <w:gridSpan w:val="2"/>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Përqindja  e realizimit</w:t>
            </w:r>
          </w:p>
        </w:tc>
      </w:tr>
      <w:tr w:rsidR="00527686" w:rsidRPr="004E355C" w:rsidTr="00977916">
        <w:trPr>
          <w:trHeight w:val="134"/>
          <w:jc w:val="center"/>
        </w:trPr>
        <w:tc>
          <w:tcPr>
            <w:cnfStyle w:val="000010000000" w:firstRow="0" w:lastRow="0" w:firstColumn="0" w:lastColumn="0" w:oddVBand="1" w:evenVBand="0" w:oddHBand="0" w:evenHBand="0" w:firstRowFirstColumn="0" w:firstRowLastColumn="0" w:lastRowFirstColumn="0" w:lastRowLastColumn="0"/>
            <w:tcW w:w="508" w:type="dxa"/>
            <w:vMerge/>
            <w:shd w:val="clear" w:color="auto" w:fill="B6DDE8" w:themeFill="accent5" w:themeFillTint="66"/>
          </w:tcPr>
          <w:p w:rsidR="00527686" w:rsidRPr="004E355C" w:rsidRDefault="00527686" w:rsidP="00527686">
            <w:pPr>
              <w:spacing w:line="276" w:lineRule="auto"/>
              <w:jc w:val="both"/>
              <w:rPr>
                <w:rFonts w:ascii="Calibri" w:hAnsi="Calibri"/>
                <w:color w:val="FF0000"/>
                <w:sz w:val="18"/>
                <w:lang w:val="sq-AL"/>
              </w:rPr>
            </w:pPr>
          </w:p>
        </w:tc>
        <w:tc>
          <w:tcPr>
            <w:tcW w:w="3163" w:type="dxa"/>
            <w:vMerge/>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1282"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1311"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1106"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1143"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945" w:type="dxa"/>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Korrente</w:t>
            </w:r>
          </w:p>
        </w:tc>
        <w:tc>
          <w:tcPr>
            <w:tcW w:w="979" w:type="dxa"/>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41"/>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1.</w:t>
            </w:r>
          </w:p>
        </w:tc>
        <w:tc>
          <w:tcPr>
            <w:tcW w:w="3163"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417,944</w:t>
            </w:r>
          </w:p>
        </w:tc>
        <w:tc>
          <w:tcPr>
            <w:tcW w:w="1311"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493,800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89,994</w:t>
            </w:r>
          </w:p>
        </w:tc>
        <w:tc>
          <w:tcPr>
            <w:tcW w:w="1143"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104,085</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21.5</w:t>
            </w:r>
          </w:p>
        </w:tc>
        <w:tc>
          <w:tcPr>
            <w:tcW w:w="97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21.1</w:t>
            </w:r>
          </w:p>
        </w:tc>
      </w:tr>
      <w:tr w:rsidR="00527686" w:rsidRPr="004E355C" w:rsidTr="00977916">
        <w:trPr>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2.</w:t>
            </w:r>
          </w:p>
        </w:tc>
        <w:tc>
          <w:tcPr>
            <w:tcW w:w="3163"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Publikimet Zyrtare</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53,760</w:t>
            </w:r>
          </w:p>
        </w:tc>
        <w:tc>
          <w:tcPr>
            <w:tcW w:w="1311"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10,000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12,633</w:t>
            </w:r>
          </w:p>
        </w:tc>
        <w:tc>
          <w:tcPr>
            <w:tcW w:w="1143"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10,000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23.5</w:t>
            </w:r>
          </w:p>
        </w:tc>
        <w:tc>
          <w:tcPr>
            <w:tcW w:w="97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100.0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3.</w:t>
            </w:r>
          </w:p>
        </w:tc>
        <w:tc>
          <w:tcPr>
            <w:tcW w:w="3163"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Mjekësia Ligjore</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81,200</w:t>
            </w:r>
          </w:p>
        </w:tc>
        <w:tc>
          <w:tcPr>
            <w:tcW w:w="1311"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11,000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22,658</w:t>
            </w:r>
          </w:p>
        </w:tc>
        <w:tc>
          <w:tcPr>
            <w:tcW w:w="1143"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27.9</w:t>
            </w:r>
          </w:p>
        </w:tc>
        <w:tc>
          <w:tcPr>
            <w:tcW w:w="979"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 </w:t>
            </w:r>
          </w:p>
        </w:tc>
      </w:tr>
      <w:tr w:rsidR="00527686" w:rsidRPr="004E355C" w:rsidTr="00977916">
        <w:trPr>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4.</w:t>
            </w:r>
          </w:p>
        </w:tc>
        <w:tc>
          <w:tcPr>
            <w:tcW w:w="3163"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Shërbimi për Çështjet e Birësimit</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14,600</w:t>
            </w:r>
          </w:p>
        </w:tc>
        <w:tc>
          <w:tcPr>
            <w:tcW w:w="1311"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200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2,091</w:t>
            </w:r>
          </w:p>
        </w:tc>
        <w:tc>
          <w:tcPr>
            <w:tcW w:w="1143"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14.3</w:t>
            </w:r>
          </w:p>
        </w:tc>
        <w:tc>
          <w:tcPr>
            <w:tcW w:w="97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5.</w:t>
            </w:r>
          </w:p>
        </w:tc>
        <w:tc>
          <w:tcPr>
            <w:tcW w:w="3163"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Agjencia e trajtimit të pronave ALUIZNI</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4,861,300</w:t>
            </w:r>
          </w:p>
        </w:tc>
        <w:tc>
          <w:tcPr>
            <w:tcW w:w="1311"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33,680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1,116,547</w:t>
            </w:r>
          </w:p>
        </w:tc>
        <w:tc>
          <w:tcPr>
            <w:tcW w:w="1143"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23.0</w:t>
            </w:r>
          </w:p>
        </w:tc>
        <w:tc>
          <w:tcPr>
            <w:tcW w:w="97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977916">
        <w:trPr>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6.</w:t>
            </w:r>
          </w:p>
        </w:tc>
        <w:tc>
          <w:tcPr>
            <w:tcW w:w="3163"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Ndihma juridike</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73,100</w:t>
            </w:r>
          </w:p>
        </w:tc>
        <w:tc>
          <w:tcPr>
            <w:tcW w:w="1311"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3,000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2,072</w:t>
            </w:r>
          </w:p>
        </w:tc>
        <w:tc>
          <w:tcPr>
            <w:tcW w:w="1143"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2.8</w:t>
            </w:r>
          </w:p>
        </w:tc>
        <w:tc>
          <w:tcPr>
            <w:tcW w:w="97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7.</w:t>
            </w:r>
          </w:p>
        </w:tc>
        <w:tc>
          <w:tcPr>
            <w:tcW w:w="3163"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Shërbimi i Përmbarimit gjyqësor</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163,600</w:t>
            </w:r>
          </w:p>
        </w:tc>
        <w:tc>
          <w:tcPr>
            <w:tcW w:w="1311"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10,000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40,898</w:t>
            </w:r>
          </w:p>
        </w:tc>
        <w:tc>
          <w:tcPr>
            <w:tcW w:w="1143"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25.0</w:t>
            </w:r>
          </w:p>
        </w:tc>
        <w:tc>
          <w:tcPr>
            <w:tcW w:w="97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977916">
        <w:trPr>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8.</w:t>
            </w:r>
          </w:p>
        </w:tc>
        <w:tc>
          <w:tcPr>
            <w:tcW w:w="3163"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Sistemi i Burgjeve</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5,367,674</w:t>
            </w:r>
          </w:p>
        </w:tc>
        <w:tc>
          <w:tcPr>
            <w:tcW w:w="1311"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432,000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1,618,827</w:t>
            </w:r>
          </w:p>
        </w:tc>
        <w:tc>
          <w:tcPr>
            <w:tcW w:w="1143"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176,118</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30.2</w:t>
            </w:r>
          </w:p>
        </w:tc>
        <w:tc>
          <w:tcPr>
            <w:tcW w:w="97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40.8</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both"/>
              <w:rPr>
                <w:rFonts w:ascii="Calibri" w:hAnsi="Calibri"/>
                <w:sz w:val="18"/>
                <w:lang w:val="sq-AL"/>
              </w:rPr>
            </w:pPr>
            <w:r w:rsidRPr="004E355C">
              <w:rPr>
                <w:rFonts w:ascii="Calibri" w:hAnsi="Calibri"/>
                <w:sz w:val="18"/>
                <w:lang w:val="sq-AL"/>
              </w:rPr>
              <w:t>9.</w:t>
            </w:r>
          </w:p>
        </w:tc>
        <w:tc>
          <w:tcPr>
            <w:tcW w:w="3163"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16"/>
                <w:szCs w:val="16"/>
              </w:rPr>
            </w:pPr>
            <w:r w:rsidRPr="004E355C">
              <w:rPr>
                <w:rFonts w:ascii="Calibri" w:eastAsia="Cambria" w:hAnsi="Calibri" w:cs="Arial"/>
                <w:sz w:val="16"/>
                <w:szCs w:val="16"/>
              </w:rPr>
              <w:t>Shërbimi i Provës</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163,500</w:t>
            </w:r>
          </w:p>
        </w:tc>
        <w:tc>
          <w:tcPr>
            <w:tcW w:w="1311"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21,400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40,620</w:t>
            </w:r>
          </w:p>
        </w:tc>
        <w:tc>
          <w:tcPr>
            <w:tcW w:w="1143"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24.8</w:t>
            </w:r>
          </w:p>
        </w:tc>
        <w:tc>
          <w:tcPr>
            <w:tcW w:w="97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977916">
        <w:trPr>
          <w:trHeight w:val="254"/>
          <w:jc w:val="center"/>
        </w:trPr>
        <w:tc>
          <w:tcPr>
            <w:cnfStyle w:val="000010000000" w:firstRow="0" w:lastRow="0" w:firstColumn="0" w:lastColumn="0" w:oddVBand="1" w:evenVBand="0" w:oddHBand="0" w:evenHBand="0" w:firstRowFirstColumn="0" w:firstRowLastColumn="0" w:lastRowFirstColumn="0" w:lastRowLastColumn="0"/>
            <w:tcW w:w="508" w:type="dxa"/>
          </w:tcPr>
          <w:p w:rsidR="00527686" w:rsidRPr="004E355C" w:rsidRDefault="00527686" w:rsidP="00527686">
            <w:pPr>
              <w:spacing w:line="276" w:lineRule="auto"/>
              <w:jc w:val="center"/>
              <w:rPr>
                <w:rFonts w:ascii="Calibri" w:hAnsi="Calibri"/>
                <w:b/>
                <w:sz w:val="18"/>
                <w:lang w:val="sq-AL"/>
              </w:rPr>
            </w:pPr>
          </w:p>
        </w:tc>
        <w:tc>
          <w:tcPr>
            <w:tcW w:w="3163" w:type="dxa"/>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sz w:val="18"/>
                <w:lang w:val="sq-AL"/>
              </w:rPr>
            </w:pPr>
            <w:r w:rsidRPr="004E355C">
              <w:rPr>
                <w:rFonts w:ascii="Calibri" w:hAnsi="Calibri"/>
                <w:b/>
                <w:sz w:val="18"/>
                <w:lang w:val="sq-AL"/>
              </w:rPr>
              <w:t>TOTAL</w:t>
            </w:r>
          </w:p>
        </w:tc>
        <w:tc>
          <w:tcPr>
            <w:cnfStyle w:val="000010000000" w:firstRow="0" w:lastRow="0" w:firstColumn="0" w:lastColumn="0" w:oddVBand="1" w:evenVBand="0" w:oddHBand="0" w:evenHBand="0" w:firstRowFirstColumn="0" w:firstRowLastColumn="0" w:lastRowFirstColumn="0" w:lastRowLastColumn="0"/>
            <w:tcW w:w="1282"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11,196,678</w:t>
            </w:r>
          </w:p>
        </w:tc>
        <w:tc>
          <w:tcPr>
            <w:tcW w:w="1311"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1,015,080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2,946,341</w:t>
            </w:r>
          </w:p>
        </w:tc>
        <w:tc>
          <w:tcPr>
            <w:tcW w:w="1143"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290,203</w:t>
            </w:r>
          </w:p>
        </w:tc>
        <w:tc>
          <w:tcPr>
            <w:cnfStyle w:val="000010000000" w:firstRow="0" w:lastRow="0" w:firstColumn="0" w:lastColumn="0" w:oddVBand="1" w:evenVBand="0" w:oddHBand="0" w:evenHBand="0" w:firstRowFirstColumn="0" w:firstRowLastColumn="0" w:lastRowFirstColumn="0" w:lastRowLastColumn="0"/>
            <w:tcW w:w="945"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26.3</w:t>
            </w:r>
          </w:p>
        </w:tc>
        <w:tc>
          <w:tcPr>
            <w:tcW w:w="97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28.6</w:t>
            </w:r>
          </w:p>
        </w:tc>
      </w:tr>
    </w:tbl>
    <w:p w:rsidR="00527686" w:rsidRPr="004E355C" w:rsidRDefault="00527686" w:rsidP="00527686">
      <w:pPr>
        <w:spacing w:before="240" w:line="276" w:lineRule="auto"/>
        <w:jc w:val="both"/>
        <w:rPr>
          <w:rFonts w:ascii="Calibri" w:eastAsia="Calibri" w:hAnsi="Calibri" w:cs="Cambria"/>
          <w:lang w:val="sq-AL"/>
        </w:rPr>
      </w:pPr>
      <w:r w:rsidRPr="004E355C">
        <w:rPr>
          <w:rFonts w:ascii="Calibri" w:eastAsia="Calibri" w:hAnsi="Calibri" w:cs="Cambria"/>
          <w:lang w:val="sq-AL"/>
        </w:rPr>
        <w:t>Në programin “</w:t>
      </w:r>
      <w:r w:rsidRPr="004E355C">
        <w:rPr>
          <w:rFonts w:ascii="Calibri" w:eastAsia="Calibri" w:hAnsi="Calibri" w:cs="Cambria"/>
          <w:b/>
          <w:lang w:val="sq-AL"/>
        </w:rPr>
        <w:t>Sistemi i burgjeve</w:t>
      </w:r>
      <w:r w:rsidRPr="004E355C">
        <w:rPr>
          <w:rFonts w:ascii="Calibri" w:eastAsia="Calibri" w:hAnsi="Calibri" w:cs="Cambria"/>
          <w:lang w:val="sq-AL"/>
        </w:rPr>
        <w:t>” për 4 mujorin e vitit 2019 janë realizuar produkte,</w:t>
      </w:r>
      <w:r w:rsidRPr="004E355C">
        <w:rPr>
          <w:rFonts w:ascii="Calibri" w:hAnsi="Calibri" w:cs="Cambria"/>
          <w:lang w:val="sq-AL"/>
        </w:rPr>
        <w:t xml:space="preserve"> </w:t>
      </w:r>
      <w:r w:rsidRPr="004E355C">
        <w:rPr>
          <w:rFonts w:ascii="Calibri" w:eastAsia="Calibri" w:hAnsi="Calibri" w:cs="Cambria"/>
          <w:lang w:val="sq-AL"/>
        </w:rPr>
        <w:t>me një kosto faktike 1,794,945 mijë lekë, përmendim:</w:t>
      </w:r>
    </w:p>
    <w:p w:rsidR="00527686" w:rsidRPr="004E355C" w:rsidRDefault="00527686" w:rsidP="00527686">
      <w:pPr>
        <w:spacing w:line="276" w:lineRule="auto"/>
        <w:jc w:val="both"/>
        <w:rPr>
          <w:rFonts w:ascii="Calibri" w:hAnsi="Calibri" w:cs="Cambria"/>
          <w:lang w:val="sq-AL"/>
        </w:rPr>
      </w:pPr>
      <w:r w:rsidRPr="004E355C">
        <w:rPr>
          <w:rFonts w:ascii="Calibri" w:hAnsi="Calibri" w:cs="Cambria"/>
          <w:lang w:val="sq-AL"/>
        </w:rPr>
        <w:t>për programin e Sistemit të Burgjeve janë realizuar produktet si më poshtë:</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Të dënuar të trajtuar me shërbim shëndetësor</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Trajtimi i të dënuarve të mitur në ambjente të përshtatshme të vuajtjes së dënimit</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Trajtimi i të dënuarve gra me kushte të veçanta në ambjentet e vuajtjes së dënimit</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Mundësimi i programeve të reja të kualifikimit dhe punësimit për gratë e dënuara</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Personel i punësuar gra në Sistemin e Burgjeve në funksion të trajtimit të të dënuarve</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Mbajtja e të burgosurve dhe paraburgosurve në kushte sigurie nga trupa policore</w:t>
      </w:r>
    </w:p>
    <w:p w:rsidR="00527686" w:rsidRPr="004E355C" w:rsidRDefault="00527686" w:rsidP="00B95810">
      <w:pPr>
        <w:numPr>
          <w:ilvl w:val="0"/>
          <w:numId w:val="29"/>
        </w:numPr>
        <w:spacing w:line="276" w:lineRule="auto"/>
        <w:contextualSpacing/>
        <w:jc w:val="both"/>
        <w:rPr>
          <w:rFonts w:ascii="Calibri" w:eastAsia="MS Mincho" w:hAnsi="Calibri" w:cs="Cambria"/>
          <w:lang w:val="sq-AL"/>
        </w:rPr>
      </w:pPr>
      <w:r w:rsidRPr="004E355C">
        <w:rPr>
          <w:rFonts w:ascii="Calibri" w:eastAsia="MS Mincho" w:hAnsi="Calibri" w:cs="Cambria"/>
          <w:lang w:val="sq-AL"/>
        </w:rPr>
        <w:t xml:space="preserve">Drejtimi dhe zhvillimi normal i aktivitetit për mirëfunksionimin e përgjithshëm të sistemit të burgjeve. </w:t>
      </w:r>
    </w:p>
    <w:p w:rsidR="00527686" w:rsidRPr="004E355C" w:rsidRDefault="00527686" w:rsidP="00527686">
      <w:pPr>
        <w:spacing w:line="276" w:lineRule="auto"/>
        <w:contextualSpacing/>
        <w:jc w:val="both"/>
        <w:rPr>
          <w:rFonts w:ascii="Calibri" w:eastAsia="Calibri" w:hAnsi="Calibri" w:cs="Cambria"/>
          <w:lang w:val="sq-AL"/>
        </w:rPr>
      </w:pPr>
      <w:r w:rsidRPr="004E355C">
        <w:rPr>
          <w:rFonts w:ascii="Calibri" w:eastAsia="Calibri" w:hAnsi="Calibri" w:cs="Cambria"/>
          <w:lang w:val="sq-AL"/>
        </w:rPr>
        <w:lastRenderedPageBreak/>
        <w:t xml:space="preserve">Realizimi i këtyre produkteve ndikojnë drejtëpërsëdrejti në përmirësimin e kushteve në sistemin peniteciar. Këto produkte janë realizuar të gjithë sipas planifikimit. Eshtë planifikuar të trajtohen 5 242 të burgosur. Numri i të dënuarve të trajtuar me shërbim shëndetësor është 599 raste. Për sa i përket të dënuarëve të mitur, është ulur numri i tyre në burgje sepse janë trasferuar në institucionet e veçanta të vuajtjes së dënimit. Për të dënuarat gra, janë krijuar kushte të veçanta të vuajtjes së dënimit, janë krijuar mundësi për pjesëmarrje në programe kualifikimi për të patur mundësi punësimi pas vuajtjes së dënimit. </w:t>
      </w:r>
    </w:p>
    <w:p w:rsidR="00527686" w:rsidRPr="004E355C" w:rsidRDefault="00527686" w:rsidP="00527686">
      <w:pPr>
        <w:spacing w:before="240" w:line="276" w:lineRule="auto"/>
        <w:jc w:val="both"/>
        <w:rPr>
          <w:rFonts w:ascii="Calibri" w:eastAsia="Calibri" w:hAnsi="Calibri" w:cs="Cambria"/>
          <w:lang w:val="sq-AL"/>
        </w:rPr>
      </w:pPr>
      <w:r w:rsidRPr="004E355C">
        <w:rPr>
          <w:rFonts w:ascii="Calibri" w:eastAsia="Calibri" w:hAnsi="Calibri" w:cs="Cambria"/>
          <w:lang w:val="sq-AL"/>
        </w:rPr>
        <w:t>Në programin “</w:t>
      </w:r>
      <w:r w:rsidRPr="004E355C">
        <w:rPr>
          <w:rFonts w:ascii="Calibri" w:eastAsia="Calibri" w:hAnsi="Calibri" w:cs="Cambria"/>
          <w:b/>
          <w:lang w:val="sq-AL"/>
        </w:rPr>
        <w:t>Agjencia e Trajtimit të Pronave</w:t>
      </w:r>
      <w:r w:rsidRPr="004E355C">
        <w:rPr>
          <w:rFonts w:ascii="Calibri" w:eastAsia="Calibri" w:hAnsi="Calibri" w:cs="Cambria"/>
          <w:lang w:val="sq-AL"/>
        </w:rPr>
        <w:t>” janë realizuar produkte me kosto faktike prej 2,091 mijë lekë, ndër produktet përmendim:</w:t>
      </w:r>
    </w:p>
    <w:p w:rsidR="00527686" w:rsidRPr="004E355C" w:rsidRDefault="00527686" w:rsidP="00B95810">
      <w:pPr>
        <w:numPr>
          <w:ilvl w:val="0"/>
          <w:numId w:val="23"/>
        </w:numPr>
        <w:spacing w:line="276" w:lineRule="auto"/>
        <w:ind w:left="360"/>
        <w:contextualSpacing/>
        <w:jc w:val="both"/>
        <w:rPr>
          <w:rFonts w:ascii="Calibri" w:eastAsia="Calibri" w:hAnsi="Calibri" w:cs="Cambria"/>
          <w:lang w:val="sq-AL"/>
        </w:rPr>
      </w:pPr>
      <w:r w:rsidRPr="004E355C">
        <w:rPr>
          <w:rFonts w:ascii="Calibri" w:eastAsia="Calibri" w:hAnsi="Calibri" w:cs="Cambria"/>
          <w:lang w:val="sq-AL"/>
        </w:rPr>
        <w:t>“Trajtimi me vendim i kërkesave për kalimin në pronësi të oborreve në përdorim” nga 510 vendime janë trajtuar 52.</w:t>
      </w:r>
    </w:p>
    <w:p w:rsidR="00527686" w:rsidRPr="004E355C" w:rsidRDefault="00527686" w:rsidP="00B95810">
      <w:pPr>
        <w:numPr>
          <w:ilvl w:val="0"/>
          <w:numId w:val="23"/>
        </w:numPr>
        <w:spacing w:line="276" w:lineRule="auto"/>
        <w:ind w:left="360"/>
        <w:contextualSpacing/>
        <w:jc w:val="both"/>
        <w:rPr>
          <w:rFonts w:ascii="Calibri" w:eastAsia="Calibri" w:hAnsi="Calibri" w:cs="Cambria"/>
          <w:lang w:val="sq-AL"/>
        </w:rPr>
      </w:pPr>
      <w:r w:rsidRPr="004E355C">
        <w:rPr>
          <w:rFonts w:ascii="Calibri" w:eastAsia="Calibri" w:hAnsi="Calibri" w:cs="Cambria"/>
          <w:lang w:val="sq-AL"/>
        </w:rPr>
        <w:t>“Mbrojtja e interesave të ATP në proçeset gjygjësore” nga 18 225 të planifikuara janë ndjekur 5 500 raste gjygjësore.</w:t>
      </w:r>
    </w:p>
    <w:p w:rsidR="00527686" w:rsidRPr="004E355C" w:rsidRDefault="00527686" w:rsidP="00B95810">
      <w:pPr>
        <w:numPr>
          <w:ilvl w:val="0"/>
          <w:numId w:val="23"/>
        </w:numPr>
        <w:spacing w:line="276" w:lineRule="auto"/>
        <w:ind w:left="360"/>
        <w:contextualSpacing/>
        <w:jc w:val="both"/>
        <w:rPr>
          <w:rFonts w:ascii="Calibri" w:eastAsia="Calibri" w:hAnsi="Calibri" w:cs="Cambria"/>
          <w:lang w:val="sq-AL"/>
        </w:rPr>
      </w:pPr>
      <w:r w:rsidRPr="004E355C">
        <w:rPr>
          <w:rFonts w:ascii="Calibri" w:eastAsia="Calibri" w:hAnsi="Calibri" w:cs="Cambria"/>
          <w:lang w:val="sq-AL"/>
        </w:rPr>
        <w:t>“Trajtimi i kërkesave ndër vite për njohje pronësie” nga 14 697 të planifikuara janë realizuar 1 346 vendime me kosto faktike 58 697 mijë lekë.</w:t>
      </w:r>
    </w:p>
    <w:p w:rsidR="00527686" w:rsidRPr="004E355C" w:rsidRDefault="00527686" w:rsidP="00B95810">
      <w:pPr>
        <w:numPr>
          <w:ilvl w:val="0"/>
          <w:numId w:val="23"/>
        </w:numPr>
        <w:spacing w:line="276" w:lineRule="auto"/>
        <w:ind w:left="360"/>
        <w:contextualSpacing/>
        <w:jc w:val="both"/>
        <w:rPr>
          <w:rFonts w:ascii="Calibri" w:eastAsia="Calibri" w:hAnsi="Calibri" w:cs="Cambria"/>
          <w:lang w:val="sq-AL"/>
        </w:rPr>
      </w:pPr>
      <w:r w:rsidRPr="004E355C">
        <w:rPr>
          <w:rFonts w:ascii="Calibri" w:eastAsia="Calibri" w:hAnsi="Calibri" w:cs="Cambria"/>
          <w:lang w:val="sq-AL"/>
        </w:rPr>
        <w:t>“Shpërndarja e fondeve për kompesim financiar për pronarët e pasurive që preken nga ndërtimet informale” nga 800 të planifikuara janë realizuar 83.</w:t>
      </w:r>
    </w:p>
    <w:p w:rsidR="00527686" w:rsidRPr="004E355C" w:rsidRDefault="00527686" w:rsidP="00527686">
      <w:pPr>
        <w:spacing w:line="276" w:lineRule="auto"/>
        <w:jc w:val="both"/>
        <w:rPr>
          <w:rFonts w:ascii="Calibri" w:eastAsia="MS Mincho" w:hAnsi="Calibri"/>
          <w:sz w:val="32"/>
          <w:lang w:val="sq-AL"/>
        </w:rPr>
      </w:pPr>
    </w:p>
    <w:p w:rsidR="00527686" w:rsidRPr="004E355C" w:rsidRDefault="00977916" w:rsidP="00977916">
      <w:pPr>
        <w:spacing w:before="120" w:after="120" w:line="276" w:lineRule="auto"/>
        <w:jc w:val="both"/>
        <w:rPr>
          <w:rFonts w:asciiTheme="minorHAnsi" w:hAnsiTheme="minorHAnsi"/>
          <w:b/>
          <w:noProof/>
          <w:color w:val="0070C0"/>
          <w:lang w:val="sq-AL"/>
        </w:rPr>
      </w:pPr>
      <w:bookmarkStart w:id="145" w:name="_Toc10721442"/>
      <w:bookmarkStart w:id="146" w:name="_Toc11134231"/>
      <w:r w:rsidRPr="004E355C">
        <w:rPr>
          <w:rFonts w:asciiTheme="minorHAnsi" w:hAnsiTheme="minorHAnsi"/>
          <w:b/>
          <w:noProof/>
          <w:color w:val="0070C0"/>
          <w:lang w:val="sq-AL"/>
        </w:rPr>
        <w:t>INSTITUCIONET E SISTEMIT TË DREJTËSISË</w:t>
      </w:r>
      <w:bookmarkEnd w:id="145"/>
      <w:bookmarkEnd w:id="146"/>
    </w:p>
    <w:p w:rsidR="00527686" w:rsidRPr="004E355C" w:rsidRDefault="00527686" w:rsidP="00527686">
      <w:pPr>
        <w:spacing w:before="240" w:line="276" w:lineRule="auto"/>
        <w:jc w:val="both"/>
        <w:rPr>
          <w:rFonts w:ascii="Calibri" w:eastAsia="MS Mincho" w:hAnsi="Calibri"/>
          <w:color w:val="000000"/>
          <w:lang w:val="sq-AL"/>
        </w:rPr>
      </w:pPr>
      <w:r w:rsidRPr="004E355C">
        <w:rPr>
          <w:rFonts w:ascii="Calibri" w:eastAsia="MS Mincho" w:hAnsi="Calibri"/>
          <w:color w:val="000000"/>
          <w:lang w:val="sq-AL"/>
        </w:rPr>
        <w:t>Shpenzimet e planifikuara dhe ato faktike si dhe realizimi në përqindje për 4 mujorin e pare 2019 për institucionet e Sistemit të Drejtësisë , paraqiten si më poshtë:</w:t>
      </w:r>
    </w:p>
    <w:p w:rsidR="00527686" w:rsidRPr="004E355C" w:rsidRDefault="00527686" w:rsidP="00977916">
      <w:pPr>
        <w:spacing w:line="276" w:lineRule="auto"/>
        <w:jc w:val="right"/>
        <w:rPr>
          <w:rFonts w:ascii="Calibri" w:eastAsia="MS Mincho" w:hAnsi="Calibri"/>
          <w:iCs/>
          <w:color w:val="000000"/>
          <w:sz w:val="20"/>
          <w:szCs w:val="18"/>
          <w:lang w:val="sq-AL"/>
        </w:rPr>
      </w:pPr>
      <w:r w:rsidRPr="004E355C">
        <w:rPr>
          <w:rFonts w:ascii="Calibri" w:eastAsia="MS Mincho" w:hAnsi="Calibri"/>
          <w:i/>
          <w:iCs/>
          <w:color w:val="000000"/>
          <w:sz w:val="20"/>
          <w:szCs w:val="18"/>
          <w:lang w:val="sq-AL"/>
        </w:rPr>
        <w:t>Në mijë lekë</w:t>
      </w:r>
    </w:p>
    <w:tbl>
      <w:tblPr>
        <w:tblStyle w:val="ListTable3-Accent52"/>
        <w:tblW w:w="9440" w:type="dxa"/>
        <w:tblLook w:val="04A0" w:firstRow="1" w:lastRow="0" w:firstColumn="1" w:lastColumn="0" w:noHBand="0" w:noVBand="1"/>
      </w:tblPr>
      <w:tblGrid>
        <w:gridCol w:w="436"/>
        <w:gridCol w:w="3290"/>
        <w:gridCol w:w="920"/>
        <w:gridCol w:w="952"/>
        <w:gridCol w:w="920"/>
        <w:gridCol w:w="952"/>
        <w:gridCol w:w="979"/>
        <w:gridCol w:w="991"/>
      </w:tblGrid>
      <w:tr w:rsidR="00527686" w:rsidRPr="004E355C" w:rsidTr="00977916">
        <w:trPr>
          <w:cnfStyle w:val="100000000000" w:firstRow="1" w:lastRow="0" w:firstColumn="0" w:lastColumn="0" w:oddVBand="0" w:evenVBand="0" w:oddHBand="0" w:evenHBand="0" w:firstRowFirstColumn="0" w:firstRowLastColumn="0" w:lastRowFirstColumn="0" w:lastRowLastColumn="0"/>
          <w:trHeight w:val="480"/>
        </w:trPr>
        <w:tc>
          <w:tcPr>
            <w:cnfStyle w:val="001000000100" w:firstRow="0" w:lastRow="0" w:firstColumn="1" w:lastColumn="0" w:oddVBand="0" w:evenVBand="0" w:oddHBand="0" w:evenHBand="0" w:firstRowFirstColumn="1" w:firstRowLastColumn="0" w:lastRowFirstColumn="0" w:lastRowLastColumn="0"/>
            <w:tcW w:w="436" w:type="dxa"/>
            <w:vMerge w:val="restart"/>
            <w:hideMark/>
          </w:tcPr>
          <w:p w:rsidR="00977916" w:rsidRPr="004E355C" w:rsidRDefault="00977916" w:rsidP="00977916">
            <w:pPr>
              <w:tabs>
                <w:tab w:val="center" w:pos="110"/>
              </w:tabs>
              <w:rPr>
                <w:rFonts w:ascii="Calibri" w:hAnsi="Calibri" w:cs="Calibri"/>
                <w:bCs w:val="0"/>
                <w:sz w:val="18"/>
                <w:szCs w:val="18"/>
              </w:rPr>
            </w:pPr>
          </w:p>
          <w:p w:rsidR="00527686" w:rsidRPr="004E355C" w:rsidRDefault="00977916" w:rsidP="00977916">
            <w:pPr>
              <w:tabs>
                <w:tab w:val="center" w:pos="110"/>
              </w:tabs>
              <w:rPr>
                <w:rFonts w:ascii="Calibri" w:hAnsi="Calibri" w:cs="Calibri"/>
                <w:bCs w:val="0"/>
                <w:sz w:val="18"/>
                <w:szCs w:val="18"/>
              </w:rPr>
            </w:pPr>
            <w:r w:rsidRPr="004E355C">
              <w:rPr>
                <w:rFonts w:ascii="Calibri" w:hAnsi="Calibri" w:cs="Calibri"/>
                <w:bCs w:val="0"/>
                <w:sz w:val="18"/>
                <w:szCs w:val="18"/>
              </w:rPr>
              <w:tab/>
            </w:r>
            <w:r w:rsidR="00527686" w:rsidRPr="004E355C">
              <w:rPr>
                <w:rFonts w:ascii="Calibri" w:hAnsi="Calibri" w:cs="Calibri"/>
                <w:bCs w:val="0"/>
                <w:sz w:val="18"/>
                <w:szCs w:val="18"/>
              </w:rPr>
              <w:t>NR</w:t>
            </w:r>
          </w:p>
        </w:tc>
        <w:tc>
          <w:tcPr>
            <w:tcW w:w="3290" w:type="dxa"/>
            <w:vMerge w:val="restart"/>
            <w:hideMark/>
          </w:tcPr>
          <w:p w:rsidR="00977916" w:rsidRPr="004E355C" w:rsidRDefault="00977916" w:rsidP="0097791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18"/>
              </w:rPr>
            </w:pPr>
          </w:p>
          <w:p w:rsidR="00527686" w:rsidRPr="004E355C" w:rsidRDefault="00527686" w:rsidP="0097791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18"/>
              </w:rPr>
            </w:pPr>
            <w:r w:rsidRPr="004E355C">
              <w:rPr>
                <w:rFonts w:ascii="Calibri" w:hAnsi="Calibri" w:cs="Calibri"/>
                <w:bCs w:val="0"/>
                <w:sz w:val="18"/>
                <w:szCs w:val="18"/>
              </w:rPr>
              <w:t>Emërtimi I Programit/Institucionit</w:t>
            </w:r>
          </w:p>
        </w:tc>
        <w:tc>
          <w:tcPr>
            <w:tcW w:w="1872" w:type="dxa"/>
            <w:gridSpan w:val="2"/>
            <w:hideMark/>
          </w:tcPr>
          <w:p w:rsidR="00527686" w:rsidRPr="004E355C" w:rsidRDefault="00527686" w:rsidP="0097791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18"/>
              </w:rPr>
            </w:pPr>
            <w:r w:rsidRPr="004E355C">
              <w:rPr>
                <w:rFonts w:ascii="Calibri" w:hAnsi="Calibri" w:cs="Calibri"/>
                <w:bCs w:val="0"/>
                <w:sz w:val="18"/>
                <w:szCs w:val="18"/>
              </w:rPr>
              <w:t>Plani 2019</w:t>
            </w:r>
          </w:p>
        </w:tc>
        <w:tc>
          <w:tcPr>
            <w:tcW w:w="1872" w:type="dxa"/>
            <w:gridSpan w:val="2"/>
            <w:hideMark/>
          </w:tcPr>
          <w:p w:rsidR="00527686" w:rsidRPr="004E355C" w:rsidRDefault="00527686" w:rsidP="0097791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18"/>
              </w:rPr>
            </w:pPr>
            <w:r w:rsidRPr="004E355C">
              <w:rPr>
                <w:rFonts w:ascii="Calibri" w:hAnsi="Calibri" w:cs="Calibri"/>
                <w:bCs w:val="0"/>
                <w:sz w:val="18"/>
                <w:szCs w:val="18"/>
              </w:rPr>
              <w:t>Fakti 4 mujori I</w:t>
            </w:r>
          </w:p>
        </w:tc>
        <w:tc>
          <w:tcPr>
            <w:tcW w:w="1970" w:type="dxa"/>
            <w:gridSpan w:val="2"/>
            <w:hideMark/>
          </w:tcPr>
          <w:p w:rsidR="00527686" w:rsidRPr="004E355C" w:rsidRDefault="00527686" w:rsidP="00977916">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18"/>
              </w:rPr>
            </w:pPr>
            <w:r w:rsidRPr="004E355C">
              <w:rPr>
                <w:rFonts w:ascii="Calibri" w:hAnsi="Calibri" w:cs="Calibri"/>
                <w:bCs w:val="0"/>
                <w:sz w:val="18"/>
                <w:szCs w:val="18"/>
              </w:rPr>
              <w:t>Përqindja  e realizimit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36" w:type="dxa"/>
            <w:vMerge/>
            <w:hideMark/>
          </w:tcPr>
          <w:p w:rsidR="00527686" w:rsidRPr="004E355C" w:rsidRDefault="00527686" w:rsidP="00977916">
            <w:pPr>
              <w:rPr>
                <w:rFonts w:ascii="Calibri" w:hAnsi="Calibri" w:cs="Calibri"/>
                <w:b w:val="0"/>
                <w:bCs w:val="0"/>
                <w:sz w:val="18"/>
                <w:szCs w:val="18"/>
              </w:rPr>
            </w:pPr>
          </w:p>
        </w:tc>
        <w:tc>
          <w:tcPr>
            <w:tcW w:w="3290" w:type="dxa"/>
            <w:vMerge/>
            <w:hideMark/>
          </w:tcPr>
          <w:p w:rsidR="00527686" w:rsidRPr="004E355C" w:rsidRDefault="00527686" w:rsidP="00977916">
            <w:pP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p>
        </w:tc>
        <w:tc>
          <w:tcPr>
            <w:tcW w:w="920"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Korrente</w:t>
            </w:r>
          </w:p>
        </w:tc>
        <w:tc>
          <w:tcPr>
            <w:tcW w:w="952"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Investime</w:t>
            </w:r>
          </w:p>
        </w:tc>
        <w:tc>
          <w:tcPr>
            <w:tcW w:w="920"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Korrente</w:t>
            </w:r>
          </w:p>
        </w:tc>
        <w:tc>
          <w:tcPr>
            <w:tcW w:w="952"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Investime</w:t>
            </w:r>
          </w:p>
        </w:tc>
        <w:tc>
          <w:tcPr>
            <w:tcW w:w="979"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Korrente</w:t>
            </w:r>
          </w:p>
        </w:tc>
        <w:tc>
          <w:tcPr>
            <w:tcW w:w="991" w:type="dxa"/>
            <w:hideMark/>
          </w:tcPr>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rPr>
            </w:pPr>
            <w:r w:rsidRPr="004E355C">
              <w:rPr>
                <w:rFonts w:ascii="Calibri" w:hAnsi="Calibri" w:cs="Calibri"/>
                <w:b/>
                <w:bCs/>
                <w:sz w:val="18"/>
                <w:szCs w:val="18"/>
              </w:rPr>
              <w:t>Investime</w:t>
            </w:r>
          </w:p>
        </w:tc>
      </w:tr>
      <w:tr w:rsidR="00527686" w:rsidRPr="004E355C" w:rsidTr="00977916">
        <w:trPr>
          <w:trHeight w:val="765"/>
        </w:trPr>
        <w:tc>
          <w:tcPr>
            <w:cnfStyle w:val="001000000000" w:firstRow="0" w:lastRow="0" w:firstColumn="1" w:lastColumn="0" w:oddVBand="0" w:evenVBand="0" w:oddHBand="0" w:evenHBand="0" w:firstRowFirstColumn="0" w:firstRowLastColumn="0" w:lastRowFirstColumn="0" w:lastRowLastColumn="0"/>
            <w:tcW w:w="436" w:type="dxa"/>
            <w:hideMark/>
          </w:tcPr>
          <w:p w:rsidR="00527686" w:rsidRPr="004E355C" w:rsidRDefault="00527686" w:rsidP="00977916">
            <w:pPr>
              <w:jc w:val="center"/>
              <w:rPr>
                <w:rFonts w:ascii="Calibri" w:hAnsi="Calibri" w:cs="Calibri"/>
                <w:sz w:val="18"/>
                <w:szCs w:val="18"/>
              </w:rPr>
            </w:pPr>
            <w:r w:rsidRPr="004E355C">
              <w:rPr>
                <w:rFonts w:ascii="Calibri" w:hAnsi="Calibri" w:cs="Calibri"/>
                <w:sz w:val="18"/>
                <w:szCs w:val="18"/>
              </w:rPr>
              <w:t>1</w:t>
            </w:r>
          </w:p>
        </w:tc>
        <w:tc>
          <w:tcPr>
            <w:tcW w:w="3290"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E355C">
              <w:rPr>
                <w:rFonts w:ascii="Calibri" w:hAnsi="Calibri" w:cs="Calibri"/>
                <w:sz w:val="18"/>
                <w:szCs w:val="18"/>
              </w:rPr>
              <w:t xml:space="preserve">Veprimtaria e rivlerësimit kalimtar të magjistratit / </w:t>
            </w:r>
            <w:r w:rsidRPr="004E355C">
              <w:rPr>
                <w:rFonts w:ascii="Calibri" w:hAnsi="Calibri" w:cs="Calibri"/>
                <w:b/>
                <w:bCs/>
                <w:sz w:val="18"/>
                <w:szCs w:val="18"/>
              </w:rPr>
              <w:t>Komisioni I Pavarur I Kualifikimit</w:t>
            </w:r>
          </w:p>
        </w:tc>
        <w:tc>
          <w:tcPr>
            <w:tcW w:w="920"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187,755</w:t>
            </w:r>
          </w:p>
        </w:tc>
        <w:tc>
          <w:tcPr>
            <w:tcW w:w="952"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4,000</w:t>
            </w:r>
          </w:p>
        </w:tc>
        <w:tc>
          <w:tcPr>
            <w:tcW w:w="920"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58,304</w:t>
            </w:r>
          </w:p>
        </w:tc>
        <w:tc>
          <w:tcPr>
            <w:tcW w:w="952"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1,956</w:t>
            </w:r>
          </w:p>
        </w:tc>
        <w:tc>
          <w:tcPr>
            <w:tcW w:w="979"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31.1%</w:t>
            </w:r>
          </w:p>
        </w:tc>
        <w:tc>
          <w:tcPr>
            <w:tcW w:w="991"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48.9%</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436" w:type="dxa"/>
            <w:hideMark/>
          </w:tcPr>
          <w:p w:rsidR="00527686" w:rsidRPr="004E355C" w:rsidRDefault="00527686" w:rsidP="00977916">
            <w:pPr>
              <w:jc w:val="center"/>
              <w:rPr>
                <w:rFonts w:ascii="Calibri" w:hAnsi="Calibri" w:cs="Calibri"/>
                <w:sz w:val="18"/>
                <w:szCs w:val="18"/>
              </w:rPr>
            </w:pPr>
            <w:r w:rsidRPr="004E355C">
              <w:rPr>
                <w:rFonts w:ascii="Calibri" w:hAnsi="Calibri" w:cs="Calibri"/>
                <w:sz w:val="18"/>
                <w:szCs w:val="18"/>
              </w:rPr>
              <w:t>2</w:t>
            </w:r>
          </w:p>
        </w:tc>
        <w:tc>
          <w:tcPr>
            <w:tcW w:w="3290" w:type="dxa"/>
            <w:hideMark/>
          </w:tcPr>
          <w:p w:rsidR="00977916" w:rsidRPr="004E355C" w:rsidRDefault="0097791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p>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4E355C">
              <w:rPr>
                <w:rFonts w:ascii="Calibri" w:hAnsi="Calibri" w:cs="Calibri"/>
                <w:sz w:val="18"/>
                <w:szCs w:val="18"/>
              </w:rPr>
              <w:t xml:space="preserve">Veprimtaria e apelimit të rivlerësimit kalimtar / </w:t>
            </w:r>
            <w:r w:rsidRPr="004E355C">
              <w:rPr>
                <w:rFonts w:ascii="Calibri" w:hAnsi="Calibri" w:cs="Calibri"/>
                <w:b/>
                <w:bCs/>
                <w:sz w:val="18"/>
                <w:szCs w:val="18"/>
              </w:rPr>
              <w:t>Kolegji I Posaçëm I Apelimit</w:t>
            </w:r>
          </w:p>
        </w:tc>
        <w:tc>
          <w:tcPr>
            <w:tcW w:w="920" w:type="dxa"/>
            <w:noWrap/>
            <w:hideMark/>
          </w:tcPr>
          <w:p w:rsidR="00977916" w:rsidRPr="004E355C" w:rsidRDefault="0097791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134,500</w:t>
            </w:r>
          </w:p>
        </w:tc>
        <w:tc>
          <w:tcPr>
            <w:tcW w:w="952" w:type="dxa"/>
            <w:noWrap/>
            <w:hideMark/>
          </w:tcPr>
          <w:p w:rsidR="00977916" w:rsidRPr="004E355C" w:rsidRDefault="0097791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4,700</w:t>
            </w:r>
          </w:p>
        </w:tc>
        <w:tc>
          <w:tcPr>
            <w:tcW w:w="920" w:type="dxa"/>
            <w:noWrap/>
            <w:hideMark/>
          </w:tcPr>
          <w:p w:rsidR="00977916" w:rsidRPr="004E355C" w:rsidRDefault="0097791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36,908</w:t>
            </w:r>
          </w:p>
        </w:tc>
        <w:tc>
          <w:tcPr>
            <w:tcW w:w="952" w:type="dxa"/>
            <w:noWrap/>
            <w:hideMark/>
          </w:tcPr>
          <w:p w:rsidR="00977916" w:rsidRPr="004E355C" w:rsidRDefault="0097791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0</w:t>
            </w:r>
          </w:p>
        </w:tc>
        <w:tc>
          <w:tcPr>
            <w:tcW w:w="979" w:type="dxa"/>
            <w:hideMark/>
          </w:tcPr>
          <w:p w:rsidR="00977916" w:rsidRPr="004E355C" w:rsidRDefault="00977916" w:rsidP="00977916">
            <w:pPr>
              <w:jc w:val="center"/>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27.4%</w:t>
            </w:r>
          </w:p>
        </w:tc>
        <w:tc>
          <w:tcPr>
            <w:tcW w:w="991" w:type="dxa"/>
            <w:hideMark/>
          </w:tcPr>
          <w:p w:rsidR="00977916" w:rsidRPr="004E355C" w:rsidRDefault="00977916" w:rsidP="00977916">
            <w:pPr>
              <w:jc w:val="center"/>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100000" w:firstRow="0" w:lastRow="0" w:firstColumn="0" w:lastColumn="0" w:oddVBand="0" w:evenVBand="0" w:oddHBand="1"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0.0%</w:t>
            </w:r>
          </w:p>
        </w:tc>
      </w:tr>
      <w:tr w:rsidR="00527686" w:rsidRPr="004E355C" w:rsidTr="00977916">
        <w:trPr>
          <w:trHeight w:val="765"/>
        </w:trPr>
        <w:tc>
          <w:tcPr>
            <w:cnfStyle w:val="001000000000" w:firstRow="0" w:lastRow="0" w:firstColumn="1" w:lastColumn="0" w:oddVBand="0" w:evenVBand="0" w:oddHBand="0" w:evenHBand="0" w:firstRowFirstColumn="0" w:firstRowLastColumn="0" w:lastRowFirstColumn="0" w:lastRowLastColumn="0"/>
            <w:tcW w:w="436" w:type="dxa"/>
            <w:hideMark/>
          </w:tcPr>
          <w:p w:rsidR="00527686" w:rsidRPr="004E355C" w:rsidRDefault="00527686" w:rsidP="00977916">
            <w:pPr>
              <w:jc w:val="center"/>
              <w:rPr>
                <w:rFonts w:ascii="Calibri" w:hAnsi="Calibri" w:cs="Calibri"/>
                <w:sz w:val="18"/>
                <w:szCs w:val="18"/>
              </w:rPr>
            </w:pPr>
            <w:r w:rsidRPr="004E355C">
              <w:rPr>
                <w:rFonts w:ascii="Calibri" w:hAnsi="Calibri" w:cs="Calibri"/>
                <w:sz w:val="18"/>
                <w:szCs w:val="18"/>
              </w:rPr>
              <w:t>3</w:t>
            </w:r>
          </w:p>
        </w:tc>
        <w:tc>
          <w:tcPr>
            <w:tcW w:w="3290"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rPr>
            </w:pPr>
            <w:r w:rsidRPr="004E355C">
              <w:rPr>
                <w:rFonts w:ascii="Calibri" w:hAnsi="Calibri" w:cs="Calibri"/>
                <w:sz w:val="18"/>
                <w:szCs w:val="18"/>
              </w:rPr>
              <w:t xml:space="preserve">Veprimtaria e komisionerit publik / </w:t>
            </w:r>
            <w:r w:rsidRPr="004E355C">
              <w:rPr>
                <w:rFonts w:ascii="Calibri" w:hAnsi="Calibri" w:cs="Calibri"/>
                <w:b/>
                <w:bCs/>
                <w:sz w:val="18"/>
                <w:szCs w:val="18"/>
              </w:rPr>
              <w:t>Komisionerët Publikë</w:t>
            </w:r>
          </w:p>
        </w:tc>
        <w:tc>
          <w:tcPr>
            <w:tcW w:w="920"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65,830</w:t>
            </w:r>
          </w:p>
        </w:tc>
        <w:tc>
          <w:tcPr>
            <w:tcW w:w="952"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1,500</w:t>
            </w:r>
          </w:p>
        </w:tc>
        <w:tc>
          <w:tcPr>
            <w:tcW w:w="920"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21,435</w:t>
            </w:r>
          </w:p>
        </w:tc>
        <w:tc>
          <w:tcPr>
            <w:tcW w:w="952" w:type="dxa"/>
            <w:noWrap/>
            <w:hideMark/>
          </w:tcPr>
          <w:p w:rsidR="00977916" w:rsidRPr="004E355C" w:rsidRDefault="0097791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right"/>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38</w:t>
            </w:r>
          </w:p>
        </w:tc>
        <w:tc>
          <w:tcPr>
            <w:tcW w:w="979"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32.6%</w:t>
            </w:r>
          </w:p>
        </w:tc>
        <w:tc>
          <w:tcPr>
            <w:tcW w:w="991" w:type="dxa"/>
            <w:hideMark/>
          </w:tcPr>
          <w:p w:rsidR="00977916" w:rsidRPr="004E355C" w:rsidRDefault="0097791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p>
          <w:p w:rsidR="00527686" w:rsidRPr="004E355C" w:rsidRDefault="00527686" w:rsidP="00977916">
            <w:pPr>
              <w:jc w:val="center"/>
              <w:cnfStyle w:val="000000000000" w:firstRow="0" w:lastRow="0" w:firstColumn="0" w:lastColumn="0" w:oddVBand="0" w:evenVBand="0" w:oddHBand="0" w:evenHBand="0" w:firstRowFirstColumn="0" w:firstRowLastColumn="0" w:lastRowFirstColumn="0" w:lastRowLastColumn="0"/>
              <w:rPr>
                <w:rFonts w:ascii="Calibri" w:eastAsia="MS Mincho" w:hAnsi="Calibri" w:cs="Calibri"/>
                <w:sz w:val="18"/>
                <w:szCs w:val="18"/>
              </w:rPr>
            </w:pPr>
            <w:r w:rsidRPr="004E355C">
              <w:rPr>
                <w:rFonts w:ascii="Calibri" w:eastAsia="MS Mincho" w:hAnsi="Calibri" w:cs="Calibri"/>
                <w:sz w:val="18"/>
                <w:szCs w:val="18"/>
              </w:rPr>
              <w:t>2.6%</w:t>
            </w:r>
          </w:p>
        </w:tc>
      </w:tr>
    </w:tbl>
    <w:p w:rsidR="00527686" w:rsidRPr="004E355C" w:rsidRDefault="00527686" w:rsidP="00527686">
      <w:pPr>
        <w:spacing w:line="276" w:lineRule="auto"/>
        <w:ind w:left="360"/>
        <w:contextualSpacing/>
        <w:jc w:val="both"/>
        <w:rPr>
          <w:rFonts w:ascii="Calibri" w:eastAsia="MS Mincho" w:hAnsi="Calibri"/>
        </w:rPr>
      </w:pPr>
    </w:p>
    <w:p w:rsidR="00527686" w:rsidRPr="004E355C" w:rsidRDefault="00527686" w:rsidP="00977916">
      <w:pPr>
        <w:spacing w:line="276" w:lineRule="auto"/>
        <w:contextualSpacing/>
        <w:jc w:val="both"/>
        <w:rPr>
          <w:rFonts w:ascii="Calibri" w:eastAsia="MS Mincho" w:hAnsi="Calibri"/>
        </w:rPr>
      </w:pPr>
      <w:r w:rsidRPr="004E355C">
        <w:rPr>
          <w:rFonts w:ascii="Calibri" w:hAnsi="Calibri"/>
          <w:lang w:val="sq-AL"/>
        </w:rPr>
        <w:t xml:space="preserve">Në lidhje me disa nga treguesit e performancës për Komisionin e Pavarur të Kualifikimit për </w:t>
      </w:r>
      <w:r w:rsidRPr="004E355C">
        <w:rPr>
          <w:rFonts w:ascii="Calibri" w:eastAsia="MS Mincho" w:hAnsi="Calibri"/>
        </w:rPr>
        <w:t>4 mujorin e parë të këtij viti</w:t>
      </w:r>
      <w:r w:rsidRPr="004E355C">
        <w:rPr>
          <w:rFonts w:ascii="Calibri" w:hAnsi="Calibri"/>
          <w:lang w:val="sq-AL"/>
        </w:rPr>
        <w:t>,  përmendim: *</w:t>
      </w:r>
      <w:r w:rsidRPr="004E355C">
        <w:rPr>
          <w:rFonts w:ascii="Calibri" w:eastAsia="MS Mincho" w:hAnsi="Calibri" w:cs="Calibri"/>
        </w:rPr>
        <w:t xml:space="preserve"> Numri dosjevet e shortuara është për 71 subjekte *Numri i vendimeve të marra  nga KPK është për 53 subjekte të rivlerësimit kalimtar.</w:t>
      </w:r>
    </w:p>
    <w:p w:rsidR="00977916" w:rsidRPr="004E355C" w:rsidRDefault="00977916" w:rsidP="00977916">
      <w:pPr>
        <w:spacing w:line="276" w:lineRule="auto"/>
        <w:contextualSpacing/>
        <w:jc w:val="both"/>
        <w:rPr>
          <w:rFonts w:ascii="Calibri" w:eastAsia="MS Mincho" w:hAnsi="Calibri"/>
          <w:sz w:val="16"/>
        </w:rPr>
      </w:pPr>
    </w:p>
    <w:p w:rsidR="00527686" w:rsidRPr="004E355C" w:rsidRDefault="00527686" w:rsidP="00977916">
      <w:pPr>
        <w:spacing w:line="276" w:lineRule="auto"/>
        <w:contextualSpacing/>
        <w:jc w:val="both"/>
        <w:rPr>
          <w:rFonts w:ascii="Calibri" w:eastAsia="MS Mincho" w:hAnsi="Calibri"/>
        </w:rPr>
      </w:pPr>
      <w:r w:rsidRPr="004E355C">
        <w:rPr>
          <w:rFonts w:ascii="Calibri" w:eastAsia="MS Mincho" w:hAnsi="Calibri"/>
        </w:rPr>
        <w:t>Nga ana e Komisionerëve Publikë për vitin 2019 janë parashikuar të shqyrtohen 120 çështje të njoftuara nga KPK, dhe deri në fund të 4 mujorit të parë të këtij viti, raportohet se janë shqyrtuar brenda afateve ligjore 53 të tilla.</w:t>
      </w:r>
    </w:p>
    <w:p w:rsidR="008133EB" w:rsidRPr="004E355C" w:rsidRDefault="008133EB" w:rsidP="00977916">
      <w:pPr>
        <w:spacing w:before="120" w:after="120" w:line="276" w:lineRule="auto"/>
        <w:jc w:val="both"/>
        <w:rPr>
          <w:rFonts w:asciiTheme="minorHAnsi" w:hAnsiTheme="minorHAnsi"/>
          <w:b/>
          <w:noProof/>
          <w:color w:val="0070C0"/>
          <w:lang w:val="sq-AL"/>
        </w:rPr>
      </w:pPr>
      <w:bookmarkStart w:id="147" w:name="_Toc10033303"/>
      <w:bookmarkStart w:id="148" w:name="_Toc10721439"/>
      <w:bookmarkStart w:id="149" w:name="_Toc11134232"/>
    </w:p>
    <w:p w:rsidR="00527686" w:rsidRPr="004E355C" w:rsidRDefault="00977916" w:rsidP="00977916">
      <w:pPr>
        <w:spacing w:before="120" w:after="120" w:line="276" w:lineRule="auto"/>
        <w:jc w:val="both"/>
        <w:rPr>
          <w:rFonts w:asciiTheme="minorHAnsi" w:hAnsiTheme="minorHAnsi"/>
          <w:b/>
          <w:noProof/>
          <w:color w:val="0070C0"/>
          <w:lang w:val="sq-AL"/>
        </w:rPr>
      </w:pPr>
      <w:r w:rsidRPr="00666B9F">
        <w:rPr>
          <w:rFonts w:asciiTheme="minorHAnsi" w:hAnsiTheme="minorHAnsi"/>
          <w:b/>
          <w:noProof/>
          <w:color w:val="0070C0"/>
          <w:highlight w:val="yellow"/>
          <w:lang w:val="sq-AL"/>
        </w:rPr>
        <w:lastRenderedPageBreak/>
        <w:t>FINANCAT, EKONOMIA, PUNËSIMI DHE ARSIMI PROFESIONAL</w:t>
      </w:r>
      <w:bookmarkEnd w:id="147"/>
      <w:bookmarkEnd w:id="148"/>
      <w:bookmarkEnd w:id="149"/>
    </w:p>
    <w:p w:rsidR="00527686" w:rsidRPr="004E355C" w:rsidRDefault="00527686" w:rsidP="00527686">
      <w:pPr>
        <w:spacing w:line="276" w:lineRule="auto"/>
        <w:jc w:val="both"/>
        <w:rPr>
          <w:rFonts w:ascii="Calibri" w:hAnsi="Calibri"/>
          <w:lang w:val="sq-AL"/>
        </w:rPr>
      </w:pPr>
      <w:r w:rsidRPr="004E355C">
        <w:rPr>
          <w:rFonts w:ascii="Calibri" w:hAnsi="Calibri"/>
          <w:lang w:val="sq-AL"/>
        </w:rPr>
        <w:t xml:space="preserve">Shpenzimet e planifikuara për vitin 2019 dhe ato faktike për 4 mujorin e parë, si dhe realizimi në përqindje për Ministrinë e Financave dhe Ekonomisë, për disa nga programet kryesore, paraqiten si më poshtë, </w:t>
      </w:r>
      <w:r w:rsidRPr="004E355C">
        <w:rPr>
          <w:rFonts w:ascii="Calibri" w:hAnsi="Calibri"/>
          <w:i/>
          <w:lang w:val="sq-AL"/>
        </w:rPr>
        <w:t>në mijë lekë</w:t>
      </w:r>
      <w:r w:rsidRPr="004E355C">
        <w:rPr>
          <w:rFonts w:ascii="Calibri" w:hAnsi="Calibri"/>
          <w:lang w:val="sq-AL"/>
        </w:rPr>
        <w:t>:</w:t>
      </w:r>
    </w:p>
    <w:p w:rsidR="00527686" w:rsidRPr="004E355C" w:rsidRDefault="00527686" w:rsidP="00977916">
      <w:pPr>
        <w:spacing w:line="276" w:lineRule="auto"/>
        <w:jc w:val="right"/>
        <w:rPr>
          <w:rFonts w:ascii="Calibri" w:eastAsia="MS Mincho" w:hAnsi="Calibri"/>
          <w:i/>
          <w:lang w:val="sq-AL"/>
        </w:rPr>
      </w:pPr>
      <w:r w:rsidRPr="004E355C">
        <w:rPr>
          <w:rFonts w:ascii="Calibri" w:eastAsia="MS Mincho" w:hAnsi="Calibri"/>
          <w:lang w:val="sq-AL"/>
        </w:rPr>
        <w:t xml:space="preserve">                                                                                                                                               </w:t>
      </w:r>
      <w:r w:rsidRPr="004E355C">
        <w:rPr>
          <w:rFonts w:ascii="Calibri" w:eastAsia="MS Mincho" w:hAnsi="Calibri"/>
          <w:i/>
          <w:lang w:val="sq-AL"/>
        </w:rPr>
        <w:t>Në 000/lekë</w:t>
      </w:r>
    </w:p>
    <w:tbl>
      <w:tblPr>
        <w:tblStyle w:val="ListTable3-Accent52"/>
        <w:tblW w:w="9602" w:type="dxa"/>
        <w:tblLook w:val="04A0" w:firstRow="1" w:lastRow="0" w:firstColumn="1" w:lastColumn="0" w:noHBand="0" w:noVBand="1"/>
      </w:tblPr>
      <w:tblGrid>
        <w:gridCol w:w="3028"/>
        <w:gridCol w:w="1167"/>
        <w:gridCol w:w="1037"/>
        <w:gridCol w:w="1142"/>
        <w:gridCol w:w="1122"/>
        <w:gridCol w:w="954"/>
        <w:gridCol w:w="1152"/>
      </w:tblGrid>
      <w:tr w:rsidR="00527686" w:rsidRPr="004E355C" w:rsidTr="00977916">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3028" w:type="dxa"/>
            <w:hideMark/>
          </w:tcPr>
          <w:p w:rsidR="00527686" w:rsidRPr="004E355C" w:rsidRDefault="00527686" w:rsidP="00527686">
            <w:pPr>
              <w:spacing w:line="276" w:lineRule="auto"/>
              <w:rPr>
                <w:rFonts w:ascii="Calibri" w:hAnsi="Calibri" w:cs="Calibri"/>
                <w:sz w:val="18"/>
                <w:szCs w:val="20"/>
                <w:lang w:val="sq-AL"/>
              </w:rPr>
            </w:pPr>
            <w:bookmarkStart w:id="150" w:name="_Toc10033304"/>
            <w:bookmarkStart w:id="151" w:name="_Toc10721440"/>
            <w:bookmarkStart w:id="152" w:name="_Toc11134233"/>
            <w:r w:rsidRPr="004E355C">
              <w:rPr>
                <w:rFonts w:ascii="Calibri" w:hAnsi="Calibri" w:cs="Calibri"/>
                <w:sz w:val="18"/>
                <w:szCs w:val="20"/>
                <w:lang w:val="sq-AL"/>
              </w:rPr>
              <w:t> </w:t>
            </w:r>
          </w:p>
        </w:tc>
        <w:tc>
          <w:tcPr>
            <w:tcW w:w="2204"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lang w:val="sq-AL"/>
              </w:rPr>
            </w:pPr>
            <w:r w:rsidRPr="004E355C">
              <w:rPr>
                <w:rFonts w:ascii="Calibri" w:hAnsi="Calibri" w:cs="Calibri"/>
                <w:bCs w:val="0"/>
                <w:sz w:val="20"/>
                <w:szCs w:val="20"/>
                <w:lang w:val="sq-AL"/>
              </w:rPr>
              <w:t>Plani 2019</w:t>
            </w:r>
          </w:p>
        </w:tc>
        <w:tc>
          <w:tcPr>
            <w:tcW w:w="2264"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lang w:val="sq-AL"/>
              </w:rPr>
            </w:pPr>
            <w:r w:rsidRPr="004E355C">
              <w:rPr>
                <w:rFonts w:ascii="Calibri" w:hAnsi="Calibri" w:cs="Calibri"/>
                <w:bCs w:val="0"/>
                <w:sz w:val="20"/>
                <w:szCs w:val="20"/>
                <w:lang w:val="sq-AL"/>
              </w:rPr>
              <w:t>Fakti 4 mujor</w:t>
            </w:r>
          </w:p>
        </w:tc>
        <w:tc>
          <w:tcPr>
            <w:tcW w:w="2106"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20"/>
                <w:szCs w:val="20"/>
                <w:lang w:val="sq-AL"/>
              </w:rPr>
            </w:pPr>
            <w:r w:rsidRPr="004E355C">
              <w:rPr>
                <w:rFonts w:ascii="Calibri" w:hAnsi="Calibri" w:cs="Calibri"/>
                <w:bCs w:val="0"/>
                <w:sz w:val="20"/>
                <w:szCs w:val="20"/>
                <w:lang w:val="sq-AL"/>
              </w:rPr>
              <w:t>Përqindja  e realizimit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hideMark/>
          </w:tcPr>
          <w:p w:rsidR="00527686" w:rsidRPr="004E355C" w:rsidRDefault="00527686" w:rsidP="00527686">
            <w:pPr>
              <w:spacing w:line="276" w:lineRule="auto"/>
              <w:jc w:val="center"/>
              <w:rPr>
                <w:rFonts w:ascii="Calibri" w:hAnsi="Calibri" w:cs="Calibri"/>
                <w:b w:val="0"/>
                <w:bCs w:val="0"/>
                <w:sz w:val="18"/>
                <w:szCs w:val="20"/>
                <w:lang w:val="sq-AL"/>
              </w:rPr>
            </w:pPr>
            <w:r w:rsidRPr="004E355C">
              <w:rPr>
                <w:rFonts w:ascii="Calibri" w:hAnsi="Calibri" w:cs="Calibri"/>
                <w:b w:val="0"/>
                <w:bCs w:val="0"/>
                <w:sz w:val="18"/>
                <w:szCs w:val="20"/>
                <w:lang w:val="sq-AL"/>
              </w:rPr>
              <w:t>Emërtimi i Programit</w:t>
            </w:r>
          </w:p>
        </w:tc>
        <w:tc>
          <w:tcPr>
            <w:tcW w:w="1167"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Korrente</w:t>
            </w:r>
          </w:p>
        </w:tc>
        <w:tc>
          <w:tcPr>
            <w:tcW w:w="1037"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Investime</w:t>
            </w:r>
          </w:p>
        </w:tc>
        <w:tc>
          <w:tcPr>
            <w:tcW w:w="114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Korrente</w:t>
            </w:r>
          </w:p>
        </w:tc>
        <w:tc>
          <w:tcPr>
            <w:tcW w:w="112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Investime</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Korrente</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Investime</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Planifikimi, Menaxhimi dhe Administrimi</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612,900</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339,623</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189,904</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46,975</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31.0%</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13.8%</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jc w:val="right"/>
              <w:rPr>
                <w:rFonts w:ascii="Calibri" w:hAnsi="Calibri" w:cs="Calibri"/>
                <w:sz w:val="18"/>
                <w:szCs w:val="20"/>
                <w:lang w:val="sq-AL"/>
              </w:rPr>
            </w:pPr>
            <w:r w:rsidRPr="004E355C">
              <w:rPr>
                <w:rFonts w:ascii="Calibri" w:hAnsi="Calibri" w:cs="Calibri"/>
                <w:sz w:val="18"/>
                <w:szCs w:val="20"/>
                <w:lang w:val="sq-AL"/>
              </w:rPr>
              <w:t>Financimi i huaj</w:t>
            </w:r>
          </w:p>
        </w:tc>
        <w:tc>
          <w:tcPr>
            <w:tcW w:w="116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03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318,919</w:t>
            </w:r>
          </w:p>
        </w:tc>
        <w:tc>
          <w:tcPr>
            <w:tcW w:w="114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2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120,660</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37.8%</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Menaxhimi i të Ardhurave Tatimore</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2,249,401</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953,000</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709,078</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112,581</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31.5%</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11.8%</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Menaxhimi i të Ardhurave Doganore</w:t>
            </w:r>
          </w:p>
        </w:tc>
        <w:tc>
          <w:tcPr>
            <w:tcW w:w="116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3,256,897</w:t>
            </w:r>
          </w:p>
        </w:tc>
        <w:tc>
          <w:tcPr>
            <w:tcW w:w="103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582,227</w:t>
            </w:r>
          </w:p>
        </w:tc>
        <w:tc>
          <w:tcPr>
            <w:tcW w:w="114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1,009,829</w:t>
            </w:r>
          </w:p>
        </w:tc>
        <w:tc>
          <w:tcPr>
            <w:tcW w:w="112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25,926</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31.0%</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4.5%</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jc w:val="right"/>
              <w:rPr>
                <w:rFonts w:ascii="Calibri" w:hAnsi="Calibri" w:cs="Calibri"/>
                <w:sz w:val="18"/>
                <w:szCs w:val="20"/>
                <w:lang w:val="sq-AL"/>
              </w:rPr>
            </w:pPr>
            <w:r w:rsidRPr="004E355C">
              <w:rPr>
                <w:rFonts w:ascii="Calibri" w:hAnsi="Calibri" w:cs="Calibri"/>
                <w:sz w:val="18"/>
                <w:szCs w:val="20"/>
                <w:lang w:val="sq-AL"/>
              </w:rPr>
              <w:t>Financimi i huaj</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76,437</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754</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Sigurimi Shoqëror</w:t>
            </w:r>
          </w:p>
        </w:tc>
        <w:tc>
          <w:tcPr>
            <w:tcW w:w="116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43,542,350</w:t>
            </w:r>
          </w:p>
        </w:tc>
        <w:tc>
          <w:tcPr>
            <w:tcW w:w="103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4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11,716,537</w:t>
            </w:r>
          </w:p>
        </w:tc>
        <w:tc>
          <w:tcPr>
            <w:tcW w:w="112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26.9%</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Tregu i Punës</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1,667,650</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53,400</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556,988</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2,667</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33.4%</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Arsimi i  Mesëm Profesional</w:t>
            </w:r>
          </w:p>
        </w:tc>
        <w:tc>
          <w:tcPr>
            <w:tcW w:w="116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1,807,500</w:t>
            </w:r>
          </w:p>
        </w:tc>
        <w:tc>
          <w:tcPr>
            <w:tcW w:w="103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820,700</w:t>
            </w:r>
          </w:p>
        </w:tc>
        <w:tc>
          <w:tcPr>
            <w:tcW w:w="114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444,042</w:t>
            </w:r>
          </w:p>
        </w:tc>
        <w:tc>
          <w:tcPr>
            <w:tcW w:w="112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167,045</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24.6%</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20.4%</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jc w:val="right"/>
              <w:rPr>
                <w:rFonts w:ascii="Calibri" w:hAnsi="Calibri" w:cs="Calibri"/>
                <w:sz w:val="18"/>
                <w:szCs w:val="20"/>
                <w:lang w:val="sq-AL"/>
              </w:rPr>
            </w:pPr>
            <w:r w:rsidRPr="004E355C">
              <w:rPr>
                <w:rFonts w:ascii="Calibri" w:hAnsi="Calibri" w:cs="Calibri"/>
                <w:sz w:val="18"/>
                <w:szCs w:val="20"/>
                <w:lang w:val="sq-AL"/>
              </w:rPr>
              <w:t>Financimi i huaj</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692,644</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169,480</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24.5%</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rPr>
                <w:rFonts w:ascii="Calibri" w:hAnsi="Calibri" w:cs="Calibri"/>
                <w:sz w:val="18"/>
                <w:szCs w:val="20"/>
                <w:lang w:val="sq-AL"/>
              </w:rPr>
            </w:pPr>
            <w:r w:rsidRPr="004E355C">
              <w:rPr>
                <w:rFonts w:ascii="Calibri" w:hAnsi="Calibri" w:cs="Calibri"/>
                <w:sz w:val="18"/>
                <w:szCs w:val="20"/>
                <w:lang w:val="sq-AL"/>
              </w:rPr>
              <w:t>Strehimi</w:t>
            </w:r>
          </w:p>
        </w:tc>
        <w:tc>
          <w:tcPr>
            <w:tcW w:w="116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380,000</w:t>
            </w:r>
          </w:p>
        </w:tc>
        <w:tc>
          <w:tcPr>
            <w:tcW w:w="1037"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350,000</w:t>
            </w:r>
          </w:p>
        </w:tc>
        <w:tc>
          <w:tcPr>
            <w:tcW w:w="114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58,624</w:t>
            </w:r>
          </w:p>
        </w:tc>
        <w:tc>
          <w:tcPr>
            <w:tcW w:w="1122"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106,452</w:t>
            </w:r>
          </w:p>
        </w:tc>
        <w:tc>
          <w:tcPr>
            <w:tcW w:w="954"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15.4%</w:t>
            </w:r>
          </w:p>
        </w:tc>
        <w:tc>
          <w:tcPr>
            <w:tcW w:w="1152"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30.4%</w:t>
            </w:r>
          </w:p>
        </w:tc>
      </w:tr>
      <w:tr w:rsidR="00527686" w:rsidRPr="004E355C" w:rsidTr="00977916">
        <w:trPr>
          <w:trHeight w:val="300"/>
        </w:trPr>
        <w:tc>
          <w:tcPr>
            <w:cnfStyle w:val="001000000000" w:firstRow="0" w:lastRow="0" w:firstColumn="1" w:lastColumn="0" w:oddVBand="0" w:evenVBand="0" w:oddHBand="0" w:evenHBand="0" w:firstRowFirstColumn="0" w:firstRowLastColumn="0" w:lastRowFirstColumn="0" w:lastRowLastColumn="0"/>
            <w:tcW w:w="3028" w:type="dxa"/>
            <w:noWrap/>
            <w:hideMark/>
          </w:tcPr>
          <w:p w:rsidR="00527686" w:rsidRPr="004E355C" w:rsidRDefault="00527686" w:rsidP="00527686">
            <w:pPr>
              <w:spacing w:line="276" w:lineRule="auto"/>
              <w:jc w:val="center"/>
              <w:rPr>
                <w:rFonts w:ascii="Calibri" w:hAnsi="Calibri" w:cs="Calibri"/>
                <w:b w:val="0"/>
                <w:bCs w:val="0"/>
                <w:sz w:val="18"/>
                <w:szCs w:val="20"/>
                <w:lang w:val="sq-AL"/>
              </w:rPr>
            </w:pPr>
            <w:r w:rsidRPr="004E355C">
              <w:rPr>
                <w:rFonts w:ascii="Calibri" w:hAnsi="Calibri" w:cs="Calibri"/>
                <w:b w:val="0"/>
                <w:bCs w:val="0"/>
                <w:sz w:val="18"/>
                <w:szCs w:val="20"/>
                <w:lang w:val="sq-AL"/>
              </w:rPr>
              <w:t>MFE Total</w:t>
            </w:r>
          </w:p>
        </w:tc>
        <w:tc>
          <w:tcPr>
            <w:tcW w:w="116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55,083,414</w:t>
            </w:r>
          </w:p>
        </w:tc>
        <w:tc>
          <w:tcPr>
            <w:tcW w:w="1037"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5,123,400</w:t>
            </w:r>
          </w:p>
        </w:tc>
        <w:tc>
          <w:tcPr>
            <w:tcW w:w="114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15,203,025</w:t>
            </w:r>
          </w:p>
        </w:tc>
        <w:tc>
          <w:tcPr>
            <w:tcW w:w="1122"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791,762</w:t>
            </w:r>
          </w:p>
        </w:tc>
        <w:tc>
          <w:tcPr>
            <w:tcW w:w="954"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27.6%</w:t>
            </w:r>
          </w:p>
        </w:tc>
        <w:tc>
          <w:tcPr>
            <w:tcW w:w="1152"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15.5%</w:t>
            </w:r>
          </w:p>
        </w:tc>
      </w:tr>
    </w:tbl>
    <w:p w:rsidR="00527686" w:rsidRPr="004E355C" w:rsidRDefault="00527686" w:rsidP="00527686">
      <w:pPr>
        <w:spacing w:line="276" w:lineRule="auto"/>
        <w:ind w:left="360"/>
        <w:rPr>
          <w:rFonts w:ascii="Calibri" w:eastAsia="MS Mincho" w:hAnsi="Calibri"/>
          <w:sz w:val="8"/>
          <w:lang w:val="sq-AL"/>
        </w:rPr>
      </w:pPr>
    </w:p>
    <w:p w:rsidR="00527686" w:rsidRPr="004E355C" w:rsidRDefault="00527686" w:rsidP="00977916">
      <w:pPr>
        <w:spacing w:line="276" w:lineRule="auto"/>
        <w:jc w:val="both"/>
        <w:rPr>
          <w:rFonts w:ascii="Calibri" w:hAnsi="Calibri"/>
          <w:lang w:val="sq-AL"/>
        </w:rPr>
      </w:pPr>
      <w:r w:rsidRPr="004E355C">
        <w:rPr>
          <w:rFonts w:ascii="Calibri" w:hAnsi="Calibri"/>
          <w:lang w:val="sq-AL"/>
        </w:rPr>
        <w:t>Sipas të dhënave, realizimi faktik i shpenzimeve korente paraqitet në mesataren e periudhës, ndërsa investimet pritet të kenë realizim më të lartë në periudhën në vazhdim.</w:t>
      </w:r>
    </w:p>
    <w:p w:rsidR="00977916" w:rsidRDefault="00977916" w:rsidP="00527686">
      <w:pPr>
        <w:spacing w:line="276" w:lineRule="auto"/>
        <w:ind w:left="360"/>
        <w:jc w:val="both"/>
        <w:rPr>
          <w:rFonts w:ascii="Calibri" w:hAnsi="Calibri"/>
          <w:lang w:val="sq-AL"/>
        </w:rPr>
      </w:pPr>
    </w:p>
    <w:p w:rsidR="00666B9F" w:rsidRPr="004E355C" w:rsidRDefault="00666B9F" w:rsidP="00527686">
      <w:pPr>
        <w:spacing w:line="276" w:lineRule="auto"/>
        <w:ind w:left="360"/>
        <w:jc w:val="both"/>
        <w:rPr>
          <w:rFonts w:ascii="Calibri" w:hAnsi="Calibri"/>
          <w:lang w:val="sq-AL"/>
        </w:rPr>
      </w:pPr>
    </w:p>
    <w:p w:rsidR="00527686" w:rsidRPr="004E355C" w:rsidRDefault="00977916" w:rsidP="00977916">
      <w:pPr>
        <w:spacing w:before="120" w:after="120" w:line="276" w:lineRule="auto"/>
        <w:jc w:val="both"/>
        <w:rPr>
          <w:rFonts w:asciiTheme="minorHAnsi" w:hAnsiTheme="minorHAnsi"/>
          <w:b/>
          <w:noProof/>
          <w:color w:val="0070C0"/>
          <w:lang w:val="sq-AL"/>
        </w:rPr>
      </w:pPr>
      <w:r w:rsidRPr="00666B9F">
        <w:rPr>
          <w:rFonts w:asciiTheme="minorHAnsi" w:hAnsiTheme="minorHAnsi"/>
          <w:b/>
          <w:noProof/>
          <w:color w:val="0070C0"/>
          <w:highlight w:val="yellow"/>
          <w:lang w:val="sq-AL"/>
        </w:rPr>
        <w:t>MBROJTJA</w:t>
      </w:r>
      <w:bookmarkEnd w:id="150"/>
      <w:bookmarkEnd w:id="151"/>
      <w:bookmarkEnd w:id="152"/>
    </w:p>
    <w:p w:rsidR="00527686" w:rsidRPr="004E355C" w:rsidRDefault="00527686" w:rsidP="00527686">
      <w:pPr>
        <w:spacing w:before="240" w:line="276" w:lineRule="auto"/>
        <w:jc w:val="both"/>
        <w:rPr>
          <w:rFonts w:ascii="Calibri" w:eastAsia="MS Mincho" w:hAnsi="Calibri"/>
          <w:color w:val="000000"/>
          <w:lang w:val="sq-AL"/>
        </w:rPr>
      </w:pPr>
      <w:r w:rsidRPr="004E355C">
        <w:rPr>
          <w:rFonts w:ascii="Calibri" w:eastAsia="MS Mincho" w:hAnsi="Calibri"/>
          <w:color w:val="000000"/>
          <w:lang w:val="sq-AL"/>
        </w:rPr>
        <w:t>Shpenzimet e planifikuara dhe ato faktike si dhe realizimi në përqindje për 4 mujorin e pare 2019 për Ministrinë e Mbrojtjes, paraqiten si më poshtë:</w:t>
      </w:r>
    </w:p>
    <w:p w:rsidR="00527686" w:rsidRPr="004E355C" w:rsidRDefault="00527686" w:rsidP="00527686">
      <w:pPr>
        <w:spacing w:line="276" w:lineRule="auto"/>
        <w:ind w:left="2880" w:firstLine="720"/>
        <w:jc w:val="right"/>
        <w:rPr>
          <w:rFonts w:ascii="Calibri" w:eastAsia="MS Mincho" w:hAnsi="Calibri"/>
          <w:i/>
          <w:color w:val="000000"/>
          <w:sz w:val="20"/>
          <w:lang w:val="sq-AL"/>
        </w:rPr>
      </w:pPr>
      <w:r w:rsidRPr="004E355C">
        <w:rPr>
          <w:rFonts w:ascii="Calibri" w:eastAsia="MS Mincho" w:hAnsi="Calibri"/>
          <w:i/>
          <w:color w:val="000000"/>
          <w:lang w:val="sq-AL"/>
        </w:rPr>
        <w:t>Në mijë lekë</w:t>
      </w:r>
    </w:p>
    <w:tbl>
      <w:tblPr>
        <w:tblStyle w:val="ListTable3-Accent52"/>
        <w:tblW w:w="9735" w:type="dxa"/>
        <w:tblLayout w:type="fixed"/>
        <w:tblLook w:val="04A0" w:firstRow="1" w:lastRow="0" w:firstColumn="1" w:lastColumn="0" w:noHBand="0" w:noVBand="1"/>
      </w:tblPr>
      <w:tblGrid>
        <w:gridCol w:w="3106"/>
        <w:gridCol w:w="1220"/>
        <w:gridCol w:w="1110"/>
        <w:gridCol w:w="1149"/>
        <w:gridCol w:w="1080"/>
        <w:gridCol w:w="990"/>
        <w:gridCol w:w="1080"/>
      </w:tblGrid>
      <w:tr w:rsidR="00527686" w:rsidRPr="004E355C" w:rsidTr="00977916">
        <w:trPr>
          <w:cnfStyle w:val="100000000000" w:firstRow="1" w:lastRow="0" w:firstColumn="0" w:lastColumn="0" w:oddVBand="0" w:evenVBand="0" w:oddHBand="0" w:evenHBand="0" w:firstRowFirstColumn="0" w:firstRowLastColumn="0" w:lastRowFirstColumn="0" w:lastRowLastColumn="0"/>
          <w:trHeight w:val="315"/>
        </w:trPr>
        <w:tc>
          <w:tcPr>
            <w:cnfStyle w:val="001000000100" w:firstRow="0" w:lastRow="0" w:firstColumn="1" w:lastColumn="0" w:oddVBand="0" w:evenVBand="0" w:oddHBand="0" w:evenHBand="0" w:firstRowFirstColumn="1" w:firstRowLastColumn="0" w:lastRowFirstColumn="0" w:lastRowLastColumn="0"/>
            <w:tcW w:w="3106" w:type="dxa"/>
            <w:vMerge w:val="restart"/>
            <w:hideMark/>
          </w:tcPr>
          <w:p w:rsidR="00527686" w:rsidRPr="004E355C" w:rsidRDefault="00527686" w:rsidP="00527686">
            <w:pPr>
              <w:spacing w:line="276" w:lineRule="auto"/>
              <w:jc w:val="center"/>
              <w:rPr>
                <w:rFonts w:ascii="Calibri" w:hAnsi="Calibri" w:cs="Calibri"/>
                <w:bCs w:val="0"/>
                <w:sz w:val="18"/>
                <w:szCs w:val="20"/>
                <w:lang w:val="sq-AL"/>
              </w:rPr>
            </w:pPr>
            <w:r w:rsidRPr="004E355C">
              <w:rPr>
                <w:rFonts w:ascii="Calibri" w:hAnsi="Calibri" w:cs="Calibri"/>
                <w:bCs w:val="0"/>
                <w:sz w:val="18"/>
                <w:szCs w:val="20"/>
                <w:lang w:val="sq-AL"/>
              </w:rPr>
              <w:t>Emërtimi i Programit</w:t>
            </w:r>
          </w:p>
        </w:tc>
        <w:tc>
          <w:tcPr>
            <w:tcW w:w="2330"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20"/>
                <w:lang w:val="sq-AL"/>
              </w:rPr>
            </w:pPr>
            <w:r w:rsidRPr="004E355C">
              <w:rPr>
                <w:rFonts w:ascii="Calibri" w:hAnsi="Calibri" w:cs="Calibri"/>
                <w:bCs w:val="0"/>
                <w:sz w:val="18"/>
                <w:szCs w:val="20"/>
                <w:lang w:val="sq-AL"/>
              </w:rPr>
              <w:t>Plani 2019</w:t>
            </w:r>
          </w:p>
        </w:tc>
        <w:tc>
          <w:tcPr>
            <w:tcW w:w="2229"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20"/>
                <w:lang w:val="sq-AL"/>
              </w:rPr>
            </w:pPr>
            <w:r w:rsidRPr="004E355C">
              <w:rPr>
                <w:rFonts w:ascii="Calibri" w:hAnsi="Calibri" w:cs="Calibri"/>
                <w:bCs w:val="0"/>
                <w:sz w:val="18"/>
                <w:szCs w:val="20"/>
                <w:lang w:val="sq-AL"/>
              </w:rPr>
              <w:t>Fakti 4 mujor</w:t>
            </w:r>
          </w:p>
        </w:tc>
        <w:tc>
          <w:tcPr>
            <w:tcW w:w="2070" w:type="dxa"/>
            <w:gridSpan w:val="2"/>
            <w:hideMark/>
          </w:tcPr>
          <w:p w:rsidR="00527686" w:rsidRPr="004E355C" w:rsidRDefault="00527686" w:rsidP="00527686">
            <w:pPr>
              <w:spacing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Cs w:val="0"/>
                <w:sz w:val="18"/>
                <w:szCs w:val="20"/>
                <w:lang w:val="sq-AL"/>
              </w:rPr>
            </w:pPr>
            <w:r w:rsidRPr="004E355C">
              <w:rPr>
                <w:rFonts w:ascii="Calibri" w:hAnsi="Calibri" w:cs="Calibri"/>
                <w:bCs w:val="0"/>
                <w:sz w:val="18"/>
                <w:szCs w:val="20"/>
                <w:lang w:val="sq-AL"/>
              </w:rPr>
              <w:t>Përqindja  e realizimit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06" w:type="dxa"/>
            <w:vMerge/>
            <w:hideMark/>
          </w:tcPr>
          <w:p w:rsidR="00527686" w:rsidRPr="004E355C" w:rsidRDefault="00527686" w:rsidP="00527686">
            <w:pPr>
              <w:spacing w:line="276" w:lineRule="auto"/>
              <w:rPr>
                <w:rFonts w:ascii="Calibri" w:hAnsi="Calibri" w:cs="Calibri"/>
                <w:b w:val="0"/>
                <w:bCs w:val="0"/>
                <w:sz w:val="18"/>
                <w:szCs w:val="20"/>
                <w:lang w:val="sq-AL"/>
              </w:rPr>
            </w:pPr>
          </w:p>
        </w:tc>
        <w:tc>
          <w:tcPr>
            <w:tcW w:w="122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Korrente</w:t>
            </w:r>
          </w:p>
        </w:tc>
        <w:tc>
          <w:tcPr>
            <w:tcW w:w="111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Investime</w:t>
            </w:r>
          </w:p>
        </w:tc>
        <w:tc>
          <w:tcPr>
            <w:tcW w:w="1149"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Korrente</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Investime</w:t>
            </w:r>
          </w:p>
        </w:tc>
        <w:tc>
          <w:tcPr>
            <w:tcW w:w="99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Korrente</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20"/>
                <w:lang w:val="sq-AL"/>
              </w:rPr>
            </w:pPr>
            <w:r w:rsidRPr="004E355C">
              <w:rPr>
                <w:rFonts w:ascii="Calibri" w:hAnsi="Calibri" w:cs="Calibri"/>
                <w:bCs/>
                <w:sz w:val="18"/>
                <w:szCs w:val="20"/>
                <w:lang w:val="sq-AL"/>
              </w:rPr>
              <w:t>Investime</w:t>
            </w:r>
          </w:p>
        </w:tc>
      </w:tr>
      <w:tr w:rsidR="00527686" w:rsidRPr="004E355C" w:rsidTr="00977916">
        <w:trPr>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Planifikimi, Menaxhimi dhe Administrimi</w:t>
            </w:r>
          </w:p>
        </w:tc>
        <w:tc>
          <w:tcPr>
            <w:tcW w:w="122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1,188,489</w:t>
            </w:r>
          </w:p>
        </w:tc>
        <w:tc>
          <w:tcPr>
            <w:tcW w:w="111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30,000</w:t>
            </w:r>
          </w:p>
        </w:tc>
        <w:tc>
          <w:tcPr>
            <w:tcW w:w="1149"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390,750</w:t>
            </w:r>
          </w:p>
        </w:tc>
        <w:tc>
          <w:tcPr>
            <w:tcW w:w="108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99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32.9%</w:t>
            </w:r>
          </w:p>
        </w:tc>
        <w:tc>
          <w:tcPr>
            <w:tcW w:w="108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Forcat e Luftimit</w:t>
            </w:r>
          </w:p>
        </w:tc>
        <w:tc>
          <w:tcPr>
            <w:tcW w:w="122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4,902,583</w:t>
            </w:r>
          </w:p>
        </w:tc>
        <w:tc>
          <w:tcPr>
            <w:tcW w:w="111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2,800,000</w:t>
            </w:r>
          </w:p>
        </w:tc>
        <w:tc>
          <w:tcPr>
            <w:tcW w:w="1149"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1,602,642</w:t>
            </w:r>
          </w:p>
        </w:tc>
        <w:tc>
          <w:tcPr>
            <w:tcW w:w="108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989,979</w:t>
            </w:r>
          </w:p>
        </w:tc>
        <w:tc>
          <w:tcPr>
            <w:tcW w:w="99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32.7%</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35.4%</w:t>
            </w:r>
          </w:p>
        </w:tc>
      </w:tr>
      <w:tr w:rsidR="00527686" w:rsidRPr="004E355C" w:rsidTr="00977916">
        <w:trPr>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Arsimi Ushtarak</w:t>
            </w:r>
          </w:p>
        </w:tc>
        <w:tc>
          <w:tcPr>
            <w:tcW w:w="122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603,266</w:t>
            </w:r>
          </w:p>
        </w:tc>
        <w:tc>
          <w:tcPr>
            <w:tcW w:w="111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1149"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173,705</w:t>
            </w:r>
          </w:p>
        </w:tc>
        <w:tc>
          <w:tcPr>
            <w:tcW w:w="108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99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28.8%</w:t>
            </w:r>
          </w:p>
        </w:tc>
        <w:tc>
          <w:tcPr>
            <w:tcW w:w="108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Mbështetja e Luftimit</w:t>
            </w:r>
          </w:p>
        </w:tc>
        <w:tc>
          <w:tcPr>
            <w:tcW w:w="122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5,289,396</w:t>
            </w:r>
          </w:p>
        </w:tc>
        <w:tc>
          <w:tcPr>
            <w:tcW w:w="111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190,000</w:t>
            </w:r>
          </w:p>
        </w:tc>
        <w:tc>
          <w:tcPr>
            <w:tcW w:w="1149"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1,421,771</w:t>
            </w:r>
          </w:p>
        </w:tc>
        <w:tc>
          <w:tcPr>
            <w:tcW w:w="108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30,073</w:t>
            </w:r>
          </w:p>
        </w:tc>
        <w:tc>
          <w:tcPr>
            <w:tcW w:w="99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26.9%</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15.8%</w:t>
            </w:r>
          </w:p>
        </w:tc>
      </w:tr>
      <w:tr w:rsidR="00527686" w:rsidRPr="004E355C" w:rsidTr="00977916">
        <w:trPr>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Mbështetje për Shëndetësinë</w:t>
            </w:r>
          </w:p>
        </w:tc>
        <w:tc>
          <w:tcPr>
            <w:tcW w:w="122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848,195</w:t>
            </w:r>
          </w:p>
        </w:tc>
        <w:tc>
          <w:tcPr>
            <w:tcW w:w="111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130,000</w:t>
            </w:r>
          </w:p>
        </w:tc>
        <w:tc>
          <w:tcPr>
            <w:tcW w:w="1149"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264,308</w:t>
            </w:r>
          </w:p>
        </w:tc>
        <w:tc>
          <w:tcPr>
            <w:tcW w:w="108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99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31.2%</w:t>
            </w:r>
          </w:p>
        </w:tc>
        <w:tc>
          <w:tcPr>
            <w:tcW w:w="108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Sigurimet Shoqerore per ushtaraket</w:t>
            </w:r>
          </w:p>
        </w:tc>
        <w:tc>
          <w:tcPr>
            <w:tcW w:w="122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5,143,400</w:t>
            </w:r>
          </w:p>
        </w:tc>
        <w:tc>
          <w:tcPr>
            <w:tcW w:w="111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1149"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1,684,000</w:t>
            </w:r>
          </w:p>
        </w:tc>
        <w:tc>
          <w:tcPr>
            <w:tcW w:w="1080" w:type="dxa"/>
            <w:noWrap/>
            <w:hideMark/>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99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32.7%</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 </w:t>
            </w:r>
          </w:p>
        </w:tc>
      </w:tr>
      <w:tr w:rsidR="00527686" w:rsidRPr="004E355C" w:rsidTr="00977916">
        <w:trPr>
          <w:trHeight w:val="315"/>
        </w:trPr>
        <w:tc>
          <w:tcPr>
            <w:cnfStyle w:val="001000000000" w:firstRow="0" w:lastRow="0" w:firstColumn="1" w:lastColumn="0" w:oddVBand="0" w:evenVBand="0" w:oddHBand="0" w:evenHBand="0" w:firstRowFirstColumn="0" w:firstRowLastColumn="0" w:lastRowFirstColumn="0" w:lastRowLastColumn="0"/>
            <w:tcW w:w="3106" w:type="dxa"/>
            <w:noWrap/>
            <w:hideMark/>
          </w:tcPr>
          <w:p w:rsidR="00527686" w:rsidRPr="004E355C" w:rsidRDefault="00527686" w:rsidP="00527686">
            <w:pPr>
              <w:spacing w:line="276" w:lineRule="auto"/>
              <w:rPr>
                <w:rFonts w:ascii="Calibri" w:hAnsi="Calibri" w:cs="Calibri"/>
                <w:b w:val="0"/>
                <w:sz w:val="18"/>
                <w:szCs w:val="20"/>
                <w:lang w:val="sq-AL"/>
              </w:rPr>
            </w:pPr>
            <w:r w:rsidRPr="004E355C">
              <w:rPr>
                <w:rFonts w:ascii="Calibri" w:hAnsi="Calibri" w:cs="Calibri"/>
                <w:b w:val="0"/>
                <w:sz w:val="18"/>
                <w:szCs w:val="20"/>
                <w:lang w:val="sq-AL"/>
              </w:rPr>
              <w:t>Emergjencat Civile</w:t>
            </w:r>
          </w:p>
        </w:tc>
        <w:tc>
          <w:tcPr>
            <w:tcW w:w="122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295,488</w:t>
            </w:r>
          </w:p>
        </w:tc>
        <w:tc>
          <w:tcPr>
            <w:tcW w:w="111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410,000</w:t>
            </w:r>
          </w:p>
        </w:tc>
        <w:tc>
          <w:tcPr>
            <w:tcW w:w="1149"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28,937</w:t>
            </w:r>
          </w:p>
        </w:tc>
        <w:tc>
          <w:tcPr>
            <w:tcW w:w="1080" w:type="dxa"/>
            <w:noWrap/>
            <w:hideMark/>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w:t>
            </w:r>
          </w:p>
        </w:tc>
        <w:tc>
          <w:tcPr>
            <w:tcW w:w="99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9.8%</w:t>
            </w:r>
          </w:p>
        </w:tc>
        <w:tc>
          <w:tcPr>
            <w:tcW w:w="1080" w:type="dxa"/>
            <w:hideMark/>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20"/>
                <w:lang w:val="sq-AL"/>
              </w:rPr>
            </w:pPr>
            <w:r w:rsidRPr="004E355C">
              <w:rPr>
                <w:rFonts w:ascii="Calibri" w:hAnsi="Calibri" w:cs="Calibri"/>
                <w:sz w:val="18"/>
                <w:szCs w:val="20"/>
                <w:lang w:val="sq-AL"/>
              </w:rPr>
              <w:t>0.0%</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106" w:type="dxa"/>
            <w:hideMark/>
          </w:tcPr>
          <w:p w:rsidR="00527686" w:rsidRPr="004E355C" w:rsidRDefault="00527686" w:rsidP="00527686">
            <w:pPr>
              <w:spacing w:line="276" w:lineRule="auto"/>
              <w:jc w:val="center"/>
              <w:rPr>
                <w:rFonts w:ascii="Calibri" w:hAnsi="Calibri" w:cs="Calibri"/>
                <w:bCs w:val="0"/>
                <w:sz w:val="18"/>
                <w:szCs w:val="20"/>
                <w:lang w:val="sq-AL"/>
              </w:rPr>
            </w:pPr>
            <w:r w:rsidRPr="004E355C">
              <w:rPr>
                <w:rFonts w:ascii="Calibri" w:hAnsi="Calibri" w:cs="Calibri"/>
                <w:bCs w:val="0"/>
                <w:sz w:val="18"/>
                <w:szCs w:val="20"/>
                <w:lang w:val="sq-AL"/>
              </w:rPr>
              <w:t>Totali MM</w:t>
            </w:r>
          </w:p>
        </w:tc>
        <w:tc>
          <w:tcPr>
            <w:tcW w:w="122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18,270,817</w:t>
            </w:r>
          </w:p>
        </w:tc>
        <w:tc>
          <w:tcPr>
            <w:tcW w:w="111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3,560,000</w:t>
            </w:r>
          </w:p>
        </w:tc>
        <w:tc>
          <w:tcPr>
            <w:tcW w:w="1149"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5,566,112</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1,020,051</w:t>
            </w:r>
          </w:p>
        </w:tc>
        <w:tc>
          <w:tcPr>
            <w:tcW w:w="99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30.5%</w:t>
            </w:r>
          </w:p>
        </w:tc>
        <w:tc>
          <w:tcPr>
            <w:tcW w:w="1080" w:type="dxa"/>
            <w:hideMark/>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20"/>
                <w:lang w:val="sq-AL"/>
              </w:rPr>
            </w:pPr>
            <w:r w:rsidRPr="004E355C">
              <w:rPr>
                <w:rFonts w:ascii="Calibri" w:hAnsi="Calibri" w:cs="Calibri"/>
                <w:b/>
                <w:bCs/>
                <w:sz w:val="18"/>
                <w:szCs w:val="20"/>
                <w:lang w:val="sq-AL"/>
              </w:rPr>
              <w:t>28.7%</w:t>
            </w:r>
          </w:p>
        </w:tc>
      </w:tr>
    </w:tbl>
    <w:p w:rsidR="00527686" w:rsidRPr="004E355C" w:rsidRDefault="00527686" w:rsidP="00527686">
      <w:pPr>
        <w:spacing w:line="276" w:lineRule="auto"/>
        <w:jc w:val="both"/>
        <w:rPr>
          <w:rFonts w:ascii="Calibri" w:hAnsi="Calibri"/>
          <w:lang w:val="sq-AL"/>
        </w:rPr>
      </w:pPr>
    </w:p>
    <w:p w:rsidR="00527686" w:rsidRPr="004E355C" w:rsidRDefault="00527686" w:rsidP="00527686">
      <w:pPr>
        <w:spacing w:line="276" w:lineRule="auto"/>
        <w:jc w:val="both"/>
        <w:rPr>
          <w:rFonts w:ascii="Calibri" w:hAnsi="Calibri"/>
          <w:lang w:val="sq-AL"/>
        </w:rPr>
      </w:pPr>
      <w:r w:rsidRPr="004E355C">
        <w:rPr>
          <w:rFonts w:ascii="Calibri" w:hAnsi="Calibri"/>
          <w:lang w:val="sq-AL"/>
        </w:rPr>
        <w:t>Sipas të dhënave, realizimi faktik i shpenzimeve korente paraqitet në mesataren e periudhës, ndërsa investimet janë në proces prokurimi dhe pritet të kenë realizim më të lartë në periudhën në vazhdim.</w:t>
      </w:r>
    </w:p>
    <w:p w:rsidR="008133EB" w:rsidRPr="004E355C" w:rsidRDefault="008133EB" w:rsidP="005A1363">
      <w:pPr>
        <w:spacing w:before="120" w:after="120"/>
        <w:jc w:val="both"/>
        <w:rPr>
          <w:rFonts w:asciiTheme="minorHAnsi" w:hAnsiTheme="minorHAnsi"/>
          <w:b/>
          <w:noProof/>
          <w:color w:val="0070C0"/>
          <w:lang w:val="sq-AL"/>
        </w:rPr>
      </w:pPr>
      <w:bookmarkStart w:id="153" w:name="_Toc10033301"/>
      <w:bookmarkStart w:id="154" w:name="_Toc10721437"/>
      <w:bookmarkStart w:id="155" w:name="_Toc11134235"/>
      <w:bookmarkStart w:id="156" w:name="_Toc10033299"/>
      <w:bookmarkStart w:id="157" w:name="_Toc10721435"/>
      <w:bookmarkStart w:id="158" w:name="_Toc11134234"/>
      <w:r w:rsidRPr="004E355C">
        <w:rPr>
          <w:rFonts w:asciiTheme="minorHAnsi" w:hAnsiTheme="minorHAnsi"/>
          <w:b/>
          <w:noProof/>
          <w:color w:val="0070C0"/>
          <w:lang w:val="sq-AL"/>
        </w:rPr>
        <w:lastRenderedPageBreak/>
        <w:t>RENDI DHE SIGURIA PUBLIKE</w:t>
      </w:r>
      <w:bookmarkEnd w:id="153"/>
      <w:bookmarkEnd w:id="154"/>
      <w:bookmarkEnd w:id="155"/>
    </w:p>
    <w:p w:rsidR="008133EB" w:rsidRPr="004E355C" w:rsidRDefault="008133EB" w:rsidP="008133EB">
      <w:pPr>
        <w:spacing w:line="276" w:lineRule="auto"/>
        <w:jc w:val="both"/>
        <w:rPr>
          <w:rFonts w:ascii="Calibri" w:hAnsi="Calibri"/>
          <w:bCs/>
          <w:i/>
          <w:iCs/>
          <w:lang w:val="sq-AL"/>
        </w:rPr>
      </w:pPr>
      <w:r w:rsidRPr="004E355C">
        <w:rPr>
          <w:rFonts w:ascii="Calibri" w:hAnsi="Calibri"/>
          <w:color w:val="000000"/>
          <w:lang w:val="sq-AL"/>
        </w:rPr>
        <w:t>Performanca e treguesve buxhetorë për dy programet kryesore të Ministrisë së Brendshme paraqitet si më poshtë:</w:t>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t xml:space="preserve"> </w:t>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r w:rsidRPr="004E355C">
        <w:rPr>
          <w:rFonts w:ascii="Calibri" w:hAnsi="Calibri"/>
          <w:color w:val="000000"/>
          <w:lang w:val="sq-AL"/>
        </w:rPr>
        <w:tab/>
      </w:r>
    </w:p>
    <w:p w:rsidR="008133EB" w:rsidRPr="004E355C" w:rsidRDefault="008133EB" w:rsidP="005A1363">
      <w:pPr>
        <w:jc w:val="right"/>
        <w:rPr>
          <w:rFonts w:ascii="Calibri" w:hAnsi="Calibri"/>
          <w:color w:val="000000"/>
          <w:lang w:val="sq-AL"/>
        </w:rPr>
      </w:pPr>
      <w:r w:rsidRPr="004E355C">
        <w:rPr>
          <w:rFonts w:ascii="Calibri" w:hAnsi="Calibri"/>
          <w:bCs/>
          <w:i/>
          <w:iCs/>
          <w:lang w:val="sq-AL"/>
        </w:rPr>
        <w:t>në mijë lekë</w:t>
      </w:r>
    </w:p>
    <w:tbl>
      <w:tblPr>
        <w:tblStyle w:val="ListTable3-Accent52"/>
        <w:tblW w:w="5000" w:type="pct"/>
        <w:jc w:val="center"/>
        <w:tblLayout w:type="fixed"/>
        <w:tblLook w:val="01E0" w:firstRow="1" w:lastRow="1" w:firstColumn="1" w:lastColumn="1" w:noHBand="0" w:noVBand="0"/>
      </w:tblPr>
      <w:tblGrid>
        <w:gridCol w:w="544"/>
        <w:gridCol w:w="2233"/>
        <w:gridCol w:w="1282"/>
        <w:gridCol w:w="1197"/>
        <w:gridCol w:w="1288"/>
        <w:gridCol w:w="1195"/>
        <w:gridCol w:w="1012"/>
        <w:gridCol w:w="1095"/>
      </w:tblGrid>
      <w:tr w:rsidR="008133EB" w:rsidRPr="004E355C" w:rsidTr="00397C3F">
        <w:trPr>
          <w:cnfStyle w:val="100000000000" w:firstRow="1" w:lastRow="0" w:firstColumn="0" w:lastColumn="0" w:oddVBand="0" w:evenVBand="0" w:oddHBand="0" w:evenHBand="0" w:firstRowFirstColumn="0" w:firstRowLastColumn="0" w:lastRowFirstColumn="0" w:lastRowLastColumn="0"/>
          <w:trHeight w:val="179"/>
          <w:jc w:val="center"/>
        </w:trPr>
        <w:tc>
          <w:tcPr>
            <w:cnfStyle w:val="001000000100" w:firstRow="0" w:lastRow="0" w:firstColumn="1" w:lastColumn="0" w:oddVBand="0" w:evenVBand="0" w:oddHBand="0" w:evenHBand="0" w:firstRowFirstColumn="1" w:firstRowLastColumn="0" w:lastRowFirstColumn="0" w:lastRowLastColumn="0"/>
            <w:tcW w:w="276" w:type="pct"/>
            <w:vMerge w:val="restart"/>
          </w:tcPr>
          <w:p w:rsidR="008133EB" w:rsidRPr="004E355C" w:rsidRDefault="008133EB" w:rsidP="00397C3F">
            <w:pPr>
              <w:spacing w:line="276" w:lineRule="auto"/>
              <w:jc w:val="center"/>
              <w:rPr>
                <w:rFonts w:ascii="Calibri" w:hAnsi="Calibri"/>
                <w:b w:val="0"/>
                <w:sz w:val="18"/>
                <w:lang w:val="sq-AL"/>
              </w:rPr>
            </w:pPr>
            <w:r w:rsidRPr="004E355C">
              <w:rPr>
                <w:rFonts w:ascii="Calibri" w:hAnsi="Calibri"/>
                <w:b w:val="0"/>
                <w:sz w:val="18"/>
                <w:lang w:val="sq-AL"/>
              </w:rPr>
              <w:t>NR</w:t>
            </w:r>
          </w:p>
        </w:tc>
        <w:tc>
          <w:tcPr>
            <w:cnfStyle w:val="000010000000" w:firstRow="0" w:lastRow="0" w:firstColumn="0" w:lastColumn="0" w:oddVBand="1" w:evenVBand="0" w:oddHBand="0" w:evenHBand="0" w:firstRowFirstColumn="0" w:firstRowLastColumn="0" w:lastRowFirstColumn="0" w:lastRowLastColumn="0"/>
            <w:tcW w:w="1134" w:type="pct"/>
            <w:vMerge w:val="restart"/>
          </w:tcPr>
          <w:p w:rsidR="008133EB" w:rsidRPr="004E355C" w:rsidRDefault="008133EB" w:rsidP="00397C3F">
            <w:pPr>
              <w:spacing w:line="276" w:lineRule="auto"/>
              <w:jc w:val="center"/>
              <w:rPr>
                <w:rFonts w:ascii="Calibri" w:hAnsi="Calibri"/>
                <w:b w:val="0"/>
                <w:sz w:val="18"/>
                <w:lang w:val="sq-AL"/>
              </w:rPr>
            </w:pPr>
            <w:r w:rsidRPr="004E355C">
              <w:rPr>
                <w:rFonts w:ascii="Calibri" w:hAnsi="Calibri"/>
                <w:b w:val="0"/>
                <w:sz w:val="18"/>
                <w:lang w:val="sq-AL"/>
              </w:rPr>
              <w:t>Emërtimi i Programit</w:t>
            </w:r>
          </w:p>
        </w:tc>
        <w:tc>
          <w:tcPr>
            <w:tcW w:w="1259" w:type="pct"/>
            <w:gridSpan w:val="2"/>
          </w:tcPr>
          <w:p w:rsidR="008133EB" w:rsidRPr="004E355C" w:rsidRDefault="008133EB" w:rsidP="00397C3F">
            <w:pPr>
              <w:spacing w:line="276" w:lineRule="auto"/>
              <w:ind w:left="84"/>
              <w:jc w:val="center"/>
              <w:cnfStyle w:val="100000000000" w:firstRow="1" w:lastRow="0" w:firstColumn="0" w:lastColumn="0" w:oddVBand="0" w:evenVBand="0" w:oddHBand="0" w:evenHBand="0" w:firstRowFirstColumn="0" w:firstRowLastColumn="0" w:lastRowFirstColumn="0" w:lastRowLastColumn="0"/>
              <w:rPr>
                <w:rFonts w:ascii="Calibri" w:hAnsi="Calibri"/>
                <w:b w:val="0"/>
                <w:sz w:val="18"/>
                <w:lang w:val="sq-AL"/>
              </w:rPr>
            </w:pPr>
            <w:r w:rsidRPr="004E355C">
              <w:rPr>
                <w:rFonts w:ascii="Calibri" w:hAnsi="Calibri"/>
                <w:b w:val="0"/>
                <w:sz w:val="18"/>
                <w:lang w:val="sq-AL"/>
              </w:rPr>
              <w:t>Plani 2019</w:t>
            </w:r>
          </w:p>
        </w:tc>
        <w:tc>
          <w:tcPr>
            <w:cnfStyle w:val="000010000000" w:firstRow="0" w:lastRow="0" w:firstColumn="0" w:lastColumn="0" w:oddVBand="1" w:evenVBand="0" w:oddHBand="0" w:evenHBand="0" w:firstRowFirstColumn="0" w:firstRowLastColumn="0" w:lastRowFirstColumn="0" w:lastRowLastColumn="0"/>
            <w:tcW w:w="1261" w:type="pct"/>
            <w:gridSpan w:val="2"/>
          </w:tcPr>
          <w:p w:rsidR="008133EB" w:rsidRPr="004E355C" w:rsidRDefault="008133EB" w:rsidP="00397C3F">
            <w:pPr>
              <w:spacing w:line="276" w:lineRule="auto"/>
              <w:jc w:val="center"/>
              <w:rPr>
                <w:rFonts w:ascii="Calibri" w:hAnsi="Calibri"/>
                <w:b w:val="0"/>
                <w:sz w:val="18"/>
                <w:lang w:val="sq-AL"/>
              </w:rPr>
            </w:pPr>
            <w:r w:rsidRPr="004E355C">
              <w:rPr>
                <w:rFonts w:ascii="Calibri" w:hAnsi="Calibri"/>
                <w:b w:val="0"/>
                <w:sz w:val="18"/>
                <w:lang w:val="sq-AL"/>
              </w:rPr>
              <w:t>Fakti 4M 2019</w:t>
            </w:r>
          </w:p>
        </w:tc>
        <w:tc>
          <w:tcPr>
            <w:cnfStyle w:val="000100001000" w:firstRow="0" w:lastRow="0" w:firstColumn="0" w:lastColumn="1" w:oddVBand="0" w:evenVBand="0" w:oddHBand="0" w:evenHBand="0" w:firstRowFirstColumn="0" w:firstRowLastColumn="1" w:lastRowFirstColumn="0" w:lastRowLastColumn="0"/>
            <w:tcW w:w="1070" w:type="pct"/>
            <w:gridSpan w:val="2"/>
          </w:tcPr>
          <w:p w:rsidR="008133EB" w:rsidRPr="004E355C" w:rsidRDefault="008133EB" w:rsidP="00397C3F">
            <w:pPr>
              <w:spacing w:line="276" w:lineRule="auto"/>
              <w:jc w:val="center"/>
              <w:rPr>
                <w:rFonts w:ascii="Calibri" w:hAnsi="Calibri"/>
                <w:b w:val="0"/>
                <w:sz w:val="18"/>
                <w:lang w:val="sq-AL"/>
              </w:rPr>
            </w:pPr>
            <w:r w:rsidRPr="004E355C">
              <w:rPr>
                <w:rFonts w:ascii="Calibri" w:hAnsi="Calibri"/>
                <w:b w:val="0"/>
                <w:bCs w:val="0"/>
                <w:sz w:val="18"/>
                <w:lang w:val="sq-AL"/>
              </w:rPr>
              <w:t>Përqindja  e realizimit</w:t>
            </w:r>
          </w:p>
        </w:tc>
      </w:tr>
      <w:tr w:rsidR="008133EB" w:rsidRPr="004E355C" w:rsidTr="00397C3F">
        <w:trPr>
          <w:cnfStyle w:val="000000100000" w:firstRow="0" w:lastRow="0" w:firstColumn="0" w:lastColumn="0" w:oddVBand="0" w:evenVBand="0" w:oddHBand="1" w:evenHBand="0" w:firstRowFirstColumn="0" w:firstRowLastColumn="0" w:lastRowFirstColumn="0" w:lastRowLastColumn="0"/>
          <w:trHeight w:val="89"/>
          <w:jc w:val="center"/>
        </w:trPr>
        <w:tc>
          <w:tcPr>
            <w:cnfStyle w:val="001000000000" w:firstRow="0" w:lastRow="0" w:firstColumn="1" w:lastColumn="0" w:oddVBand="0" w:evenVBand="0" w:oddHBand="0" w:evenHBand="0" w:firstRowFirstColumn="0" w:firstRowLastColumn="0" w:lastRowFirstColumn="0" w:lastRowLastColumn="0"/>
            <w:tcW w:w="276" w:type="pct"/>
            <w:vMerge/>
          </w:tcPr>
          <w:p w:rsidR="008133EB" w:rsidRPr="004E355C" w:rsidRDefault="008133EB" w:rsidP="00397C3F">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134" w:type="pct"/>
            <w:vMerge/>
          </w:tcPr>
          <w:p w:rsidR="008133EB" w:rsidRPr="004E355C" w:rsidRDefault="008133EB" w:rsidP="00397C3F">
            <w:pPr>
              <w:spacing w:line="276" w:lineRule="auto"/>
              <w:jc w:val="center"/>
              <w:rPr>
                <w:rFonts w:ascii="Calibri" w:hAnsi="Calibri"/>
                <w:b/>
                <w:sz w:val="18"/>
                <w:lang w:val="sq-AL"/>
              </w:rPr>
            </w:pPr>
          </w:p>
        </w:tc>
        <w:tc>
          <w:tcPr>
            <w:tcW w:w="651" w:type="pct"/>
          </w:tcPr>
          <w:p w:rsidR="008133EB" w:rsidRPr="004E355C" w:rsidRDefault="008133EB" w:rsidP="00397C3F">
            <w:pPr>
              <w:spacing w:line="276" w:lineRule="auto"/>
              <w:ind w:left="84"/>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08" w:type="pct"/>
          </w:tcPr>
          <w:p w:rsidR="008133EB" w:rsidRPr="004E355C" w:rsidRDefault="008133EB" w:rsidP="00397C3F">
            <w:pPr>
              <w:spacing w:line="276" w:lineRule="auto"/>
              <w:ind w:left="84"/>
              <w:jc w:val="center"/>
              <w:rPr>
                <w:rFonts w:ascii="Calibri" w:hAnsi="Calibri"/>
                <w:b/>
                <w:sz w:val="18"/>
                <w:lang w:val="sq-AL"/>
              </w:rPr>
            </w:pPr>
            <w:r w:rsidRPr="004E355C">
              <w:rPr>
                <w:rFonts w:ascii="Calibri" w:hAnsi="Calibri"/>
                <w:b/>
                <w:sz w:val="18"/>
                <w:lang w:val="sq-AL"/>
              </w:rPr>
              <w:t>Investime</w:t>
            </w:r>
          </w:p>
        </w:tc>
        <w:tc>
          <w:tcPr>
            <w:tcW w:w="654" w:type="pct"/>
          </w:tcPr>
          <w:p w:rsidR="008133EB" w:rsidRPr="004E355C" w:rsidRDefault="008133EB" w:rsidP="00397C3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07" w:type="pct"/>
          </w:tcPr>
          <w:p w:rsidR="008133EB" w:rsidRPr="004E355C" w:rsidRDefault="008133EB" w:rsidP="00397C3F">
            <w:pPr>
              <w:spacing w:line="276" w:lineRule="auto"/>
              <w:jc w:val="center"/>
              <w:rPr>
                <w:rFonts w:ascii="Calibri" w:hAnsi="Calibri"/>
                <w:b/>
                <w:sz w:val="18"/>
                <w:lang w:val="sq-AL"/>
              </w:rPr>
            </w:pPr>
            <w:r w:rsidRPr="004E355C">
              <w:rPr>
                <w:rFonts w:ascii="Calibri" w:hAnsi="Calibri"/>
                <w:b/>
                <w:sz w:val="18"/>
                <w:lang w:val="sq-AL"/>
              </w:rPr>
              <w:t>Investime</w:t>
            </w:r>
          </w:p>
        </w:tc>
        <w:tc>
          <w:tcPr>
            <w:tcW w:w="514" w:type="pct"/>
          </w:tcPr>
          <w:p w:rsidR="008133EB" w:rsidRPr="004E355C" w:rsidRDefault="008133EB" w:rsidP="00397C3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56" w:type="pct"/>
          </w:tcPr>
          <w:p w:rsidR="008133EB" w:rsidRPr="004E355C" w:rsidRDefault="008133EB" w:rsidP="00397C3F">
            <w:pPr>
              <w:spacing w:line="276" w:lineRule="auto"/>
              <w:jc w:val="center"/>
              <w:rPr>
                <w:rFonts w:ascii="Calibri" w:hAnsi="Calibri"/>
                <w:b w:val="0"/>
                <w:sz w:val="18"/>
                <w:lang w:val="sq-AL"/>
              </w:rPr>
            </w:pPr>
            <w:r w:rsidRPr="004E355C">
              <w:rPr>
                <w:rFonts w:ascii="Calibri" w:hAnsi="Calibri"/>
                <w:b w:val="0"/>
                <w:sz w:val="18"/>
                <w:lang w:val="sq-AL"/>
              </w:rPr>
              <w:t>Investime</w:t>
            </w:r>
          </w:p>
        </w:tc>
      </w:tr>
      <w:tr w:rsidR="008133EB" w:rsidRPr="004E355C" w:rsidTr="00397C3F">
        <w:trPr>
          <w:jc w:val="center"/>
        </w:trPr>
        <w:tc>
          <w:tcPr>
            <w:cnfStyle w:val="001000000000" w:firstRow="0" w:lastRow="0" w:firstColumn="1" w:lastColumn="0" w:oddVBand="0" w:evenVBand="0" w:oddHBand="0" w:evenHBand="0" w:firstRowFirstColumn="0" w:firstRowLastColumn="0" w:lastRowFirstColumn="0" w:lastRowLastColumn="0"/>
            <w:tcW w:w="276" w:type="pct"/>
          </w:tcPr>
          <w:p w:rsidR="008133EB" w:rsidRPr="004E355C" w:rsidRDefault="008133EB" w:rsidP="00397C3F">
            <w:pPr>
              <w:spacing w:line="276" w:lineRule="auto"/>
              <w:rPr>
                <w:rFonts w:ascii="Calibri" w:hAnsi="Calibri"/>
                <w:sz w:val="18"/>
                <w:lang w:val="sq-AL"/>
              </w:rPr>
            </w:pPr>
            <w:r w:rsidRPr="004E355C">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134" w:type="pct"/>
          </w:tcPr>
          <w:p w:rsidR="008133EB" w:rsidRPr="004E355C" w:rsidRDefault="008133EB" w:rsidP="00397C3F">
            <w:pPr>
              <w:spacing w:line="276" w:lineRule="auto"/>
              <w:rPr>
                <w:rFonts w:ascii="Calibri" w:hAnsi="Calibri"/>
                <w:sz w:val="18"/>
                <w:lang w:val="sq-AL"/>
              </w:rPr>
            </w:pPr>
            <w:r w:rsidRPr="004E355C">
              <w:rPr>
                <w:rFonts w:ascii="Calibri" w:hAnsi="Calibri"/>
                <w:sz w:val="18"/>
                <w:lang w:val="sq-AL"/>
              </w:rPr>
              <w:t>Policia e Shtetit</w:t>
            </w:r>
          </w:p>
        </w:tc>
        <w:tc>
          <w:tcPr>
            <w:tcW w:w="651" w:type="pct"/>
          </w:tcPr>
          <w:p w:rsidR="008133EB" w:rsidRPr="004E355C" w:rsidRDefault="008133EB" w:rsidP="00397C3F">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14,731,612</w:t>
            </w:r>
          </w:p>
        </w:tc>
        <w:tc>
          <w:tcPr>
            <w:cnfStyle w:val="000010000000" w:firstRow="0" w:lastRow="0" w:firstColumn="0" w:lastColumn="0" w:oddVBand="1" w:evenVBand="0" w:oddHBand="0" w:evenHBand="0" w:firstRowFirstColumn="0" w:firstRowLastColumn="0" w:lastRowFirstColumn="0" w:lastRowLastColumn="0"/>
            <w:tcW w:w="608"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1,162,356</w:t>
            </w:r>
          </w:p>
        </w:tc>
        <w:tc>
          <w:tcPr>
            <w:tcW w:w="654" w:type="pct"/>
          </w:tcPr>
          <w:p w:rsidR="008133EB" w:rsidRPr="004E355C" w:rsidRDefault="008133EB" w:rsidP="00397C3F">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4,753,086</w:t>
            </w:r>
          </w:p>
        </w:tc>
        <w:tc>
          <w:tcPr>
            <w:cnfStyle w:val="000010000000" w:firstRow="0" w:lastRow="0" w:firstColumn="0" w:lastColumn="0" w:oddVBand="1" w:evenVBand="0" w:oddHBand="0" w:evenHBand="0" w:firstRowFirstColumn="0" w:firstRowLastColumn="0" w:lastRowFirstColumn="0" w:lastRowLastColumn="0"/>
            <w:tcW w:w="607"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112,618</w:t>
            </w:r>
          </w:p>
        </w:tc>
        <w:tc>
          <w:tcPr>
            <w:tcW w:w="514" w:type="pct"/>
          </w:tcPr>
          <w:p w:rsidR="008133EB" w:rsidRPr="004E355C" w:rsidRDefault="008133EB" w:rsidP="00397C3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32.26 %</w:t>
            </w:r>
          </w:p>
        </w:tc>
        <w:tc>
          <w:tcPr>
            <w:cnfStyle w:val="000100000000" w:firstRow="0" w:lastRow="0" w:firstColumn="0" w:lastColumn="1" w:oddVBand="0" w:evenVBand="0" w:oddHBand="0" w:evenHBand="0" w:firstRowFirstColumn="0" w:firstRowLastColumn="0" w:lastRowFirstColumn="0" w:lastRowLastColumn="0"/>
            <w:tcW w:w="556"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9.69 %</w:t>
            </w:r>
          </w:p>
        </w:tc>
      </w:tr>
      <w:tr w:rsidR="008133EB" w:rsidRPr="004E355C" w:rsidTr="00397C3F">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276" w:type="pct"/>
          </w:tcPr>
          <w:p w:rsidR="008133EB" w:rsidRPr="004E355C" w:rsidRDefault="008133EB" w:rsidP="00397C3F">
            <w:pPr>
              <w:spacing w:line="276" w:lineRule="auto"/>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134" w:type="pct"/>
          </w:tcPr>
          <w:p w:rsidR="008133EB" w:rsidRPr="004E355C" w:rsidRDefault="008133EB" w:rsidP="00397C3F">
            <w:pPr>
              <w:spacing w:line="276" w:lineRule="auto"/>
              <w:contextualSpacing/>
              <w:rPr>
                <w:rFonts w:ascii="Calibri" w:hAnsi="Calibri"/>
                <w:sz w:val="18"/>
                <w:lang w:val="sq-AL"/>
              </w:rPr>
            </w:pPr>
            <w:r w:rsidRPr="004E355C">
              <w:rPr>
                <w:rFonts w:ascii="Calibri" w:hAnsi="Calibri"/>
                <w:sz w:val="18"/>
                <w:lang w:val="sq-AL"/>
              </w:rPr>
              <w:t xml:space="preserve">    Financimi i huaj</w:t>
            </w:r>
          </w:p>
        </w:tc>
        <w:tc>
          <w:tcPr>
            <w:tcW w:w="651" w:type="pct"/>
          </w:tcPr>
          <w:p w:rsidR="008133EB" w:rsidRPr="004E355C" w:rsidRDefault="008133EB" w:rsidP="00397C3F">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8"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818,868</w:t>
            </w:r>
          </w:p>
        </w:tc>
        <w:tc>
          <w:tcPr>
            <w:tcW w:w="654" w:type="pct"/>
          </w:tcPr>
          <w:p w:rsidR="008133EB" w:rsidRPr="004E355C" w:rsidRDefault="008133EB" w:rsidP="00397C3F">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7"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77,834</w:t>
            </w:r>
          </w:p>
        </w:tc>
        <w:tc>
          <w:tcPr>
            <w:tcW w:w="514" w:type="pct"/>
          </w:tcPr>
          <w:p w:rsidR="008133EB" w:rsidRPr="004E355C" w:rsidRDefault="008133EB" w:rsidP="00397C3F">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tc>
        <w:tc>
          <w:tcPr>
            <w:cnfStyle w:val="000100000000" w:firstRow="0" w:lastRow="0" w:firstColumn="0" w:lastColumn="1" w:oddVBand="0" w:evenVBand="0" w:oddHBand="0" w:evenHBand="0" w:firstRowFirstColumn="0" w:firstRowLastColumn="0" w:lastRowFirstColumn="0" w:lastRowLastColumn="0"/>
            <w:tcW w:w="556"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9.5 %</w:t>
            </w:r>
          </w:p>
        </w:tc>
      </w:tr>
      <w:tr w:rsidR="008133EB" w:rsidRPr="004E355C" w:rsidTr="00397C3F">
        <w:trPr>
          <w:trHeight w:val="116"/>
          <w:jc w:val="center"/>
        </w:trPr>
        <w:tc>
          <w:tcPr>
            <w:cnfStyle w:val="001000000000" w:firstRow="0" w:lastRow="0" w:firstColumn="1" w:lastColumn="0" w:oddVBand="0" w:evenVBand="0" w:oddHBand="0" w:evenHBand="0" w:firstRowFirstColumn="0" w:firstRowLastColumn="0" w:lastRowFirstColumn="0" w:lastRowLastColumn="0"/>
            <w:tcW w:w="276" w:type="pct"/>
          </w:tcPr>
          <w:p w:rsidR="008133EB" w:rsidRPr="004E355C" w:rsidRDefault="008133EB" w:rsidP="00397C3F">
            <w:pPr>
              <w:spacing w:line="276" w:lineRule="auto"/>
              <w:rPr>
                <w:rFonts w:ascii="Calibri" w:hAnsi="Calibri"/>
                <w:sz w:val="18"/>
                <w:lang w:val="sq-AL"/>
              </w:rPr>
            </w:pPr>
            <w:r w:rsidRPr="004E355C">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134" w:type="pct"/>
          </w:tcPr>
          <w:p w:rsidR="008133EB" w:rsidRPr="004E355C" w:rsidRDefault="008133EB" w:rsidP="00397C3F">
            <w:pPr>
              <w:spacing w:line="276" w:lineRule="auto"/>
              <w:rPr>
                <w:rFonts w:ascii="Calibri" w:hAnsi="Calibri"/>
                <w:sz w:val="18"/>
                <w:lang w:val="sq-AL"/>
              </w:rPr>
            </w:pPr>
            <w:r w:rsidRPr="004E355C">
              <w:rPr>
                <w:rFonts w:ascii="Calibri" w:hAnsi="Calibri"/>
                <w:sz w:val="18"/>
                <w:lang w:val="sq-AL"/>
              </w:rPr>
              <w:t>Garda e Republikës</w:t>
            </w:r>
          </w:p>
        </w:tc>
        <w:tc>
          <w:tcPr>
            <w:tcW w:w="651" w:type="pct"/>
          </w:tcPr>
          <w:p w:rsidR="008133EB" w:rsidRPr="004E355C" w:rsidRDefault="008133EB" w:rsidP="00397C3F">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1,560,769</w:t>
            </w:r>
          </w:p>
        </w:tc>
        <w:tc>
          <w:tcPr>
            <w:cnfStyle w:val="000010000000" w:firstRow="0" w:lastRow="0" w:firstColumn="0" w:lastColumn="0" w:oddVBand="1" w:evenVBand="0" w:oddHBand="0" w:evenHBand="0" w:firstRowFirstColumn="0" w:firstRowLastColumn="0" w:lastRowFirstColumn="0" w:lastRowLastColumn="0"/>
            <w:tcW w:w="608"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12,000</w:t>
            </w:r>
          </w:p>
        </w:tc>
        <w:tc>
          <w:tcPr>
            <w:tcW w:w="654" w:type="pct"/>
          </w:tcPr>
          <w:p w:rsidR="008133EB" w:rsidRPr="004E355C" w:rsidRDefault="008133EB" w:rsidP="00397C3F">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460,058</w:t>
            </w:r>
          </w:p>
        </w:tc>
        <w:tc>
          <w:tcPr>
            <w:cnfStyle w:val="000010000000" w:firstRow="0" w:lastRow="0" w:firstColumn="0" w:lastColumn="0" w:oddVBand="1" w:evenVBand="0" w:oddHBand="0" w:evenHBand="0" w:firstRowFirstColumn="0" w:firstRowLastColumn="0" w:lastRowFirstColumn="0" w:lastRowLastColumn="0"/>
            <w:tcW w:w="607" w:type="pct"/>
          </w:tcPr>
          <w:p w:rsidR="008133EB" w:rsidRPr="004E355C" w:rsidRDefault="008133EB" w:rsidP="00397C3F">
            <w:pPr>
              <w:spacing w:line="276" w:lineRule="auto"/>
              <w:jc w:val="right"/>
              <w:rPr>
                <w:rFonts w:ascii="Calibri" w:hAnsi="Calibri"/>
                <w:sz w:val="18"/>
                <w:lang w:val="sq-AL"/>
              </w:rPr>
            </w:pPr>
            <w:r w:rsidRPr="004E355C">
              <w:rPr>
                <w:rFonts w:ascii="Calibri" w:hAnsi="Calibri"/>
                <w:sz w:val="18"/>
                <w:lang w:val="sq-AL"/>
              </w:rPr>
              <w:t>0</w:t>
            </w:r>
          </w:p>
        </w:tc>
        <w:tc>
          <w:tcPr>
            <w:tcW w:w="514" w:type="pct"/>
          </w:tcPr>
          <w:p w:rsidR="008133EB" w:rsidRPr="004E355C" w:rsidRDefault="008133EB" w:rsidP="00397C3F">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29.48 %</w:t>
            </w:r>
          </w:p>
        </w:tc>
        <w:tc>
          <w:tcPr>
            <w:cnfStyle w:val="000100000000" w:firstRow="0" w:lastRow="0" w:firstColumn="0" w:lastColumn="1" w:oddVBand="0" w:evenVBand="0" w:oddHBand="0" w:evenHBand="0" w:firstRowFirstColumn="0" w:firstRowLastColumn="0" w:lastRowFirstColumn="0" w:lastRowLastColumn="0"/>
            <w:tcW w:w="556"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0.00 %</w:t>
            </w:r>
          </w:p>
        </w:tc>
      </w:tr>
      <w:tr w:rsidR="008133EB" w:rsidRPr="004E355C" w:rsidTr="00397C3F">
        <w:trPr>
          <w:cnfStyle w:val="010000000000" w:firstRow="0" w:lastRow="1" w:firstColumn="0" w:lastColumn="0" w:oddVBand="0" w:evenVBand="0" w:oddHBand="0" w:evenHBand="0" w:firstRowFirstColumn="0" w:firstRowLastColumn="0" w:lastRowFirstColumn="0" w:lastRowLastColumn="0"/>
          <w:trHeight w:val="116"/>
          <w:jc w:val="center"/>
        </w:trPr>
        <w:tc>
          <w:tcPr>
            <w:cnfStyle w:val="001000000001" w:firstRow="0" w:lastRow="0" w:firstColumn="1" w:lastColumn="0" w:oddVBand="0" w:evenVBand="0" w:oddHBand="0" w:evenHBand="0" w:firstRowFirstColumn="0" w:firstRowLastColumn="0" w:lastRowFirstColumn="1" w:lastRowLastColumn="0"/>
            <w:tcW w:w="276" w:type="pct"/>
          </w:tcPr>
          <w:p w:rsidR="008133EB" w:rsidRPr="004E355C" w:rsidRDefault="008133EB" w:rsidP="00397C3F">
            <w:pPr>
              <w:spacing w:line="276" w:lineRule="auto"/>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134" w:type="pct"/>
          </w:tcPr>
          <w:p w:rsidR="008133EB" w:rsidRPr="004E355C" w:rsidRDefault="008133EB" w:rsidP="00397C3F">
            <w:pPr>
              <w:spacing w:line="276" w:lineRule="auto"/>
              <w:rPr>
                <w:rFonts w:ascii="Calibri" w:hAnsi="Calibri"/>
                <w:sz w:val="18"/>
                <w:lang w:val="sq-AL"/>
              </w:rPr>
            </w:pPr>
            <w:r w:rsidRPr="004E355C">
              <w:rPr>
                <w:rFonts w:ascii="Calibri" w:hAnsi="Calibri"/>
                <w:sz w:val="18"/>
                <w:lang w:val="sq-AL"/>
              </w:rPr>
              <w:t xml:space="preserve">    Financimi i huaj</w:t>
            </w:r>
          </w:p>
        </w:tc>
        <w:tc>
          <w:tcPr>
            <w:tcW w:w="651" w:type="pct"/>
          </w:tcPr>
          <w:p w:rsidR="008133EB" w:rsidRPr="004E355C" w:rsidRDefault="008133EB" w:rsidP="00397C3F">
            <w:pPr>
              <w:spacing w:line="276" w:lineRule="auto"/>
              <w:jc w:val="right"/>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8"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w:t>
            </w:r>
          </w:p>
        </w:tc>
        <w:tc>
          <w:tcPr>
            <w:tcW w:w="654" w:type="pct"/>
          </w:tcPr>
          <w:p w:rsidR="008133EB" w:rsidRPr="004E355C" w:rsidRDefault="008133EB" w:rsidP="00397C3F">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607"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w:t>
            </w:r>
          </w:p>
        </w:tc>
        <w:tc>
          <w:tcPr>
            <w:tcW w:w="514" w:type="pct"/>
          </w:tcPr>
          <w:p w:rsidR="008133EB" w:rsidRPr="004E355C" w:rsidRDefault="008133EB" w:rsidP="00397C3F">
            <w:pPr>
              <w:spacing w:line="276" w:lineRule="auto"/>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p>
        </w:tc>
        <w:tc>
          <w:tcPr>
            <w:cnfStyle w:val="000100000010" w:firstRow="0" w:lastRow="0" w:firstColumn="0" w:lastColumn="1" w:oddVBand="0" w:evenVBand="0" w:oddHBand="0" w:evenHBand="0" w:firstRowFirstColumn="0" w:firstRowLastColumn="0" w:lastRowFirstColumn="0" w:lastRowLastColumn="1"/>
            <w:tcW w:w="556" w:type="pct"/>
          </w:tcPr>
          <w:p w:rsidR="008133EB" w:rsidRPr="004E355C" w:rsidRDefault="008133EB" w:rsidP="00397C3F">
            <w:pPr>
              <w:spacing w:line="276" w:lineRule="auto"/>
              <w:jc w:val="center"/>
              <w:rPr>
                <w:rFonts w:ascii="Calibri" w:hAnsi="Calibri"/>
                <w:sz w:val="18"/>
                <w:lang w:val="sq-AL"/>
              </w:rPr>
            </w:pPr>
            <w:r w:rsidRPr="004E355C">
              <w:rPr>
                <w:rFonts w:ascii="Calibri" w:hAnsi="Calibri"/>
                <w:sz w:val="18"/>
                <w:lang w:val="sq-AL"/>
              </w:rPr>
              <w:t>-</w:t>
            </w:r>
          </w:p>
        </w:tc>
      </w:tr>
    </w:tbl>
    <w:p w:rsidR="008133EB" w:rsidRPr="004E355C" w:rsidRDefault="008133EB" w:rsidP="008133EB">
      <w:pPr>
        <w:spacing w:before="240" w:line="276" w:lineRule="auto"/>
        <w:jc w:val="both"/>
        <w:rPr>
          <w:rFonts w:ascii="Calibri" w:eastAsia="MS Mincho" w:hAnsi="Calibri"/>
          <w:i/>
        </w:rPr>
      </w:pPr>
      <w:r w:rsidRPr="004E355C">
        <w:rPr>
          <w:rFonts w:ascii="Calibri" w:hAnsi="Calibri"/>
          <w:b/>
          <w:lang w:val="sq-AL"/>
        </w:rPr>
        <w:t>Në programin “Policia e Shtetit</w:t>
      </w:r>
      <w:r w:rsidRPr="004E355C">
        <w:rPr>
          <w:rFonts w:ascii="Calibri" w:hAnsi="Calibri"/>
          <w:lang w:val="sq-AL"/>
        </w:rPr>
        <w:t xml:space="preserve">”, </w:t>
      </w:r>
      <w:r w:rsidRPr="004E355C">
        <w:rPr>
          <w:rFonts w:ascii="Calibri" w:eastAsia="MS Mincho" w:hAnsi="Calibri"/>
          <w:lang w:val="sq-AL"/>
        </w:rPr>
        <w:t>me realizimin e fondeve me rreth 30% ndaj planit vjetor, është realizuar qëllimi i politikës së programit. Qëllimi i këtij progami është:</w:t>
      </w:r>
      <w:r w:rsidRPr="004E355C">
        <w:rPr>
          <w:rFonts w:ascii="Calibri" w:eastAsia="MS Mincho" w:hAnsi="Calibri"/>
        </w:rPr>
        <w:t xml:space="preserve">  </w:t>
      </w:r>
      <w:r w:rsidRPr="004E355C">
        <w:rPr>
          <w:rFonts w:ascii="Calibri" w:eastAsia="MS Mincho" w:hAnsi="Calibri"/>
          <w:i/>
        </w:rPr>
        <w:t>“L</w:t>
      </w:r>
      <w:r w:rsidRPr="004E355C">
        <w:rPr>
          <w:rFonts w:ascii="Calibri" w:eastAsia="MS Mincho" w:hAnsi="Calibri"/>
          <w:i/>
          <w:lang w:val="sq-AL"/>
        </w:rPr>
        <w:t>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w:t>
      </w:r>
    </w:p>
    <w:p w:rsidR="008133EB" w:rsidRPr="004E355C" w:rsidRDefault="008133EB" w:rsidP="008133EB">
      <w:pPr>
        <w:spacing w:line="276" w:lineRule="auto"/>
        <w:jc w:val="both"/>
        <w:rPr>
          <w:rFonts w:ascii="Calibri" w:eastAsia="MS Mincho" w:hAnsi="Calibri"/>
          <w:lang w:val="sq-AL"/>
        </w:rPr>
      </w:pPr>
      <w:r w:rsidRPr="004E355C">
        <w:rPr>
          <w:rFonts w:ascii="Calibri" w:eastAsia="MS Mincho" w:hAnsi="Calibri"/>
          <w:lang w:val="sq-AL"/>
        </w:rPr>
        <w:t>Qëllimi i programit realizohet nëpërmjet 4 objektivave dhe 33 produkteve të realizuar përgjatë vitit 2019,  të cilat paraqiten si vijon:</w:t>
      </w:r>
    </w:p>
    <w:p w:rsidR="008133EB" w:rsidRPr="004E355C" w:rsidRDefault="008133EB" w:rsidP="008133EB">
      <w:pPr>
        <w:spacing w:before="240" w:after="240" w:line="276" w:lineRule="auto"/>
        <w:contextualSpacing/>
        <w:jc w:val="both"/>
        <w:rPr>
          <w:rFonts w:ascii="Calibri" w:eastAsia="MS Mincho" w:hAnsi="Calibri"/>
          <w:b/>
          <w:sz w:val="8"/>
          <w:szCs w:val="8"/>
          <w:lang w:val="sq-AL"/>
        </w:rPr>
      </w:pPr>
    </w:p>
    <w:p w:rsidR="008133EB" w:rsidRPr="004E355C" w:rsidRDefault="008133EB" w:rsidP="008133EB">
      <w:pPr>
        <w:spacing w:before="240" w:after="240" w:line="276" w:lineRule="auto"/>
        <w:contextualSpacing/>
        <w:jc w:val="both"/>
        <w:rPr>
          <w:rFonts w:ascii="Calibri" w:eastAsia="MS Mincho" w:hAnsi="Calibri"/>
          <w:lang w:val="sq-AL"/>
        </w:rPr>
      </w:pPr>
      <w:r w:rsidRPr="004E355C">
        <w:rPr>
          <w:rFonts w:ascii="Calibri" w:eastAsia="MS Mincho" w:hAnsi="Calibri"/>
          <w:b/>
          <w:lang w:val="sq-AL"/>
        </w:rPr>
        <w:t xml:space="preserve">Objektivi 1 </w:t>
      </w:r>
      <w:r w:rsidRPr="004E355C">
        <w:rPr>
          <w:rFonts w:ascii="Calibri" w:eastAsia="MS Mincho" w:hAnsi="Calibri"/>
          <w:i/>
          <w:lang w:val="sq-AL"/>
        </w:rPr>
        <w:t>“Rritja e hetimeve proaktive në luftën kundër krimit të organizuar, trafiqeve, korruosionit, terrorizmit si dhe forcimi i koordinimit ndërinstitucional ndërkombëtar në luftën kundër krimit të organizuar e terrorizmit”.</w:t>
      </w:r>
      <w:r w:rsidRPr="004E355C">
        <w:rPr>
          <w:rFonts w:ascii="Calibri" w:eastAsia="MS Mincho" w:hAnsi="Calibri"/>
          <w:lang w:val="sq-AL"/>
        </w:rPr>
        <w:t xml:space="preserve"> Për realizimin e objektivit kanë kontribuar 11 produkte përgjatë 4 mujorit, të cilët konsistojnë në :</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 xml:space="preserve">Realizimi i 48 </w:t>
      </w:r>
      <w:r w:rsidRPr="004E355C">
        <w:rPr>
          <w:rFonts w:ascii="Calibri" w:eastAsia="MS Mincho" w:hAnsi="Calibri"/>
          <w:i/>
          <w:lang w:val="sq-AL"/>
        </w:rPr>
        <w:t>“Operacione të posaçme Konvencionale” apo 84% e sasisë së planifikuar</w:t>
      </w:r>
      <w:r w:rsidRPr="004E355C">
        <w:rPr>
          <w:rFonts w:ascii="Calibri" w:eastAsia="MS Mincho" w:hAnsi="Calibri"/>
          <w:lang w:val="sq-AL"/>
        </w:rPr>
        <w:t>, me një kosto totale prej 61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Realizimi i 24 programeve për “</w:t>
      </w:r>
      <w:r w:rsidRPr="004E355C">
        <w:rPr>
          <w:rFonts w:ascii="Calibri" w:eastAsia="MS Mincho" w:hAnsi="Calibri"/>
          <w:i/>
          <w:lang w:val="sq-AL"/>
        </w:rPr>
        <w:t xml:space="preserve">Mbështetjen për Strategjinë Anti-Kanabis, mbikqyrje ajrore” </w:t>
      </w:r>
      <w:r w:rsidRPr="004E355C">
        <w:rPr>
          <w:rFonts w:ascii="Calibri" w:eastAsia="MS Mincho" w:hAnsi="Calibri"/>
          <w:lang w:val="sq-AL"/>
        </w:rPr>
        <w:t>nga 7 të planifikuar, me një fond total prej 17 milionë lekë.</w:t>
      </w:r>
    </w:p>
    <w:p w:rsidR="008133EB" w:rsidRPr="004E355C" w:rsidRDefault="008133EB" w:rsidP="00B95810">
      <w:pPr>
        <w:numPr>
          <w:ilvl w:val="0"/>
          <w:numId w:val="28"/>
        </w:numPr>
        <w:spacing w:after="240" w:line="276" w:lineRule="auto"/>
        <w:ind w:left="540"/>
        <w:contextualSpacing/>
        <w:jc w:val="both"/>
        <w:rPr>
          <w:rFonts w:ascii="Calibri" w:eastAsia="MS Mincho" w:hAnsi="Calibri"/>
          <w:lang w:val="sq-AL"/>
        </w:rPr>
      </w:pPr>
      <w:r w:rsidRPr="004E355C">
        <w:rPr>
          <w:rFonts w:ascii="Calibri" w:eastAsia="MS Mincho" w:hAnsi="Calibri"/>
          <w:lang w:val="sq-AL"/>
        </w:rPr>
        <w:t xml:space="preserve">Janë kryer 11,811 </w:t>
      </w:r>
      <w:r w:rsidRPr="004E355C">
        <w:rPr>
          <w:rFonts w:ascii="Calibri" w:eastAsia="MS Mincho" w:hAnsi="Calibri"/>
          <w:i/>
          <w:lang w:val="sq-AL"/>
        </w:rPr>
        <w:t xml:space="preserve">“Operacione policore të hetuara dhe shërbime”, </w:t>
      </w:r>
      <w:r w:rsidRPr="004E355C">
        <w:rPr>
          <w:rFonts w:ascii="Calibri" w:eastAsia="MS Mincho" w:hAnsi="Calibri"/>
          <w:lang w:val="sq-AL"/>
        </w:rPr>
        <w:t>apo 95% e sasisë së planifikuar për periudhën, me një kosto totale prej 827 milionë lekë.</w:t>
      </w:r>
    </w:p>
    <w:p w:rsidR="008133EB" w:rsidRPr="004E355C" w:rsidRDefault="008133EB" w:rsidP="008133EB">
      <w:pPr>
        <w:spacing w:line="276" w:lineRule="auto"/>
        <w:ind w:left="720"/>
        <w:contextualSpacing/>
        <w:jc w:val="both"/>
        <w:rPr>
          <w:rFonts w:ascii="Calibri" w:eastAsia="MS Mincho" w:hAnsi="Calibri"/>
          <w:sz w:val="8"/>
          <w:szCs w:val="8"/>
          <w:lang w:val="sq-AL"/>
        </w:rPr>
      </w:pPr>
    </w:p>
    <w:p w:rsidR="008133EB" w:rsidRPr="004E355C" w:rsidRDefault="008133EB" w:rsidP="008133EB">
      <w:pPr>
        <w:spacing w:line="276" w:lineRule="auto"/>
        <w:contextualSpacing/>
        <w:jc w:val="both"/>
        <w:rPr>
          <w:rFonts w:ascii="Calibri" w:eastAsia="MS Mincho" w:hAnsi="Calibri"/>
          <w:lang w:val="sq-AL"/>
        </w:rPr>
      </w:pPr>
      <w:r w:rsidRPr="004E355C">
        <w:rPr>
          <w:rFonts w:ascii="Calibri" w:eastAsia="MS Mincho" w:hAnsi="Calibri"/>
          <w:b/>
          <w:lang w:val="sq-AL"/>
        </w:rPr>
        <w:t>Objektivi 2</w:t>
      </w:r>
      <w:r w:rsidRPr="004E355C">
        <w:rPr>
          <w:rFonts w:ascii="Calibri" w:eastAsia="MS Mincho" w:hAnsi="Calibri"/>
          <w:b/>
          <w:i/>
          <w:lang w:val="sq-AL"/>
        </w:rPr>
        <w:t xml:space="preserve"> </w:t>
      </w:r>
      <w:r w:rsidRPr="004E355C">
        <w:rPr>
          <w:rFonts w:ascii="Calibri" w:eastAsia="MS Mincho" w:hAnsi="Calibri"/>
          <w:i/>
          <w:lang w:val="sq-AL"/>
        </w:rPr>
        <w:t>“Rritja e sigurisë Publike dhe Sifgurisë rrugore përmes patrullimeve në rrugë dhe forcimi i kontrollit të territorit me policimin në komunitet”</w:t>
      </w:r>
      <w:r w:rsidRPr="004E355C">
        <w:rPr>
          <w:rFonts w:ascii="Calibri" w:eastAsia="MS Mincho" w:hAnsi="Calibri"/>
          <w:lang w:val="sq-AL"/>
        </w:rPr>
        <w:t>. Për realizimin e objektivit kanë kontribuar 12 produkte përgjatë 4 mujorit, të cilët konsistojnë në :</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Realizimi i 2107 “Shërbime të policisë rrugore të kryera në rrugët nacionale”, apo 92% e sasisë së planifikuar për 4-mujorin, me një kosto totale prej 78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Janë realizuar 152 shërbime të Forcave Speciale dhe e NSH për sigurimin e Rendit Publik, apo 95% e sasisë së planifikuar për 4-mujorin, me një kosto totale prej 329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Janë realizuar 1840 shërbime të patrullave të përgjithshme, apo 91% e sasisë së planifikuar për 4-mujorin, me një kosto totale prej 1,949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U realizuan 1 057 rste asistence dhe trajnime për Policinë e Shtetit, me kosto prej 65 milionë lekë.</w:t>
      </w:r>
    </w:p>
    <w:p w:rsidR="008133EB" w:rsidRPr="004E355C" w:rsidRDefault="008133EB" w:rsidP="008133EB">
      <w:pPr>
        <w:spacing w:line="276" w:lineRule="auto"/>
        <w:contextualSpacing/>
        <w:jc w:val="both"/>
        <w:rPr>
          <w:rFonts w:ascii="Calibri" w:eastAsia="MS Mincho" w:hAnsi="Calibri"/>
          <w:lang w:val="sq-AL"/>
        </w:rPr>
      </w:pPr>
      <w:r w:rsidRPr="004E355C">
        <w:rPr>
          <w:rFonts w:ascii="Calibri" w:eastAsia="MS Mincho" w:hAnsi="Calibri"/>
          <w:b/>
          <w:lang w:val="sq-AL"/>
        </w:rPr>
        <w:lastRenderedPageBreak/>
        <w:t xml:space="preserve">Objektivi 3 </w:t>
      </w:r>
      <w:r w:rsidRPr="004E355C">
        <w:rPr>
          <w:rFonts w:ascii="Calibri" w:eastAsia="MS Mincho" w:hAnsi="Calibri"/>
          <w:lang w:val="sq-AL"/>
        </w:rPr>
        <w:t>“</w:t>
      </w:r>
      <w:r w:rsidRPr="004E355C">
        <w:rPr>
          <w:rFonts w:ascii="Calibri" w:eastAsia="MS Mincho" w:hAnsi="Calibri"/>
          <w:i/>
          <w:lang w:val="sq-AL"/>
        </w:rPr>
        <w:t>Forcimi i masave për luiftën kundë krimit ndërkufitar dhe trafiqeve të paligjshme me synim rritjen e standartev të sigurisë së kufijve sipas standarteve të BE-së dhe Kodit Schengen”.</w:t>
      </w:r>
      <w:r w:rsidRPr="004E355C">
        <w:rPr>
          <w:rFonts w:ascii="Calibri" w:eastAsia="MS Mincho" w:hAnsi="Calibri"/>
          <w:lang w:val="sq-AL"/>
        </w:rPr>
        <w:t xml:space="preserve"> Për realizimin e objektivit kanë kontribuar 4 produkte përgjatë 4 mujorit,  të cilët konsistojnë në :</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U realizuan 18 operacione të sigurisë në kufirin blu, apo 95% e sasisë së planifikuar për 4-mujorin, me një kosto totale prej 42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Janë procesuar 6,650,173 persona në PKK, kategoria I; II dhe e II-të (ajrore, detare, tokësore), apo 92% e sasisë së planifikuar për 4-mujorin, me një kosto totale prej 574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Janë trajnuar 60 Qen policie në kushte shërbimi.</w:t>
      </w:r>
    </w:p>
    <w:p w:rsidR="008133EB" w:rsidRPr="004E355C" w:rsidRDefault="008133EB" w:rsidP="008133EB">
      <w:pPr>
        <w:spacing w:line="276" w:lineRule="auto"/>
        <w:contextualSpacing/>
        <w:jc w:val="both"/>
        <w:rPr>
          <w:rFonts w:ascii="Calibri" w:eastAsia="MS Mincho" w:hAnsi="Calibri"/>
          <w:b/>
          <w:lang w:val="sq-AL"/>
        </w:rPr>
      </w:pPr>
    </w:p>
    <w:p w:rsidR="008133EB" w:rsidRPr="004E355C" w:rsidRDefault="008133EB" w:rsidP="008133EB">
      <w:pPr>
        <w:spacing w:line="276" w:lineRule="auto"/>
        <w:contextualSpacing/>
        <w:jc w:val="both"/>
        <w:rPr>
          <w:rFonts w:ascii="Calibri" w:eastAsia="MS Mincho" w:hAnsi="Calibri"/>
          <w:lang w:val="sq-AL"/>
        </w:rPr>
      </w:pPr>
      <w:r w:rsidRPr="004E355C">
        <w:rPr>
          <w:rFonts w:ascii="Calibri" w:eastAsia="MS Mincho" w:hAnsi="Calibri"/>
          <w:b/>
          <w:lang w:val="sq-AL"/>
        </w:rPr>
        <w:t xml:space="preserve">Objektivi 4 </w:t>
      </w:r>
      <w:r w:rsidRPr="004E355C">
        <w:rPr>
          <w:rFonts w:ascii="Calibri" w:eastAsia="MS Mincho" w:hAnsi="Calibri"/>
          <w:lang w:val="sq-AL"/>
        </w:rPr>
        <w:t>“</w:t>
      </w:r>
      <w:r w:rsidRPr="004E355C">
        <w:rPr>
          <w:rFonts w:ascii="Calibri" w:eastAsia="MS Mincho" w:hAnsi="Calibri"/>
          <w:i/>
          <w:lang w:val="sq-AL"/>
        </w:rPr>
        <w:t>Përafrimi i standartve të shërbimeve policore me ato të BE-së ”.</w:t>
      </w:r>
      <w:r w:rsidRPr="004E355C">
        <w:rPr>
          <w:rFonts w:ascii="Calibri" w:eastAsia="MS Mincho" w:hAnsi="Calibri"/>
          <w:lang w:val="sq-AL"/>
        </w:rPr>
        <w:t xml:space="preserve"> Për realizimin e objektivit kanë kontribuar 6 produkte përgjatë 4 mujorit,  të cilët konsistojnë në :</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U trajnuan 191 rekrut të rinj, apo 82% e sasisë së planifikuar për 4-mujorin, me një kosto totale prej 65 milionë lekë.</w:t>
      </w:r>
    </w:p>
    <w:p w:rsidR="008133EB" w:rsidRPr="004E355C" w:rsidRDefault="008133EB" w:rsidP="00B95810">
      <w:pPr>
        <w:numPr>
          <w:ilvl w:val="0"/>
          <w:numId w:val="28"/>
        </w:numPr>
        <w:spacing w:line="276" w:lineRule="auto"/>
        <w:ind w:left="540"/>
        <w:contextualSpacing/>
        <w:jc w:val="both"/>
        <w:rPr>
          <w:rFonts w:ascii="Calibri" w:eastAsia="MS Mincho" w:hAnsi="Calibri"/>
          <w:lang w:val="sq-AL"/>
        </w:rPr>
      </w:pPr>
      <w:r w:rsidRPr="004E355C">
        <w:rPr>
          <w:rFonts w:ascii="Calibri" w:eastAsia="MS Mincho" w:hAnsi="Calibri"/>
          <w:lang w:val="sq-AL"/>
        </w:rPr>
        <w:t>U trajtuan 26 bashkëshorte të punonjësve të policisë së shtetit, apo 76% e sasisë së planifikuar për 4-mujorin, me një kosto totale prej 9.5 milionë lekë.</w:t>
      </w:r>
    </w:p>
    <w:p w:rsidR="008133EB" w:rsidRPr="004E355C" w:rsidRDefault="008133EB" w:rsidP="008133EB">
      <w:pPr>
        <w:spacing w:line="276" w:lineRule="auto"/>
        <w:ind w:left="1440"/>
        <w:contextualSpacing/>
        <w:jc w:val="both"/>
        <w:rPr>
          <w:rFonts w:ascii="Calibri" w:eastAsia="MS Mincho" w:hAnsi="Calibri"/>
          <w:sz w:val="12"/>
          <w:szCs w:val="12"/>
          <w:lang w:val="sq-AL"/>
        </w:rPr>
      </w:pPr>
    </w:p>
    <w:p w:rsidR="008133EB" w:rsidRPr="004E355C" w:rsidRDefault="008133EB" w:rsidP="008133EB">
      <w:pPr>
        <w:spacing w:line="276" w:lineRule="auto"/>
        <w:jc w:val="both"/>
        <w:rPr>
          <w:rFonts w:ascii="Calibri" w:eastAsia="MS Mincho" w:hAnsi="Calibri"/>
          <w:lang w:val="sq-AL"/>
        </w:rPr>
      </w:pPr>
      <w:r w:rsidRPr="004E355C">
        <w:rPr>
          <w:rFonts w:ascii="Calibri" w:eastAsia="MS Mincho" w:hAnsi="Calibri"/>
          <w:lang w:val="sq-AL"/>
        </w:rPr>
        <w:t>Nuk janë konstatuar problematika gjatë realizimit të produkteve për këtë program.</w:t>
      </w:r>
    </w:p>
    <w:p w:rsidR="008133EB" w:rsidRPr="004E355C" w:rsidRDefault="008133EB" w:rsidP="008133EB">
      <w:pPr>
        <w:spacing w:line="276" w:lineRule="auto"/>
        <w:jc w:val="both"/>
        <w:rPr>
          <w:rFonts w:ascii="Calibri" w:eastAsia="MS Mincho" w:hAnsi="Calibri"/>
          <w:b/>
          <w:lang w:val="sq-AL"/>
        </w:rPr>
      </w:pPr>
    </w:p>
    <w:p w:rsidR="008133EB" w:rsidRPr="004E355C" w:rsidRDefault="008133EB" w:rsidP="008133EB">
      <w:pPr>
        <w:spacing w:line="276" w:lineRule="auto"/>
        <w:jc w:val="both"/>
        <w:rPr>
          <w:rFonts w:ascii="Calibri" w:eastAsia="MS Mincho" w:hAnsi="Calibri"/>
          <w:lang w:val="sq-AL"/>
        </w:rPr>
      </w:pPr>
      <w:r w:rsidRPr="004E355C">
        <w:rPr>
          <w:rFonts w:ascii="Calibri" w:eastAsia="MS Mincho" w:hAnsi="Calibri"/>
          <w:b/>
          <w:lang w:val="sq-AL"/>
        </w:rPr>
        <w:t>Programi “Garda e Republikës”</w:t>
      </w:r>
      <w:r w:rsidRPr="004E355C">
        <w:rPr>
          <w:rFonts w:ascii="Calibri" w:eastAsia="MS Mincho" w:hAnsi="Calibri"/>
          <w:lang w:val="sq-AL"/>
        </w:rPr>
        <w:t xml:space="preserve">, me realizimin e fondeve me rreth 30% ndaj planit vjetor, është realizuar qëllimi i politikës së programit. Qëllimi i këtij progami është: </w:t>
      </w:r>
      <w:r w:rsidRPr="004E355C">
        <w:rPr>
          <w:rFonts w:ascii="Calibri" w:eastAsia="MS Mincho" w:hAnsi="Calibri"/>
          <w:i/>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Pr="004E355C">
        <w:rPr>
          <w:rFonts w:ascii="Calibri" w:eastAsia="MS Mincho" w:hAnsi="Calibri"/>
          <w:lang w:val="sq-AL"/>
        </w:rPr>
        <w:t xml:space="preserve"> </w:t>
      </w:r>
    </w:p>
    <w:p w:rsidR="008133EB" w:rsidRPr="004E355C" w:rsidRDefault="008133EB" w:rsidP="008133EB">
      <w:pPr>
        <w:spacing w:line="276" w:lineRule="auto"/>
        <w:jc w:val="both"/>
        <w:rPr>
          <w:rFonts w:ascii="Calibri" w:eastAsia="MS Mincho" w:hAnsi="Calibri"/>
          <w:lang w:val="sq-AL"/>
        </w:rPr>
      </w:pPr>
      <w:r w:rsidRPr="004E355C">
        <w:rPr>
          <w:rFonts w:ascii="Calibri" w:eastAsia="MS Mincho" w:hAnsi="Calibri"/>
          <w:lang w:val="sq-AL"/>
        </w:rPr>
        <w:t>Qëllimi i programit realizohet nëpërmjet objektivave specifike të parashikuara dhe 1  produkti të realizuar përgjatë 4-mujorit, me specifikisht i paraqitur si më poshtë:</w:t>
      </w:r>
    </w:p>
    <w:p w:rsidR="008133EB" w:rsidRPr="004E355C" w:rsidRDefault="008133EB" w:rsidP="00B95810">
      <w:pPr>
        <w:numPr>
          <w:ilvl w:val="0"/>
          <w:numId w:val="28"/>
        </w:numPr>
        <w:spacing w:line="276" w:lineRule="auto"/>
        <w:ind w:left="1440"/>
        <w:contextualSpacing/>
        <w:jc w:val="both"/>
        <w:rPr>
          <w:rFonts w:ascii="Calibri" w:eastAsia="MS Mincho" w:hAnsi="Calibri"/>
          <w:lang w:val="sq-AL"/>
        </w:rPr>
      </w:pPr>
      <w:r w:rsidRPr="004E355C">
        <w:rPr>
          <w:rFonts w:ascii="Calibri" w:eastAsia="MS Mincho" w:hAnsi="Calibri"/>
          <w:lang w:val="sq-AL"/>
        </w:rPr>
        <w:t>Është realizuar ruajtja e 38 Personaliteteve VIP vendas dhe të huaj, me një kosto prej 460 milionë lekë.</w:t>
      </w:r>
    </w:p>
    <w:p w:rsidR="008133EB" w:rsidRPr="004E355C" w:rsidRDefault="008133EB" w:rsidP="00977916">
      <w:pPr>
        <w:spacing w:before="120" w:after="120" w:line="276" w:lineRule="auto"/>
        <w:jc w:val="both"/>
        <w:rPr>
          <w:rFonts w:asciiTheme="minorHAnsi" w:hAnsiTheme="minorHAnsi"/>
          <w:b/>
          <w:noProof/>
          <w:color w:val="0070C0"/>
          <w:sz w:val="18"/>
          <w:lang w:val="sq-AL"/>
        </w:rPr>
      </w:pPr>
    </w:p>
    <w:p w:rsidR="00527686" w:rsidRPr="004E355C" w:rsidRDefault="00977916" w:rsidP="00977916">
      <w:pPr>
        <w:spacing w:before="120" w:after="120" w:line="276" w:lineRule="auto"/>
        <w:jc w:val="both"/>
        <w:rPr>
          <w:rFonts w:asciiTheme="minorHAnsi" w:hAnsiTheme="minorHAnsi"/>
          <w:b/>
          <w:noProof/>
          <w:color w:val="0070C0"/>
          <w:lang w:val="sq-AL"/>
        </w:rPr>
      </w:pPr>
      <w:r w:rsidRPr="004E355C">
        <w:rPr>
          <w:rFonts w:asciiTheme="minorHAnsi" w:hAnsiTheme="minorHAnsi"/>
          <w:b/>
          <w:noProof/>
          <w:color w:val="0070C0"/>
          <w:lang w:val="sq-AL"/>
        </w:rPr>
        <w:t>KULTURA</w:t>
      </w:r>
      <w:bookmarkEnd w:id="156"/>
      <w:bookmarkEnd w:id="157"/>
      <w:bookmarkEnd w:id="158"/>
    </w:p>
    <w:p w:rsidR="00527686" w:rsidRPr="004E355C" w:rsidRDefault="00527686" w:rsidP="00527686">
      <w:pPr>
        <w:spacing w:line="276" w:lineRule="auto"/>
        <w:jc w:val="both"/>
        <w:rPr>
          <w:rFonts w:ascii="Calibri" w:eastAsia="MS Mincho" w:hAnsi="Calibri"/>
          <w:color w:val="000000"/>
          <w:lang w:val="sq-AL"/>
        </w:rPr>
      </w:pPr>
      <w:r w:rsidRPr="004E355C">
        <w:rPr>
          <w:rFonts w:ascii="Calibri" w:eastAsia="MS Mincho" w:hAnsi="Calibri"/>
          <w:color w:val="000000"/>
          <w:lang w:val="sq-AL"/>
        </w:rPr>
        <w:t>Performanca e treguesve buxhetorë për dy programet e Ministrisë së Kulturës paraqitet si mëposhtë:</w:t>
      </w:r>
    </w:p>
    <w:p w:rsidR="00527686" w:rsidRPr="004E355C" w:rsidRDefault="00527686" w:rsidP="00527686">
      <w:pPr>
        <w:spacing w:line="276" w:lineRule="auto"/>
        <w:ind w:left="2880" w:firstLine="720"/>
        <w:jc w:val="right"/>
        <w:rPr>
          <w:rFonts w:ascii="Calibri" w:eastAsia="MS Mincho" w:hAnsi="Calibri"/>
          <w:i/>
          <w:color w:val="000000"/>
          <w:sz w:val="20"/>
          <w:u w:val="single"/>
          <w:lang w:val="sq-AL"/>
        </w:rPr>
      </w:pPr>
      <w:r w:rsidRPr="004E355C">
        <w:rPr>
          <w:rFonts w:ascii="Calibri" w:eastAsia="MS Mincho" w:hAnsi="Calibri"/>
          <w:i/>
          <w:color w:val="000000"/>
          <w:sz w:val="20"/>
          <w:u w:val="single"/>
          <w:lang w:val="sq-AL"/>
        </w:rPr>
        <w:t>Në mijë lekë</w:t>
      </w:r>
    </w:p>
    <w:tbl>
      <w:tblPr>
        <w:tblStyle w:val="ListTable3-Accent52"/>
        <w:tblW w:w="5109" w:type="pct"/>
        <w:tblLayout w:type="fixed"/>
        <w:tblLook w:val="01E0" w:firstRow="1" w:lastRow="1" w:firstColumn="1" w:lastColumn="1" w:noHBand="0" w:noVBand="0"/>
      </w:tblPr>
      <w:tblGrid>
        <w:gridCol w:w="552"/>
        <w:gridCol w:w="2443"/>
        <w:gridCol w:w="1083"/>
        <w:gridCol w:w="1328"/>
        <w:gridCol w:w="1246"/>
        <w:gridCol w:w="1248"/>
        <w:gridCol w:w="1165"/>
        <w:gridCol w:w="996"/>
      </w:tblGrid>
      <w:tr w:rsidR="00527686" w:rsidRPr="004E355C" w:rsidTr="00977916">
        <w:trPr>
          <w:cnfStyle w:val="100000000000" w:firstRow="1" w:lastRow="0" w:firstColumn="0" w:lastColumn="0" w:oddVBand="0" w:evenVBand="0" w:oddHBand="0" w:evenHBand="0" w:firstRowFirstColumn="0" w:firstRowLastColumn="0" w:lastRowFirstColumn="0" w:lastRowLastColumn="0"/>
          <w:trHeight w:val="336"/>
        </w:trPr>
        <w:tc>
          <w:tcPr>
            <w:cnfStyle w:val="001000000100" w:firstRow="0" w:lastRow="0" w:firstColumn="1" w:lastColumn="0" w:oddVBand="0" w:evenVBand="0" w:oddHBand="0" w:evenHBand="0" w:firstRowFirstColumn="1" w:firstRowLastColumn="0" w:lastRowFirstColumn="0" w:lastRowLastColumn="0"/>
            <w:tcW w:w="275" w:type="pct"/>
            <w:vMerge w:val="restar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NR</w:t>
            </w:r>
          </w:p>
        </w:tc>
        <w:tc>
          <w:tcPr>
            <w:cnfStyle w:val="000010000000" w:firstRow="0" w:lastRow="0" w:firstColumn="0" w:lastColumn="0" w:oddVBand="1" w:evenVBand="0" w:oddHBand="0" w:evenHBand="0" w:firstRowFirstColumn="0" w:firstRowLastColumn="0" w:lastRowFirstColumn="0" w:lastRowLastColumn="0"/>
            <w:tcW w:w="1214" w:type="pct"/>
            <w:vMerge w:val="restart"/>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Emërtimi i Programit</w:t>
            </w:r>
          </w:p>
        </w:tc>
        <w:tc>
          <w:tcPr>
            <w:tcW w:w="1198" w:type="pct"/>
            <w:gridSpan w:val="2"/>
          </w:tcPr>
          <w:p w:rsidR="00527686" w:rsidRPr="004E355C" w:rsidRDefault="00527686" w:rsidP="00527686">
            <w:pPr>
              <w:spacing w:line="276" w:lineRule="auto"/>
              <w:ind w:left="84"/>
              <w:jc w:val="center"/>
              <w:cnfStyle w:val="100000000000" w:firstRow="1"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Plani 2019</w:t>
            </w:r>
          </w:p>
        </w:tc>
        <w:tc>
          <w:tcPr>
            <w:cnfStyle w:val="000010000000" w:firstRow="0" w:lastRow="0" w:firstColumn="0" w:lastColumn="0" w:oddVBand="1" w:evenVBand="0" w:oddHBand="0" w:evenHBand="0" w:firstRowFirstColumn="0" w:firstRowLastColumn="0" w:lastRowFirstColumn="0" w:lastRowLastColumn="0"/>
            <w:tcW w:w="1239" w:type="pct"/>
            <w:gridSpan w:val="2"/>
          </w:tcPr>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Fakti 4 mujori I 2019</w:t>
            </w:r>
          </w:p>
        </w:tc>
        <w:tc>
          <w:tcPr>
            <w:cnfStyle w:val="000100001000" w:firstRow="0" w:lastRow="0" w:firstColumn="0" w:lastColumn="1" w:oddVBand="0" w:evenVBand="0" w:oddHBand="0" w:evenHBand="0" w:firstRowFirstColumn="0" w:firstRowLastColumn="1" w:lastRowFirstColumn="0" w:lastRowLastColumn="0"/>
            <w:tcW w:w="1074" w:type="pct"/>
            <w:gridSpan w:val="2"/>
          </w:tcPr>
          <w:p w:rsidR="00527686" w:rsidRPr="004E355C" w:rsidRDefault="00527686" w:rsidP="00527686">
            <w:pPr>
              <w:spacing w:line="276" w:lineRule="auto"/>
              <w:jc w:val="center"/>
              <w:rPr>
                <w:rFonts w:ascii="Calibri" w:hAnsi="Calibri"/>
                <w:sz w:val="18"/>
                <w:lang w:val="sq-AL"/>
              </w:rPr>
            </w:pPr>
            <w:r w:rsidRPr="004E355C">
              <w:rPr>
                <w:rFonts w:ascii="Calibri" w:hAnsi="Calibri"/>
                <w:bCs w:val="0"/>
                <w:sz w:val="18"/>
                <w:lang w:val="sq-AL"/>
              </w:rPr>
              <w:t>Përqindja  e realizimit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75" w:type="pct"/>
            <w:vMerge/>
          </w:tcPr>
          <w:p w:rsidR="00527686" w:rsidRPr="004E355C" w:rsidRDefault="00527686" w:rsidP="00527686">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214" w:type="pct"/>
            <w:vMerge/>
          </w:tcPr>
          <w:p w:rsidR="00527686" w:rsidRPr="004E355C" w:rsidRDefault="00527686" w:rsidP="00527686">
            <w:pPr>
              <w:spacing w:line="276" w:lineRule="auto"/>
              <w:jc w:val="center"/>
              <w:rPr>
                <w:rFonts w:ascii="Calibri" w:hAnsi="Calibri"/>
                <w:b/>
                <w:sz w:val="18"/>
                <w:lang w:val="sq-AL"/>
              </w:rPr>
            </w:pPr>
          </w:p>
        </w:tc>
        <w:tc>
          <w:tcPr>
            <w:tcW w:w="538" w:type="pct"/>
          </w:tcPr>
          <w:p w:rsidR="00527686" w:rsidRPr="004E355C" w:rsidRDefault="00527686" w:rsidP="00527686">
            <w:pPr>
              <w:spacing w:line="276" w:lineRule="auto"/>
              <w:ind w:left="84"/>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60" w:type="pct"/>
          </w:tcPr>
          <w:p w:rsidR="00527686" w:rsidRPr="004E355C" w:rsidRDefault="00527686" w:rsidP="00527686">
            <w:pPr>
              <w:spacing w:line="276" w:lineRule="auto"/>
              <w:ind w:left="84"/>
              <w:jc w:val="center"/>
              <w:rPr>
                <w:rFonts w:ascii="Calibri" w:hAnsi="Calibri"/>
                <w:b/>
                <w:sz w:val="18"/>
                <w:lang w:val="sq-AL"/>
              </w:rPr>
            </w:pPr>
            <w:r w:rsidRPr="004E355C">
              <w:rPr>
                <w:rFonts w:ascii="Calibri" w:hAnsi="Calibri"/>
                <w:b/>
                <w:sz w:val="18"/>
                <w:lang w:val="sq-AL"/>
              </w:rPr>
              <w:t>Investime</w:t>
            </w:r>
          </w:p>
        </w:tc>
        <w:tc>
          <w:tcPr>
            <w:tcW w:w="61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620" w:type="pct"/>
          </w:tcPr>
          <w:p w:rsidR="00527686" w:rsidRPr="004E355C" w:rsidRDefault="00527686" w:rsidP="00527686">
            <w:pPr>
              <w:spacing w:line="276" w:lineRule="auto"/>
              <w:jc w:val="center"/>
              <w:rPr>
                <w:rFonts w:ascii="Calibri" w:hAnsi="Calibri"/>
                <w:b/>
                <w:sz w:val="18"/>
                <w:lang w:val="sq-AL"/>
              </w:rPr>
            </w:pPr>
            <w:r w:rsidRPr="004E355C">
              <w:rPr>
                <w:rFonts w:ascii="Calibri" w:hAnsi="Calibri"/>
                <w:b/>
                <w:sz w:val="18"/>
                <w:lang w:val="sq-AL"/>
              </w:rPr>
              <w:t>Investime</w:t>
            </w:r>
          </w:p>
        </w:tc>
        <w:tc>
          <w:tcPr>
            <w:tcW w:w="57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495" w:type="pct"/>
          </w:tcPr>
          <w:p w:rsidR="00527686" w:rsidRPr="004E355C" w:rsidRDefault="00527686" w:rsidP="00527686">
            <w:pPr>
              <w:spacing w:line="276" w:lineRule="auto"/>
              <w:jc w:val="center"/>
              <w:rPr>
                <w:rFonts w:ascii="Calibri" w:hAnsi="Calibri"/>
                <w:b w:val="0"/>
                <w:sz w:val="18"/>
                <w:lang w:val="sq-AL"/>
              </w:rPr>
            </w:pPr>
            <w:r w:rsidRPr="004E355C">
              <w:rPr>
                <w:rFonts w:ascii="Calibri" w:hAnsi="Calibri"/>
                <w:b w:val="0"/>
                <w:sz w:val="18"/>
                <w:lang w:val="sq-AL"/>
              </w:rPr>
              <w:t>Investime</w:t>
            </w:r>
          </w:p>
        </w:tc>
      </w:tr>
      <w:tr w:rsidR="00527686" w:rsidRPr="004E355C" w:rsidTr="00977916">
        <w:trPr>
          <w:trHeight w:val="491"/>
        </w:trPr>
        <w:tc>
          <w:tcPr>
            <w:cnfStyle w:val="001000000000" w:firstRow="0" w:lastRow="0" w:firstColumn="1" w:lastColumn="0" w:oddVBand="0" w:evenVBand="0" w:oddHBand="0" w:evenHBand="0" w:firstRowFirstColumn="0" w:firstRowLastColumn="0" w:lastRowFirstColumn="0" w:lastRowLastColumn="0"/>
            <w:tcW w:w="275"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214" w:type="pct"/>
          </w:tcPr>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Trashëgimia kulturore dhe muzetë</w:t>
            </w:r>
          </w:p>
        </w:tc>
        <w:tc>
          <w:tcPr>
            <w:tcW w:w="538"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518 491</w:t>
            </w:r>
          </w:p>
        </w:tc>
        <w:tc>
          <w:tcPr>
            <w:cnfStyle w:val="000010000000" w:firstRow="0" w:lastRow="0" w:firstColumn="0" w:lastColumn="0" w:oddVBand="1" w:evenVBand="0" w:oddHBand="0" w:evenHBand="0" w:firstRowFirstColumn="0" w:firstRowLastColumn="0" w:lastRowFirstColumn="0" w:lastRowLastColumn="0"/>
            <w:tcW w:w="660"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5 000</w:t>
            </w:r>
          </w:p>
        </w:tc>
        <w:tc>
          <w:tcPr>
            <w:tcW w:w="61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133 585</w:t>
            </w:r>
          </w:p>
        </w:tc>
        <w:tc>
          <w:tcPr>
            <w:cnfStyle w:val="000010000000" w:firstRow="0" w:lastRow="0" w:firstColumn="0" w:lastColumn="0" w:oddVBand="1" w:evenVBand="0" w:oddHBand="0" w:evenHBand="0" w:firstRowFirstColumn="0" w:firstRowLastColumn="0" w:lastRowFirstColumn="0" w:lastRowLastColumn="0"/>
            <w:tcW w:w="620"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w:t>
            </w:r>
          </w:p>
        </w:tc>
        <w:tc>
          <w:tcPr>
            <w:tcW w:w="579" w:type="pct"/>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25.7%</w:t>
            </w:r>
          </w:p>
        </w:tc>
        <w:tc>
          <w:tcPr>
            <w:cnfStyle w:val="000100000000" w:firstRow="0" w:lastRow="0" w:firstColumn="0" w:lastColumn="1" w:oddVBand="0" w:evenVBand="0" w:oddHBand="0" w:evenHBand="0" w:firstRowFirstColumn="0" w:firstRowLastColumn="0" w:lastRowFirstColumn="0" w:lastRowLastColumn="0"/>
            <w:tcW w:w="495"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w:t>
            </w:r>
          </w:p>
        </w:tc>
      </w:tr>
      <w:tr w:rsidR="00527686" w:rsidRPr="004E355C" w:rsidTr="00977916">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275" w:type="pct"/>
          </w:tcPr>
          <w:p w:rsidR="00527686" w:rsidRPr="004E355C" w:rsidRDefault="00527686" w:rsidP="00527686">
            <w:pPr>
              <w:spacing w:line="276" w:lineRule="auto"/>
              <w:rPr>
                <w:rFonts w:ascii="Calibri" w:hAnsi="Calibri"/>
                <w:sz w:val="18"/>
                <w:lang w:val="sq-AL"/>
              </w:rPr>
            </w:pPr>
          </w:p>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214" w:type="pct"/>
          </w:tcPr>
          <w:p w:rsidR="00527686" w:rsidRPr="004E355C" w:rsidRDefault="00527686" w:rsidP="00527686">
            <w:pPr>
              <w:spacing w:line="276" w:lineRule="auto"/>
              <w:rPr>
                <w:rFonts w:ascii="Calibri" w:hAnsi="Calibri"/>
                <w:sz w:val="18"/>
                <w:lang w:val="sq-AL"/>
              </w:rPr>
            </w:pPr>
          </w:p>
          <w:p w:rsidR="00527686" w:rsidRPr="004E355C" w:rsidRDefault="00527686" w:rsidP="00527686">
            <w:pPr>
              <w:spacing w:line="276" w:lineRule="auto"/>
              <w:rPr>
                <w:rFonts w:ascii="Calibri" w:hAnsi="Calibri"/>
                <w:sz w:val="18"/>
                <w:lang w:val="sq-AL"/>
              </w:rPr>
            </w:pPr>
            <w:r w:rsidRPr="004E355C">
              <w:rPr>
                <w:rFonts w:ascii="Calibri" w:hAnsi="Calibri"/>
                <w:sz w:val="18"/>
                <w:lang w:val="sq-AL"/>
              </w:rPr>
              <w:t>Arti dhe Kultura</w:t>
            </w:r>
          </w:p>
        </w:tc>
        <w:tc>
          <w:tcPr>
            <w:tcW w:w="538"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785 000</w:t>
            </w:r>
          </w:p>
        </w:tc>
        <w:tc>
          <w:tcPr>
            <w:cnfStyle w:val="000010000000" w:firstRow="0" w:lastRow="0" w:firstColumn="0" w:lastColumn="0" w:oddVBand="1" w:evenVBand="0" w:oddHBand="0" w:evenHBand="0" w:firstRowFirstColumn="0" w:firstRowLastColumn="0" w:lastRowFirstColumn="0" w:lastRowLastColumn="0"/>
            <w:tcW w:w="660"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700 000</w:t>
            </w:r>
          </w:p>
        </w:tc>
        <w:tc>
          <w:tcPr>
            <w:tcW w:w="61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226 613</w:t>
            </w:r>
          </w:p>
        </w:tc>
        <w:tc>
          <w:tcPr>
            <w:cnfStyle w:val="000010000000" w:firstRow="0" w:lastRow="0" w:firstColumn="0" w:lastColumn="0" w:oddVBand="1" w:evenVBand="0" w:oddHBand="0" w:evenHBand="0" w:firstRowFirstColumn="0" w:firstRowLastColumn="0" w:lastRowFirstColumn="0" w:lastRowLastColumn="0"/>
            <w:tcW w:w="620"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67 280</w:t>
            </w:r>
          </w:p>
        </w:tc>
        <w:tc>
          <w:tcPr>
            <w:tcW w:w="579" w:type="pct"/>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p>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28.8%</w:t>
            </w:r>
          </w:p>
        </w:tc>
        <w:tc>
          <w:tcPr>
            <w:cnfStyle w:val="000100000000" w:firstRow="0" w:lastRow="0" w:firstColumn="0" w:lastColumn="1" w:oddVBand="0" w:evenVBand="0" w:oddHBand="0" w:evenHBand="0" w:firstRowFirstColumn="0" w:firstRowLastColumn="0" w:lastRowFirstColumn="0" w:lastRowLastColumn="0"/>
            <w:tcW w:w="495" w:type="pct"/>
          </w:tcPr>
          <w:p w:rsidR="00527686" w:rsidRPr="004E355C" w:rsidRDefault="00527686" w:rsidP="00527686">
            <w:pPr>
              <w:spacing w:line="276" w:lineRule="auto"/>
              <w:jc w:val="center"/>
              <w:rPr>
                <w:rFonts w:ascii="Calibri" w:hAnsi="Calibri"/>
                <w:sz w:val="18"/>
                <w:lang w:val="sq-AL"/>
              </w:rPr>
            </w:pPr>
          </w:p>
          <w:p w:rsidR="00527686" w:rsidRPr="004E355C" w:rsidRDefault="00527686" w:rsidP="00527686">
            <w:pPr>
              <w:spacing w:line="276" w:lineRule="auto"/>
              <w:jc w:val="center"/>
              <w:rPr>
                <w:rFonts w:ascii="Calibri" w:hAnsi="Calibri"/>
                <w:sz w:val="18"/>
                <w:lang w:val="sq-AL"/>
              </w:rPr>
            </w:pPr>
            <w:r w:rsidRPr="004E355C">
              <w:rPr>
                <w:rFonts w:ascii="Calibri" w:hAnsi="Calibri"/>
                <w:sz w:val="18"/>
                <w:lang w:val="sq-AL"/>
              </w:rPr>
              <w:t>19.2%</w:t>
            </w:r>
          </w:p>
        </w:tc>
      </w:tr>
      <w:tr w:rsidR="00527686" w:rsidRPr="004E355C" w:rsidTr="00977916">
        <w:trPr>
          <w:cnfStyle w:val="010000000000" w:firstRow="0" w:lastRow="1" w:firstColumn="0" w:lastColumn="0" w:oddVBand="0" w:evenVBand="0" w:oddHBand="0" w:evenHBand="0" w:firstRowFirstColumn="0" w:firstRowLastColumn="0" w:lastRowFirstColumn="0" w:lastRowLastColumn="0"/>
          <w:trHeight w:val="192"/>
        </w:trPr>
        <w:tc>
          <w:tcPr>
            <w:cnfStyle w:val="001000000001" w:firstRow="0" w:lastRow="0" w:firstColumn="1" w:lastColumn="0" w:oddVBand="0" w:evenVBand="0" w:oddHBand="0" w:evenHBand="0" w:firstRowFirstColumn="0" w:firstRowLastColumn="0" w:lastRowFirstColumn="1" w:lastRowLastColumn="0"/>
            <w:tcW w:w="275" w:type="pct"/>
          </w:tcPr>
          <w:p w:rsidR="00527686" w:rsidRPr="004E355C" w:rsidRDefault="00527686" w:rsidP="00527686">
            <w:pPr>
              <w:spacing w:line="276" w:lineRule="auto"/>
              <w:jc w:val="center"/>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1214" w:type="pct"/>
          </w:tcPr>
          <w:p w:rsidR="00527686" w:rsidRPr="004E355C" w:rsidRDefault="00527686" w:rsidP="00527686">
            <w:pPr>
              <w:spacing w:line="276" w:lineRule="auto"/>
              <w:rPr>
                <w:rFonts w:ascii="Calibri" w:hAnsi="Calibri"/>
                <w:b w:val="0"/>
                <w:sz w:val="18"/>
                <w:lang w:val="sq-AL"/>
              </w:rPr>
            </w:pPr>
          </w:p>
        </w:tc>
        <w:tc>
          <w:tcPr>
            <w:tcW w:w="538" w:type="pct"/>
          </w:tcPr>
          <w:p w:rsidR="00527686" w:rsidRPr="004E355C" w:rsidRDefault="00527686" w:rsidP="00527686">
            <w:pPr>
              <w:spacing w:line="276" w:lineRule="auto"/>
              <w:cnfStyle w:val="010000000000" w:firstRow="0" w:lastRow="1" w:firstColumn="0" w:lastColumn="0" w:oddVBand="0" w:evenVBand="0" w:oddHBand="0" w:evenHBand="0" w:firstRowFirstColumn="0" w:firstRowLastColumn="0" w:lastRowFirstColumn="0" w:lastRowLastColumn="0"/>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660" w:type="pct"/>
          </w:tcPr>
          <w:p w:rsidR="00527686" w:rsidRPr="004E355C" w:rsidRDefault="00527686" w:rsidP="00527686">
            <w:pPr>
              <w:spacing w:line="276" w:lineRule="auto"/>
              <w:jc w:val="center"/>
              <w:rPr>
                <w:rFonts w:ascii="Calibri" w:hAnsi="Calibri"/>
                <w:sz w:val="18"/>
                <w:lang w:val="sq-AL"/>
              </w:rPr>
            </w:pPr>
          </w:p>
        </w:tc>
        <w:tc>
          <w:tcPr>
            <w:tcW w:w="619" w:type="pct"/>
          </w:tcPr>
          <w:p w:rsidR="00527686" w:rsidRPr="004E355C" w:rsidRDefault="00527686" w:rsidP="00527686">
            <w:pPr>
              <w:spacing w:line="276" w:lineRule="auto"/>
              <w:cnfStyle w:val="010000000000" w:firstRow="0" w:lastRow="1" w:firstColumn="0" w:lastColumn="0" w:oddVBand="0" w:evenVBand="0" w:oddHBand="0" w:evenHBand="0" w:firstRowFirstColumn="0" w:firstRowLastColumn="0" w:lastRowFirstColumn="0" w:lastRowLastColumn="0"/>
              <w:rPr>
                <w:rFonts w:ascii="Calibri" w:hAnsi="Calibri"/>
                <w:b w:val="0"/>
                <w:sz w:val="18"/>
                <w:lang w:val="sq-AL"/>
              </w:rPr>
            </w:pPr>
          </w:p>
        </w:tc>
        <w:tc>
          <w:tcPr>
            <w:cnfStyle w:val="000010000000" w:firstRow="0" w:lastRow="0" w:firstColumn="0" w:lastColumn="0" w:oddVBand="1" w:evenVBand="0" w:oddHBand="0" w:evenHBand="0" w:firstRowFirstColumn="0" w:firstRowLastColumn="0" w:lastRowFirstColumn="0" w:lastRowLastColumn="0"/>
            <w:tcW w:w="620" w:type="pct"/>
          </w:tcPr>
          <w:p w:rsidR="00527686" w:rsidRPr="004E355C" w:rsidRDefault="00527686" w:rsidP="00527686">
            <w:pPr>
              <w:spacing w:line="276" w:lineRule="auto"/>
              <w:jc w:val="center"/>
              <w:rPr>
                <w:rFonts w:ascii="Calibri" w:hAnsi="Calibri"/>
                <w:b w:val="0"/>
                <w:sz w:val="18"/>
                <w:lang w:val="sq-AL"/>
              </w:rPr>
            </w:pPr>
          </w:p>
        </w:tc>
        <w:tc>
          <w:tcPr>
            <w:tcW w:w="579" w:type="pct"/>
          </w:tcPr>
          <w:p w:rsidR="00527686" w:rsidRPr="004E355C" w:rsidRDefault="00527686" w:rsidP="00527686">
            <w:pPr>
              <w:spacing w:line="276" w:lineRule="auto"/>
              <w:cnfStyle w:val="010000000000" w:firstRow="0" w:lastRow="1" w:firstColumn="0" w:lastColumn="0" w:oddVBand="0" w:evenVBand="0" w:oddHBand="0" w:evenHBand="0" w:firstRowFirstColumn="0" w:firstRowLastColumn="0" w:lastRowFirstColumn="0" w:lastRowLastColumn="0"/>
              <w:rPr>
                <w:rFonts w:ascii="Calibri" w:hAnsi="Calibri"/>
                <w:b w:val="0"/>
                <w:sz w:val="18"/>
                <w:lang w:val="sq-AL"/>
              </w:rPr>
            </w:pPr>
          </w:p>
        </w:tc>
        <w:tc>
          <w:tcPr>
            <w:cnfStyle w:val="000100000010" w:firstRow="0" w:lastRow="0" w:firstColumn="0" w:lastColumn="1" w:oddVBand="0" w:evenVBand="0" w:oddHBand="0" w:evenHBand="0" w:firstRowFirstColumn="0" w:firstRowLastColumn="0" w:lastRowFirstColumn="0" w:lastRowLastColumn="1"/>
            <w:tcW w:w="495" w:type="pct"/>
          </w:tcPr>
          <w:p w:rsidR="00527686" w:rsidRPr="004E355C" w:rsidRDefault="00527686" w:rsidP="00527686">
            <w:pPr>
              <w:spacing w:line="276" w:lineRule="auto"/>
              <w:rPr>
                <w:rFonts w:ascii="Calibri" w:hAnsi="Calibri"/>
                <w:b w:val="0"/>
                <w:sz w:val="18"/>
                <w:lang w:val="sq-AL"/>
              </w:rPr>
            </w:pPr>
          </w:p>
        </w:tc>
      </w:tr>
    </w:tbl>
    <w:p w:rsidR="00527686" w:rsidRPr="004E355C" w:rsidRDefault="00527686" w:rsidP="00527686">
      <w:pPr>
        <w:spacing w:line="276" w:lineRule="auto"/>
        <w:jc w:val="both"/>
        <w:rPr>
          <w:rFonts w:ascii="Calibri" w:eastAsia="MS Mincho" w:hAnsi="Calibri"/>
          <w:i/>
          <w:sz w:val="16"/>
          <w:u w:val="single"/>
          <w:lang w:val="sq-AL"/>
        </w:rPr>
      </w:pPr>
    </w:p>
    <w:p w:rsidR="00527686" w:rsidRPr="004E355C" w:rsidRDefault="00527686" w:rsidP="00527686">
      <w:pPr>
        <w:spacing w:line="276" w:lineRule="auto"/>
        <w:jc w:val="both"/>
        <w:rPr>
          <w:rFonts w:ascii="Calibri" w:eastAsia="MS Mincho" w:hAnsi="Calibri"/>
          <w:lang w:val="sq-AL"/>
        </w:rPr>
      </w:pPr>
      <w:r w:rsidRPr="004E355C">
        <w:rPr>
          <w:rFonts w:ascii="Calibri" w:eastAsia="MS Mincho" w:hAnsi="Calibri"/>
          <w:lang w:val="sq-AL"/>
        </w:rPr>
        <w:t>Në të dy programet ky realizim i planit të shpenzimeve korrente është i lidhur me 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w:t>
      </w:r>
    </w:p>
    <w:p w:rsidR="00527686" w:rsidRPr="004E355C" w:rsidRDefault="00527686" w:rsidP="00527686">
      <w:pPr>
        <w:spacing w:line="276" w:lineRule="auto"/>
        <w:jc w:val="both"/>
        <w:rPr>
          <w:rFonts w:ascii="Calibri" w:eastAsia="MS Mincho" w:hAnsi="Calibri"/>
          <w:lang w:val="sq-AL"/>
        </w:rPr>
      </w:pPr>
      <w:r w:rsidRPr="004E355C">
        <w:rPr>
          <w:rFonts w:ascii="Calibri" w:eastAsia="MS Mincho" w:hAnsi="Calibri"/>
          <w:lang w:val="sq-AL"/>
        </w:rPr>
        <w:lastRenderedPageBreak/>
        <w:t>Në programin</w:t>
      </w:r>
      <w:r w:rsidRPr="004E355C">
        <w:rPr>
          <w:rFonts w:ascii="Calibri" w:eastAsia="MS Mincho" w:hAnsi="Calibri"/>
          <w:b/>
          <w:lang w:val="sq-AL"/>
        </w:rPr>
        <w:t xml:space="preserve"> “Trashëgimia Kulturore</w:t>
      </w:r>
      <w:r w:rsidRPr="004E355C">
        <w:rPr>
          <w:rFonts w:ascii="Calibri" w:eastAsia="MS Mincho" w:hAnsi="Calibri"/>
          <w:lang w:val="sq-AL"/>
        </w:rPr>
        <w:t>” është realizuar promovimi, ruajtja, konservimi, restaurimi i objekteve dhe fondeve muzeore si dhe edukimi përmes trashëgimisë dhe aktiviteteve në funksion të saj. Këto objektiva gjatë  4/Mujorit të parë të vitit 2019 janë arritur nëpërmjet realizimit të produkteve si më poshtë:</w:t>
      </w:r>
    </w:p>
    <w:p w:rsidR="00527686" w:rsidRPr="004E355C" w:rsidRDefault="00527686" w:rsidP="00B95810">
      <w:pPr>
        <w:numPr>
          <w:ilvl w:val="0"/>
          <w:numId w:val="24"/>
        </w:numPr>
        <w:spacing w:line="276" w:lineRule="auto"/>
        <w:jc w:val="both"/>
        <w:rPr>
          <w:rFonts w:ascii="Calibri" w:eastAsia="MS Mincho" w:hAnsi="Calibri"/>
          <w:lang w:val="sq-AL"/>
        </w:rPr>
      </w:pPr>
      <w:r w:rsidRPr="004E355C">
        <w:rPr>
          <w:rFonts w:ascii="Calibri" w:eastAsia="MS Mincho" w:hAnsi="Calibri"/>
          <w:lang w:val="sq-AL"/>
        </w:rPr>
        <w:t>“Objekte monument kulture të ruajtura dhe të mbrojtura”, me një kosto faktike prej 79.2 milion lekë, ku:</w:t>
      </w:r>
    </w:p>
    <w:p w:rsidR="00527686" w:rsidRPr="004E355C" w:rsidRDefault="00527686" w:rsidP="00527686">
      <w:pPr>
        <w:spacing w:line="276" w:lineRule="auto"/>
        <w:ind w:left="720"/>
        <w:jc w:val="both"/>
        <w:rPr>
          <w:rFonts w:ascii="Calibri" w:eastAsia="MS Mincho" w:hAnsi="Calibri"/>
          <w:lang w:val="sq-AL"/>
        </w:rPr>
      </w:pPr>
      <w:r w:rsidRPr="004E355C">
        <w:rPr>
          <w:rFonts w:ascii="Calibri" w:eastAsia="MS Mincho" w:hAnsi="Calibri"/>
          <w:lang w:val="sq-AL"/>
        </w:rPr>
        <w:t xml:space="preserve">Janë kryer punime rutinë mirëmbajtje dhe pastrime në rreth 14 objekte monument kulture në Durrës në Muzeun Arkeologjik, Amfiteatrin e Durrësit, në kalanë e Krujës, të Ndroqit, të Elbasanit etj. Janë kryer ndërhyrje restauruese , mirëmbajtje pastrime në Berat në 11 objekte monument kulture, në Gjirokatër në 12 objekte, në Vlore në 16 objekte. Në Shkodër janë kryer punime mirëmbajtje në Kalanë e Shkodrës , Kalanë e Lezhës etj. Në Korçë janë kryer punime mirëmbajtje, restauruese në 13 objekte.  </w:t>
      </w:r>
    </w:p>
    <w:p w:rsidR="00527686" w:rsidRPr="004E355C" w:rsidRDefault="00527686" w:rsidP="00B95810">
      <w:pPr>
        <w:numPr>
          <w:ilvl w:val="0"/>
          <w:numId w:val="24"/>
        </w:numPr>
        <w:spacing w:line="276" w:lineRule="auto"/>
        <w:contextualSpacing/>
        <w:jc w:val="both"/>
        <w:rPr>
          <w:rFonts w:ascii="Calibri" w:eastAsia="MS Mincho" w:hAnsi="Calibri"/>
          <w:lang w:val="sq-AL"/>
        </w:rPr>
      </w:pPr>
      <w:r w:rsidRPr="004E355C">
        <w:rPr>
          <w:rFonts w:ascii="Calibri" w:eastAsia="MS Mincho" w:hAnsi="Calibri"/>
          <w:lang w:val="sq-AL"/>
        </w:rPr>
        <w:t xml:space="preserve">“Muze të mirëmbajtura dhe të vizitueshëm nga publiku ” me një kosto faktike prej 42.4 milion lekë, ku: </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Muzeu Kombëtar i Fotografisë “Marubi”, përveç performancës lidhur me vizitueshmërinë, ka realizuar dhe aktivitete të tjera me qëllim publikime të objekteve të trashëgimisë kulturore, si edhe në kuadër të Programit të Edukimit: janë organizuar aktivitete si “Vizato portretin”, “Bëj maskën tënde”, Ekspozita si; “Dinastia marubi, Njëqind vite të studios fotografike shqiptare”; Ekrani i Artit. </w:t>
      </w:r>
      <w:r w:rsidRPr="004E355C">
        <w:rPr>
          <w:rFonts w:ascii="Calibri" w:eastAsia="MS Mincho" w:hAnsi="Calibri"/>
          <w:lang w:val="sq-AL"/>
        </w:rPr>
        <w:tab/>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Muzeu Historik Kombëtar, gjatë këtij 4 mujori, ka realizuar një sërë veprimtarish me karakter promovues, edukues në të gjithë hapësirat muzeore dhe ato mbështetëse. Janë restauruar një sërë objektesh të trashëgimisë kulturore pjesë e fondit të muzeut, trajtim dhe mirëmbajtje objektesh në bashkëpunim me IMK etj. </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Muzeu kombëtar i Artit Mesjetar, Arsimit dhe Arkeologjik, Korçë, ka organizuar veprimtari qe janë lidhur me prritjen e vizitorëve dhe promovimin e vlerave të trashëgimisë që administrohen nga këta muze.   </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Qendra Kombëtare e Muzeumeve Berat ka kkryer një sërë veprimtarish me karakter promovues dhe njëkohësisht dhe mirëmbajtje të objekteve muzeore. </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Jmuzeu Kombëtar Pavarësia Vlorë gjatë 4 mujorit të parë ka kryer një sërë aktivitetesh në përkujtim të figurave të shquara dhe ngjarjeve të rëndësishme histotiko-kulturore.</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Muzeu Kombëtar “Gjethi” gjatë këtij 4 mujori është fokusuar në objektivat kryesore për promovimin e vlerave historiko-kulturore si dhe pritjen e vizitorëve si projektet” Kujtojmë për të mos harruar”, dhe “Mbresa” në bashkëpunim me shkollat e mesme të qytetit.</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 Realizimi i punimeve restauruese të parqeve të Butrintit dhe Apolonisë.</w:t>
      </w:r>
    </w:p>
    <w:p w:rsidR="000B73D2" w:rsidRPr="004E355C" w:rsidRDefault="000B73D2" w:rsidP="000B73D2">
      <w:pPr>
        <w:spacing w:line="276" w:lineRule="auto"/>
        <w:ind w:left="1440"/>
        <w:jc w:val="both"/>
        <w:rPr>
          <w:rFonts w:ascii="Calibri" w:eastAsia="MS Mincho" w:hAnsi="Calibri"/>
          <w:lang w:val="sq-AL"/>
        </w:rPr>
      </w:pPr>
    </w:p>
    <w:p w:rsidR="00527686" w:rsidRPr="004E355C" w:rsidRDefault="00527686" w:rsidP="00B95810">
      <w:pPr>
        <w:numPr>
          <w:ilvl w:val="0"/>
          <w:numId w:val="24"/>
        </w:numPr>
        <w:spacing w:line="276" w:lineRule="auto"/>
        <w:jc w:val="both"/>
        <w:rPr>
          <w:rFonts w:ascii="Calibri" w:eastAsia="MS Mincho" w:hAnsi="Calibri"/>
          <w:lang w:val="sq-AL"/>
        </w:rPr>
      </w:pPr>
      <w:r w:rsidRPr="004E355C">
        <w:rPr>
          <w:rFonts w:ascii="Calibri" w:eastAsia="MS Mincho" w:hAnsi="Calibri"/>
          <w:lang w:val="sq-AL"/>
        </w:rPr>
        <w:t>“Aktivitete, të fushës së trashëgimisë jomateriale”, me nje kosto faktike prej 8.4 milion lekë.</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Projektet me thirrje për vitin 2019 të trashëgimisë jo materiale janë 41 e janë të ndara per programin kombëtar “Edukimi përmes kulturës”, Dokumentimi i vlerave të trashëgimisë, projekte dedikuar artizanatit , festivale, panaire, aktivitete multikulturore, inovacione etj. </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lastRenderedPageBreak/>
        <w:t>Projekti “Dita e Verës 2019 Përmet –edicioni IV, u zhvillua më dt 16-17 mars 2019.</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Projekti “Dore për dore breza vallesh”, organizuar nga shoqata multifunksionale për kulturë, Edukim dhe Zhvillim, Gjirokastër  ku morën pjesë 68 artistë.</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Projekti “Peligrinazhi i bijve të Arbërisë në Trojet Shqiptare”, 26-28 Prill. U organizua Festivali i 15-të Mbarëkombëtar i Instrumentistëve të vegjël popullorë në qytetin e Fushë Arrëzit në datat 18, 19, 20 maj, zhvilluar nga Shoqata Eko-Turistike, Pukë.Morën pjesë 140 artistë të vegjël nga të gjithë trevat shqipfolëse.</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Projekti “Festivali Mbarëkombëtar i Instrumentistëve të Vegjël Popullorë” ku morën pjesë 100 artistë të vegjël nga Shqipëria Kosova, shqipatërt e Maqedonisë dhe Malit të Zi.</w:t>
      </w:r>
    </w:p>
    <w:p w:rsidR="00527686" w:rsidRPr="004E355C" w:rsidRDefault="00527686" w:rsidP="00B95810">
      <w:pPr>
        <w:numPr>
          <w:ilvl w:val="1"/>
          <w:numId w:val="26"/>
        </w:numPr>
        <w:spacing w:line="276" w:lineRule="auto"/>
        <w:jc w:val="both"/>
        <w:rPr>
          <w:rFonts w:ascii="Calibri" w:eastAsia="MS Mincho" w:hAnsi="Calibri"/>
          <w:lang w:val="sq-AL"/>
        </w:rPr>
      </w:pPr>
      <w:r w:rsidRPr="004E355C">
        <w:rPr>
          <w:rFonts w:ascii="Calibri" w:eastAsia="MS Mincho" w:hAnsi="Calibri"/>
          <w:lang w:val="sq-AL"/>
        </w:rPr>
        <w:t xml:space="preserve"> Projekti”Festivale Kcimi i Tropojës” u zhvillua në Bajram Curri. </w:t>
      </w:r>
    </w:p>
    <w:p w:rsidR="00527686" w:rsidRPr="004E355C" w:rsidRDefault="00527686" w:rsidP="00B95810">
      <w:pPr>
        <w:numPr>
          <w:ilvl w:val="0"/>
          <w:numId w:val="24"/>
        </w:numPr>
        <w:spacing w:line="276" w:lineRule="auto"/>
        <w:jc w:val="both"/>
        <w:rPr>
          <w:rFonts w:ascii="Calibri" w:eastAsia="MS Mincho" w:hAnsi="Calibri"/>
          <w:lang w:val="sq-AL"/>
        </w:rPr>
      </w:pPr>
      <w:r w:rsidRPr="004E355C">
        <w:rPr>
          <w:rFonts w:ascii="Calibri" w:eastAsia="MS Mincho" w:hAnsi="Calibri"/>
          <w:lang w:val="sq-AL"/>
        </w:rPr>
        <w:t>“Trashëgimia materiale e jomateriale e inventarizuar”, me një kosto faktike prej 3.1 milion lekë. Gjatë 4 mujorit të parë të vitit 2019 rezultojnë të regjistruara në Bazën e të dhënave shtetërore “Regjistri Kombëtar i Pasurive Kulturore gjithsej 21 096 objekte nga të cilat 20 748 objekte në pronësi shtetërore dhe 348 objekte në pronësi private.</w:t>
      </w:r>
    </w:p>
    <w:p w:rsidR="00527686" w:rsidRPr="004E355C" w:rsidRDefault="00527686" w:rsidP="00977916">
      <w:pPr>
        <w:spacing w:before="240" w:line="276" w:lineRule="auto"/>
        <w:jc w:val="both"/>
        <w:rPr>
          <w:rFonts w:ascii="Calibri" w:eastAsia="MS Mincho" w:hAnsi="Calibri"/>
          <w:lang w:val="sq-AL"/>
        </w:rPr>
      </w:pPr>
      <w:r w:rsidRPr="004E355C">
        <w:rPr>
          <w:rFonts w:ascii="Calibri" w:eastAsia="MS Mincho" w:hAnsi="Calibri"/>
          <w:lang w:val="sq-AL"/>
        </w:rPr>
        <w:t>Në programin</w:t>
      </w:r>
      <w:r w:rsidRPr="004E355C">
        <w:rPr>
          <w:rFonts w:ascii="Calibri" w:eastAsia="MS Mincho" w:hAnsi="Calibri"/>
          <w:b/>
          <w:lang w:val="sq-AL"/>
        </w:rPr>
        <w:t xml:space="preserve"> “Arti dhe Kultura”</w:t>
      </w:r>
      <w:r w:rsidRPr="004E355C">
        <w:rPr>
          <w:rFonts w:ascii="Calibri" w:eastAsia="MS Mincho" w:hAnsi="Calibri"/>
          <w:lang w:val="sq-AL"/>
        </w:rPr>
        <w:t xml:space="preserve"> janë realizuar projekte artistike kulturore të cilët kanë siguruar gjithëpërfshirje në jetën social kulturore, në veçanti ato projekte të cilat kanë në fokus krijimtarinë artistike, edukimin dhe zhvillimin e audiencave si dhe integrimin gjinor. Ky objektiv është arritur nëpërmjet realizimit të produkteve, si më poshtë:</w:t>
      </w:r>
    </w:p>
    <w:p w:rsidR="00527686" w:rsidRPr="004E355C" w:rsidRDefault="00527686" w:rsidP="00B95810">
      <w:pPr>
        <w:numPr>
          <w:ilvl w:val="0"/>
          <w:numId w:val="24"/>
        </w:numPr>
        <w:spacing w:line="276" w:lineRule="auto"/>
        <w:jc w:val="both"/>
        <w:rPr>
          <w:rFonts w:ascii="Calibri" w:eastAsia="MS Mincho" w:hAnsi="Calibri"/>
          <w:lang w:val="sq-AL"/>
        </w:rPr>
      </w:pPr>
      <w:r w:rsidRPr="004E355C">
        <w:rPr>
          <w:rFonts w:ascii="Calibri" w:eastAsia="MS Mincho" w:hAnsi="Calibri"/>
          <w:lang w:val="sq-AL"/>
        </w:rPr>
        <w:t>“Investime të reja në skenat bashkëkohore” përfshihen ndërtime e rikonstruksione në institucionet e artit dhe kulturës, ku përmendim “Rikonstruksionin e Teatrit të Operas dhe Baletit, që është në proces.</w:t>
      </w:r>
    </w:p>
    <w:p w:rsidR="00527686" w:rsidRPr="004E355C" w:rsidRDefault="00527686" w:rsidP="00B95810">
      <w:pPr>
        <w:numPr>
          <w:ilvl w:val="0"/>
          <w:numId w:val="24"/>
        </w:numPr>
        <w:spacing w:line="276" w:lineRule="auto"/>
        <w:jc w:val="both"/>
        <w:rPr>
          <w:rFonts w:ascii="Calibri" w:eastAsia="MS Mincho" w:hAnsi="Calibri"/>
          <w:lang w:val="sq-AL"/>
        </w:rPr>
      </w:pPr>
      <w:r w:rsidRPr="004E355C">
        <w:rPr>
          <w:rFonts w:ascii="Calibri" w:eastAsia="MS Mincho" w:hAnsi="Calibri"/>
          <w:lang w:val="sq-AL"/>
        </w:rPr>
        <w:t xml:space="preserve">Veprimtari të realizuara në institucionet e art-kulturës nga të cilat përmendim: </w:t>
      </w:r>
    </w:p>
    <w:p w:rsidR="00527686" w:rsidRPr="004E355C" w:rsidRDefault="00527686" w:rsidP="00B95810">
      <w:pPr>
        <w:numPr>
          <w:ilvl w:val="2"/>
          <w:numId w:val="26"/>
        </w:numPr>
        <w:spacing w:line="276" w:lineRule="auto"/>
        <w:ind w:left="1170"/>
        <w:contextualSpacing/>
        <w:jc w:val="both"/>
        <w:rPr>
          <w:rFonts w:ascii="Calibri" w:eastAsia="MS Mincho" w:hAnsi="Calibri"/>
          <w:lang w:val="sq-AL"/>
        </w:rPr>
      </w:pPr>
      <w:r w:rsidRPr="004E355C">
        <w:rPr>
          <w:rFonts w:ascii="Calibri" w:eastAsia="MS Mincho" w:hAnsi="Calibri"/>
          <w:lang w:val="sq-AL"/>
        </w:rPr>
        <w:t xml:space="preserve">‘Premiera dhe shfaqje artistike të zhanrit skenik operistik, koreografik dhe folklorik kombëtar”, 53 shfaqje me nje kosto faktike 88.8 milion lekë, </w:t>
      </w:r>
    </w:p>
    <w:p w:rsidR="00527686" w:rsidRPr="004E355C" w:rsidRDefault="00527686" w:rsidP="00B95810">
      <w:pPr>
        <w:numPr>
          <w:ilvl w:val="2"/>
          <w:numId w:val="26"/>
        </w:numPr>
        <w:spacing w:line="276" w:lineRule="auto"/>
        <w:ind w:left="1170"/>
        <w:contextualSpacing/>
        <w:jc w:val="both"/>
        <w:rPr>
          <w:rFonts w:ascii="Calibri" w:eastAsia="MS Mincho" w:hAnsi="Calibri"/>
          <w:lang w:val="sq-AL"/>
        </w:rPr>
      </w:pPr>
      <w:r w:rsidRPr="004E355C">
        <w:rPr>
          <w:rFonts w:ascii="Calibri" w:eastAsia="MS Mincho" w:hAnsi="Calibri"/>
          <w:lang w:val="sq-AL"/>
        </w:rPr>
        <w:t>“Premiera dhe shfaqjie artistike  të zhanrit skenik teatror klasik dhe bashkekohor” , 75 shfaqje me nje kosto faktike 30 milion lekë.</w:t>
      </w:r>
    </w:p>
    <w:p w:rsidR="00527686" w:rsidRPr="004E355C" w:rsidRDefault="00527686" w:rsidP="00B95810">
      <w:pPr>
        <w:numPr>
          <w:ilvl w:val="2"/>
          <w:numId w:val="26"/>
        </w:numPr>
        <w:spacing w:line="276" w:lineRule="auto"/>
        <w:ind w:left="1170"/>
        <w:contextualSpacing/>
        <w:jc w:val="both"/>
        <w:rPr>
          <w:rFonts w:ascii="Calibri" w:eastAsia="MS Mincho" w:hAnsi="Calibri"/>
          <w:lang w:val="sq-AL"/>
        </w:rPr>
      </w:pPr>
      <w:r w:rsidRPr="004E355C">
        <w:rPr>
          <w:rFonts w:ascii="Calibri" w:eastAsia="MS Mincho" w:hAnsi="Calibri"/>
          <w:lang w:val="sq-AL"/>
        </w:rPr>
        <w:t>“Premiera dhe shfaqje artistike të zhanrit skenik teatror eksperimental klasik dhe bashkekohor “, 41 shfaqje me një kosto faktike 11.1 milion leke</w:t>
      </w:r>
    </w:p>
    <w:p w:rsidR="00527686" w:rsidRPr="004E355C" w:rsidRDefault="00527686" w:rsidP="00B95810">
      <w:pPr>
        <w:numPr>
          <w:ilvl w:val="2"/>
          <w:numId w:val="26"/>
        </w:numPr>
        <w:spacing w:line="276" w:lineRule="auto"/>
        <w:ind w:left="1170"/>
        <w:contextualSpacing/>
        <w:jc w:val="both"/>
        <w:rPr>
          <w:rFonts w:ascii="Calibri" w:eastAsia="MS Mincho" w:hAnsi="Calibri"/>
          <w:lang w:val="sq-AL"/>
        </w:rPr>
      </w:pPr>
      <w:r w:rsidRPr="004E355C">
        <w:rPr>
          <w:rFonts w:ascii="Calibri" w:eastAsia="MS Mincho" w:hAnsi="Calibri"/>
          <w:lang w:val="sq-AL"/>
        </w:rPr>
        <w:t>“Projekte dhe programe në mbështetje të skenës së pavarur”, ku janë realizuar 10 aktivitete me një kosto faktike 21 milion lekë.</w:t>
      </w:r>
    </w:p>
    <w:p w:rsidR="00527686" w:rsidRPr="004E355C" w:rsidRDefault="00527686" w:rsidP="00B95810">
      <w:pPr>
        <w:numPr>
          <w:ilvl w:val="2"/>
          <w:numId w:val="26"/>
        </w:numPr>
        <w:spacing w:line="276" w:lineRule="auto"/>
        <w:ind w:left="1170"/>
        <w:contextualSpacing/>
        <w:jc w:val="both"/>
        <w:rPr>
          <w:rFonts w:ascii="Calibri" w:eastAsia="MS Mincho" w:hAnsi="Calibri"/>
          <w:lang w:val="sq-AL"/>
        </w:rPr>
      </w:pPr>
      <w:r w:rsidRPr="004E355C">
        <w:rPr>
          <w:rFonts w:ascii="Calibri" w:eastAsia="MS Mincho" w:hAnsi="Calibri"/>
          <w:lang w:val="sq-AL"/>
        </w:rPr>
        <w:t xml:space="preserve">“projekte dhe programe në mbështetje të skenës së pavarur”, e cila përfshin 15 aktivitete me nje kosto faktike 32 milion lekë. </w:t>
      </w:r>
    </w:p>
    <w:p w:rsidR="00527686" w:rsidRPr="004E355C" w:rsidRDefault="00527686" w:rsidP="00527686">
      <w:pPr>
        <w:spacing w:line="276" w:lineRule="auto"/>
        <w:ind w:left="780"/>
        <w:jc w:val="both"/>
        <w:rPr>
          <w:rFonts w:ascii="Calibri" w:eastAsia="MS Mincho" w:hAnsi="Calibri"/>
          <w:lang w:val="sq-AL"/>
        </w:rPr>
      </w:pPr>
    </w:p>
    <w:p w:rsidR="00527686" w:rsidRPr="004E355C" w:rsidRDefault="00527686" w:rsidP="00527686">
      <w:pPr>
        <w:spacing w:line="276" w:lineRule="auto"/>
        <w:ind w:left="540"/>
        <w:jc w:val="both"/>
        <w:rPr>
          <w:rFonts w:ascii="Calibri" w:eastAsia="MS Mincho" w:hAnsi="Calibri"/>
          <w:lang w:val="sq-AL"/>
        </w:rPr>
      </w:pPr>
    </w:p>
    <w:p w:rsidR="005A1363" w:rsidRPr="004E355C" w:rsidRDefault="005A1363" w:rsidP="00527686">
      <w:pPr>
        <w:spacing w:line="276" w:lineRule="auto"/>
        <w:ind w:left="540"/>
        <w:jc w:val="both"/>
        <w:rPr>
          <w:rFonts w:ascii="Calibri" w:eastAsia="MS Mincho" w:hAnsi="Calibri"/>
          <w:lang w:val="sq-AL"/>
        </w:rPr>
      </w:pPr>
    </w:p>
    <w:p w:rsidR="005A1363" w:rsidRPr="004E355C" w:rsidRDefault="005A1363" w:rsidP="00527686">
      <w:pPr>
        <w:spacing w:line="276" w:lineRule="auto"/>
        <w:ind w:left="540"/>
        <w:jc w:val="both"/>
        <w:rPr>
          <w:rFonts w:ascii="Calibri" w:eastAsia="MS Mincho" w:hAnsi="Calibri"/>
          <w:lang w:val="sq-AL"/>
        </w:rPr>
      </w:pPr>
    </w:p>
    <w:p w:rsidR="005A1363" w:rsidRPr="004E355C" w:rsidRDefault="005A1363" w:rsidP="00527686">
      <w:pPr>
        <w:spacing w:line="276" w:lineRule="auto"/>
        <w:ind w:left="540"/>
        <w:jc w:val="both"/>
        <w:rPr>
          <w:rFonts w:ascii="Calibri" w:eastAsia="MS Mincho" w:hAnsi="Calibri"/>
          <w:lang w:val="sq-AL"/>
        </w:rPr>
      </w:pPr>
    </w:p>
    <w:p w:rsidR="005A1363" w:rsidRPr="004E355C" w:rsidRDefault="005A1363" w:rsidP="00527686">
      <w:pPr>
        <w:spacing w:line="276" w:lineRule="auto"/>
        <w:ind w:left="540"/>
        <w:jc w:val="both"/>
        <w:rPr>
          <w:rFonts w:ascii="Calibri" w:eastAsia="MS Mincho" w:hAnsi="Calibri"/>
          <w:lang w:val="sq-AL"/>
        </w:rPr>
      </w:pPr>
    </w:p>
    <w:p w:rsidR="005A1363" w:rsidRPr="004E355C" w:rsidRDefault="005A1363" w:rsidP="00527686">
      <w:pPr>
        <w:spacing w:line="276" w:lineRule="auto"/>
        <w:ind w:left="540"/>
        <w:jc w:val="both"/>
        <w:rPr>
          <w:rFonts w:ascii="Calibri" w:eastAsia="MS Mincho" w:hAnsi="Calibri"/>
          <w:lang w:val="sq-AL"/>
        </w:rPr>
      </w:pPr>
    </w:p>
    <w:p w:rsidR="00527686" w:rsidRPr="004E355C" w:rsidRDefault="00527686" w:rsidP="00527686">
      <w:pPr>
        <w:spacing w:line="276" w:lineRule="auto"/>
        <w:jc w:val="both"/>
        <w:rPr>
          <w:rFonts w:ascii="Calibri" w:hAnsi="Calibri"/>
          <w:b/>
          <w:i/>
          <w:color w:val="0070C0"/>
          <w:sz w:val="26"/>
          <w:szCs w:val="26"/>
          <w:u w:val="single"/>
          <w:lang w:val="sq-AL"/>
        </w:rPr>
      </w:pPr>
    </w:p>
    <w:p w:rsidR="00527686" w:rsidRPr="004E355C" w:rsidRDefault="00527686" w:rsidP="00527686">
      <w:pPr>
        <w:spacing w:line="276" w:lineRule="auto"/>
        <w:jc w:val="both"/>
        <w:rPr>
          <w:rFonts w:ascii="Calibri" w:eastAsia="MS Mincho" w:hAnsi="Calibri"/>
          <w:b/>
          <w:i/>
          <w:color w:val="0070C0"/>
          <w:sz w:val="26"/>
          <w:szCs w:val="26"/>
          <w:u w:val="single"/>
          <w:lang w:val="sq-AL"/>
        </w:rPr>
      </w:pPr>
    </w:p>
    <w:p w:rsidR="00527686" w:rsidRPr="004E355C" w:rsidRDefault="002107E2" w:rsidP="002107E2">
      <w:pPr>
        <w:spacing w:before="120" w:after="120" w:line="276" w:lineRule="auto"/>
        <w:jc w:val="both"/>
        <w:rPr>
          <w:rFonts w:asciiTheme="minorHAnsi" w:hAnsiTheme="minorHAnsi"/>
          <w:b/>
          <w:noProof/>
          <w:color w:val="0070C0"/>
          <w:lang w:val="sq-AL"/>
        </w:rPr>
      </w:pPr>
      <w:bookmarkStart w:id="159" w:name="_Toc10033300"/>
      <w:bookmarkStart w:id="160" w:name="_Toc10721436"/>
      <w:bookmarkStart w:id="161" w:name="_Toc11134236"/>
      <w:r w:rsidRPr="004E355C">
        <w:rPr>
          <w:rFonts w:asciiTheme="minorHAnsi" w:hAnsiTheme="minorHAnsi"/>
          <w:b/>
          <w:noProof/>
          <w:color w:val="0070C0"/>
          <w:lang w:val="sq-AL"/>
        </w:rPr>
        <w:lastRenderedPageBreak/>
        <w:t>POLITIKA E JASHTME</w:t>
      </w:r>
      <w:bookmarkEnd w:id="159"/>
      <w:bookmarkEnd w:id="160"/>
      <w:bookmarkEnd w:id="161"/>
    </w:p>
    <w:p w:rsidR="00527686" w:rsidRPr="004E355C" w:rsidRDefault="00527686" w:rsidP="00527686">
      <w:pPr>
        <w:spacing w:line="276" w:lineRule="auto"/>
        <w:jc w:val="both"/>
        <w:rPr>
          <w:rFonts w:ascii="Calibri" w:eastAsia="MS Mincho" w:hAnsi="Calibri"/>
          <w:color w:val="000000"/>
          <w:sz w:val="12"/>
          <w:szCs w:val="12"/>
          <w:lang w:val="sq-AL"/>
        </w:rPr>
      </w:pPr>
    </w:p>
    <w:p w:rsidR="00527686" w:rsidRPr="004E355C" w:rsidRDefault="00527686" w:rsidP="00527686">
      <w:pPr>
        <w:spacing w:line="276" w:lineRule="auto"/>
        <w:jc w:val="both"/>
        <w:rPr>
          <w:rFonts w:ascii="Calibri" w:hAnsi="Calibri"/>
          <w:b/>
          <w:i/>
          <w:color w:val="0070C0"/>
          <w:sz w:val="28"/>
          <w:szCs w:val="26"/>
          <w:u w:val="single"/>
          <w:lang w:val="sq-AL"/>
        </w:rPr>
      </w:pPr>
      <w:r w:rsidRPr="004E355C">
        <w:rPr>
          <w:rFonts w:ascii="Calibri" w:eastAsia="MS Mincho" w:hAnsi="Calibri"/>
          <w:lang w:val="sq-AL"/>
        </w:rPr>
        <w:t>Ministria për Evropën dhe Punët e Jashtme është institucioni përgjegjës për hartimin dhe zbatimin e politikave të jashtme të Republikës së Shqipërisë, drejtimi teknik dhe bashkërendimi i procesit të integrimit Republikës së Shqipërisë në Bashkimin Evropian, zhvillimi dhe fuqizimi i diplomacisë ekonomike si dhe bashkërendimi i ndihmave financiare nga Bashkimi Evropian.</w:t>
      </w:r>
    </w:p>
    <w:p w:rsidR="00527686" w:rsidRPr="004E355C" w:rsidRDefault="00527686" w:rsidP="00527686">
      <w:pPr>
        <w:spacing w:line="276" w:lineRule="auto"/>
        <w:jc w:val="both"/>
        <w:rPr>
          <w:rFonts w:ascii="Calibri" w:hAnsi="Calibri"/>
          <w:color w:val="000000"/>
          <w:lang w:val="sq-AL"/>
        </w:rPr>
      </w:pPr>
      <w:r w:rsidRPr="004E355C">
        <w:rPr>
          <w:rFonts w:ascii="Calibri" w:hAnsi="Calibri"/>
          <w:color w:val="000000"/>
          <w:lang w:val="sq-AL"/>
        </w:rPr>
        <w:t>Performanca e treguesve buxhetorë për katër programet në Ministrinë për Evropën dhe Punët e Jashtme paraqitet si më poshtë:</w:t>
      </w:r>
    </w:p>
    <w:p w:rsidR="00527686" w:rsidRPr="004E355C" w:rsidRDefault="00527686" w:rsidP="00527686">
      <w:pPr>
        <w:spacing w:line="276" w:lineRule="auto"/>
        <w:ind w:left="2880" w:firstLine="720"/>
        <w:jc w:val="center"/>
        <w:rPr>
          <w:rFonts w:ascii="Calibri" w:hAnsi="Calibri"/>
          <w:i/>
          <w:color w:val="000000"/>
          <w:u w:val="single"/>
          <w:lang w:val="sq-AL"/>
        </w:rPr>
      </w:pPr>
      <w:r w:rsidRPr="004E355C">
        <w:rPr>
          <w:rFonts w:ascii="Calibri" w:hAnsi="Calibri"/>
          <w:i/>
          <w:color w:val="000000"/>
          <w:lang w:val="sq-AL"/>
        </w:rPr>
        <w:t xml:space="preserve">                                           </w:t>
      </w:r>
      <w:r w:rsidRPr="004E355C">
        <w:rPr>
          <w:rFonts w:ascii="Calibri" w:hAnsi="Calibri"/>
          <w:i/>
          <w:color w:val="000000"/>
          <w:u w:val="single"/>
          <w:lang w:val="sq-AL"/>
        </w:rPr>
        <w:t>Në mijë lekë</w:t>
      </w:r>
    </w:p>
    <w:tbl>
      <w:tblPr>
        <w:tblStyle w:val="ListTable3-Accent52"/>
        <w:tblW w:w="9702" w:type="dxa"/>
        <w:jc w:val="center"/>
        <w:tblLook w:val="0000" w:firstRow="0" w:lastRow="0" w:firstColumn="0" w:lastColumn="0" w:noHBand="0" w:noVBand="0"/>
      </w:tblPr>
      <w:tblGrid>
        <w:gridCol w:w="493"/>
        <w:gridCol w:w="2600"/>
        <w:gridCol w:w="1243"/>
        <w:gridCol w:w="1268"/>
        <w:gridCol w:w="1106"/>
        <w:gridCol w:w="1109"/>
        <w:gridCol w:w="919"/>
        <w:gridCol w:w="964"/>
      </w:tblGrid>
      <w:tr w:rsidR="00527686" w:rsidRPr="004E355C" w:rsidTr="002107E2">
        <w:trPr>
          <w:cnfStyle w:val="000000100000" w:firstRow="0" w:lastRow="0" w:firstColumn="0" w:lastColumn="0" w:oddVBand="0" w:evenVBand="0" w:oddHBand="1" w:evenHBand="0" w:firstRowFirstColumn="0" w:firstRowLastColumn="0" w:lastRowFirstColumn="0" w:lastRowLastColumn="0"/>
          <w:trHeight w:val="164"/>
          <w:jc w:val="center"/>
        </w:trPr>
        <w:tc>
          <w:tcPr>
            <w:cnfStyle w:val="000010000000" w:firstRow="0" w:lastRow="0" w:firstColumn="0" w:lastColumn="0" w:oddVBand="1" w:evenVBand="0" w:oddHBand="0" w:evenHBand="0" w:firstRowFirstColumn="0" w:firstRowLastColumn="0" w:lastRowFirstColumn="0" w:lastRowLastColumn="0"/>
            <w:tcW w:w="493" w:type="dxa"/>
            <w:vMerge w:val="restart"/>
            <w:shd w:val="clear" w:color="auto" w:fill="B6DDE8" w:themeFill="accent5" w:themeFillTint="66"/>
          </w:tcPr>
          <w:p w:rsidR="00527686" w:rsidRPr="004E355C" w:rsidRDefault="00527686" w:rsidP="00527686">
            <w:pPr>
              <w:spacing w:line="276" w:lineRule="auto"/>
              <w:jc w:val="both"/>
              <w:rPr>
                <w:rFonts w:ascii="Calibri" w:hAnsi="Calibri"/>
                <w:b/>
                <w:bCs/>
                <w:sz w:val="18"/>
                <w:lang w:val="sq-AL"/>
              </w:rPr>
            </w:pPr>
          </w:p>
          <w:p w:rsidR="00527686" w:rsidRPr="004E355C" w:rsidRDefault="00527686" w:rsidP="00527686">
            <w:pPr>
              <w:spacing w:line="276" w:lineRule="auto"/>
              <w:jc w:val="both"/>
              <w:rPr>
                <w:rFonts w:ascii="Calibri" w:hAnsi="Calibri"/>
                <w:b/>
                <w:bCs/>
                <w:sz w:val="18"/>
                <w:lang w:val="sq-AL"/>
              </w:rPr>
            </w:pPr>
            <w:r w:rsidRPr="004E355C">
              <w:rPr>
                <w:rFonts w:ascii="Calibri" w:hAnsi="Calibri"/>
                <w:b/>
                <w:bCs/>
                <w:sz w:val="18"/>
                <w:lang w:val="sq-AL"/>
              </w:rPr>
              <w:t>NR</w:t>
            </w:r>
          </w:p>
        </w:tc>
        <w:tc>
          <w:tcPr>
            <w:tcW w:w="2600" w:type="dxa"/>
            <w:vMerge w:val="restart"/>
            <w:shd w:val="clear" w:color="auto" w:fill="B6DDE8" w:themeFill="accent5" w:themeFillTint="66"/>
          </w:tcPr>
          <w:p w:rsidR="002107E2" w:rsidRPr="004E355C" w:rsidRDefault="002107E2"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p>
          <w:p w:rsidR="00527686" w:rsidRPr="004E355C" w:rsidRDefault="00527686" w:rsidP="002107E2">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511" w:type="dxa"/>
            <w:gridSpan w:val="2"/>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Plani 2019</w:t>
            </w:r>
          </w:p>
        </w:tc>
        <w:tc>
          <w:tcPr>
            <w:tcW w:w="2215" w:type="dxa"/>
            <w:gridSpan w:val="2"/>
            <w:shd w:val="clear" w:color="auto" w:fill="B6DDE8" w:themeFill="accent5" w:themeFillTint="66"/>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Fakti 4 M 2019</w:t>
            </w:r>
          </w:p>
        </w:tc>
        <w:tc>
          <w:tcPr>
            <w:cnfStyle w:val="000010000000" w:firstRow="0" w:lastRow="0" w:firstColumn="0" w:lastColumn="0" w:oddVBand="1" w:evenVBand="0" w:oddHBand="0" w:evenHBand="0" w:firstRowFirstColumn="0" w:firstRowLastColumn="0" w:lastRowFirstColumn="0" w:lastRowLastColumn="0"/>
            <w:tcW w:w="1883" w:type="dxa"/>
            <w:gridSpan w:val="2"/>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Përqindja  e realizimit</w:t>
            </w:r>
          </w:p>
        </w:tc>
      </w:tr>
      <w:tr w:rsidR="00527686" w:rsidRPr="004E355C" w:rsidTr="002107E2">
        <w:trPr>
          <w:trHeight w:val="153"/>
          <w:jc w:val="center"/>
        </w:trPr>
        <w:tc>
          <w:tcPr>
            <w:cnfStyle w:val="000010000000" w:firstRow="0" w:lastRow="0" w:firstColumn="0" w:lastColumn="0" w:oddVBand="1" w:evenVBand="0" w:oddHBand="0" w:evenHBand="0" w:firstRowFirstColumn="0" w:firstRowLastColumn="0" w:lastRowFirstColumn="0" w:lastRowLastColumn="0"/>
            <w:tcW w:w="493" w:type="dxa"/>
            <w:vMerge/>
            <w:shd w:val="clear" w:color="auto" w:fill="B6DDE8" w:themeFill="accent5" w:themeFillTint="66"/>
          </w:tcPr>
          <w:p w:rsidR="00527686" w:rsidRPr="004E355C" w:rsidRDefault="00527686" w:rsidP="00527686">
            <w:pPr>
              <w:spacing w:line="276" w:lineRule="auto"/>
              <w:jc w:val="both"/>
              <w:rPr>
                <w:rFonts w:ascii="Calibri" w:hAnsi="Calibri"/>
                <w:color w:val="FF0000"/>
                <w:sz w:val="18"/>
                <w:lang w:val="sq-AL"/>
              </w:rPr>
            </w:pPr>
          </w:p>
        </w:tc>
        <w:tc>
          <w:tcPr>
            <w:tcW w:w="2600" w:type="dxa"/>
            <w:vMerge/>
            <w:shd w:val="clear" w:color="auto" w:fill="B6DDE8" w:themeFill="accent5" w:themeFillTint="66"/>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color w:val="FF0000"/>
                <w:sz w:val="18"/>
                <w:lang w:val="sq-AL"/>
              </w:rPr>
            </w:pPr>
          </w:p>
        </w:tc>
        <w:tc>
          <w:tcPr>
            <w:cnfStyle w:val="000010000000" w:firstRow="0" w:lastRow="0" w:firstColumn="0" w:lastColumn="0" w:oddVBand="1" w:evenVBand="0" w:oddHBand="0" w:evenHBand="0" w:firstRowFirstColumn="0" w:firstRowLastColumn="0" w:lastRowFirstColumn="0" w:lastRowLastColumn="0"/>
            <w:tcW w:w="1243" w:type="dxa"/>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Korrente</w:t>
            </w:r>
          </w:p>
        </w:tc>
        <w:tc>
          <w:tcPr>
            <w:tcW w:w="1268" w:type="dxa"/>
            <w:shd w:val="clear" w:color="auto" w:fill="B6DDE8" w:themeFill="accent5" w:themeFillTint="66"/>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1106" w:type="dxa"/>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Korrente</w:t>
            </w:r>
          </w:p>
        </w:tc>
        <w:tc>
          <w:tcPr>
            <w:tcW w:w="1109" w:type="dxa"/>
            <w:shd w:val="clear" w:color="auto" w:fill="B6DDE8" w:themeFill="accent5" w:themeFillTint="66"/>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919" w:type="dxa"/>
            <w:shd w:val="clear" w:color="auto" w:fill="B6DDE8" w:themeFill="accent5" w:themeFillTint="66"/>
          </w:tcPr>
          <w:p w:rsidR="00527686" w:rsidRPr="004E355C" w:rsidRDefault="00527686" w:rsidP="00527686">
            <w:pPr>
              <w:spacing w:line="276" w:lineRule="auto"/>
              <w:jc w:val="center"/>
              <w:rPr>
                <w:rFonts w:ascii="Calibri" w:hAnsi="Calibri"/>
                <w:b/>
                <w:bCs/>
                <w:sz w:val="18"/>
                <w:lang w:val="sq-AL"/>
              </w:rPr>
            </w:pPr>
            <w:r w:rsidRPr="004E355C">
              <w:rPr>
                <w:rFonts w:ascii="Calibri" w:hAnsi="Calibri"/>
                <w:b/>
                <w:bCs/>
                <w:sz w:val="18"/>
                <w:lang w:val="sq-AL"/>
              </w:rPr>
              <w:t>Korrente</w:t>
            </w:r>
          </w:p>
        </w:tc>
        <w:tc>
          <w:tcPr>
            <w:tcW w:w="964" w:type="dxa"/>
            <w:shd w:val="clear" w:color="auto" w:fill="B6DDE8" w:themeFill="accent5" w:themeFillTint="66"/>
          </w:tcPr>
          <w:p w:rsidR="00527686" w:rsidRPr="004E355C" w:rsidRDefault="00527686" w:rsidP="00527686">
            <w:pPr>
              <w:spacing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b/>
                <w:bCs/>
                <w:sz w:val="18"/>
                <w:lang w:val="sq-AL"/>
              </w:rPr>
            </w:pPr>
            <w:r w:rsidRPr="004E355C">
              <w:rPr>
                <w:rFonts w:ascii="Calibri" w:hAnsi="Calibri"/>
                <w:b/>
                <w:bCs/>
                <w:sz w:val="18"/>
                <w:lang w:val="sq-AL"/>
              </w:rPr>
              <w:t>Investime</w:t>
            </w:r>
          </w:p>
        </w:tc>
      </w:tr>
      <w:tr w:rsidR="00527686" w:rsidRPr="004E355C" w:rsidTr="002107E2">
        <w:trPr>
          <w:cnfStyle w:val="000000100000" w:firstRow="0" w:lastRow="0" w:firstColumn="0" w:lastColumn="0" w:oddVBand="0" w:evenVBand="0" w:oddHBand="1" w:evenHBand="0" w:firstRowFirstColumn="0" w:firstRowLastColumn="0" w:lastRowFirstColumn="0" w:lastRowLastColumn="0"/>
          <w:trHeight w:val="409"/>
          <w:jc w:val="center"/>
        </w:trPr>
        <w:tc>
          <w:tcPr>
            <w:cnfStyle w:val="000010000000" w:firstRow="0" w:lastRow="0" w:firstColumn="0" w:lastColumn="0" w:oddVBand="1" w:evenVBand="0" w:oddHBand="0" w:evenHBand="0" w:firstRowFirstColumn="0" w:firstRowLastColumn="0" w:lastRowFirstColumn="0" w:lastRowLastColumn="0"/>
            <w:tcW w:w="493" w:type="dxa"/>
          </w:tcPr>
          <w:p w:rsidR="00527686" w:rsidRPr="004E355C" w:rsidRDefault="00527686" w:rsidP="00527686">
            <w:pPr>
              <w:spacing w:line="276" w:lineRule="auto"/>
              <w:jc w:val="both"/>
              <w:rPr>
                <w:rFonts w:ascii="Calibri" w:hAnsi="Calibri"/>
                <w:color w:val="FF0000"/>
                <w:sz w:val="18"/>
                <w:lang w:val="sq-AL"/>
              </w:rPr>
            </w:pPr>
            <w:r w:rsidRPr="004E355C">
              <w:rPr>
                <w:rFonts w:ascii="Calibri" w:hAnsi="Calibri"/>
                <w:sz w:val="18"/>
                <w:lang w:val="sq-AL"/>
              </w:rPr>
              <w:t>1.</w:t>
            </w:r>
          </w:p>
        </w:tc>
        <w:tc>
          <w:tcPr>
            <w:tcW w:w="26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243"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128,000</w:t>
            </w:r>
          </w:p>
        </w:tc>
        <w:tc>
          <w:tcPr>
            <w:tcW w:w="1268"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87,000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53,898</w:t>
            </w:r>
          </w:p>
        </w:tc>
        <w:tc>
          <w:tcPr>
            <w:tcW w:w="110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4,403</w:t>
            </w:r>
          </w:p>
        </w:tc>
        <w:tc>
          <w:tcPr>
            <w:cnfStyle w:val="000010000000" w:firstRow="0" w:lastRow="0" w:firstColumn="0" w:lastColumn="0" w:oddVBand="1" w:evenVBand="0" w:oddHBand="0" w:evenHBand="0" w:firstRowFirstColumn="0" w:firstRowLastColumn="0" w:lastRowFirstColumn="0" w:lastRowLastColumn="0"/>
            <w:tcW w:w="919"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42.1</w:t>
            </w:r>
          </w:p>
        </w:tc>
        <w:tc>
          <w:tcPr>
            <w:tcW w:w="964"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5.1</w:t>
            </w:r>
          </w:p>
        </w:tc>
      </w:tr>
      <w:tr w:rsidR="00527686" w:rsidRPr="004E355C" w:rsidTr="002107E2">
        <w:trPr>
          <w:trHeight w:val="289"/>
          <w:jc w:val="center"/>
        </w:trPr>
        <w:tc>
          <w:tcPr>
            <w:cnfStyle w:val="000010000000" w:firstRow="0" w:lastRow="0" w:firstColumn="0" w:lastColumn="0" w:oddVBand="1" w:evenVBand="0" w:oddHBand="0" w:evenHBand="0" w:firstRowFirstColumn="0" w:firstRowLastColumn="0" w:lastRowFirstColumn="0" w:lastRowLastColumn="0"/>
            <w:tcW w:w="493" w:type="dxa"/>
          </w:tcPr>
          <w:p w:rsidR="00527686" w:rsidRPr="004E355C" w:rsidRDefault="00527686" w:rsidP="00527686">
            <w:pPr>
              <w:spacing w:line="276" w:lineRule="auto"/>
              <w:jc w:val="both"/>
              <w:rPr>
                <w:rFonts w:ascii="Calibri" w:hAnsi="Calibri"/>
                <w:color w:val="FF0000"/>
                <w:sz w:val="18"/>
                <w:lang w:val="sq-AL"/>
              </w:rPr>
            </w:pPr>
            <w:r w:rsidRPr="004E355C">
              <w:rPr>
                <w:rFonts w:ascii="Calibri" w:hAnsi="Calibri"/>
                <w:sz w:val="18"/>
                <w:lang w:val="sq-AL"/>
              </w:rPr>
              <w:t>2.</w:t>
            </w:r>
          </w:p>
        </w:tc>
        <w:tc>
          <w:tcPr>
            <w:tcW w:w="2600" w:type="dxa"/>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Mbeshtetje diplomatike jashte shtetit</w:t>
            </w:r>
          </w:p>
        </w:tc>
        <w:tc>
          <w:tcPr>
            <w:cnfStyle w:val="000010000000" w:firstRow="0" w:lastRow="0" w:firstColumn="0" w:lastColumn="0" w:oddVBand="1" w:evenVBand="0" w:oddHBand="0" w:evenHBand="0" w:firstRowFirstColumn="0" w:firstRowLastColumn="0" w:lastRowFirstColumn="0" w:lastRowLastColumn="0"/>
            <w:tcW w:w="1243"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2,331,000</w:t>
            </w:r>
          </w:p>
        </w:tc>
        <w:tc>
          <w:tcPr>
            <w:tcW w:w="1268"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85,000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583,069</w:t>
            </w:r>
          </w:p>
        </w:tc>
        <w:tc>
          <w:tcPr>
            <w:tcW w:w="1109" w:type="dxa"/>
          </w:tcPr>
          <w:p w:rsidR="00527686" w:rsidRPr="004E355C" w:rsidRDefault="00527686" w:rsidP="00527686">
            <w:pPr>
              <w:spacing w:line="276" w:lineRule="auto"/>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 </w:t>
            </w:r>
          </w:p>
        </w:tc>
        <w:tc>
          <w:tcPr>
            <w:cnfStyle w:val="000010000000" w:firstRow="0" w:lastRow="0" w:firstColumn="0" w:lastColumn="0" w:oddVBand="1" w:evenVBand="0" w:oddHBand="0" w:evenHBand="0" w:firstRowFirstColumn="0" w:firstRowLastColumn="0" w:lastRowFirstColumn="0" w:lastRowLastColumn="0"/>
            <w:tcW w:w="919"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25.0</w:t>
            </w:r>
          </w:p>
        </w:tc>
        <w:tc>
          <w:tcPr>
            <w:tcW w:w="964"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0.0</w:t>
            </w:r>
          </w:p>
        </w:tc>
      </w:tr>
      <w:tr w:rsidR="00527686" w:rsidRPr="004E355C" w:rsidTr="002107E2">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493" w:type="dxa"/>
          </w:tcPr>
          <w:p w:rsidR="00527686" w:rsidRPr="004E355C" w:rsidRDefault="00527686" w:rsidP="00527686">
            <w:pPr>
              <w:spacing w:line="276" w:lineRule="auto"/>
              <w:jc w:val="both"/>
              <w:rPr>
                <w:rFonts w:ascii="Calibri" w:hAnsi="Calibri"/>
                <w:color w:val="FF0000"/>
                <w:sz w:val="18"/>
                <w:lang w:val="sq-AL"/>
              </w:rPr>
            </w:pPr>
            <w:r w:rsidRPr="004E355C">
              <w:rPr>
                <w:rFonts w:ascii="Calibri" w:hAnsi="Calibri"/>
                <w:sz w:val="18"/>
                <w:lang w:val="sq-AL"/>
              </w:rPr>
              <w:t>3.</w:t>
            </w:r>
          </w:p>
        </w:tc>
        <w:tc>
          <w:tcPr>
            <w:tcW w:w="2600" w:type="dxa"/>
          </w:tcPr>
          <w:p w:rsidR="00527686" w:rsidRPr="004E355C" w:rsidRDefault="00527686" w:rsidP="00527686">
            <w:pPr>
              <w:spacing w:line="276" w:lineRule="auto"/>
              <w:jc w:val="both"/>
              <w:cnfStyle w:val="000000100000" w:firstRow="0" w:lastRow="0" w:firstColumn="0" w:lastColumn="0" w:oddVBand="0" w:evenVBand="0" w:oddHBand="1" w:evenHBand="0" w:firstRowFirstColumn="0" w:firstRowLastColumn="0" w:lastRowFirstColumn="0" w:lastRowLastColumn="0"/>
              <w:rPr>
                <w:rFonts w:ascii="Calibri" w:hAnsi="Calibri"/>
                <w:sz w:val="18"/>
                <w:lang w:val="sq-AL"/>
              </w:rPr>
            </w:pPr>
            <w:r w:rsidRPr="004E355C">
              <w:rPr>
                <w:rFonts w:ascii="Calibri" w:hAnsi="Calibri"/>
                <w:sz w:val="18"/>
                <w:lang w:val="sq-AL"/>
              </w:rPr>
              <w:t>Aktiviteti diplomatik dhe konsullor i MPJ</w:t>
            </w:r>
          </w:p>
        </w:tc>
        <w:tc>
          <w:tcPr>
            <w:cnfStyle w:val="000010000000" w:firstRow="0" w:lastRow="0" w:firstColumn="0" w:lastColumn="0" w:oddVBand="1" w:evenVBand="0" w:oddHBand="0" w:evenHBand="0" w:firstRowFirstColumn="0" w:firstRowLastColumn="0" w:lastRowFirstColumn="0" w:lastRowLastColumn="0"/>
            <w:tcW w:w="1243"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207,500</w:t>
            </w:r>
          </w:p>
        </w:tc>
        <w:tc>
          <w:tcPr>
            <w:tcW w:w="1268"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50,869</w:t>
            </w:r>
          </w:p>
        </w:tc>
        <w:tc>
          <w:tcPr>
            <w:tcW w:w="1109"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 </w:t>
            </w:r>
          </w:p>
        </w:tc>
        <w:tc>
          <w:tcPr>
            <w:cnfStyle w:val="000010000000" w:firstRow="0" w:lastRow="0" w:firstColumn="0" w:lastColumn="0" w:oddVBand="1" w:evenVBand="0" w:oddHBand="0" w:evenHBand="0" w:firstRowFirstColumn="0" w:firstRowLastColumn="0" w:lastRowFirstColumn="0" w:lastRowLastColumn="0"/>
            <w:tcW w:w="919"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24.5</w:t>
            </w:r>
          </w:p>
        </w:tc>
        <w:tc>
          <w:tcPr>
            <w:tcW w:w="964" w:type="dxa"/>
          </w:tcPr>
          <w:p w:rsidR="00527686" w:rsidRPr="004E355C" w:rsidRDefault="00527686" w:rsidP="00527686">
            <w:pPr>
              <w:spacing w:line="276" w:lineRule="auto"/>
              <w:cnfStyle w:val="000000100000" w:firstRow="0" w:lastRow="0" w:firstColumn="0" w:lastColumn="0" w:oddVBand="0" w:evenVBand="0" w:oddHBand="1"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w:t>
            </w:r>
          </w:p>
        </w:tc>
      </w:tr>
      <w:tr w:rsidR="00527686" w:rsidRPr="004E355C" w:rsidTr="002107E2">
        <w:trPr>
          <w:trHeight w:val="289"/>
          <w:jc w:val="center"/>
        </w:trPr>
        <w:tc>
          <w:tcPr>
            <w:cnfStyle w:val="000010000000" w:firstRow="0" w:lastRow="0" w:firstColumn="0" w:lastColumn="0" w:oddVBand="1" w:evenVBand="0" w:oddHBand="0" w:evenHBand="0" w:firstRowFirstColumn="0" w:firstRowLastColumn="0" w:lastRowFirstColumn="0" w:lastRowLastColumn="0"/>
            <w:tcW w:w="493" w:type="dxa"/>
          </w:tcPr>
          <w:p w:rsidR="00527686" w:rsidRPr="004E355C" w:rsidRDefault="00527686" w:rsidP="00527686">
            <w:pPr>
              <w:spacing w:line="276" w:lineRule="auto"/>
              <w:jc w:val="both"/>
              <w:rPr>
                <w:rFonts w:ascii="Calibri" w:hAnsi="Calibri"/>
                <w:color w:val="FF0000"/>
                <w:sz w:val="18"/>
                <w:lang w:val="sq-AL"/>
              </w:rPr>
            </w:pPr>
            <w:r w:rsidRPr="004E355C">
              <w:rPr>
                <w:rFonts w:ascii="Calibri" w:hAnsi="Calibri"/>
                <w:sz w:val="18"/>
                <w:lang w:val="sq-AL"/>
              </w:rPr>
              <w:t>4.</w:t>
            </w:r>
          </w:p>
        </w:tc>
        <w:tc>
          <w:tcPr>
            <w:tcW w:w="2600" w:type="dxa"/>
          </w:tcPr>
          <w:p w:rsidR="00527686" w:rsidRPr="004E355C" w:rsidRDefault="00527686" w:rsidP="00527686">
            <w:pPr>
              <w:spacing w:line="276" w:lineRule="auto"/>
              <w:jc w:val="both"/>
              <w:cnfStyle w:val="000000000000" w:firstRow="0" w:lastRow="0" w:firstColumn="0" w:lastColumn="0" w:oddVBand="0" w:evenVBand="0" w:oddHBand="0" w:evenHBand="0" w:firstRowFirstColumn="0" w:firstRowLastColumn="0" w:lastRowFirstColumn="0" w:lastRowLastColumn="0"/>
              <w:rPr>
                <w:rFonts w:ascii="Calibri" w:hAnsi="Calibri"/>
                <w:sz w:val="18"/>
                <w:lang w:val="sq-AL"/>
              </w:rPr>
            </w:pPr>
            <w:r w:rsidRPr="004E355C">
              <w:rPr>
                <w:rFonts w:ascii="Calibri" w:hAnsi="Calibri"/>
                <w:sz w:val="18"/>
                <w:lang w:val="sq-AL"/>
              </w:rPr>
              <w:t>Mbeshtetje institucionale për procesin e Integrimit</w:t>
            </w:r>
          </w:p>
        </w:tc>
        <w:tc>
          <w:tcPr>
            <w:cnfStyle w:val="000010000000" w:firstRow="0" w:lastRow="0" w:firstColumn="0" w:lastColumn="0" w:oddVBand="1" w:evenVBand="0" w:oddHBand="0" w:evenHBand="0" w:firstRowFirstColumn="0" w:firstRowLastColumn="0" w:lastRowFirstColumn="0" w:lastRowLastColumn="0"/>
            <w:tcW w:w="1243"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91,000</w:t>
            </w:r>
          </w:p>
        </w:tc>
        <w:tc>
          <w:tcPr>
            <w:tcW w:w="1268"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251,000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27,741</w:t>
            </w:r>
          </w:p>
        </w:tc>
        <w:tc>
          <w:tcPr>
            <w:tcW w:w="1109"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91,177</w:t>
            </w:r>
          </w:p>
        </w:tc>
        <w:tc>
          <w:tcPr>
            <w:cnfStyle w:val="000010000000" w:firstRow="0" w:lastRow="0" w:firstColumn="0" w:lastColumn="0" w:oddVBand="1" w:evenVBand="0" w:oddHBand="0" w:evenHBand="0" w:firstRowFirstColumn="0" w:firstRowLastColumn="0" w:lastRowFirstColumn="0" w:lastRowLastColumn="0"/>
            <w:tcW w:w="919" w:type="dxa"/>
          </w:tcPr>
          <w:p w:rsidR="00527686" w:rsidRPr="004E355C" w:rsidRDefault="00527686" w:rsidP="00527686">
            <w:pPr>
              <w:spacing w:line="276" w:lineRule="auto"/>
              <w:jc w:val="right"/>
              <w:rPr>
                <w:rFonts w:ascii="Calibri" w:eastAsia="Cambria" w:hAnsi="Calibri" w:cs="Arial"/>
                <w:sz w:val="20"/>
                <w:szCs w:val="20"/>
              </w:rPr>
            </w:pPr>
            <w:r w:rsidRPr="004E355C">
              <w:rPr>
                <w:rFonts w:ascii="Calibri" w:eastAsia="Cambria" w:hAnsi="Calibri" w:cs="Arial"/>
                <w:sz w:val="20"/>
                <w:szCs w:val="20"/>
              </w:rPr>
              <w:t>30.5</w:t>
            </w:r>
          </w:p>
        </w:tc>
        <w:tc>
          <w:tcPr>
            <w:tcW w:w="964" w:type="dxa"/>
          </w:tcPr>
          <w:p w:rsidR="00527686" w:rsidRPr="004E355C" w:rsidRDefault="00527686" w:rsidP="00527686">
            <w:pPr>
              <w:spacing w:line="276" w:lineRule="auto"/>
              <w:jc w:val="right"/>
              <w:cnfStyle w:val="000000000000" w:firstRow="0" w:lastRow="0" w:firstColumn="0" w:lastColumn="0" w:oddVBand="0" w:evenVBand="0" w:oddHBand="0" w:evenHBand="0" w:firstRowFirstColumn="0" w:firstRowLastColumn="0" w:lastRowFirstColumn="0" w:lastRowLastColumn="0"/>
              <w:rPr>
                <w:rFonts w:ascii="Calibri" w:eastAsia="Cambria" w:hAnsi="Calibri" w:cs="Arial"/>
                <w:sz w:val="20"/>
                <w:szCs w:val="20"/>
              </w:rPr>
            </w:pPr>
            <w:r w:rsidRPr="004E355C">
              <w:rPr>
                <w:rFonts w:ascii="Calibri" w:eastAsia="Cambria" w:hAnsi="Calibri" w:cs="Arial"/>
                <w:sz w:val="20"/>
                <w:szCs w:val="20"/>
              </w:rPr>
              <w:t>36.3</w:t>
            </w:r>
          </w:p>
        </w:tc>
      </w:tr>
      <w:tr w:rsidR="00527686" w:rsidRPr="004E355C" w:rsidTr="002107E2">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493" w:type="dxa"/>
          </w:tcPr>
          <w:p w:rsidR="00527686" w:rsidRPr="004E355C" w:rsidRDefault="00527686" w:rsidP="00527686">
            <w:pPr>
              <w:spacing w:line="276" w:lineRule="auto"/>
              <w:jc w:val="both"/>
              <w:rPr>
                <w:rFonts w:ascii="Calibri" w:hAnsi="Calibri"/>
                <w:b/>
                <w:color w:val="FF0000"/>
                <w:sz w:val="18"/>
                <w:lang w:val="sq-AL"/>
              </w:rPr>
            </w:pPr>
          </w:p>
        </w:tc>
        <w:tc>
          <w:tcPr>
            <w:tcW w:w="2600" w:type="dxa"/>
          </w:tcPr>
          <w:p w:rsidR="00527686" w:rsidRPr="004E355C" w:rsidRDefault="00527686" w:rsidP="00527686">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4E355C">
              <w:rPr>
                <w:rFonts w:ascii="Calibri" w:hAnsi="Calibri"/>
                <w:b/>
                <w:sz w:val="18"/>
                <w:lang w:val="sq-AL"/>
              </w:rPr>
              <w:t>TOTAL</w:t>
            </w:r>
          </w:p>
        </w:tc>
        <w:tc>
          <w:tcPr>
            <w:cnfStyle w:val="000010000000" w:firstRow="0" w:lastRow="0" w:firstColumn="0" w:lastColumn="0" w:oddVBand="1" w:evenVBand="0" w:oddHBand="0" w:evenHBand="0" w:firstRowFirstColumn="0" w:firstRowLastColumn="0" w:lastRowFirstColumn="0" w:lastRowLastColumn="0"/>
            <w:tcW w:w="1243"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2,757,500</w:t>
            </w:r>
          </w:p>
        </w:tc>
        <w:tc>
          <w:tcPr>
            <w:tcW w:w="1268"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423,000</w:t>
            </w:r>
          </w:p>
        </w:tc>
        <w:tc>
          <w:tcPr>
            <w:cnfStyle w:val="000010000000" w:firstRow="0" w:lastRow="0" w:firstColumn="0" w:lastColumn="0" w:oddVBand="1" w:evenVBand="0" w:oddHBand="0" w:evenHBand="0" w:firstRowFirstColumn="0" w:firstRowLastColumn="0" w:lastRowFirstColumn="0" w:lastRowLastColumn="0"/>
            <w:tcW w:w="1106"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715,577</w:t>
            </w:r>
          </w:p>
        </w:tc>
        <w:tc>
          <w:tcPr>
            <w:tcW w:w="1109"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95,580</w:t>
            </w:r>
          </w:p>
        </w:tc>
        <w:tc>
          <w:tcPr>
            <w:cnfStyle w:val="000010000000" w:firstRow="0" w:lastRow="0" w:firstColumn="0" w:lastColumn="0" w:oddVBand="1" w:evenVBand="0" w:oddHBand="0" w:evenHBand="0" w:firstRowFirstColumn="0" w:firstRowLastColumn="0" w:lastRowFirstColumn="0" w:lastRowLastColumn="0"/>
            <w:tcW w:w="919" w:type="dxa"/>
          </w:tcPr>
          <w:p w:rsidR="00527686" w:rsidRPr="004E355C" w:rsidRDefault="00527686" w:rsidP="00527686">
            <w:pPr>
              <w:spacing w:line="276" w:lineRule="auto"/>
              <w:jc w:val="right"/>
              <w:rPr>
                <w:rFonts w:ascii="Calibri" w:eastAsia="Cambria" w:hAnsi="Calibri" w:cs="Arial"/>
                <w:b/>
                <w:bCs/>
                <w:sz w:val="20"/>
                <w:szCs w:val="20"/>
              </w:rPr>
            </w:pPr>
            <w:r w:rsidRPr="004E355C">
              <w:rPr>
                <w:rFonts w:ascii="Calibri" w:eastAsia="Cambria" w:hAnsi="Calibri" w:cs="Arial"/>
                <w:b/>
                <w:bCs/>
                <w:sz w:val="20"/>
                <w:szCs w:val="20"/>
              </w:rPr>
              <w:t>26.0</w:t>
            </w:r>
          </w:p>
        </w:tc>
        <w:tc>
          <w:tcPr>
            <w:tcW w:w="964" w:type="dxa"/>
          </w:tcPr>
          <w:p w:rsidR="00527686" w:rsidRPr="004E355C" w:rsidRDefault="00527686" w:rsidP="00527686">
            <w:pPr>
              <w:spacing w:line="276" w:lineRule="auto"/>
              <w:jc w:val="right"/>
              <w:cnfStyle w:val="000000100000" w:firstRow="0" w:lastRow="0" w:firstColumn="0" w:lastColumn="0" w:oddVBand="0" w:evenVBand="0" w:oddHBand="1" w:evenHBand="0" w:firstRowFirstColumn="0" w:firstRowLastColumn="0" w:lastRowFirstColumn="0" w:lastRowLastColumn="0"/>
              <w:rPr>
                <w:rFonts w:ascii="Calibri" w:eastAsia="Cambria" w:hAnsi="Calibri" w:cs="Arial"/>
                <w:b/>
                <w:bCs/>
                <w:sz w:val="20"/>
                <w:szCs w:val="20"/>
              </w:rPr>
            </w:pPr>
            <w:r w:rsidRPr="004E355C">
              <w:rPr>
                <w:rFonts w:ascii="Calibri" w:eastAsia="Cambria" w:hAnsi="Calibri" w:cs="Arial"/>
                <w:b/>
                <w:bCs/>
                <w:sz w:val="20"/>
                <w:szCs w:val="20"/>
              </w:rPr>
              <w:t>22.6</w:t>
            </w:r>
          </w:p>
        </w:tc>
      </w:tr>
    </w:tbl>
    <w:p w:rsidR="00527686" w:rsidRPr="004E355C" w:rsidRDefault="00527686" w:rsidP="00527686">
      <w:pPr>
        <w:spacing w:before="240" w:line="276" w:lineRule="auto"/>
        <w:jc w:val="both"/>
        <w:rPr>
          <w:rFonts w:ascii="Calibri" w:hAnsi="Calibri"/>
          <w:noProof/>
          <w:lang w:val="sq-AL"/>
        </w:rPr>
      </w:pPr>
      <w:r w:rsidRPr="004E355C">
        <w:rPr>
          <w:rFonts w:ascii="Calibri" w:hAnsi="Calibri"/>
          <w:noProof/>
          <w:lang w:val="sq-AL"/>
        </w:rPr>
        <w:t>Programi “</w:t>
      </w:r>
      <w:r w:rsidRPr="004E355C">
        <w:rPr>
          <w:rFonts w:ascii="Calibri" w:hAnsi="Calibri"/>
          <w:b/>
          <w:noProof/>
          <w:lang w:val="sq-AL"/>
        </w:rPr>
        <w:t>Mbështetje diplomatike jashtë vendit</w:t>
      </w:r>
      <w:r w:rsidRPr="004E355C">
        <w:rPr>
          <w:rFonts w:ascii="Calibri" w:hAnsi="Calibri"/>
          <w:noProof/>
          <w:lang w:val="sq-AL"/>
        </w:rPr>
        <w:t xml:space="preserve">”, synon: </w:t>
      </w:r>
    </w:p>
    <w:p w:rsidR="00527686" w:rsidRPr="004E355C" w:rsidRDefault="00527686" w:rsidP="00B95810">
      <w:pPr>
        <w:numPr>
          <w:ilvl w:val="0"/>
          <w:numId w:val="23"/>
        </w:numPr>
        <w:spacing w:after="120" w:line="276" w:lineRule="auto"/>
        <w:contextualSpacing/>
        <w:jc w:val="both"/>
        <w:rPr>
          <w:rFonts w:ascii="Calibri" w:hAnsi="Calibri"/>
          <w:lang w:val="sq-AL"/>
        </w:rPr>
      </w:pPr>
      <w:r w:rsidRPr="004E355C">
        <w:rPr>
          <w:rFonts w:ascii="Calibri" w:hAnsi="Calibri"/>
          <w:lang w:val="sq-AL"/>
        </w:rPr>
        <w:t xml:space="preserve">Nxitjen dhe zhvillimin e marrëdhënieve të bashkëpunimit të gjithanshëm; </w:t>
      </w:r>
    </w:p>
    <w:p w:rsidR="00527686" w:rsidRPr="004E355C" w:rsidRDefault="00527686" w:rsidP="00B95810">
      <w:pPr>
        <w:numPr>
          <w:ilvl w:val="0"/>
          <w:numId w:val="23"/>
        </w:numPr>
        <w:spacing w:line="276" w:lineRule="auto"/>
        <w:contextualSpacing/>
        <w:jc w:val="both"/>
        <w:rPr>
          <w:rFonts w:ascii="Calibri" w:hAnsi="Calibri"/>
          <w:lang w:val="sq-AL"/>
        </w:rPr>
      </w:pPr>
      <w:r w:rsidRPr="004E355C">
        <w:rPr>
          <w:rFonts w:ascii="Calibri" w:hAnsi="Calibri"/>
          <w:lang w:val="sq-AL"/>
        </w:rPr>
        <w:t xml:space="preserve">Mbrojtjen dhe avancimin e interesave kombëtare e shtetërore dhe përkujdesin për interesat e qytetarëve shqiptarë në shtetet dhe organizatat ndërkombëtare ku ato janë akredituar. </w:t>
      </w:r>
    </w:p>
    <w:p w:rsidR="00527686" w:rsidRPr="004E355C" w:rsidRDefault="00527686" w:rsidP="00527686">
      <w:pPr>
        <w:spacing w:line="276" w:lineRule="auto"/>
        <w:jc w:val="both"/>
        <w:rPr>
          <w:rFonts w:ascii="Calibri" w:hAnsi="Calibri"/>
          <w:lang w:val="sq-AL"/>
        </w:rPr>
      </w:pPr>
      <w:r w:rsidRPr="004E355C">
        <w:rPr>
          <w:rFonts w:ascii="Calibri" w:hAnsi="Calibri"/>
          <w:lang w:val="sq-AL"/>
        </w:rPr>
        <w:t xml:space="preserve">Në këtë program janë realizuar disa produket me kosto faktike 583,069mijë lekë. Në këtë program ndër produktet kryesore përmendim: </w:t>
      </w:r>
    </w:p>
    <w:p w:rsidR="00527686" w:rsidRPr="004E355C" w:rsidRDefault="00527686" w:rsidP="00B95810">
      <w:pPr>
        <w:numPr>
          <w:ilvl w:val="0"/>
          <w:numId w:val="26"/>
        </w:numPr>
        <w:spacing w:line="276" w:lineRule="auto"/>
        <w:ind w:left="810"/>
        <w:jc w:val="both"/>
        <w:rPr>
          <w:rFonts w:ascii="Calibri" w:hAnsi="Calibri"/>
          <w:lang w:val="sq-AL"/>
        </w:rPr>
      </w:pPr>
      <w:r w:rsidRPr="004E355C">
        <w:rPr>
          <w:rFonts w:ascii="Calibri" w:hAnsi="Calibri"/>
          <w:lang w:val="sq-AL"/>
        </w:rPr>
        <w:t>“Mbështetja e përfaqësive diplomatike dhe konsullore me personel dhe kushte të përshtashme pune dhe jetese”, për 104 nga 356 punonjës të planifikuar.</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“Kuota ndërkombëtare” si dhe “Familjarë të diplomatëve të trajtuar sipas ligjit”, është kryer pagesa për 18 kuota nga 53 të planifikuara.</w:t>
      </w:r>
    </w:p>
    <w:p w:rsidR="00527686" w:rsidRPr="004E355C" w:rsidRDefault="00527686" w:rsidP="00527686">
      <w:pPr>
        <w:spacing w:before="240" w:line="276" w:lineRule="auto"/>
        <w:jc w:val="both"/>
        <w:rPr>
          <w:rFonts w:ascii="Calibri" w:hAnsi="Calibri"/>
          <w:noProof/>
          <w:lang w:val="sq-AL"/>
        </w:rPr>
      </w:pPr>
      <w:bookmarkStart w:id="162" w:name="_Toc515271231"/>
      <w:bookmarkEnd w:id="162"/>
      <w:r w:rsidRPr="004E355C">
        <w:rPr>
          <w:rFonts w:ascii="Calibri" w:hAnsi="Calibri"/>
          <w:noProof/>
          <w:lang w:val="sq-AL"/>
        </w:rPr>
        <w:t>Programi “</w:t>
      </w:r>
      <w:r w:rsidRPr="004E355C">
        <w:rPr>
          <w:rFonts w:ascii="Calibri" w:hAnsi="Calibri"/>
          <w:b/>
          <w:noProof/>
          <w:lang w:val="sq-AL"/>
        </w:rPr>
        <w:t>Aktiviteti diplomatik dhe konsullor</w:t>
      </w:r>
      <w:r w:rsidRPr="004E355C">
        <w:rPr>
          <w:rFonts w:ascii="Calibri" w:hAnsi="Calibri"/>
          <w:noProof/>
          <w:lang w:val="sq-AL"/>
        </w:rPr>
        <w:t xml:space="preserve">” ka për qëllim: </w:t>
      </w:r>
    </w:p>
    <w:p w:rsidR="00527686" w:rsidRPr="004E355C" w:rsidRDefault="00527686" w:rsidP="00B95810">
      <w:pPr>
        <w:numPr>
          <w:ilvl w:val="0"/>
          <w:numId w:val="23"/>
        </w:numPr>
        <w:spacing w:line="276" w:lineRule="auto"/>
        <w:contextualSpacing/>
        <w:jc w:val="both"/>
        <w:rPr>
          <w:rFonts w:ascii="Calibri" w:hAnsi="Calibri"/>
          <w:lang w:val="sq-AL"/>
        </w:rPr>
      </w:pPr>
      <w:r w:rsidRPr="004E355C">
        <w:rPr>
          <w:rFonts w:ascii="Calibri" w:hAnsi="Calibri"/>
          <w:lang w:val="sq-AL"/>
        </w:rPr>
        <w:t xml:space="preserve">Zgjerimin, intensifikimin, diversifikimin, thellimin dhe pasurimin e marrëdhënieve dypalëshe me vendet fqinje, partnerët strategjikë, në rajon, Europë, dhe vende të tjera të botës. </w:t>
      </w:r>
    </w:p>
    <w:p w:rsidR="00527686" w:rsidRPr="004E355C" w:rsidRDefault="00527686" w:rsidP="00527686">
      <w:pPr>
        <w:spacing w:line="276" w:lineRule="auto"/>
        <w:jc w:val="both"/>
        <w:rPr>
          <w:rFonts w:ascii="Calibri" w:hAnsi="Calibri"/>
          <w:sz w:val="16"/>
          <w:lang w:val="sq-AL"/>
        </w:rPr>
      </w:pPr>
    </w:p>
    <w:p w:rsidR="00527686" w:rsidRPr="004E355C" w:rsidRDefault="00527686" w:rsidP="00527686">
      <w:pPr>
        <w:spacing w:line="276" w:lineRule="auto"/>
        <w:jc w:val="both"/>
        <w:rPr>
          <w:rFonts w:ascii="Calibri" w:hAnsi="Calibri"/>
          <w:lang w:val="sq-AL"/>
        </w:rPr>
      </w:pPr>
      <w:r w:rsidRPr="004E355C">
        <w:rPr>
          <w:rFonts w:ascii="Calibri" w:hAnsi="Calibri"/>
          <w:lang w:val="sq-AL"/>
        </w:rPr>
        <w:t xml:space="preserve">Në këtë program janë realizuar disa produkte me kosto faktike 50,869 mijë lekë, ku përmendim: </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Janë hartuar 5 nga 24 akte ligjore dhe nenligjore të planifikuara.</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Janë zhvilluar takime dy dhe shumë palëshe, 56 nga 160 të planifikuara përgjatë gjithë vitit 2019.</w:t>
      </w:r>
    </w:p>
    <w:p w:rsidR="00527686" w:rsidRPr="004E355C" w:rsidRDefault="00527686" w:rsidP="00B95810">
      <w:pPr>
        <w:numPr>
          <w:ilvl w:val="0"/>
          <w:numId w:val="26"/>
        </w:numPr>
        <w:spacing w:line="276" w:lineRule="auto"/>
        <w:jc w:val="both"/>
        <w:rPr>
          <w:rFonts w:ascii="Calibri" w:hAnsi="Calibri"/>
          <w:lang w:val="sq-AL"/>
        </w:rPr>
      </w:pPr>
      <w:r w:rsidRPr="004E355C">
        <w:rPr>
          <w:rFonts w:ascii="Calibri" w:hAnsi="Calibri"/>
          <w:lang w:val="sq-AL"/>
        </w:rPr>
        <w:t>U zhvilluan 37 (nga 90 të planifikuara), aktivitete promovuese brenda dhe jashtë vendit në funksion të objektivave të diplomacisë ekonomike publike dhe diasporës.</w:t>
      </w:r>
    </w:p>
    <w:p w:rsidR="00527686" w:rsidRPr="004E355C" w:rsidRDefault="00527686" w:rsidP="00527686">
      <w:pPr>
        <w:spacing w:line="276" w:lineRule="auto"/>
        <w:ind w:left="720"/>
        <w:jc w:val="both"/>
        <w:rPr>
          <w:rFonts w:ascii="Calibri" w:hAnsi="Calibri"/>
          <w:lang w:val="sq-AL"/>
        </w:rPr>
      </w:pPr>
    </w:p>
    <w:p w:rsidR="00527686" w:rsidRPr="004E355C" w:rsidRDefault="00527686" w:rsidP="00527686">
      <w:pPr>
        <w:spacing w:line="276" w:lineRule="auto"/>
        <w:ind w:left="720"/>
        <w:jc w:val="both"/>
        <w:rPr>
          <w:rFonts w:ascii="Calibri" w:eastAsia="MS Mincho" w:hAnsi="Calibri"/>
          <w:noProof/>
          <w:lang w:val="sq-AL"/>
        </w:rPr>
      </w:pPr>
    </w:p>
    <w:p w:rsidR="00150012" w:rsidRPr="004E355C" w:rsidRDefault="00150012" w:rsidP="00AF08C9">
      <w:pPr>
        <w:pStyle w:val="Heading2"/>
        <w:rPr>
          <w:rFonts w:asciiTheme="minorHAnsi" w:hAnsiTheme="minorHAnsi"/>
          <w:noProof/>
          <w:color w:val="4F81BD" w:themeColor="accent1"/>
          <w:sz w:val="28"/>
          <w:szCs w:val="24"/>
          <w:lang w:val="sq-AL"/>
        </w:rPr>
      </w:pPr>
      <w:bookmarkStart w:id="163" w:name="_Toc12527239"/>
      <w:r w:rsidRPr="00AF08C9">
        <w:rPr>
          <w:rFonts w:asciiTheme="minorHAnsi" w:hAnsiTheme="minorHAnsi"/>
          <w:noProof/>
          <w:color w:val="4F81BD" w:themeColor="accent1"/>
          <w:sz w:val="28"/>
          <w:szCs w:val="24"/>
          <w:lang w:val="sq-AL"/>
        </w:rPr>
        <w:lastRenderedPageBreak/>
        <w:t>VI.</w:t>
      </w:r>
      <w:r w:rsidR="00E05051" w:rsidRPr="00AF08C9">
        <w:rPr>
          <w:rFonts w:asciiTheme="minorHAnsi" w:hAnsiTheme="minorHAnsi"/>
          <w:noProof/>
          <w:color w:val="4F81BD" w:themeColor="accent1"/>
          <w:sz w:val="28"/>
          <w:szCs w:val="24"/>
          <w:lang w:val="sq-AL"/>
        </w:rPr>
        <w:t>3</w:t>
      </w:r>
      <w:r w:rsidRPr="00AF08C9">
        <w:rPr>
          <w:rFonts w:asciiTheme="minorHAnsi" w:hAnsiTheme="minorHAnsi"/>
          <w:noProof/>
          <w:color w:val="4F81BD" w:themeColor="accent1"/>
          <w:sz w:val="28"/>
          <w:szCs w:val="24"/>
          <w:lang w:val="sq-AL"/>
        </w:rPr>
        <w:tab/>
        <w:t>Ecuria e detajuar e projekteve t</w:t>
      </w:r>
      <w:r w:rsidR="000E73FC" w:rsidRPr="00AF08C9">
        <w:rPr>
          <w:rFonts w:asciiTheme="minorHAnsi" w:hAnsiTheme="minorHAnsi"/>
          <w:noProof/>
          <w:color w:val="4F81BD" w:themeColor="accent1"/>
          <w:sz w:val="28"/>
          <w:szCs w:val="24"/>
          <w:lang w:val="sq-AL"/>
        </w:rPr>
        <w:t>ë</w:t>
      </w:r>
      <w:r w:rsidRPr="00AF08C9">
        <w:rPr>
          <w:rFonts w:asciiTheme="minorHAnsi" w:hAnsiTheme="minorHAnsi"/>
          <w:noProof/>
          <w:color w:val="4F81BD" w:themeColor="accent1"/>
          <w:sz w:val="28"/>
          <w:szCs w:val="24"/>
          <w:lang w:val="sq-AL"/>
        </w:rPr>
        <w:t xml:space="preserve"> </w:t>
      </w:r>
      <w:r w:rsidR="00176D77" w:rsidRPr="00AF08C9">
        <w:rPr>
          <w:rFonts w:asciiTheme="minorHAnsi" w:hAnsiTheme="minorHAnsi"/>
          <w:noProof/>
          <w:color w:val="4F81BD" w:themeColor="accent1"/>
          <w:sz w:val="28"/>
          <w:szCs w:val="24"/>
          <w:lang w:val="sq-AL"/>
        </w:rPr>
        <w:t>investimeve publike, gjatë J</w:t>
      </w:r>
      <w:r w:rsidRPr="00AF08C9">
        <w:rPr>
          <w:rFonts w:asciiTheme="minorHAnsi" w:hAnsiTheme="minorHAnsi"/>
          <w:noProof/>
          <w:color w:val="4F81BD" w:themeColor="accent1"/>
          <w:sz w:val="28"/>
          <w:szCs w:val="24"/>
          <w:lang w:val="sq-AL"/>
        </w:rPr>
        <w:t>anar-</w:t>
      </w:r>
      <w:r w:rsidR="00176D77" w:rsidRPr="00AF08C9">
        <w:rPr>
          <w:rFonts w:asciiTheme="minorHAnsi" w:hAnsiTheme="minorHAnsi"/>
          <w:noProof/>
          <w:color w:val="4F81BD" w:themeColor="accent1"/>
          <w:sz w:val="28"/>
          <w:szCs w:val="24"/>
          <w:lang w:val="sq-AL"/>
        </w:rPr>
        <w:t>M</w:t>
      </w:r>
      <w:r w:rsidRPr="00AF08C9">
        <w:rPr>
          <w:rFonts w:asciiTheme="minorHAnsi" w:hAnsiTheme="minorHAnsi"/>
          <w:noProof/>
          <w:color w:val="4F81BD" w:themeColor="accent1"/>
          <w:sz w:val="28"/>
          <w:szCs w:val="24"/>
          <w:lang w:val="sq-AL"/>
        </w:rPr>
        <w:t>aj 2019</w:t>
      </w:r>
      <w:bookmarkEnd w:id="163"/>
    </w:p>
    <w:p w:rsidR="00AF08C9" w:rsidRPr="009D72D3" w:rsidRDefault="00AF08C9" w:rsidP="00AF08C9">
      <w:pPr>
        <w:spacing w:before="240" w:line="276" w:lineRule="auto"/>
        <w:jc w:val="both"/>
        <w:rPr>
          <w:rFonts w:asciiTheme="minorHAnsi" w:hAnsiTheme="minorHAnsi"/>
          <w:b/>
          <w:lang w:val="sq-AL"/>
        </w:rPr>
      </w:pPr>
      <w:r w:rsidRPr="009D72D3">
        <w:rPr>
          <w:rFonts w:asciiTheme="minorHAnsi" w:hAnsiTheme="minorHAnsi"/>
          <w:b/>
          <w:lang w:val="sq-AL"/>
        </w:rPr>
        <w:t>Ministria e Transportit dhe Infrastrukturës</w:t>
      </w:r>
    </w:p>
    <w:p w:rsidR="00AF08C9" w:rsidRPr="009D72D3" w:rsidRDefault="00AF08C9" w:rsidP="00AF08C9">
      <w:pPr>
        <w:spacing w:line="276" w:lineRule="auto"/>
        <w:jc w:val="both"/>
        <w:rPr>
          <w:rFonts w:asciiTheme="minorHAnsi" w:hAnsiTheme="minorHAnsi"/>
          <w:lang w:val="sq-AL"/>
        </w:rPr>
      </w:pPr>
      <w:r w:rsidRPr="009D72D3">
        <w:rPr>
          <w:rFonts w:asciiTheme="minorHAnsi" w:hAnsiTheme="minorHAnsi"/>
          <w:lang w:val="sq-AL"/>
        </w:rPr>
        <w:t>Me fondet e alokuara për investime për vitin 2019, në porgramin “Transporti Rrugor” kanë përfunduar kontratat e mëposhtme:</w:t>
      </w:r>
    </w:p>
    <w:p w:rsidR="00AF08C9" w:rsidRPr="009D72D3" w:rsidRDefault="00AF08C9" w:rsidP="00AF08C9">
      <w:pPr>
        <w:pStyle w:val="ListParagraph"/>
        <w:numPr>
          <w:ilvl w:val="0"/>
          <w:numId w:val="11"/>
        </w:numPr>
        <w:spacing w:line="276" w:lineRule="auto"/>
        <w:jc w:val="both"/>
        <w:rPr>
          <w:rFonts w:asciiTheme="minorHAnsi" w:hAnsiTheme="minorHAnsi"/>
          <w:i/>
          <w:lang w:val="sq-AL"/>
        </w:rPr>
      </w:pPr>
      <w:r w:rsidRPr="009D72D3">
        <w:rPr>
          <w:rFonts w:asciiTheme="minorHAnsi" w:hAnsiTheme="minorHAnsi"/>
          <w:i/>
          <w:lang w:val="sq-AL"/>
        </w:rPr>
        <w:t>“Ndërtimi i aksit rrugor Skrapar - Përmet Loti 1” (kontrata bazë + shtesën), me vlerë rreth 1.4 miliardë lekë,</w:t>
      </w:r>
    </w:p>
    <w:p w:rsidR="00AF08C9" w:rsidRPr="009D72D3" w:rsidRDefault="00AF08C9" w:rsidP="00AF08C9">
      <w:pPr>
        <w:pStyle w:val="ListParagraph"/>
        <w:numPr>
          <w:ilvl w:val="0"/>
          <w:numId w:val="11"/>
        </w:numPr>
        <w:spacing w:line="276" w:lineRule="auto"/>
        <w:jc w:val="both"/>
        <w:rPr>
          <w:rFonts w:asciiTheme="minorHAnsi" w:hAnsiTheme="minorHAnsi"/>
          <w:i/>
          <w:lang w:val="sq-AL"/>
        </w:rPr>
      </w:pPr>
      <w:r w:rsidRPr="009D72D3">
        <w:rPr>
          <w:rFonts w:asciiTheme="minorHAnsi" w:hAnsiTheme="minorHAnsi"/>
          <w:i/>
          <w:lang w:val="sq-AL"/>
        </w:rPr>
        <w:t xml:space="preserve"> “Kompesimi për ndërtimin e infrastrukturës sipas marrëveshjes Devoll Hidropo</w:t>
      </w:r>
      <w:r w:rsidR="003E5AE7">
        <w:rPr>
          <w:rFonts w:asciiTheme="minorHAnsi" w:hAnsiTheme="minorHAnsi"/>
          <w:i/>
          <w:lang w:val="sq-AL"/>
        </w:rPr>
        <w:t>ë</w:t>
      </w:r>
      <w:r w:rsidRPr="009D72D3">
        <w:rPr>
          <w:rFonts w:asciiTheme="minorHAnsi" w:hAnsiTheme="minorHAnsi"/>
          <w:i/>
          <w:lang w:val="sq-AL"/>
        </w:rPr>
        <w:t>er” me vlerë rreth 6.7 miliardë lekë.</w:t>
      </w:r>
    </w:p>
    <w:p w:rsidR="00AF08C9" w:rsidRPr="009D72D3" w:rsidRDefault="00AF08C9" w:rsidP="00AF08C9">
      <w:pPr>
        <w:pStyle w:val="ListParagraph"/>
        <w:numPr>
          <w:ilvl w:val="0"/>
          <w:numId w:val="11"/>
        </w:numPr>
        <w:spacing w:line="276" w:lineRule="auto"/>
        <w:jc w:val="both"/>
        <w:rPr>
          <w:rFonts w:asciiTheme="minorHAnsi" w:hAnsiTheme="minorHAnsi"/>
          <w:i/>
          <w:lang w:val="sq-AL"/>
        </w:rPr>
      </w:pPr>
      <w:r w:rsidRPr="009D72D3">
        <w:rPr>
          <w:rFonts w:asciiTheme="minorHAnsi" w:hAnsiTheme="minorHAnsi"/>
          <w:i/>
          <w:lang w:val="sq-AL"/>
        </w:rPr>
        <w:t xml:space="preserve"> “Defektet e fshehura të kontratës koncesionare për ndërtimin, operimin, mirëmbajtjen dhe rehabilitimin e autostradës Milot – Morinë”, me vlerë 528 milionë lekë.</w:t>
      </w:r>
    </w:p>
    <w:p w:rsidR="00AF08C9" w:rsidRPr="009D72D3" w:rsidRDefault="00AF08C9" w:rsidP="00AF08C9">
      <w:pPr>
        <w:pStyle w:val="NormalWeb"/>
        <w:spacing w:after="0" w:afterAutospacing="0" w:line="276" w:lineRule="auto"/>
        <w:jc w:val="both"/>
        <w:rPr>
          <w:rFonts w:asciiTheme="minorHAnsi" w:hAnsiTheme="minorHAnsi"/>
          <w:b/>
          <w:color w:val="000000"/>
          <w:lang w:val="sq-AL"/>
        </w:rPr>
      </w:pPr>
      <w:r w:rsidRPr="009D72D3">
        <w:rPr>
          <w:rFonts w:asciiTheme="minorHAnsi" w:hAnsiTheme="minorHAnsi"/>
          <w:b/>
          <w:color w:val="000000"/>
          <w:lang w:val="sq-AL"/>
        </w:rPr>
        <w:t>Ministria e Arsimit dhe Sporteve</w:t>
      </w:r>
    </w:p>
    <w:p w:rsidR="00AF08C9" w:rsidRPr="009D72D3" w:rsidRDefault="00AF08C9" w:rsidP="00AF08C9">
      <w:pPr>
        <w:pStyle w:val="NormalWeb"/>
        <w:spacing w:before="0" w:beforeAutospacing="0" w:after="0" w:afterAutospacing="0" w:line="276" w:lineRule="auto"/>
        <w:jc w:val="both"/>
        <w:rPr>
          <w:rFonts w:asciiTheme="minorHAnsi" w:hAnsiTheme="minorHAnsi"/>
          <w:color w:val="000000"/>
          <w:lang w:val="sq-AL"/>
        </w:rPr>
      </w:pPr>
      <w:r w:rsidRPr="009D72D3">
        <w:rPr>
          <w:rFonts w:asciiTheme="minorHAnsi" w:hAnsiTheme="minorHAnsi"/>
          <w:color w:val="000000"/>
          <w:lang w:val="sq-AL"/>
        </w:rPr>
        <w:t xml:space="preserve">Për MASR deri në fund të muajit qershor 2019 </w:t>
      </w:r>
      <w:r w:rsidRPr="009D72D3">
        <w:rPr>
          <w:rFonts w:asciiTheme="minorHAnsi" w:hAnsiTheme="minorHAnsi"/>
          <w:b/>
          <w:color w:val="000000"/>
          <w:lang w:val="sq-AL"/>
        </w:rPr>
        <w:t>pritet të realizohen 42 kontrata investimesh</w:t>
      </w:r>
      <w:r w:rsidRPr="009D72D3">
        <w:rPr>
          <w:rFonts w:asciiTheme="minorHAnsi" w:hAnsiTheme="minorHAnsi"/>
          <w:color w:val="000000"/>
          <w:lang w:val="sq-AL"/>
        </w:rPr>
        <w:t xml:space="preserve">, kryesisht projekte të financuara nga FZHR 2018.  Pjesa më e madhe i përkasin programit </w:t>
      </w:r>
      <w:r w:rsidRPr="009D72D3">
        <w:rPr>
          <w:rFonts w:asciiTheme="minorHAnsi" w:hAnsiTheme="minorHAnsi"/>
          <w:i/>
          <w:color w:val="000000"/>
          <w:lang w:val="sq-AL"/>
        </w:rPr>
        <w:t>Arsimi Bazë (përfshirë parashkollorin)</w:t>
      </w:r>
      <w:r w:rsidRPr="009D72D3">
        <w:rPr>
          <w:rFonts w:asciiTheme="minorHAnsi" w:hAnsiTheme="minorHAnsi"/>
          <w:color w:val="000000"/>
          <w:lang w:val="sq-AL"/>
        </w:rPr>
        <w:t xml:space="preserve">. Më poshtë po rendisim 11 prej tyre me planin më të lartë. </w:t>
      </w:r>
    </w:p>
    <w:p w:rsidR="00AF08C9" w:rsidRPr="009D72D3" w:rsidRDefault="00AF08C9" w:rsidP="00AF08C9">
      <w:pPr>
        <w:pStyle w:val="ListParagraph"/>
        <w:numPr>
          <w:ilvl w:val="0"/>
          <w:numId w:val="8"/>
        </w:numPr>
        <w:spacing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9-vjeçare nr.3 dhe ambjente sportive, Laç, me vlerë 94.9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9-vjeçare “Meleq Gostinishti”, Patos, me vlerë 70.1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Rikonstruksioni i plotë  i shkollës “Asim Zeneli” dhe shkollës “Drita” (loti 1+loti 2) , Gjirokastër , me vlerë 83.4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9-vjeçare “Abdyl Bajraktari” dhe kopshtit, Koplik, me vlerë 77.6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“Asim Vokshi”, Bajram Curri, me vlerë 75.6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shkolla 9-vjeçare “Nënë Tereza”, Laknas, me vlerë 43.3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Ambjente sportive dhe rikonstruksion i shkollës së mesme të bashkuar “Shaban Sheshori” godina 1+, Prezë, me vlerë 49.2 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9-vjeçare “Demir Godelli”, Peqin, me vlerë 47.3 milionë lekë.</w:t>
      </w:r>
    </w:p>
    <w:p w:rsidR="00AF08C9" w:rsidRPr="009D72D3" w:rsidRDefault="00AF08C9" w:rsidP="00AF08C9">
      <w:pPr>
        <w:spacing w:line="276" w:lineRule="auto"/>
        <w:jc w:val="both"/>
        <w:rPr>
          <w:rFonts w:asciiTheme="minorHAnsi" w:hAnsiTheme="minorHAnsi"/>
          <w:b/>
          <w:lang w:val="sq-AL"/>
        </w:rPr>
      </w:pPr>
      <w:r w:rsidRPr="009D72D3">
        <w:rPr>
          <w:rFonts w:asciiTheme="minorHAnsi" w:hAnsiTheme="minorHAnsi"/>
          <w:b/>
          <w:lang w:val="sq-AL"/>
        </w:rPr>
        <w:t>Ministria e Shëndetësisë dhe Mbrojtjes Sociale</w:t>
      </w:r>
    </w:p>
    <w:p w:rsidR="00AF08C9" w:rsidRPr="009D72D3" w:rsidRDefault="00AF08C9" w:rsidP="00AF08C9">
      <w:pPr>
        <w:spacing w:line="276" w:lineRule="auto"/>
        <w:jc w:val="both"/>
        <w:rPr>
          <w:rFonts w:asciiTheme="minorHAnsi" w:hAnsiTheme="minorHAnsi"/>
          <w:lang w:val="sq-AL"/>
        </w:rPr>
      </w:pPr>
      <w:r w:rsidRPr="009D72D3">
        <w:rPr>
          <w:rFonts w:asciiTheme="minorHAnsi" w:hAnsiTheme="minorHAnsi"/>
          <w:color w:val="000000"/>
          <w:lang w:val="sq-AL"/>
        </w:rPr>
        <w:t>Në vijim të planit të investimeve të çelur për vitin 2019</w:t>
      </w:r>
      <w:r w:rsidRPr="009D72D3">
        <w:rPr>
          <w:rFonts w:asciiTheme="minorHAnsi" w:hAnsiTheme="minorHAnsi"/>
          <w:b/>
          <w:color w:val="000000"/>
          <w:lang w:val="sq-AL"/>
        </w:rPr>
        <w:t>, kanë përfunduar objektet më poshtë</w:t>
      </w:r>
      <w:r w:rsidRPr="009D72D3">
        <w:rPr>
          <w:rFonts w:asciiTheme="minorHAnsi" w:hAnsiTheme="minorHAnsi"/>
          <w:lang w:val="sq-AL"/>
        </w:rPr>
        <w:t>:</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Rikonstruksione të Qendrave Shëndetësore në qytete/njësi administrative, me vlerë 231 milionë lekë,</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Projekt- preventiva për objekte të shërbimit parësor. Janë rishikuar 144 projekt-preventivë zbatimi për qendrat shëndetësore, nga të cilat janë përzgjedhur 88 për rikonstruksion gjatë vitit 2019, me vlerë 6 milionë lekë,</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Furnizim dhe vendosje pajisje mjekësore dhe mobilimi për Dispancerinë e Tiranës me vlerë 7.7 milionë lekë,</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Rikonstruksion “Shtëpia e të Moshuarve Shkodër” (Faza II), me vlerë 86.9 milionë lekë.</w:t>
      </w:r>
    </w:p>
    <w:p w:rsidR="00AF08C9" w:rsidRPr="009D72D3" w:rsidRDefault="00AF08C9" w:rsidP="00AF08C9">
      <w:pPr>
        <w:spacing w:line="276" w:lineRule="auto"/>
        <w:jc w:val="both"/>
        <w:rPr>
          <w:rFonts w:asciiTheme="minorHAnsi" w:hAnsiTheme="minorHAnsi"/>
          <w:color w:val="000000"/>
          <w:lang w:val="sq-AL"/>
        </w:rPr>
      </w:pPr>
      <w:r w:rsidRPr="009D72D3">
        <w:rPr>
          <w:rFonts w:asciiTheme="minorHAnsi" w:hAnsiTheme="minorHAnsi"/>
          <w:color w:val="000000"/>
          <w:u w:val="single"/>
          <w:lang w:val="sq-AL"/>
        </w:rPr>
        <w:t>Në proces mbyllje punimesh janë</w:t>
      </w:r>
      <w:r w:rsidRPr="009D72D3">
        <w:rPr>
          <w:rFonts w:asciiTheme="minorHAnsi" w:hAnsiTheme="minorHAnsi"/>
          <w:color w:val="000000"/>
          <w:lang w:val="sq-AL"/>
        </w:rPr>
        <w:t>:</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Furnizim dhe vendosje pajisje mjekësore dhe mobilimi për qendrat shëndetesore</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Rikonstruksion i ish-kirurgjisë së vjetër Spitali Elbasan</w:t>
      </w:r>
    </w:p>
    <w:p w:rsidR="00AF08C9" w:rsidRPr="009D72D3" w:rsidRDefault="00AF08C9" w:rsidP="00AF08C9">
      <w:pPr>
        <w:pStyle w:val="ListParagraph"/>
        <w:numPr>
          <w:ilvl w:val="0"/>
          <w:numId w:val="10"/>
        </w:numPr>
        <w:spacing w:line="276" w:lineRule="auto"/>
        <w:jc w:val="both"/>
        <w:rPr>
          <w:rFonts w:asciiTheme="minorHAnsi" w:hAnsiTheme="minorHAnsi"/>
          <w:color w:val="000000"/>
          <w:lang w:val="sq-AL"/>
        </w:rPr>
      </w:pPr>
      <w:r w:rsidRPr="009D72D3">
        <w:rPr>
          <w:rFonts w:asciiTheme="minorHAnsi" w:hAnsiTheme="minorHAnsi"/>
          <w:color w:val="000000"/>
          <w:lang w:val="sq-AL"/>
        </w:rPr>
        <w:t>Rikonstruksion i Poliklinikës së Spitalit Vlorë</w:t>
      </w:r>
    </w:p>
    <w:p w:rsidR="00AF08C9" w:rsidRPr="009D72D3" w:rsidRDefault="00AF08C9" w:rsidP="00AF08C9">
      <w:pPr>
        <w:spacing w:line="276" w:lineRule="auto"/>
        <w:jc w:val="both"/>
        <w:rPr>
          <w:rFonts w:asciiTheme="minorHAnsi" w:hAnsiTheme="minorHAnsi"/>
          <w:b/>
          <w:lang w:val="sq-AL"/>
        </w:rPr>
      </w:pPr>
      <w:r w:rsidRPr="009D72D3">
        <w:rPr>
          <w:rFonts w:asciiTheme="minorHAnsi" w:hAnsiTheme="minorHAnsi"/>
          <w:b/>
          <w:lang w:val="sq-AL"/>
        </w:rPr>
        <w:lastRenderedPageBreak/>
        <w:t>Ministria e Bujqësisë dhe Zhvillimit Rural</w:t>
      </w:r>
    </w:p>
    <w:p w:rsidR="00AF08C9" w:rsidRPr="009D72D3" w:rsidRDefault="00AF08C9" w:rsidP="00AF08C9">
      <w:pPr>
        <w:spacing w:line="276" w:lineRule="auto"/>
        <w:jc w:val="both"/>
        <w:rPr>
          <w:rFonts w:asciiTheme="minorHAnsi" w:hAnsiTheme="minorHAnsi"/>
          <w:lang w:val="sq-AL"/>
        </w:rPr>
      </w:pPr>
      <w:r w:rsidRPr="009D72D3">
        <w:rPr>
          <w:rFonts w:asciiTheme="minorHAnsi" w:hAnsiTheme="minorHAnsi"/>
          <w:lang w:val="sq-AL"/>
        </w:rPr>
        <w:t>Për Ministrinë e Bujqësisë dhe Zhvillimit Rural, projektet e investimeve të mbyllura plotësisht deri më tani, janë:</w:t>
      </w:r>
    </w:p>
    <w:p w:rsidR="00AF08C9" w:rsidRPr="009D72D3" w:rsidRDefault="00AF08C9" w:rsidP="00AF08C9">
      <w:pPr>
        <w:pStyle w:val="ListParagraph"/>
        <w:numPr>
          <w:ilvl w:val="0"/>
          <w:numId w:val="9"/>
        </w:numPr>
        <w:spacing w:after="200" w:line="276" w:lineRule="auto"/>
        <w:jc w:val="both"/>
        <w:rPr>
          <w:rFonts w:asciiTheme="minorHAnsi" w:hAnsiTheme="minorHAnsi"/>
          <w:i/>
          <w:lang w:val="sq-AL"/>
        </w:rPr>
      </w:pPr>
      <w:r w:rsidRPr="009D72D3">
        <w:rPr>
          <w:rFonts w:asciiTheme="minorHAnsi" w:hAnsiTheme="minorHAnsi"/>
          <w:i/>
          <w:lang w:val="sq-AL"/>
        </w:rPr>
        <w:t>“</w:t>
      </w:r>
      <w:r w:rsidRPr="009D72D3">
        <w:rPr>
          <w:rFonts w:asciiTheme="minorHAnsi" w:hAnsiTheme="minorHAnsi"/>
          <w:i/>
          <w:lang w:val="sq-AL" w:eastAsia="sq-AL"/>
        </w:rPr>
        <w:t xml:space="preserve">Pastrim i përroit të Draçit”, realizuar nga Bordi i Kullimit Durrës, </w:t>
      </w:r>
      <w:r w:rsidRPr="009D72D3">
        <w:rPr>
          <w:rFonts w:asciiTheme="minorHAnsi" w:hAnsiTheme="minorHAnsi"/>
          <w:i/>
          <w:color w:val="000000"/>
          <w:lang w:val="sq-AL"/>
        </w:rPr>
        <w:t>me vlerë</w:t>
      </w:r>
      <w:r w:rsidRPr="009D72D3">
        <w:rPr>
          <w:rFonts w:asciiTheme="minorHAnsi" w:hAnsiTheme="minorHAnsi"/>
          <w:i/>
          <w:color w:val="000000"/>
          <w:lang w:val="sq-AL" w:eastAsia="sq-AL"/>
        </w:rPr>
        <w:t xml:space="preserve"> 136.9 milionë lekë,</w:t>
      </w:r>
    </w:p>
    <w:p w:rsidR="00AF08C9" w:rsidRPr="009D72D3" w:rsidRDefault="00AF08C9" w:rsidP="00AF08C9">
      <w:pPr>
        <w:pStyle w:val="ListParagraph"/>
        <w:numPr>
          <w:ilvl w:val="0"/>
          <w:numId w:val="9"/>
        </w:numPr>
        <w:spacing w:line="276" w:lineRule="auto"/>
        <w:jc w:val="both"/>
        <w:rPr>
          <w:rFonts w:asciiTheme="minorHAnsi" w:hAnsiTheme="minorHAnsi"/>
          <w:i/>
          <w:lang w:val="sq-AL" w:eastAsia="sq-AL"/>
        </w:rPr>
      </w:pPr>
      <w:r w:rsidRPr="009D72D3">
        <w:rPr>
          <w:rFonts w:asciiTheme="minorHAnsi" w:hAnsiTheme="minorHAnsi"/>
          <w:i/>
          <w:lang w:val="sq-AL"/>
        </w:rPr>
        <w:t>“</w:t>
      </w:r>
      <w:r w:rsidRPr="009D72D3">
        <w:rPr>
          <w:rFonts w:asciiTheme="minorHAnsi" w:hAnsiTheme="minorHAnsi"/>
          <w:i/>
          <w:lang w:val="sq-AL" w:eastAsia="sq-AL"/>
        </w:rPr>
        <w:t xml:space="preserve">Projekte zbatimi për objektet e infrastrukturës së ujitjes, kullimit dhe mbrojtjes nga përmbytja”, realizuar nga Bordi i Kullimit Lezhë. </w:t>
      </w:r>
      <w:r w:rsidRPr="009D72D3">
        <w:rPr>
          <w:rFonts w:asciiTheme="minorHAnsi" w:hAnsiTheme="minorHAnsi"/>
          <w:i/>
          <w:color w:val="000000"/>
          <w:lang w:val="sq-AL" w:eastAsia="sq-AL"/>
        </w:rPr>
        <w:t>Kanë përfunduar të gjithë projektet dhe janë marrë në dorëzim, me vlerë 5 milionë lekë.</w:t>
      </w:r>
    </w:p>
    <w:p w:rsidR="00AF08C9" w:rsidRPr="009D72D3" w:rsidRDefault="00AF08C9" w:rsidP="00AF08C9">
      <w:pPr>
        <w:pStyle w:val="ListParagraph"/>
        <w:numPr>
          <w:ilvl w:val="0"/>
          <w:numId w:val="9"/>
        </w:numPr>
        <w:spacing w:line="276" w:lineRule="auto"/>
        <w:jc w:val="both"/>
        <w:rPr>
          <w:rFonts w:asciiTheme="minorHAnsi" w:hAnsiTheme="minorHAnsi"/>
          <w:i/>
          <w:color w:val="000000"/>
          <w:lang w:val="sq-AL" w:eastAsia="sq-AL"/>
        </w:rPr>
      </w:pPr>
      <w:r w:rsidRPr="009D72D3">
        <w:rPr>
          <w:rFonts w:asciiTheme="minorHAnsi" w:hAnsiTheme="minorHAnsi"/>
          <w:i/>
          <w:color w:val="000000"/>
          <w:lang w:val="sq-AL" w:eastAsia="sq-AL"/>
        </w:rPr>
        <w:t>“</w:t>
      </w:r>
      <w:r w:rsidRPr="009D72D3">
        <w:rPr>
          <w:rFonts w:asciiTheme="minorHAnsi" w:hAnsiTheme="minorHAnsi"/>
          <w:i/>
          <w:lang w:val="sq-AL" w:eastAsia="sq-AL"/>
        </w:rPr>
        <w:t xml:space="preserve">Kanali Ujitjes Rragam Shkodër”, realizuar nga Bordi i Kullimit Lezhë, </w:t>
      </w:r>
      <w:r w:rsidRPr="009D72D3">
        <w:rPr>
          <w:rFonts w:asciiTheme="minorHAnsi" w:hAnsiTheme="minorHAnsi"/>
          <w:i/>
          <w:color w:val="000000"/>
          <w:lang w:val="sq-AL"/>
        </w:rPr>
        <w:t>me vlerë</w:t>
      </w:r>
      <w:r w:rsidRPr="009D72D3">
        <w:rPr>
          <w:rFonts w:asciiTheme="minorHAnsi" w:hAnsiTheme="minorHAnsi"/>
          <w:i/>
          <w:color w:val="000000"/>
          <w:lang w:val="sq-AL" w:eastAsia="sq-AL"/>
        </w:rPr>
        <w:t xml:space="preserve"> 129.5 milionë lekë,</w:t>
      </w:r>
    </w:p>
    <w:p w:rsidR="00AF08C9" w:rsidRPr="009D72D3" w:rsidRDefault="00AF08C9" w:rsidP="00AF08C9">
      <w:pPr>
        <w:spacing w:line="276" w:lineRule="auto"/>
        <w:jc w:val="both"/>
        <w:rPr>
          <w:rFonts w:asciiTheme="minorHAnsi" w:hAnsiTheme="minorHAnsi"/>
          <w:color w:val="000000"/>
          <w:lang w:val="sq-AL" w:eastAsia="sq-AL"/>
        </w:rPr>
      </w:pPr>
      <w:r w:rsidRPr="009D72D3">
        <w:rPr>
          <w:rFonts w:asciiTheme="minorHAnsi" w:hAnsiTheme="minorHAnsi"/>
          <w:color w:val="000000"/>
          <w:lang w:val="sq-AL" w:eastAsia="sq-AL"/>
        </w:rPr>
        <w:t>Është bërë detajimi dhe shpërndarja e fondit 1 miliardë lekë sipas objekteve të investimeve për Bashkitë në rrethe, procedura për të cilat momentalisht është e bllokuar si efekt i Vendimit të APP-së për procedurat e prokurimit nga NJVQV-të.</w:t>
      </w:r>
    </w:p>
    <w:p w:rsidR="00123604" w:rsidRPr="00123604" w:rsidRDefault="00123604" w:rsidP="00123604">
      <w:pPr>
        <w:jc w:val="both"/>
        <w:rPr>
          <w:rFonts w:asciiTheme="minorHAnsi" w:hAnsiTheme="minorHAnsi"/>
          <w:b/>
          <w:sz w:val="8"/>
          <w:szCs w:val="8"/>
          <w:lang w:val="sq-AL"/>
        </w:rPr>
      </w:pPr>
    </w:p>
    <w:p w:rsidR="00AF08C9" w:rsidRPr="009D72D3" w:rsidRDefault="00AF08C9" w:rsidP="00123604">
      <w:pPr>
        <w:spacing w:line="276" w:lineRule="auto"/>
        <w:jc w:val="both"/>
        <w:rPr>
          <w:rFonts w:asciiTheme="minorHAnsi" w:hAnsiTheme="minorHAnsi"/>
          <w:b/>
          <w:lang w:val="sq-AL"/>
        </w:rPr>
      </w:pPr>
      <w:r w:rsidRPr="009D72D3">
        <w:rPr>
          <w:rFonts w:asciiTheme="minorHAnsi" w:hAnsiTheme="minorHAnsi"/>
          <w:b/>
          <w:lang w:val="sq-AL"/>
        </w:rPr>
        <w:t xml:space="preserve">MBZHR/AKUK </w:t>
      </w:r>
    </w:p>
    <w:p w:rsidR="00AF08C9" w:rsidRPr="009D72D3" w:rsidRDefault="00AF08C9" w:rsidP="00AF08C9">
      <w:pPr>
        <w:pStyle w:val="NormalWeb"/>
        <w:spacing w:before="0" w:beforeAutospacing="0" w:after="0" w:afterAutospacing="0" w:line="276" w:lineRule="auto"/>
        <w:jc w:val="both"/>
        <w:rPr>
          <w:rFonts w:asciiTheme="minorHAnsi" w:hAnsiTheme="minorHAnsi"/>
          <w:color w:val="000000"/>
          <w:lang w:val="sq-AL"/>
        </w:rPr>
      </w:pPr>
      <w:r w:rsidRPr="009D72D3">
        <w:rPr>
          <w:rFonts w:asciiTheme="minorHAnsi" w:hAnsiTheme="minorHAnsi"/>
          <w:color w:val="000000"/>
          <w:lang w:val="sq-AL"/>
        </w:rPr>
        <w:t>Për vitin 2019 anë përfunduar këto objekte në ujësjellësa dhe kanalizime:</w:t>
      </w:r>
    </w:p>
    <w:p w:rsidR="00AF08C9" w:rsidRPr="009D72D3" w:rsidRDefault="00AF08C9" w:rsidP="00AF08C9">
      <w:pPr>
        <w:pStyle w:val="ListParagraph"/>
        <w:numPr>
          <w:ilvl w:val="0"/>
          <w:numId w:val="8"/>
        </w:numPr>
        <w:spacing w:after="100" w:afterAutospacing="1" w:line="276" w:lineRule="auto"/>
        <w:rPr>
          <w:rFonts w:asciiTheme="minorHAnsi" w:hAnsiTheme="minorHAnsi"/>
          <w:i/>
          <w:color w:val="000000"/>
        </w:rPr>
      </w:pPr>
      <w:r w:rsidRPr="009D72D3">
        <w:rPr>
          <w:rFonts w:asciiTheme="minorHAnsi" w:hAnsiTheme="minorHAnsi"/>
          <w:i/>
          <w:color w:val="000000"/>
          <w:lang w:val="sq-AL"/>
        </w:rPr>
        <w:t xml:space="preserve">“Rikonstruksion i rrjetit të brendshëm të ujësjellësit Këlcyrë”, Bashkia Këlcyrë, Faza e I, me vlerë 96.9 </w:t>
      </w:r>
    </w:p>
    <w:p w:rsidR="00AF08C9" w:rsidRPr="009D72D3" w:rsidRDefault="00AF08C9" w:rsidP="00AF08C9">
      <w:pPr>
        <w:pStyle w:val="ListParagraph"/>
        <w:spacing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milionë lekë,</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 xml:space="preserve">“Rikonstruksion i rrjetit shpërndarës të ujësjellësit lagjia 85 dhe Dëllinjë”, Gramsh, me vlerë 11.1 milionë lekë, </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 xml:space="preserve">“Ndërtimi i rrjetit shpërndarës të furnizimit  me ujë të qytetit të Poliçanit, rikonstruksion i stacionit të pompimit dhe linjës së dërgimit”, me vlerë 89 milionë lekë,  </w:t>
      </w:r>
    </w:p>
    <w:p w:rsidR="00AF08C9" w:rsidRPr="009D72D3" w:rsidRDefault="00AF08C9" w:rsidP="00AF08C9">
      <w:pPr>
        <w:pStyle w:val="ListParagraph"/>
        <w:numPr>
          <w:ilvl w:val="0"/>
          <w:numId w:val="8"/>
        </w:numPr>
        <w:spacing w:before="100" w:beforeAutospacing="1" w:after="100" w:afterAutospacing="1" w:line="276" w:lineRule="auto"/>
        <w:jc w:val="both"/>
        <w:rPr>
          <w:rFonts w:asciiTheme="minorHAnsi" w:hAnsiTheme="minorHAnsi"/>
          <w:i/>
          <w:color w:val="000000"/>
          <w:lang w:val="sq-AL"/>
        </w:rPr>
      </w:pPr>
      <w:r w:rsidRPr="009D72D3">
        <w:rPr>
          <w:rFonts w:asciiTheme="minorHAnsi" w:hAnsiTheme="minorHAnsi"/>
          <w:i/>
          <w:color w:val="000000"/>
          <w:lang w:val="sq-AL"/>
        </w:rPr>
        <w:t>“Ndërtimi i Kolektorit kryesor të ujrave të zeza dhe I.T.U.P”, Gjiri i Lalzit, Durrës, me vlerë 1.3 miliardë lekë,</w:t>
      </w:r>
    </w:p>
    <w:p w:rsidR="00AF08C9" w:rsidRPr="009D72D3" w:rsidRDefault="00AF08C9" w:rsidP="00AF08C9">
      <w:pPr>
        <w:pStyle w:val="ListParagraph"/>
        <w:numPr>
          <w:ilvl w:val="0"/>
          <w:numId w:val="8"/>
        </w:numPr>
        <w:spacing w:before="100" w:beforeAutospacing="1" w:line="276" w:lineRule="auto"/>
        <w:jc w:val="both"/>
        <w:rPr>
          <w:rFonts w:asciiTheme="minorHAnsi" w:hAnsiTheme="minorHAnsi"/>
          <w:i/>
          <w:color w:val="000000"/>
          <w:lang w:val="sq-AL"/>
        </w:rPr>
      </w:pPr>
      <w:r w:rsidRPr="009D72D3">
        <w:rPr>
          <w:rFonts w:asciiTheme="minorHAnsi" w:hAnsiTheme="minorHAnsi"/>
          <w:i/>
          <w:color w:val="000000"/>
          <w:lang w:val="sq-AL"/>
        </w:rPr>
        <w:t>“Rehabilitimi i rrjetit të ujësjellësit të qytetit të Përmetit”, me vlerë 583.6 milionë lekë.</w:t>
      </w:r>
    </w:p>
    <w:p w:rsidR="00AF08C9" w:rsidRPr="009D72D3" w:rsidRDefault="00AF08C9" w:rsidP="00AF08C9">
      <w:pPr>
        <w:spacing w:line="276" w:lineRule="auto"/>
        <w:jc w:val="both"/>
        <w:rPr>
          <w:rFonts w:asciiTheme="minorHAnsi" w:hAnsiTheme="minorHAnsi"/>
          <w:color w:val="000000"/>
          <w:lang w:val="sq-AL"/>
        </w:rPr>
      </w:pPr>
      <w:r w:rsidRPr="009D72D3">
        <w:rPr>
          <w:rFonts w:asciiTheme="minorHAnsi" w:hAnsiTheme="minorHAnsi"/>
          <w:color w:val="000000"/>
          <w:lang w:val="sq-AL"/>
        </w:rPr>
        <w:t xml:space="preserve">Me financimin e tyre u sigurua ujë 24 orë në Memaliaj, Poliçan dhe Përmet. Gjithashtu u realizua faza e parë në Këlcyrë, dhe po këtë vit fillon faza e dytë, e cila përfundon gjithë skemën e furnizimit me ujë të qytetit Këlcyrë, duke siguruar ujë 24 orë dhe duke eliminuar humbjet. Këtë vit përfundoi dhe I.T.U.P, në zonën turistike Gjiri i Lalzit, ku do të grumbullohen të gjitha ujrat e ndotura duke përmirësuar kushtet e banorëve dhe turistëve në këtë zonë. </w:t>
      </w:r>
    </w:p>
    <w:p w:rsidR="00AF08C9" w:rsidRPr="009D72D3" w:rsidRDefault="00AF08C9" w:rsidP="00123604">
      <w:pPr>
        <w:spacing w:before="240" w:line="276" w:lineRule="auto"/>
        <w:jc w:val="both"/>
        <w:rPr>
          <w:rFonts w:asciiTheme="minorHAnsi" w:hAnsiTheme="minorHAnsi"/>
          <w:b/>
          <w:lang w:val="sq-AL"/>
        </w:rPr>
      </w:pPr>
      <w:r w:rsidRPr="009D72D3">
        <w:rPr>
          <w:rFonts w:asciiTheme="minorHAnsi" w:hAnsiTheme="minorHAnsi"/>
          <w:b/>
          <w:lang w:val="sq-AL"/>
        </w:rPr>
        <w:t>Ministria e Financave dhe Ekonomisë</w:t>
      </w:r>
    </w:p>
    <w:p w:rsidR="00AF08C9" w:rsidRPr="009D72D3" w:rsidRDefault="00AF08C9" w:rsidP="00AF08C9">
      <w:pPr>
        <w:spacing w:line="276" w:lineRule="auto"/>
        <w:jc w:val="both"/>
        <w:rPr>
          <w:rFonts w:asciiTheme="minorHAnsi" w:hAnsiTheme="minorHAnsi"/>
          <w:lang w:val="sq-AL"/>
        </w:rPr>
      </w:pPr>
      <w:r w:rsidRPr="009D72D3">
        <w:rPr>
          <w:rFonts w:asciiTheme="minorHAnsi" w:hAnsiTheme="minorHAnsi"/>
          <w:lang w:val="sq-AL"/>
        </w:rPr>
        <w:t>Me fondet e alokuara për investime për vitin 2019 në Ministrinë e Financave dhe Ekonomisë, janë mbyllur 7 kontrata, ku ndër më të rëndësishmet veçojmë projektet e mëposhtme në programin e Arsimit të Mesëm Profesional:</w:t>
      </w:r>
    </w:p>
    <w:p w:rsidR="00AF08C9" w:rsidRPr="009D72D3" w:rsidRDefault="00AF08C9" w:rsidP="00AF08C9">
      <w:pPr>
        <w:pStyle w:val="ListParagraph"/>
        <w:numPr>
          <w:ilvl w:val="0"/>
          <w:numId w:val="12"/>
        </w:numPr>
        <w:spacing w:line="276" w:lineRule="auto"/>
        <w:jc w:val="both"/>
        <w:rPr>
          <w:rFonts w:asciiTheme="minorHAnsi" w:hAnsiTheme="minorHAnsi"/>
          <w:i/>
          <w:color w:val="000000"/>
          <w:lang w:val="sq-AL"/>
        </w:rPr>
      </w:pPr>
      <w:r w:rsidRPr="009D72D3">
        <w:rPr>
          <w:rFonts w:asciiTheme="minorHAnsi" w:hAnsiTheme="minorHAnsi"/>
          <w:i/>
          <w:color w:val="000000"/>
          <w:lang w:val="sq-AL"/>
        </w:rPr>
        <w:t>Rikonstruksion i shkollës “Hoteleri – Turizëm”, Tiranë (Faza II-të), me vlerë 96.5 milionë lekë,</w:t>
      </w:r>
    </w:p>
    <w:p w:rsidR="00AF08C9" w:rsidRPr="009D72D3" w:rsidRDefault="00AF08C9" w:rsidP="00AF08C9">
      <w:pPr>
        <w:pStyle w:val="ListParagraph"/>
        <w:numPr>
          <w:ilvl w:val="0"/>
          <w:numId w:val="12"/>
        </w:numPr>
        <w:spacing w:line="276" w:lineRule="auto"/>
        <w:jc w:val="both"/>
        <w:rPr>
          <w:rFonts w:asciiTheme="minorHAnsi" w:hAnsiTheme="minorHAnsi"/>
          <w:i/>
          <w:color w:val="000000"/>
          <w:lang w:val="sq-AL"/>
        </w:rPr>
      </w:pPr>
      <w:r w:rsidRPr="009D72D3">
        <w:rPr>
          <w:rFonts w:asciiTheme="minorHAnsi" w:hAnsiTheme="minorHAnsi"/>
          <w:i/>
          <w:color w:val="000000"/>
          <w:lang w:val="sq-AL"/>
        </w:rPr>
        <w:t>Ndërtim i Bazës prodhuese të shkollës profesionale  “Petro Sota”, Fier, me vlerë 94.3 milionë lekë,</w:t>
      </w:r>
    </w:p>
    <w:p w:rsidR="00AF08C9" w:rsidRPr="009D72D3" w:rsidRDefault="00AF08C9" w:rsidP="00AF08C9">
      <w:pPr>
        <w:pStyle w:val="ListParagraph"/>
        <w:numPr>
          <w:ilvl w:val="0"/>
          <w:numId w:val="12"/>
        </w:numPr>
        <w:spacing w:line="276" w:lineRule="auto"/>
        <w:jc w:val="both"/>
        <w:rPr>
          <w:rFonts w:asciiTheme="minorHAnsi" w:hAnsiTheme="minorHAnsi"/>
          <w:i/>
          <w:color w:val="000000"/>
          <w:lang w:val="sq-AL"/>
        </w:rPr>
      </w:pPr>
      <w:r w:rsidRPr="009D72D3">
        <w:rPr>
          <w:rFonts w:asciiTheme="minorHAnsi" w:hAnsiTheme="minorHAnsi"/>
          <w:i/>
          <w:color w:val="000000"/>
          <w:lang w:val="sq-AL"/>
        </w:rPr>
        <w:t>Rikonstruksion, ndërtim shkolle dhe bazë prodhuese “Ali Myftiu”, Elbasan (Faza II), me vlerë 97.8 milionë lekë,</w:t>
      </w:r>
    </w:p>
    <w:p w:rsidR="00AF08C9" w:rsidRPr="009D72D3" w:rsidRDefault="00AF08C9" w:rsidP="00AF08C9">
      <w:pPr>
        <w:pStyle w:val="ListParagraph"/>
        <w:numPr>
          <w:ilvl w:val="0"/>
          <w:numId w:val="12"/>
        </w:numPr>
        <w:spacing w:line="276" w:lineRule="auto"/>
        <w:jc w:val="both"/>
        <w:rPr>
          <w:rFonts w:asciiTheme="minorHAnsi" w:hAnsiTheme="minorHAnsi"/>
          <w:i/>
          <w:color w:val="000000"/>
          <w:lang w:val="sq-AL"/>
        </w:rPr>
      </w:pPr>
      <w:r w:rsidRPr="009D72D3">
        <w:rPr>
          <w:rFonts w:asciiTheme="minorHAnsi" w:hAnsiTheme="minorHAnsi"/>
          <w:i/>
          <w:color w:val="000000"/>
          <w:lang w:val="sq-AL"/>
        </w:rPr>
        <w:t>Mbikqyrje e objektit “Rikonstruksion, shtesë kati për bazën prodhuese për shkollën ‘Kristo Isak’ Berat” (Faza II), me vlerë 73.6 milionë lekë.</w:t>
      </w:r>
    </w:p>
    <w:p w:rsidR="00AF08C9" w:rsidRPr="009D72D3" w:rsidRDefault="00AF08C9" w:rsidP="00AF08C9">
      <w:pPr>
        <w:spacing w:line="276" w:lineRule="auto"/>
        <w:jc w:val="both"/>
        <w:rPr>
          <w:rFonts w:asciiTheme="minorHAnsi" w:hAnsiTheme="minorHAnsi"/>
          <w:b/>
          <w:lang w:val="sq-AL"/>
        </w:rPr>
      </w:pPr>
      <w:r w:rsidRPr="009D72D3">
        <w:rPr>
          <w:rFonts w:asciiTheme="minorHAnsi" w:hAnsiTheme="minorHAnsi"/>
          <w:b/>
          <w:lang w:val="sq-AL"/>
        </w:rPr>
        <w:lastRenderedPageBreak/>
        <w:t>Ministria e Brendshme</w:t>
      </w:r>
    </w:p>
    <w:p w:rsidR="00AF08C9" w:rsidRPr="009D72D3" w:rsidRDefault="00AF08C9" w:rsidP="00AF08C9">
      <w:pPr>
        <w:spacing w:line="276" w:lineRule="auto"/>
        <w:jc w:val="both"/>
        <w:rPr>
          <w:rFonts w:asciiTheme="minorHAnsi" w:hAnsiTheme="minorHAnsi"/>
          <w:bCs/>
          <w:lang w:val="sq-AL"/>
        </w:rPr>
      </w:pPr>
      <w:r w:rsidRPr="009D72D3">
        <w:rPr>
          <w:rFonts w:asciiTheme="minorHAnsi" w:hAnsiTheme="minorHAnsi"/>
          <w:lang w:val="sq-AL"/>
        </w:rPr>
        <w:t xml:space="preserve">Realizimi i investimeve në total është në masën </w:t>
      </w:r>
      <w:r w:rsidRPr="009D72D3">
        <w:rPr>
          <w:rFonts w:asciiTheme="minorHAnsi" w:hAnsiTheme="minorHAnsi"/>
          <w:b/>
          <w:bCs/>
          <w:lang w:val="sq-AL"/>
        </w:rPr>
        <w:t>18%</w:t>
      </w:r>
      <w:r w:rsidRPr="009D72D3">
        <w:rPr>
          <w:rFonts w:asciiTheme="minorHAnsi" w:hAnsiTheme="minorHAnsi"/>
          <w:lang w:val="sq-AL"/>
        </w:rPr>
        <w:t xml:space="preserve"> në raport me planin vjetor, nga të cilat </w:t>
      </w:r>
      <w:r w:rsidRPr="009D72D3">
        <w:rPr>
          <w:rFonts w:asciiTheme="minorHAnsi" w:hAnsiTheme="minorHAnsi"/>
          <w:b/>
          <w:bCs/>
          <w:lang w:val="sq-AL"/>
        </w:rPr>
        <w:t xml:space="preserve">15% </w:t>
      </w:r>
      <w:r w:rsidRPr="009D72D3">
        <w:rPr>
          <w:rFonts w:asciiTheme="minorHAnsi" w:hAnsiTheme="minorHAnsi"/>
          <w:bCs/>
          <w:lang w:val="sq-AL"/>
        </w:rPr>
        <w:t xml:space="preserve">është realizimi për financimin e brendshëm dhe </w:t>
      </w:r>
      <w:r w:rsidRPr="009D72D3">
        <w:rPr>
          <w:rFonts w:asciiTheme="minorHAnsi" w:hAnsiTheme="minorHAnsi"/>
          <w:b/>
          <w:bCs/>
          <w:lang w:val="sq-AL"/>
        </w:rPr>
        <w:t xml:space="preserve">21% </w:t>
      </w:r>
      <w:r w:rsidRPr="009D72D3">
        <w:rPr>
          <w:rFonts w:asciiTheme="minorHAnsi" w:hAnsiTheme="minorHAnsi"/>
          <w:bCs/>
          <w:lang w:val="sq-AL"/>
        </w:rPr>
        <w:t xml:space="preserve">realizimi për financimin e huaj.  </w:t>
      </w:r>
      <w:r w:rsidRPr="009D72D3">
        <w:rPr>
          <w:rFonts w:asciiTheme="minorHAnsi" w:hAnsiTheme="minorHAnsi"/>
          <w:lang w:val="sq-AL"/>
        </w:rPr>
        <w:t xml:space="preserve">Deri më tani akoma nuk është mbyllur asnjë projekt investimi, por disa projekte kanë shënuar realizim të lartë dhe pritet të mbyllen brenda vitit. Referuar programit </w:t>
      </w:r>
      <w:r w:rsidRPr="009D72D3">
        <w:rPr>
          <w:rFonts w:asciiTheme="minorHAnsi" w:hAnsiTheme="minorHAnsi"/>
          <w:b/>
          <w:bCs/>
          <w:lang w:val="sq-AL"/>
        </w:rPr>
        <w:t>Policia e Shtetit,</w:t>
      </w:r>
      <w:r w:rsidRPr="009D72D3">
        <w:rPr>
          <w:rFonts w:asciiTheme="minorHAnsi" w:hAnsiTheme="minorHAnsi"/>
          <w:lang w:val="sq-AL"/>
        </w:rPr>
        <w:t xml:space="preserve"> i cili zë peshën më të madhe në planin total të investimeve,  kanë shënuar realizim të lartë</w:t>
      </w:r>
      <w:r w:rsidRPr="009D72D3">
        <w:rPr>
          <w:rFonts w:asciiTheme="minorHAnsi" w:hAnsiTheme="minorHAnsi"/>
          <w:b/>
          <w:bCs/>
          <w:lang w:val="sq-AL"/>
        </w:rPr>
        <w:t>:</w:t>
      </w:r>
      <w:r w:rsidRPr="009D72D3">
        <w:rPr>
          <w:rFonts w:asciiTheme="minorHAnsi" w:hAnsiTheme="minorHAnsi"/>
          <w:bCs/>
          <w:lang w:val="sq-AL"/>
        </w:rPr>
        <w:t xml:space="preserve"> </w:t>
      </w:r>
      <w:r w:rsidRPr="009D72D3">
        <w:rPr>
          <w:rFonts w:asciiTheme="minorHAnsi" w:hAnsiTheme="minorHAnsi"/>
          <w:b/>
          <w:bCs/>
          <w:i/>
          <w:iCs/>
          <w:u w:val="single"/>
          <w:lang w:val="sq-AL"/>
        </w:rPr>
        <w:t xml:space="preserve">Ndërtime/Rikonstruksion (projekte në vazhdim të kontraktuara), </w:t>
      </w:r>
      <w:r w:rsidRPr="009D72D3">
        <w:rPr>
          <w:rFonts w:asciiTheme="minorHAnsi" w:hAnsiTheme="minorHAnsi"/>
          <w:lang w:val="sq-AL"/>
        </w:rPr>
        <w:t>në vlerën 340 milionë, realizuar 47%.</w:t>
      </w:r>
    </w:p>
    <w:p w:rsidR="00AF08C9" w:rsidRPr="009D72D3" w:rsidRDefault="00AF08C9" w:rsidP="00AF08C9">
      <w:pPr>
        <w:spacing w:line="276" w:lineRule="auto"/>
        <w:jc w:val="both"/>
        <w:rPr>
          <w:rFonts w:asciiTheme="minorHAnsi" w:hAnsiTheme="minorHAnsi"/>
          <w:lang w:val="sq-AL"/>
        </w:rPr>
      </w:pPr>
    </w:p>
    <w:p w:rsidR="00AF08C9" w:rsidRPr="009D72D3" w:rsidRDefault="00AF08C9" w:rsidP="00AF08C9">
      <w:pPr>
        <w:spacing w:line="276" w:lineRule="auto"/>
        <w:jc w:val="both"/>
        <w:rPr>
          <w:rFonts w:asciiTheme="minorHAnsi" w:hAnsiTheme="minorHAnsi"/>
          <w:color w:val="000000"/>
          <w:lang w:val="sq-AL"/>
        </w:rPr>
      </w:pPr>
      <w:r w:rsidRPr="009D72D3">
        <w:rPr>
          <w:rFonts w:asciiTheme="minorHAnsi" w:hAnsiTheme="minorHAnsi"/>
          <w:b/>
          <w:lang w:val="sq-AL"/>
        </w:rPr>
        <w:t>Ministria e Drejtësisë</w:t>
      </w:r>
    </w:p>
    <w:p w:rsidR="00AF08C9" w:rsidRPr="009D72D3" w:rsidRDefault="00AF08C9" w:rsidP="00AF08C9">
      <w:pPr>
        <w:spacing w:line="276" w:lineRule="auto"/>
        <w:jc w:val="both"/>
        <w:rPr>
          <w:rFonts w:asciiTheme="minorHAnsi" w:hAnsiTheme="minorHAnsi"/>
          <w:color w:val="000000"/>
          <w:u w:val="single"/>
          <w:lang w:val="sq-AL"/>
        </w:rPr>
      </w:pPr>
      <w:r w:rsidRPr="009D72D3">
        <w:rPr>
          <w:rFonts w:asciiTheme="minorHAnsi" w:hAnsiTheme="minorHAnsi"/>
          <w:color w:val="000000"/>
          <w:lang w:val="sq-AL"/>
        </w:rPr>
        <w:t xml:space="preserve">Është realizuar plotësisht projekti “Krijimi i databaseve për sigurinë e kushteve normale të punës dhe ruajtjen e të dhënave, informatizimi i rregjistrave themeltar të periudhës së dënimit”, </w:t>
      </w:r>
      <w:r w:rsidRPr="009D72D3">
        <w:rPr>
          <w:rFonts w:asciiTheme="minorHAnsi" w:hAnsiTheme="minorHAnsi"/>
          <w:color w:val="000000"/>
          <w:u w:val="single"/>
          <w:lang w:val="sq-AL"/>
        </w:rPr>
        <w:t>me vlerë 14.9 milionë lekë.</w:t>
      </w:r>
    </w:p>
    <w:p w:rsidR="000D1394" w:rsidRPr="004E355C" w:rsidRDefault="000D1394" w:rsidP="00A067C6">
      <w:pPr>
        <w:spacing w:line="276" w:lineRule="auto"/>
        <w:jc w:val="both"/>
        <w:rPr>
          <w:rFonts w:asciiTheme="minorHAnsi" w:hAnsiTheme="minorHAnsi"/>
          <w:color w:val="000000"/>
          <w:lang w:val="sq-AL"/>
        </w:rPr>
      </w:pPr>
    </w:p>
    <w:p w:rsidR="005A1363" w:rsidRPr="004E355C" w:rsidRDefault="005A1363" w:rsidP="00A067C6">
      <w:pPr>
        <w:spacing w:line="276" w:lineRule="auto"/>
        <w:jc w:val="both"/>
        <w:rPr>
          <w:rFonts w:asciiTheme="minorHAnsi" w:hAnsiTheme="minorHAnsi"/>
          <w:color w:val="000000"/>
          <w:lang w:val="sq-AL"/>
        </w:rPr>
      </w:pPr>
    </w:p>
    <w:p w:rsidR="005A1363" w:rsidRPr="004E355C" w:rsidRDefault="005A1363" w:rsidP="00A067C6">
      <w:pPr>
        <w:spacing w:line="276" w:lineRule="auto"/>
        <w:jc w:val="both"/>
        <w:rPr>
          <w:rFonts w:asciiTheme="minorHAnsi" w:hAnsiTheme="minorHAnsi"/>
          <w:color w:val="000000"/>
          <w:lang w:val="sq-AL"/>
        </w:rPr>
      </w:pPr>
    </w:p>
    <w:p w:rsidR="005A1363" w:rsidRPr="004E355C" w:rsidRDefault="005A1363" w:rsidP="00A067C6">
      <w:pPr>
        <w:spacing w:line="276" w:lineRule="auto"/>
        <w:jc w:val="both"/>
        <w:rPr>
          <w:rFonts w:asciiTheme="minorHAnsi" w:hAnsiTheme="minorHAnsi"/>
          <w:color w:val="000000"/>
          <w:lang w:val="sq-AL"/>
        </w:rPr>
      </w:pPr>
    </w:p>
    <w:p w:rsidR="005A1363" w:rsidRPr="004E355C" w:rsidRDefault="005A1363" w:rsidP="00A067C6">
      <w:pPr>
        <w:spacing w:line="276" w:lineRule="auto"/>
        <w:jc w:val="both"/>
        <w:rPr>
          <w:rFonts w:asciiTheme="minorHAnsi" w:hAnsiTheme="minorHAnsi"/>
          <w:color w:val="000000"/>
          <w:lang w:val="sq-AL"/>
        </w:rPr>
      </w:pPr>
    </w:p>
    <w:p w:rsidR="00A067C6" w:rsidRPr="004E355C" w:rsidRDefault="00A067C6" w:rsidP="00A067C6">
      <w:pPr>
        <w:spacing w:line="276" w:lineRule="auto"/>
        <w:jc w:val="both"/>
        <w:rPr>
          <w:rFonts w:asciiTheme="minorHAnsi" w:hAnsiTheme="minorHAnsi"/>
          <w:b/>
          <w:lang w:val="sq-AL"/>
        </w:rPr>
      </w:pPr>
    </w:p>
    <w:p w:rsidR="00593E6C" w:rsidRPr="004E355C" w:rsidRDefault="00593E6C" w:rsidP="000A1A4D">
      <w:pPr>
        <w:spacing w:line="276" w:lineRule="auto"/>
        <w:jc w:val="both"/>
        <w:rPr>
          <w:rFonts w:asciiTheme="minorHAnsi" w:hAnsiTheme="minorHAnsi"/>
          <w:sz w:val="8"/>
          <w:lang w:val="sq-AL"/>
        </w:rPr>
      </w:pPr>
    </w:p>
    <w:p w:rsidR="00673BAA" w:rsidRPr="004E355C" w:rsidRDefault="00932C1C" w:rsidP="00932C1C">
      <w:pPr>
        <w:spacing w:line="276" w:lineRule="auto"/>
        <w:ind w:left="3060"/>
        <w:jc w:val="both"/>
        <w:rPr>
          <w:rFonts w:asciiTheme="minorHAnsi" w:hAnsiTheme="minorHAnsi"/>
          <w:b/>
          <w:bCs/>
          <w:sz w:val="32"/>
          <w:lang w:val="sq-AL"/>
        </w:rPr>
      </w:pPr>
      <w:r w:rsidRPr="004E355C">
        <w:rPr>
          <w:rFonts w:asciiTheme="minorHAnsi" w:hAnsiTheme="minorHAnsi"/>
          <w:b/>
          <w:lang w:val="sq-AL"/>
        </w:rPr>
        <w:tab/>
      </w:r>
      <w:r w:rsidR="004335A3" w:rsidRPr="004E355C">
        <w:rPr>
          <w:rFonts w:asciiTheme="minorHAnsi" w:hAnsiTheme="minorHAnsi"/>
          <w:b/>
          <w:bCs/>
          <w:sz w:val="32"/>
          <w:lang w:val="sq-AL"/>
        </w:rPr>
        <w:t>M</w:t>
      </w:r>
      <w:r w:rsidR="00673BAA" w:rsidRPr="004E355C">
        <w:rPr>
          <w:rFonts w:asciiTheme="minorHAnsi" w:hAnsiTheme="minorHAnsi"/>
          <w:b/>
          <w:bCs/>
          <w:sz w:val="32"/>
          <w:lang w:val="sq-AL"/>
        </w:rPr>
        <w:t xml:space="preserve">INISTRI </w:t>
      </w:r>
      <w:r w:rsidR="007A31D6" w:rsidRPr="004E355C">
        <w:rPr>
          <w:rFonts w:asciiTheme="minorHAnsi" w:hAnsiTheme="minorHAnsi"/>
          <w:b/>
          <w:bCs/>
          <w:sz w:val="32"/>
          <w:lang w:val="sq-AL"/>
        </w:rPr>
        <w:t xml:space="preserve">I </w:t>
      </w:r>
      <w:r w:rsidR="00673BAA" w:rsidRPr="004E355C">
        <w:rPr>
          <w:rFonts w:asciiTheme="minorHAnsi" w:hAnsiTheme="minorHAnsi"/>
          <w:b/>
          <w:bCs/>
          <w:sz w:val="32"/>
          <w:lang w:val="sq-AL"/>
        </w:rPr>
        <w:t>FINANCAVE</w:t>
      </w:r>
      <w:r w:rsidRPr="004E355C">
        <w:rPr>
          <w:rFonts w:asciiTheme="minorHAnsi" w:hAnsiTheme="minorHAnsi"/>
          <w:b/>
          <w:bCs/>
          <w:sz w:val="32"/>
          <w:lang w:val="sq-AL"/>
        </w:rPr>
        <w:t xml:space="preserve"> DHE EKONOMISË</w:t>
      </w:r>
    </w:p>
    <w:p w:rsidR="00593E6C" w:rsidRPr="004E355C" w:rsidRDefault="00593E6C" w:rsidP="000A1A4D">
      <w:pPr>
        <w:spacing w:line="276" w:lineRule="auto"/>
        <w:ind w:left="5040"/>
        <w:jc w:val="both"/>
        <w:rPr>
          <w:rFonts w:asciiTheme="minorHAnsi" w:hAnsiTheme="minorHAnsi"/>
          <w:b/>
          <w:bCs/>
          <w:lang w:val="sq-AL"/>
        </w:rPr>
      </w:pPr>
    </w:p>
    <w:p w:rsidR="00673BAA" w:rsidRPr="004E355C" w:rsidRDefault="00932C1C" w:rsidP="00932C1C">
      <w:pPr>
        <w:spacing w:line="276" w:lineRule="auto"/>
        <w:ind w:left="2880" w:firstLine="720"/>
        <w:jc w:val="both"/>
        <w:rPr>
          <w:rFonts w:asciiTheme="minorHAnsi" w:hAnsiTheme="minorHAnsi"/>
          <w:lang w:val="sq-AL"/>
        </w:rPr>
      </w:pPr>
      <w:r w:rsidRPr="004E355C">
        <w:rPr>
          <w:rFonts w:asciiTheme="minorHAnsi" w:hAnsiTheme="minorHAnsi"/>
          <w:lang w:val="sq-AL"/>
        </w:rPr>
        <w:t>_________________</w:t>
      </w:r>
      <w:r w:rsidR="00673BAA" w:rsidRPr="004E355C">
        <w:rPr>
          <w:rFonts w:asciiTheme="minorHAnsi" w:hAnsiTheme="minorHAnsi"/>
          <w:lang w:val="sq-AL"/>
        </w:rPr>
        <w:t>_____________________________</w:t>
      </w:r>
    </w:p>
    <w:p w:rsidR="00673BAA" w:rsidRPr="004E355C" w:rsidRDefault="000A1A4D" w:rsidP="000A1A4D">
      <w:pPr>
        <w:spacing w:line="276" w:lineRule="auto"/>
        <w:ind w:left="4320" w:firstLine="720"/>
        <w:jc w:val="both"/>
        <w:rPr>
          <w:rFonts w:asciiTheme="minorHAnsi" w:hAnsiTheme="minorHAnsi"/>
          <w:b/>
          <w:sz w:val="32"/>
          <w:lang w:val="sq-AL"/>
        </w:rPr>
      </w:pPr>
      <w:r w:rsidRPr="004E355C">
        <w:rPr>
          <w:rFonts w:asciiTheme="minorHAnsi" w:hAnsiTheme="minorHAnsi"/>
          <w:b/>
          <w:sz w:val="32"/>
          <w:lang w:val="sq-AL"/>
        </w:rPr>
        <w:t xml:space="preserve">  </w:t>
      </w:r>
      <w:r w:rsidR="00E87B91" w:rsidRPr="004E355C">
        <w:rPr>
          <w:rFonts w:asciiTheme="minorHAnsi" w:hAnsiTheme="minorHAnsi"/>
          <w:b/>
          <w:sz w:val="32"/>
          <w:lang w:val="sq-AL"/>
        </w:rPr>
        <w:t xml:space="preserve">    Anila DENAJ</w:t>
      </w:r>
    </w:p>
    <w:p w:rsidR="002460BC" w:rsidRPr="004E355C" w:rsidRDefault="002460BC" w:rsidP="002460BC">
      <w:pPr>
        <w:pStyle w:val="NoSpacing"/>
        <w:rPr>
          <w:rFonts w:ascii="Times New Roman" w:hAnsi="Times New Roman"/>
          <w:i/>
          <w:sz w:val="18"/>
          <w:szCs w:val="18"/>
          <w:lang w:val="sq-AL"/>
        </w:rPr>
      </w:pPr>
    </w:p>
    <w:p w:rsidR="00F5471B" w:rsidRPr="004E355C" w:rsidRDefault="00F5471B" w:rsidP="002460BC">
      <w:pPr>
        <w:pStyle w:val="NoSpacing"/>
        <w:rPr>
          <w:rFonts w:ascii="Times New Roman" w:hAnsi="Times New Roman"/>
          <w:i/>
          <w:sz w:val="18"/>
          <w:szCs w:val="18"/>
          <w:lang w:val="sq-AL"/>
        </w:rPr>
      </w:pPr>
    </w:p>
    <w:p w:rsidR="004335A3" w:rsidRPr="004E355C" w:rsidRDefault="004335A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p>
    <w:p w:rsidR="005A1363" w:rsidRDefault="005A1363" w:rsidP="002460BC">
      <w:pPr>
        <w:pStyle w:val="NoSpacing"/>
        <w:rPr>
          <w:rFonts w:ascii="Times New Roman" w:hAnsi="Times New Roman"/>
          <w:i/>
          <w:sz w:val="18"/>
          <w:szCs w:val="18"/>
          <w:lang w:val="sq-AL"/>
        </w:rPr>
      </w:pPr>
    </w:p>
    <w:p w:rsidR="00123604" w:rsidRDefault="00123604" w:rsidP="002460BC">
      <w:pPr>
        <w:pStyle w:val="NoSpacing"/>
        <w:rPr>
          <w:rFonts w:ascii="Times New Roman" w:hAnsi="Times New Roman"/>
          <w:i/>
          <w:sz w:val="18"/>
          <w:szCs w:val="18"/>
          <w:lang w:val="sq-AL"/>
        </w:rPr>
      </w:pPr>
    </w:p>
    <w:p w:rsidR="00123604" w:rsidRDefault="00123604" w:rsidP="002460BC">
      <w:pPr>
        <w:pStyle w:val="NoSpacing"/>
        <w:rPr>
          <w:rFonts w:ascii="Times New Roman" w:hAnsi="Times New Roman"/>
          <w:i/>
          <w:sz w:val="18"/>
          <w:szCs w:val="18"/>
          <w:lang w:val="sq-AL"/>
        </w:rPr>
      </w:pPr>
    </w:p>
    <w:p w:rsidR="00123604" w:rsidRDefault="00123604" w:rsidP="002460BC">
      <w:pPr>
        <w:pStyle w:val="NoSpacing"/>
        <w:rPr>
          <w:rFonts w:ascii="Times New Roman" w:hAnsi="Times New Roman"/>
          <w:i/>
          <w:sz w:val="18"/>
          <w:szCs w:val="18"/>
          <w:lang w:val="sq-AL"/>
        </w:rPr>
      </w:pPr>
    </w:p>
    <w:p w:rsidR="00123604" w:rsidRDefault="00123604" w:rsidP="002460BC">
      <w:pPr>
        <w:pStyle w:val="NoSpacing"/>
        <w:rPr>
          <w:rFonts w:ascii="Times New Roman" w:hAnsi="Times New Roman"/>
          <w:i/>
          <w:sz w:val="18"/>
          <w:szCs w:val="18"/>
          <w:lang w:val="sq-AL"/>
        </w:rPr>
      </w:pPr>
    </w:p>
    <w:p w:rsidR="00123604" w:rsidRDefault="00123604" w:rsidP="002460BC">
      <w:pPr>
        <w:pStyle w:val="NoSpacing"/>
        <w:rPr>
          <w:rFonts w:ascii="Times New Roman" w:hAnsi="Times New Roman"/>
          <w:i/>
          <w:sz w:val="18"/>
          <w:szCs w:val="18"/>
          <w:lang w:val="sq-AL"/>
        </w:rPr>
      </w:pPr>
    </w:p>
    <w:p w:rsidR="00123604" w:rsidRPr="004E355C" w:rsidRDefault="00123604" w:rsidP="002460BC">
      <w:pPr>
        <w:pStyle w:val="NoSpacing"/>
        <w:rPr>
          <w:rFonts w:ascii="Times New Roman" w:hAnsi="Times New Roman"/>
          <w:i/>
          <w:sz w:val="18"/>
          <w:szCs w:val="18"/>
          <w:lang w:val="sq-AL"/>
        </w:rPr>
      </w:pPr>
    </w:p>
    <w:p w:rsidR="005A1363" w:rsidRPr="004E355C" w:rsidRDefault="005A1363" w:rsidP="002460BC">
      <w:pPr>
        <w:pStyle w:val="NoSpacing"/>
        <w:rPr>
          <w:rFonts w:ascii="Times New Roman" w:hAnsi="Times New Roman"/>
          <w:i/>
          <w:sz w:val="18"/>
          <w:szCs w:val="18"/>
          <w:lang w:val="sq-AL"/>
        </w:rPr>
      </w:pPr>
      <w:bookmarkStart w:id="164" w:name="_GoBack"/>
      <w:bookmarkEnd w:id="164"/>
    </w:p>
    <w:sectPr w:rsidR="005A1363" w:rsidRPr="004E355C" w:rsidSect="00797C25">
      <w:headerReference w:type="default" r:id="rId75"/>
      <w:headerReference w:type="first" r:id="rId76"/>
      <w:pgSz w:w="11907" w:h="16839" w:code="9"/>
      <w:pgMar w:top="1080" w:right="1107" w:bottom="630" w:left="1170" w:header="72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502DE" w:rsidRDefault="00D502DE" w:rsidP="00CD61BB">
      <w:r>
        <w:separator/>
      </w:r>
    </w:p>
  </w:endnote>
  <w:endnote w:type="continuationSeparator" w:id="0">
    <w:p w:rsidR="00D502DE" w:rsidRDefault="00D502DE"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Futura Std Book">
    <w:altName w:val="Futura Std Book"/>
    <w:panose1 w:val="00000000000000000000"/>
    <w:charset w:val="00"/>
    <w:family w:val="swiss"/>
    <w:notTrueType/>
    <w:pitch w:val="default"/>
    <w:sig w:usb0="00000003" w:usb1="00000000" w:usb2="00000000" w:usb3="00000000" w:csb0="00000001" w:csb1="00000000"/>
  </w:font>
  <w:font w:name="Futura Std Light">
    <w:altName w:val="Futura Std Light"/>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59897160"/>
      <w:docPartObj>
        <w:docPartGallery w:val="Page Numbers (Bottom of Page)"/>
        <w:docPartUnique/>
      </w:docPartObj>
    </w:sdtPr>
    <w:sdtEndPr/>
    <w:sdtContent>
      <w:p w:rsidR="008110C8" w:rsidRDefault="008110C8">
        <w:pPr>
          <w:pStyle w:val="Footer"/>
          <w:jc w:val="right"/>
        </w:pPr>
        <w:r>
          <w:fldChar w:fldCharType="begin"/>
        </w:r>
        <w:r>
          <w:instrText xml:space="preserve"> PAGE   \* MERGEFORMAT </w:instrText>
        </w:r>
        <w:r>
          <w:fldChar w:fldCharType="separate"/>
        </w:r>
        <w:r w:rsidR="008D7DB3">
          <w:rPr>
            <w:noProof/>
          </w:rPr>
          <w:t>64</w:t>
        </w:r>
        <w:r>
          <w:rPr>
            <w:noProof/>
          </w:rPr>
          <w:fldChar w:fldCharType="end"/>
        </w:r>
      </w:p>
    </w:sdtContent>
  </w:sdt>
  <w:p w:rsidR="008110C8" w:rsidRDefault="008110C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9616756"/>
      <w:docPartObj>
        <w:docPartGallery w:val="Page Numbers (Bottom of Page)"/>
        <w:docPartUnique/>
      </w:docPartObj>
    </w:sdtPr>
    <w:sdtEndPr>
      <w:rPr>
        <w:noProof/>
      </w:rPr>
    </w:sdtEndPr>
    <w:sdtContent>
      <w:p w:rsidR="008110C8" w:rsidRDefault="008110C8">
        <w:pPr>
          <w:pStyle w:val="Footer"/>
          <w:jc w:val="right"/>
        </w:pPr>
        <w:r>
          <w:fldChar w:fldCharType="begin"/>
        </w:r>
        <w:r>
          <w:instrText xml:space="preserve"> PAGE   \* MERGEFORMAT </w:instrText>
        </w:r>
        <w:r>
          <w:fldChar w:fldCharType="separate"/>
        </w:r>
        <w:r w:rsidR="008D7DB3">
          <w:rPr>
            <w:noProof/>
          </w:rPr>
          <w:t>4</w:t>
        </w:r>
        <w:r>
          <w:rPr>
            <w:noProof/>
          </w:rPr>
          <w:fldChar w:fldCharType="end"/>
        </w:r>
      </w:p>
    </w:sdtContent>
  </w:sdt>
  <w:p w:rsidR="008110C8" w:rsidRDefault="008110C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502DE" w:rsidRDefault="00D502DE" w:rsidP="00CD61BB">
      <w:r>
        <w:separator/>
      </w:r>
    </w:p>
  </w:footnote>
  <w:footnote w:type="continuationSeparator" w:id="0">
    <w:p w:rsidR="00D502DE" w:rsidRDefault="00D502DE" w:rsidP="00CD61BB">
      <w:r>
        <w:continuationSeparator/>
      </w:r>
    </w:p>
  </w:footnote>
  <w:footnote w:id="1">
    <w:p w:rsidR="008110C8" w:rsidRPr="00971C15" w:rsidRDefault="008110C8" w:rsidP="00971C15">
      <w:pPr>
        <w:pStyle w:val="FootnoteText"/>
        <w:spacing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rsidR="008110C8" w:rsidRPr="007F32B7" w:rsidRDefault="008110C8">
      <w:pPr>
        <w:pStyle w:val="FootnoteText"/>
        <w:rPr>
          <w:i/>
          <w:lang w:val="en-US"/>
        </w:rPr>
      </w:pPr>
      <w:r>
        <w:rPr>
          <w:rStyle w:val="FootnoteReference"/>
        </w:rPr>
        <w:footnoteRef/>
      </w:r>
      <w:r>
        <w:t xml:space="preserve"> </w:t>
      </w:r>
      <w:r w:rsidRPr="007F32B7">
        <w:rPr>
          <w:i/>
        </w:rPr>
        <w:t>P</w:t>
      </w:r>
      <w:r>
        <w:rPr>
          <w:rFonts w:asciiTheme="minorHAnsi" w:hAnsiTheme="minorHAnsi"/>
          <w:i/>
        </w:rPr>
        <w:t>ë</w:t>
      </w:r>
      <w:r w:rsidRPr="007F32B7">
        <w:rPr>
          <w:rFonts w:asciiTheme="minorHAnsi" w:hAnsiTheme="minorHAnsi"/>
          <w:i/>
        </w:rPr>
        <w:t>r detaje mbi projektet e investimeve publike p</w:t>
      </w:r>
      <w:r>
        <w:rPr>
          <w:rFonts w:asciiTheme="minorHAnsi" w:hAnsiTheme="minorHAnsi"/>
          <w:i/>
        </w:rPr>
        <w:t>ë</w:t>
      </w:r>
      <w:r w:rsidRPr="007F32B7">
        <w:rPr>
          <w:rFonts w:asciiTheme="minorHAnsi" w:hAnsiTheme="minorHAnsi"/>
          <w:i/>
        </w:rPr>
        <w:t>r periudh</w:t>
      </w:r>
      <w:r>
        <w:rPr>
          <w:rFonts w:asciiTheme="minorHAnsi" w:hAnsiTheme="minorHAnsi"/>
          <w:i/>
        </w:rPr>
        <w:t>ë</w:t>
      </w:r>
      <w:r w:rsidRPr="007F32B7">
        <w:rPr>
          <w:rFonts w:asciiTheme="minorHAnsi" w:hAnsiTheme="minorHAnsi"/>
          <w:i/>
        </w:rPr>
        <w:t>n 5M, referohuni n</w:t>
      </w:r>
      <w:r>
        <w:rPr>
          <w:rFonts w:asciiTheme="minorHAnsi" w:hAnsiTheme="minorHAnsi"/>
          <w:i/>
        </w:rPr>
        <w:t>ë</w:t>
      </w:r>
      <w:r w:rsidRPr="007F32B7">
        <w:rPr>
          <w:rFonts w:asciiTheme="minorHAnsi" w:hAnsiTheme="minorHAnsi"/>
          <w:i/>
        </w:rPr>
        <w:t xml:space="preserve"> Shtojc</w:t>
      </w:r>
      <w:r>
        <w:rPr>
          <w:rFonts w:asciiTheme="minorHAnsi" w:hAnsiTheme="minorHAnsi"/>
          <w:i/>
        </w:rPr>
        <w:t>ë</w:t>
      </w:r>
      <w:r w:rsidRPr="007F32B7">
        <w:rPr>
          <w:rFonts w:asciiTheme="minorHAnsi" w:hAnsiTheme="minorHAnsi"/>
          <w:i/>
        </w:rPr>
        <w:t>n</w:t>
      </w:r>
      <w:r>
        <w:rPr>
          <w:rFonts w:asciiTheme="minorHAnsi" w:hAnsiTheme="minorHAnsi"/>
          <w:i/>
        </w:rPr>
        <w:t xml:space="preserve"> </w:t>
      </w:r>
      <w:r w:rsidRPr="007F32B7">
        <w:rPr>
          <w:rFonts w:asciiTheme="minorHAnsi" w:hAnsiTheme="minorHAnsi"/>
          <w:i/>
        </w:rPr>
        <w:t>V</w:t>
      </w:r>
      <w:r>
        <w:rPr>
          <w:rFonts w:asciiTheme="minorHAnsi" w:hAnsiTheme="minorHAnsi"/>
          <w:i/>
        </w:rPr>
        <w:t>I</w:t>
      </w:r>
      <w:r w:rsidRPr="007F32B7">
        <w:rPr>
          <w:rFonts w:asciiTheme="minorHAnsi" w:hAnsiTheme="minorHAnsi"/>
          <w:i/>
        </w:rPr>
        <w:t>.2 t</w:t>
      </w:r>
      <w:r>
        <w:rPr>
          <w:rFonts w:asciiTheme="minorHAnsi" w:hAnsiTheme="minorHAnsi"/>
          <w:i/>
        </w:rPr>
        <w:t>ë</w:t>
      </w:r>
      <w:r w:rsidRPr="007F32B7">
        <w:rPr>
          <w:rFonts w:asciiTheme="minorHAnsi" w:hAnsiTheme="minorHAnsi"/>
          <w:i/>
        </w:rPr>
        <w:t xml:space="preserve"> k</w:t>
      </w:r>
      <w:r>
        <w:rPr>
          <w:rFonts w:asciiTheme="minorHAnsi" w:hAnsiTheme="minorHAnsi"/>
          <w:i/>
        </w:rPr>
        <w:t>ë</w:t>
      </w:r>
      <w:r w:rsidRPr="007F32B7">
        <w:rPr>
          <w:rFonts w:asciiTheme="minorHAnsi" w:hAnsiTheme="minorHAnsi"/>
          <w:i/>
        </w:rPr>
        <w:t>tij Raporti</w:t>
      </w:r>
    </w:p>
  </w:footnote>
  <w:footnote w:id="3">
    <w:p w:rsidR="008110C8" w:rsidRDefault="008110C8" w:rsidP="00954E06"/>
    <w:p w:rsidR="008110C8" w:rsidRPr="008421E5" w:rsidRDefault="008110C8" w:rsidP="00954E06">
      <w:pPr>
        <w:tabs>
          <w:tab w:val="left" w:pos="1010"/>
        </w:tabs>
        <w:rPr>
          <w:sz w:val="2"/>
          <w:szCs w:val="2"/>
        </w:rPr>
      </w:pPr>
    </w:p>
  </w:footnote>
  <w:footnote w:id="4">
    <w:p w:rsidR="008110C8" w:rsidRPr="00EE6404" w:rsidRDefault="008110C8" w:rsidP="00954E06">
      <w:pPr>
        <w:tabs>
          <w:tab w:val="left" w:pos="9356"/>
        </w:tabs>
        <w:ind w:left="142" w:right="237" w:hanging="142"/>
        <w:jc w:val="both"/>
        <w:rPr>
          <w:i/>
          <w:noProof/>
          <w:sz w:val="20"/>
          <w:szCs w:val="18"/>
        </w:rPr>
      </w:pPr>
      <w:r w:rsidRPr="00EE6404">
        <w:rPr>
          <w:rStyle w:val="FootnoteReference"/>
          <w:i/>
          <w:sz w:val="20"/>
          <w:szCs w:val="18"/>
        </w:rPr>
        <w:footnoteRef/>
      </w:r>
      <w:r w:rsidRPr="00EE6404">
        <w:rPr>
          <w:i/>
        </w:rPr>
        <w:t xml:space="preserve"> </w:t>
      </w:r>
      <w:r w:rsidRPr="00EE6404">
        <w:rPr>
          <w:i/>
          <w:noProof/>
          <w:sz w:val="20"/>
          <w:szCs w:val="18"/>
        </w:rPr>
        <w:t xml:space="preserve">Nuk përfshihen bonot e thesarit. Pavarësisht faktit që janë instrumente me norma interesi fikse, në aspektin e  riskut të normave të interesit paraqesin karakteristika të </w:t>
      </w:r>
      <w:r>
        <w:rPr>
          <w:i/>
          <w:noProof/>
          <w:sz w:val="20"/>
          <w:szCs w:val="18"/>
        </w:rPr>
        <w:t>ngjashme</w:t>
      </w:r>
      <w:r w:rsidRPr="00EE6404">
        <w:rPr>
          <w:i/>
          <w:noProof/>
          <w:sz w:val="20"/>
          <w:szCs w:val="18"/>
        </w:rPr>
        <w:t xml:space="preserve"> me titujt me norma interesi të ndryshueshme.</w:t>
      </w:r>
    </w:p>
  </w:footnote>
  <w:footnote w:id="5">
    <w:p w:rsidR="008110C8" w:rsidRPr="00302A6A" w:rsidRDefault="008110C8" w:rsidP="00150012">
      <w:pPr>
        <w:pStyle w:val="FootnoteText"/>
        <w:spacing w:after="0" w:line="240" w:lineRule="auto"/>
        <w:ind w:left="90" w:hanging="90"/>
        <w:jc w:val="both"/>
        <w:rPr>
          <w:lang w:val="en-US"/>
        </w:rPr>
      </w:pPr>
      <w:r>
        <w:rPr>
          <w:rStyle w:val="FootnoteReference"/>
        </w:rPr>
        <w:footnoteRef/>
      </w:r>
      <w:r>
        <w:t xml:space="preserve"> </w:t>
      </w:r>
      <w:r w:rsidRPr="00302A6A">
        <w:rPr>
          <w:i/>
          <w:sz w:val="18"/>
        </w:rPr>
        <w:t>Analiza e zhvillimeve ekonomike në ketë seksion, bazohet në statistikat/informacionin më të fundit zyrtar të disponueshëm, në momentin e hartimit të këtij raporti</w:t>
      </w:r>
      <w:r w:rsidRPr="00302A6A">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110C8" w:rsidRPr="007A09E2" w:rsidRDefault="008110C8" w:rsidP="007A09E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466"/>
      <w:gridCol w:w="1570"/>
    </w:tblGrid>
    <w:tr w:rsidR="008110C8"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8110C8" w:rsidRPr="008E7E7B" w:rsidRDefault="008110C8"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8110C8" w:rsidRDefault="008110C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2019</w:t>
          </w:r>
          <w:r>
            <w:rPr>
              <w:rFonts w:asciiTheme="majorHAnsi" w:eastAsiaTheme="majorEastAsia" w:hAnsiTheme="majorHAnsi" w:cstheme="majorBidi"/>
              <w:bCs/>
              <w:color w:val="A6A6A6" w:themeColor="background1" w:themeShade="A6"/>
              <w:sz w:val="18"/>
              <w:szCs w:val="18"/>
            </w:rPr>
            <w:tab/>
          </w:r>
        </w:p>
        <w:p w:rsidR="008110C8" w:rsidRPr="008E7E7B" w:rsidRDefault="008110C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8110C8" w:rsidRDefault="008110C8">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466"/>
      <w:gridCol w:w="1570"/>
    </w:tblGrid>
    <w:tr w:rsidR="008110C8" w:rsidRPr="008E7E7B"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rsidR="008110C8" w:rsidRPr="008E7E7B" w:rsidRDefault="008110C8"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rsidR="008110C8" w:rsidRDefault="008110C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2019</w:t>
          </w:r>
          <w:r>
            <w:rPr>
              <w:rFonts w:asciiTheme="majorHAnsi" w:eastAsiaTheme="majorEastAsia" w:hAnsiTheme="majorHAnsi" w:cstheme="majorBidi"/>
              <w:bCs/>
              <w:color w:val="A6A6A6" w:themeColor="background1" w:themeShade="A6"/>
              <w:sz w:val="18"/>
              <w:szCs w:val="18"/>
            </w:rPr>
            <w:tab/>
          </w:r>
        </w:p>
        <w:p w:rsidR="008110C8" w:rsidRPr="008E7E7B" w:rsidRDefault="008110C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rsidR="008110C8" w:rsidRDefault="008110C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1267C6"/>
    <w:multiLevelType w:val="hybridMultilevel"/>
    <w:tmpl w:val="B426A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3A6B33"/>
    <w:multiLevelType w:val="hybridMultilevel"/>
    <w:tmpl w:val="979E1A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F4F7A0F"/>
    <w:multiLevelType w:val="hybridMultilevel"/>
    <w:tmpl w:val="F0CC7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9112E2"/>
    <w:multiLevelType w:val="hybridMultilevel"/>
    <w:tmpl w:val="1EEED73A"/>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4F11363"/>
    <w:multiLevelType w:val="hybridMultilevel"/>
    <w:tmpl w:val="005ADEE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930715F"/>
    <w:multiLevelType w:val="hybridMultilevel"/>
    <w:tmpl w:val="4EFA4294"/>
    <w:lvl w:ilvl="0" w:tplc="D66466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F175BEE"/>
    <w:multiLevelType w:val="hybridMultilevel"/>
    <w:tmpl w:val="ED628604"/>
    <w:lvl w:ilvl="0" w:tplc="0409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8">
    <w:nsid w:val="1F6E069C"/>
    <w:multiLevelType w:val="hybridMultilevel"/>
    <w:tmpl w:val="7B249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EF72D1"/>
    <w:multiLevelType w:val="hybridMultilevel"/>
    <w:tmpl w:val="F34C37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0">
    <w:nsid w:val="34487D79"/>
    <w:multiLevelType w:val="hybridMultilevel"/>
    <w:tmpl w:val="D11CAF86"/>
    <w:lvl w:ilvl="0" w:tplc="D66466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6D7764"/>
    <w:multiLevelType w:val="hybridMultilevel"/>
    <w:tmpl w:val="285CD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F530383"/>
    <w:multiLevelType w:val="hybridMultilevel"/>
    <w:tmpl w:val="C36216F0"/>
    <w:lvl w:ilvl="0" w:tplc="D66466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8266983"/>
    <w:multiLevelType w:val="hybridMultilevel"/>
    <w:tmpl w:val="475E5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97C40ED"/>
    <w:multiLevelType w:val="hybridMultilevel"/>
    <w:tmpl w:val="300229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98C16D8"/>
    <w:multiLevelType w:val="hybridMultilevel"/>
    <w:tmpl w:val="5154585A"/>
    <w:lvl w:ilvl="0" w:tplc="0B60D5D2">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B371EFB"/>
    <w:multiLevelType w:val="hybridMultilevel"/>
    <w:tmpl w:val="5FCCAA7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0706106"/>
    <w:multiLevelType w:val="hybridMultilevel"/>
    <w:tmpl w:val="EEBA1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23378B7"/>
    <w:multiLevelType w:val="hybridMultilevel"/>
    <w:tmpl w:val="934098DE"/>
    <w:lvl w:ilvl="0" w:tplc="D66466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24D6B36"/>
    <w:multiLevelType w:val="hybridMultilevel"/>
    <w:tmpl w:val="D27A2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CC6402B"/>
    <w:multiLevelType w:val="hybridMultilevel"/>
    <w:tmpl w:val="01CEA398"/>
    <w:lvl w:ilvl="0" w:tplc="041C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E685046"/>
    <w:multiLevelType w:val="hybridMultilevel"/>
    <w:tmpl w:val="32FA17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F13761D"/>
    <w:multiLevelType w:val="hybridMultilevel"/>
    <w:tmpl w:val="F23A28E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40A6FBF"/>
    <w:multiLevelType w:val="hybridMultilevel"/>
    <w:tmpl w:val="68D8B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53138B1"/>
    <w:multiLevelType w:val="hybridMultilevel"/>
    <w:tmpl w:val="43E04A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1353"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5E475D3"/>
    <w:multiLevelType w:val="hybridMultilevel"/>
    <w:tmpl w:val="9AE4B74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nsid w:val="7A2E029C"/>
    <w:multiLevelType w:val="hybridMultilevel"/>
    <w:tmpl w:val="86421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C4D6247"/>
    <w:multiLevelType w:val="hybridMultilevel"/>
    <w:tmpl w:val="95C08EA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3">
    <w:nsid w:val="7EDB5A86"/>
    <w:multiLevelType w:val="hybridMultilevel"/>
    <w:tmpl w:val="1E3C4800"/>
    <w:lvl w:ilvl="0" w:tplc="D66466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30"/>
  </w:num>
  <w:num w:numId="3">
    <w:abstractNumId w:val="18"/>
  </w:num>
  <w:num w:numId="4">
    <w:abstractNumId w:val="3"/>
  </w:num>
  <w:num w:numId="5">
    <w:abstractNumId w:val="26"/>
  </w:num>
  <w:num w:numId="6">
    <w:abstractNumId w:val="6"/>
  </w:num>
  <w:num w:numId="7">
    <w:abstractNumId w:val="0"/>
  </w:num>
  <w:num w:numId="8">
    <w:abstractNumId w:val="22"/>
  </w:num>
  <w:num w:numId="9">
    <w:abstractNumId w:val="33"/>
  </w:num>
  <w:num w:numId="10">
    <w:abstractNumId w:val="12"/>
  </w:num>
  <w:num w:numId="11">
    <w:abstractNumId w:val="5"/>
  </w:num>
  <w:num w:numId="12">
    <w:abstractNumId w:val="10"/>
  </w:num>
  <w:num w:numId="13">
    <w:abstractNumId w:val="14"/>
  </w:num>
  <w:num w:numId="14">
    <w:abstractNumId w:val="2"/>
  </w:num>
  <w:num w:numId="15">
    <w:abstractNumId w:val="17"/>
  </w:num>
  <w:num w:numId="16">
    <w:abstractNumId w:val="25"/>
  </w:num>
  <w:num w:numId="17">
    <w:abstractNumId w:val="13"/>
  </w:num>
  <w:num w:numId="18">
    <w:abstractNumId w:val="23"/>
  </w:num>
  <w:num w:numId="19">
    <w:abstractNumId w:val="31"/>
  </w:num>
  <w:num w:numId="20">
    <w:abstractNumId w:val="20"/>
  </w:num>
  <w:num w:numId="21">
    <w:abstractNumId w:val="29"/>
  </w:num>
  <w:num w:numId="22">
    <w:abstractNumId w:val="24"/>
  </w:num>
  <w:num w:numId="23">
    <w:abstractNumId w:val="21"/>
  </w:num>
  <w:num w:numId="24">
    <w:abstractNumId w:val="32"/>
  </w:num>
  <w:num w:numId="25">
    <w:abstractNumId w:val="19"/>
  </w:num>
  <w:num w:numId="26">
    <w:abstractNumId w:val="16"/>
  </w:num>
  <w:num w:numId="27">
    <w:abstractNumId w:val="1"/>
  </w:num>
  <w:num w:numId="28">
    <w:abstractNumId w:val="9"/>
  </w:num>
  <w:num w:numId="29">
    <w:abstractNumId w:val="15"/>
  </w:num>
  <w:num w:numId="30">
    <w:abstractNumId w:val="8"/>
  </w:num>
  <w:num w:numId="31">
    <w:abstractNumId w:val="7"/>
  </w:num>
  <w:num w:numId="32">
    <w:abstractNumId w:val="11"/>
  </w:num>
  <w:num w:numId="33">
    <w:abstractNumId w:val="27"/>
  </w:num>
  <w:num w:numId="34">
    <w:abstractNumId w:val="4"/>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A2E05"/>
    <w:rsid w:val="000009B4"/>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2003B"/>
    <w:rsid w:val="00020D0D"/>
    <w:rsid w:val="00021054"/>
    <w:rsid w:val="00023EC7"/>
    <w:rsid w:val="00024F36"/>
    <w:rsid w:val="00026ECA"/>
    <w:rsid w:val="000278C7"/>
    <w:rsid w:val="00030821"/>
    <w:rsid w:val="00030AB4"/>
    <w:rsid w:val="000313E1"/>
    <w:rsid w:val="00031696"/>
    <w:rsid w:val="000316EE"/>
    <w:rsid w:val="0003180D"/>
    <w:rsid w:val="00035841"/>
    <w:rsid w:val="000358B5"/>
    <w:rsid w:val="00036D1F"/>
    <w:rsid w:val="00040FFF"/>
    <w:rsid w:val="0004148F"/>
    <w:rsid w:val="00041651"/>
    <w:rsid w:val="000431C2"/>
    <w:rsid w:val="000433A3"/>
    <w:rsid w:val="000463AC"/>
    <w:rsid w:val="00050FA7"/>
    <w:rsid w:val="00051A5E"/>
    <w:rsid w:val="00052BF2"/>
    <w:rsid w:val="00053402"/>
    <w:rsid w:val="00053BCC"/>
    <w:rsid w:val="000557E1"/>
    <w:rsid w:val="0006109B"/>
    <w:rsid w:val="00062B2F"/>
    <w:rsid w:val="000631F1"/>
    <w:rsid w:val="00064256"/>
    <w:rsid w:val="000675C9"/>
    <w:rsid w:val="00067A97"/>
    <w:rsid w:val="00070183"/>
    <w:rsid w:val="00070A9E"/>
    <w:rsid w:val="0007318D"/>
    <w:rsid w:val="00074D63"/>
    <w:rsid w:val="00074EFC"/>
    <w:rsid w:val="00075214"/>
    <w:rsid w:val="00075221"/>
    <w:rsid w:val="00075EFB"/>
    <w:rsid w:val="00077ACE"/>
    <w:rsid w:val="00080C58"/>
    <w:rsid w:val="0008211E"/>
    <w:rsid w:val="00082792"/>
    <w:rsid w:val="0008405B"/>
    <w:rsid w:val="00084AE6"/>
    <w:rsid w:val="0008561F"/>
    <w:rsid w:val="0008790E"/>
    <w:rsid w:val="0009015E"/>
    <w:rsid w:val="00091411"/>
    <w:rsid w:val="0009269D"/>
    <w:rsid w:val="00092EF5"/>
    <w:rsid w:val="000935B0"/>
    <w:rsid w:val="00093EC3"/>
    <w:rsid w:val="000946AA"/>
    <w:rsid w:val="00094C85"/>
    <w:rsid w:val="00096062"/>
    <w:rsid w:val="000960BA"/>
    <w:rsid w:val="00097454"/>
    <w:rsid w:val="000A00F7"/>
    <w:rsid w:val="000A0F68"/>
    <w:rsid w:val="000A105F"/>
    <w:rsid w:val="000A1269"/>
    <w:rsid w:val="000A1A4D"/>
    <w:rsid w:val="000A1DED"/>
    <w:rsid w:val="000A2C2B"/>
    <w:rsid w:val="000A3A65"/>
    <w:rsid w:val="000A47EC"/>
    <w:rsid w:val="000A6BDF"/>
    <w:rsid w:val="000B14D4"/>
    <w:rsid w:val="000B2FE1"/>
    <w:rsid w:val="000B3625"/>
    <w:rsid w:val="000B4464"/>
    <w:rsid w:val="000B540E"/>
    <w:rsid w:val="000B5856"/>
    <w:rsid w:val="000B5A01"/>
    <w:rsid w:val="000B6C8B"/>
    <w:rsid w:val="000B73D2"/>
    <w:rsid w:val="000C0515"/>
    <w:rsid w:val="000C2177"/>
    <w:rsid w:val="000C4EAF"/>
    <w:rsid w:val="000C7321"/>
    <w:rsid w:val="000D0537"/>
    <w:rsid w:val="000D0B82"/>
    <w:rsid w:val="000D0FAE"/>
    <w:rsid w:val="000D1054"/>
    <w:rsid w:val="000D1394"/>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6782"/>
    <w:rsid w:val="000E6C40"/>
    <w:rsid w:val="000E73FC"/>
    <w:rsid w:val="000E7521"/>
    <w:rsid w:val="000E765C"/>
    <w:rsid w:val="000F051F"/>
    <w:rsid w:val="000F1197"/>
    <w:rsid w:val="000F25F3"/>
    <w:rsid w:val="000F2E94"/>
    <w:rsid w:val="000F2F61"/>
    <w:rsid w:val="000F4824"/>
    <w:rsid w:val="000F4D1C"/>
    <w:rsid w:val="000F540A"/>
    <w:rsid w:val="000F606D"/>
    <w:rsid w:val="000F7B0C"/>
    <w:rsid w:val="000F7EE0"/>
    <w:rsid w:val="001004A6"/>
    <w:rsid w:val="001011D2"/>
    <w:rsid w:val="00102AA3"/>
    <w:rsid w:val="00102D6A"/>
    <w:rsid w:val="00104441"/>
    <w:rsid w:val="00105412"/>
    <w:rsid w:val="00106E18"/>
    <w:rsid w:val="001070FF"/>
    <w:rsid w:val="00107342"/>
    <w:rsid w:val="001105BE"/>
    <w:rsid w:val="0011061C"/>
    <w:rsid w:val="0011081B"/>
    <w:rsid w:val="0011178E"/>
    <w:rsid w:val="00112C09"/>
    <w:rsid w:val="001140C9"/>
    <w:rsid w:val="0011462F"/>
    <w:rsid w:val="001147E2"/>
    <w:rsid w:val="0011683A"/>
    <w:rsid w:val="00117C1E"/>
    <w:rsid w:val="001216A1"/>
    <w:rsid w:val="0012315A"/>
    <w:rsid w:val="00123604"/>
    <w:rsid w:val="00123875"/>
    <w:rsid w:val="0012432B"/>
    <w:rsid w:val="00124A22"/>
    <w:rsid w:val="0012547B"/>
    <w:rsid w:val="00125535"/>
    <w:rsid w:val="001256B7"/>
    <w:rsid w:val="00126C04"/>
    <w:rsid w:val="001273EB"/>
    <w:rsid w:val="00127B95"/>
    <w:rsid w:val="0013043F"/>
    <w:rsid w:val="00131067"/>
    <w:rsid w:val="00132007"/>
    <w:rsid w:val="00132274"/>
    <w:rsid w:val="001325A5"/>
    <w:rsid w:val="00132760"/>
    <w:rsid w:val="00133661"/>
    <w:rsid w:val="001348C2"/>
    <w:rsid w:val="00134C45"/>
    <w:rsid w:val="00137DBA"/>
    <w:rsid w:val="0014189B"/>
    <w:rsid w:val="00142974"/>
    <w:rsid w:val="00143F84"/>
    <w:rsid w:val="001445E4"/>
    <w:rsid w:val="0014483A"/>
    <w:rsid w:val="00145A6E"/>
    <w:rsid w:val="00145CF2"/>
    <w:rsid w:val="001460AD"/>
    <w:rsid w:val="00146D79"/>
    <w:rsid w:val="001470C2"/>
    <w:rsid w:val="001472EC"/>
    <w:rsid w:val="00150012"/>
    <w:rsid w:val="00150059"/>
    <w:rsid w:val="00150A21"/>
    <w:rsid w:val="00152EE7"/>
    <w:rsid w:val="00152F8F"/>
    <w:rsid w:val="001549DF"/>
    <w:rsid w:val="00155195"/>
    <w:rsid w:val="0015558C"/>
    <w:rsid w:val="001559DA"/>
    <w:rsid w:val="00157B21"/>
    <w:rsid w:val="00161F13"/>
    <w:rsid w:val="00163C3B"/>
    <w:rsid w:val="001649C0"/>
    <w:rsid w:val="001664DF"/>
    <w:rsid w:val="0016694D"/>
    <w:rsid w:val="00166D8B"/>
    <w:rsid w:val="001700B3"/>
    <w:rsid w:val="0017076B"/>
    <w:rsid w:val="0017172F"/>
    <w:rsid w:val="00171750"/>
    <w:rsid w:val="001720EB"/>
    <w:rsid w:val="00172EF6"/>
    <w:rsid w:val="00172F07"/>
    <w:rsid w:val="00174442"/>
    <w:rsid w:val="0017449A"/>
    <w:rsid w:val="0017690C"/>
    <w:rsid w:val="00176D77"/>
    <w:rsid w:val="00176D8B"/>
    <w:rsid w:val="0017759D"/>
    <w:rsid w:val="00177EE9"/>
    <w:rsid w:val="00180408"/>
    <w:rsid w:val="00180FE4"/>
    <w:rsid w:val="001813D0"/>
    <w:rsid w:val="001829D2"/>
    <w:rsid w:val="001838EB"/>
    <w:rsid w:val="00184522"/>
    <w:rsid w:val="001850DE"/>
    <w:rsid w:val="00186C16"/>
    <w:rsid w:val="00186CC4"/>
    <w:rsid w:val="00186F3E"/>
    <w:rsid w:val="00187722"/>
    <w:rsid w:val="001907DA"/>
    <w:rsid w:val="00190FF4"/>
    <w:rsid w:val="00192E38"/>
    <w:rsid w:val="00193047"/>
    <w:rsid w:val="00193214"/>
    <w:rsid w:val="00193217"/>
    <w:rsid w:val="00193EF8"/>
    <w:rsid w:val="0019472E"/>
    <w:rsid w:val="001964A3"/>
    <w:rsid w:val="001978B3"/>
    <w:rsid w:val="00197C2F"/>
    <w:rsid w:val="001A1995"/>
    <w:rsid w:val="001A6E86"/>
    <w:rsid w:val="001A766B"/>
    <w:rsid w:val="001A77A8"/>
    <w:rsid w:val="001B038E"/>
    <w:rsid w:val="001B14EA"/>
    <w:rsid w:val="001B168E"/>
    <w:rsid w:val="001B35D0"/>
    <w:rsid w:val="001B3B3B"/>
    <w:rsid w:val="001B5B2F"/>
    <w:rsid w:val="001C1838"/>
    <w:rsid w:val="001C27C1"/>
    <w:rsid w:val="001C2A41"/>
    <w:rsid w:val="001C3D4D"/>
    <w:rsid w:val="001C4818"/>
    <w:rsid w:val="001C4FB0"/>
    <w:rsid w:val="001C4FB4"/>
    <w:rsid w:val="001C7383"/>
    <w:rsid w:val="001D44AF"/>
    <w:rsid w:val="001D4F19"/>
    <w:rsid w:val="001D5347"/>
    <w:rsid w:val="001E0CE8"/>
    <w:rsid w:val="001E2B2F"/>
    <w:rsid w:val="001E49E7"/>
    <w:rsid w:val="001E6A9B"/>
    <w:rsid w:val="001E701E"/>
    <w:rsid w:val="001E7643"/>
    <w:rsid w:val="001F058C"/>
    <w:rsid w:val="001F0604"/>
    <w:rsid w:val="001F063F"/>
    <w:rsid w:val="001F0FC4"/>
    <w:rsid w:val="001F1309"/>
    <w:rsid w:val="001F142F"/>
    <w:rsid w:val="001F2ADF"/>
    <w:rsid w:val="001F67C5"/>
    <w:rsid w:val="001F6F5E"/>
    <w:rsid w:val="001F6F95"/>
    <w:rsid w:val="001F6FDF"/>
    <w:rsid w:val="00203D04"/>
    <w:rsid w:val="00204B73"/>
    <w:rsid w:val="00204F1C"/>
    <w:rsid w:val="00205409"/>
    <w:rsid w:val="00205627"/>
    <w:rsid w:val="0020657D"/>
    <w:rsid w:val="00207814"/>
    <w:rsid w:val="002107E2"/>
    <w:rsid w:val="00210AB8"/>
    <w:rsid w:val="00211C3F"/>
    <w:rsid w:val="00211F52"/>
    <w:rsid w:val="00213209"/>
    <w:rsid w:val="00213C47"/>
    <w:rsid w:val="00215300"/>
    <w:rsid w:val="0021544A"/>
    <w:rsid w:val="00215963"/>
    <w:rsid w:val="002161D1"/>
    <w:rsid w:val="00216E0B"/>
    <w:rsid w:val="00217106"/>
    <w:rsid w:val="0021769C"/>
    <w:rsid w:val="00217FEB"/>
    <w:rsid w:val="002209C4"/>
    <w:rsid w:val="00222429"/>
    <w:rsid w:val="00223C96"/>
    <w:rsid w:val="00224542"/>
    <w:rsid w:val="00224B01"/>
    <w:rsid w:val="002255E1"/>
    <w:rsid w:val="00225E29"/>
    <w:rsid w:val="00227084"/>
    <w:rsid w:val="002278F9"/>
    <w:rsid w:val="00231E75"/>
    <w:rsid w:val="002326C7"/>
    <w:rsid w:val="00233485"/>
    <w:rsid w:val="00233B27"/>
    <w:rsid w:val="00234757"/>
    <w:rsid w:val="00236654"/>
    <w:rsid w:val="002370D8"/>
    <w:rsid w:val="00237145"/>
    <w:rsid w:val="0023717E"/>
    <w:rsid w:val="002402F8"/>
    <w:rsid w:val="002406D0"/>
    <w:rsid w:val="0024079D"/>
    <w:rsid w:val="00240864"/>
    <w:rsid w:val="00240ABA"/>
    <w:rsid w:val="00240ABC"/>
    <w:rsid w:val="00240E5B"/>
    <w:rsid w:val="00241855"/>
    <w:rsid w:val="00241CE3"/>
    <w:rsid w:val="002423E9"/>
    <w:rsid w:val="002441A5"/>
    <w:rsid w:val="00244B72"/>
    <w:rsid w:val="00244CEF"/>
    <w:rsid w:val="00245055"/>
    <w:rsid w:val="00245495"/>
    <w:rsid w:val="00245B8B"/>
    <w:rsid w:val="002460BC"/>
    <w:rsid w:val="002469C1"/>
    <w:rsid w:val="00247209"/>
    <w:rsid w:val="00247778"/>
    <w:rsid w:val="002478D3"/>
    <w:rsid w:val="00251493"/>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2852"/>
    <w:rsid w:val="00263A0A"/>
    <w:rsid w:val="00264A8E"/>
    <w:rsid w:val="00264E3B"/>
    <w:rsid w:val="002651EF"/>
    <w:rsid w:val="00265A7D"/>
    <w:rsid w:val="00265F48"/>
    <w:rsid w:val="00267105"/>
    <w:rsid w:val="0027011A"/>
    <w:rsid w:val="0027240C"/>
    <w:rsid w:val="00272C50"/>
    <w:rsid w:val="00273119"/>
    <w:rsid w:val="002740E3"/>
    <w:rsid w:val="00275310"/>
    <w:rsid w:val="00275E5D"/>
    <w:rsid w:val="00276003"/>
    <w:rsid w:val="002762A9"/>
    <w:rsid w:val="00276794"/>
    <w:rsid w:val="0027683A"/>
    <w:rsid w:val="00277F20"/>
    <w:rsid w:val="00282629"/>
    <w:rsid w:val="00286D23"/>
    <w:rsid w:val="00286DCC"/>
    <w:rsid w:val="0028760E"/>
    <w:rsid w:val="00291768"/>
    <w:rsid w:val="00291EF6"/>
    <w:rsid w:val="0029315A"/>
    <w:rsid w:val="00297E24"/>
    <w:rsid w:val="002A0C3D"/>
    <w:rsid w:val="002A11B7"/>
    <w:rsid w:val="002A1407"/>
    <w:rsid w:val="002A2247"/>
    <w:rsid w:val="002A228A"/>
    <w:rsid w:val="002A328E"/>
    <w:rsid w:val="002A38F0"/>
    <w:rsid w:val="002A461D"/>
    <w:rsid w:val="002A60C3"/>
    <w:rsid w:val="002A6548"/>
    <w:rsid w:val="002A734A"/>
    <w:rsid w:val="002B0043"/>
    <w:rsid w:val="002B1D29"/>
    <w:rsid w:val="002B2044"/>
    <w:rsid w:val="002B2276"/>
    <w:rsid w:val="002B2B79"/>
    <w:rsid w:val="002B3717"/>
    <w:rsid w:val="002B3AB5"/>
    <w:rsid w:val="002B51BE"/>
    <w:rsid w:val="002C04BF"/>
    <w:rsid w:val="002C13CF"/>
    <w:rsid w:val="002C1E64"/>
    <w:rsid w:val="002C2324"/>
    <w:rsid w:val="002C2FBF"/>
    <w:rsid w:val="002C3CA1"/>
    <w:rsid w:val="002C4E7B"/>
    <w:rsid w:val="002C5A42"/>
    <w:rsid w:val="002C6745"/>
    <w:rsid w:val="002C681F"/>
    <w:rsid w:val="002D0C56"/>
    <w:rsid w:val="002D2B0D"/>
    <w:rsid w:val="002D2D2D"/>
    <w:rsid w:val="002D38C7"/>
    <w:rsid w:val="002D4B15"/>
    <w:rsid w:val="002D5945"/>
    <w:rsid w:val="002D762C"/>
    <w:rsid w:val="002E06CE"/>
    <w:rsid w:val="002E0B92"/>
    <w:rsid w:val="002E2871"/>
    <w:rsid w:val="002E3BD8"/>
    <w:rsid w:val="002E3D93"/>
    <w:rsid w:val="002E4B00"/>
    <w:rsid w:val="002E5A19"/>
    <w:rsid w:val="002E5B8A"/>
    <w:rsid w:val="002E7615"/>
    <w:rsid w:val="002F0689"/>
    <w:rsid w:val="002F14DE"/>
    <w:rsid w:val="002F43DA"/>
    <w:rsid w:val="002F4D7C"/>
    <w:rsid w:val="002F5102"/>
    <w:rsid w:val="002F5328"/>
    <w:rsid w:val="002F5474"/>
    <w:rsid w:val="002F619B"/>
    <w:rsid w:val="002F6850"/>
    <w:rsid w:val="002F77DE"/>
    <w:rsid w:val="00301175"/>
    <w:rsid w:val="00301253"/>
    <w:rsid w:val="00302A6A"/>
    <w:rsid w:val="00302B52"/>
    <w:rsid w:val="00303DF2"/>
    <w:rsid w:val="0030746D"/>
    <w:rsid w:val="00307625"/>
    <w:rsid w:val="0030765D"/>
    <w:rsid w:val="00307698"/>
    <w:rsid w:val="00312527"/>
    <w:rsid w:val="003134EA"/>
    <w:rsid w:val="003136B7"/>
    <w:rsid w:val="00313B39"/>
    <w:rsid w:val="00314D71"/>
    <w:rsid w:val="003174DD"/>
    <w:rsid w:val="00317905"/>
    <w:rsid w:val="00317E44"/>
    <w:rsid w:val="0032510B"/>
    <w:rsid w:val="00326976"/>
    <w:rsid w:val="00327513"/>
    <w:rsid w:val="00327624"/>
    <w:rsid w:val="00327729"/>
    <w:rsid w:val="003301FA"/>
    <w:rsid w:val="00330B1D"/>
    <w:rsid w:val="00330EE7"/>
    <w:rsid w:val="00330F78"/>
    <w:rsid w:val="003329FF"/>
    <w:rsid w:val="00332B68"/>
    <w:rsid w:val="00332E0A"/>
    <w:rsid w:val="0033525B"/>
    <w:rsid w:val="003356F7"/>
    <w:rsid w:val="00335DD0"/>
    <w:rsid w:val="00336589"/>
    <w:rsid w:val="00336753"/>
    <w:rsid w:val="00337792"/>
    <w:rsid w:val="00337F9A"/>
    <w:rsid w:val="00340944"/>
    <w:rsid w:val="00340DDE"/>
    <w:rsid w:val="00341655"/>
    <w:rsid w:val="00341DF7"/>
    <w:rsid w:val="00341E88"/>
    <w:rsid w:val="003428D1"/>
    <w:rsid w:val="00343879"/>
    <w:rsid w:val="00343B94"/>
    <w:rsid w:val="0034411F"/>
    <w:rsid w:val="00344512"/>
    <w:rsid w:val="00344C59"/>
    <w:rsid w:val="003450A2"/>
    <w:rsid w:val="00345A78"/>
    <w:rsid w:val="00346229"/>
    <w:rsid w:val="00347DAF"/>
    <w:rsid w:val="00350497"/>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DAA"/>
    <w:rsid w:val="003661FA"/>
    <w:rsid w:val="003671F1"/>
    <w:rsid w:val="0036747C"/>
    <w:rsid w:val="00370C58"/>
    <w:rsid w:val="003718F9"/>
    <w:rsid w:val="00372A3F"/>
    <w:rsid w:val="00372B08"/>
    <w:rsid w:val="00373494"/>
    <w:rsid w:val="00375B6A"/>
    <w:rsid w:val="00376338"/>
    <w:rsid w:val="00381CAE"/>
    <w:rsid w:val="00382398"/>
    <w:rsid w:val="00383CB4"/>
    <w:rsid w:val="00384ABC"/>
    <w:rsid w:val="00386111"/>
    <w:rsid w:val="003862DD"/>
    <w:rsid w:val="003864E7"/>
    <w:rsid w:val="00386547"/>
    <w:rsid w:val="0038676C"/>
    <w:rsid w:val="00387104"/>
    <w:rsid w:val="00392AE6"/>
    <w:rsid w:val="00392D7F"/>
    <w:rsid w:val="00393560"/>
    <w:rsid w:val="003947F2"/>
    <w:rsid w:val="0039490A"/>
    <w:rsid w:val="00394CF9"/>
    <w:rsid w:val="003950C6"/>
    <w:rsid w:val="0039681B"/>
    <w:rsid w:val="00397C3F"/>
    <w:rsid w:val="003A02D6"/>
    <w:rsid w:val="003A0994"/>
    <w:rsid w:val="003A1589"/>
    <w:rsid w:val="003A294A"/>
    <w:rsid w:val="003A5D62"/>
    <w:rsid w:val="003A67D5"/>
    <w:rsid w:val="003A68A0"/>
    <w:rsid w:val="003A7637"/>
    <w:rsid w:val="003A797D"/>
    <w:rsid w:val="003B1519"/>
    <w:rsid w:val="003B165E"/>
    <w:rsid w:val="003B21B2"/>
    <w:rsid w:val="003B52C0"/>
    <w:rsid w:val="003B67ED"/>
    <w:rsid w:val="003B7659"/>
    <w:rsid w:val="003B7685"/>
    <w:rsid w:val="003B7A5E"/>
    <w:rsid w:val="003B7A8E"/>
    <w:rsid w:val="003B7EAE"/>
    <w:rsid w:val="003C20CF"/>
    <w:rsid w:val="003C2CAD"/>
    <w:rsid w:val="003C42B7"/>
    <w:rsid w:val="003C5C96"/>
    <w:rsid w:val="003D0213"/>
    <w:rsid w:val="003D047F"/>
    <w:rsid w:val="003D071E"/>
    <w:rsid w:val="003D082B"/>
    <w:rsid w:val="003D0989"/>
    <w:rsid w:val="003D0A60"/>
    <w:rsid w:val="003D0C18"/>
    <w:rsid w:val="003D184D"/>
    <w:rsid w:val="003D24A4"/>
    <w:rsid w:val="003D27B0"/>
    <w:rsid w:val="003D2E53"/>
    <w:rsid w:val="003D3D34"/>
    <w:rsid w:val="003D3D3B"/>
    <w:rsid w:val="003D43A4"/>
    <w:rsid w:val="003D5130"/>
    <w:rsid w:val="003D557E"/>
    <w:rsid w:val="003D5A86"/>
    <w:rsid w:val="003D72D8"/>
    <w:rsid w:val="003D7996"/>
    <w:rsid w:val="003E03A1"/>
    <w:rsid w:val="003E03E4"/>
    <w:rsid w:val="003E069C"/>
    <w:rsid w:val="003E3135"/>
    <w:rsid w:val="003E49E5"/>
    <w:rsid w:val="003E529E"/>
    <w:rsid w:val="003E568F"/>
    <w:rsid w:val="003E5AE7"/>
    <w:rsid w:val="003E6982"/>
    <w:rsid w:val="003E783A"/>
    <w:rsid w:val="003E788A"/>
    <w:rsid w:val="003F09C1"/>
    <w:rsid w:val="003F1220"/>
    <w:rsid w:val="003F2272"/>
    <w:rsid w:val="003F2FDB"/>
    <w:rsid w:val="003F38E8"/>
    <w:rsid w:val="003F4DA7"/>
    <w:rsid w:val="003F50B1"/>
    <w:rsid w:val="003F668C"/>
    <w:rsid w:val="00400BF5"/>
    <w:rsid w:val="004010D2"/>
    <w:rsid w:val="0040176D"/>
    <w:rsid w:val="0040263A"/>
    <w:rsid w:val="0040348D"/>
    <w:rsid w:val="004049A9"/>
    <w:rsid w:val="0040685E"/>
    <w:rsid w:val="00406C97"/>
    <w:rsid w:val="004104AC"/>
    <w:rsid w:val="00412105"/>
    <w:rsid w:val="00412B4B"/>
    <w:rsid w:val="00413F7E"/>
    <w:rsid w:val="00414624"/>
    <w:rsid w:val="00414702"/>
    <w:rsid w:val="004158FA"/>
    <w:rsid w:val="0041642C"/>
    <w:rsid w:val="00417DCB"/>
    <w:rsid w:val="00420C89"/>
    <w:rsid w:val="00421A03"/>
    <w:rsid w:val="0042203E"/>
    <w:rsid w:val="004241A1"/>
    <w:rsid w:val="004243F1"/>
    <w:rsid w:val="004246D4"/>
    <w:rsid w:val="00425D0E"/>
    <w:rsid w:val="0042698C"/>
    <w:rsid w:val="00426C9E"/>
    <w:rsid w:val="0042726F"/>
    <w:rsid w:val="0042741F"/>
    <w:rsid w:val="00430AC8"/>
    <w:rsid w:val="00432288"/>
    <w:rsid w:val="00433397"/>
    <w:rsid w:val="004335A3"/>
    <w:rsid w:val="004349AE"/>
    <w:rsid w:val="0043587B"/>
    <w:rsid w:val="00436982"/>
    <w:rsid w:val="00436B33"/>
    <w:rsid w:val="00436E61"/>
    <w:rsid w:val="00437C04"/>
    <w:rsid w:val="004409F7"/>
    <w:rsid w:val="004426DC"/>
    <w:rsid w:val="00443A81"/>
    <w:rsid w:val="00443DBD"/>
    <w:rsid w:val="00443FC6"/>
    <w:rsid w:val="00444289"/>
    <w:rsid w:val="004449DB"/>
    <w:rsid w:val="00444E32"/>
    <w:rsid w:val="00447459"/>
    <w:rsid w:val="0045026B"/>
    <w:rsid w:val="00451135"/>
    <w:rsid w:val="004516AC"/>
    <w:rsid w:val="00451987"/>
    <w:rsid w:val="00453CE5"/>
    <w:rsid w:val="004546A1"/>
    <w:rsid w:val="00454868"/>
    <w:rsid w:val="004552E5"/>
    <w:rsid w:val="00455ECB"/>
    <w:rsid w:val="004563A6"/>
    <w:rsid w:val="00456A13"/>
    <w:rsid w:val="00456A1A"/>
    <w:rsid w:val="0045766D"/>
    <w:rsid w:val="0046055E"/>
    <w:rsid w:val="00461120"/>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10C9"/>
    <w:rsid w:val="00471172"/>
    <w:rsid w:val="004718DA"/>
    <w:rsid w:val="004719C1"/>
    <w:rsid w:val="004748A7"/>
    <w:rsid w:val="0047559A"/>
    <w:rsid w:val="00476597"/>
    <w:rsid w:val="00477292"/>
    <w:rsid w:val="0048014F"/>
    <w:rsid w:val="00480699"/>
    <w:rsid w:val="00480DDB"/>
    <w:rsid w:val="00482138"/>
    <w:rsid w:val="004823A1"/>
    <w:rsid w:val="0048344E"/>
    <w:rsid w:val="00486F2E"/>
    <w:rsid w:val="004878CE"/>
    <w:rsid w:val="00491932"/>
    <w:rsid w:val="00491995"/>
    <w:rsid w:val="00492A3F"/>
    <w:rsid w:val="004931F1"/>
    <w:rsid w:val="004959D2"/>
    <w:rsid w:val="004965B0"/>
    <w:rsid w:val="004974C9"/>
    <w:rsid w:val="004A010E"/>
    <w:rsid w:val="004A0FE4"/>
    <w:rsid w:val="004A1BCD"/>
    <w:rsid w:val="004A2522"/>
    <w:rsid w:val="004A492C"/>
    <w:rsid w:val="004A7490"/>
    <w:rsid w:val="004B03D5"/>
    <w:rsid w:val="004B0534"/>
    <w:rsid w:val="004B2482"/>
    <w:rsid w:val="004B403B"/>
    <w:rsid w:val="004B4AD0"/>
    <w:rsid w:val="004B58CA"/>
    <w:rsid w:val="004B69DB"/>
    <w:rsid w:val="004B6ADA"/>
    <w:rsid w:val="004C1174"/>
    <w:rsid w:val="004C12C9"/>
    <w:rsid w:val="004C12F0"/>
    <w:rsid w:val="004C17C5"/>
    <w:rsid w:val="004C219F"/>
    <w:rsid w:val="004C240F"/>
    <w:rsid w:val="004C2653"/>
    <w:rsid w:val="004C3D1F"/>
    <w:rsid w:val="004C55B4"/>
    <w:rsid w:val="004C5BEC"/>
    <w:rsid w:val="004C5C81"/>
    <w:rsid w:val="004C6C15"/>
    <w:rsid w:val="004D0619"/>
    <w:rsid w:val="004D0C06"/>
    <w:rsid w:val="004D1A9D"/>
    <w:rsid w:val="004D1F43"/>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7E5"/>
    <w:rsid w:val="004E7C1E"/>
    <w:rsid w:val="004F0C7D"/>
    <w:rsid w:val="004F0F4C"/>
    <w:rsid w:val="004F1DEF"/>
    <w:rsid w:val="004F1FA6"/>
    <w:rsid w:val="004F2300"/>
    <w:rsid w:val="004F2CAD"/>
    <w:rsid w:val="004F3E0B"/>
    <w:rsid w:val="004F3F15"/>
    <w:rsid w:val="004F51AF"/>
    <w:rsid w:val="004F5A59"/>
    <w:rsid w:val="004F62A4"/>
    <w:rsid w:val="004F79E4"/>
    <w:rsid w:val="004F7CCF"/>
    <w:rsid w:val="005008F3"/>
    <w:rsid w:val="00501737"/>
    <w:rsid w:val="00501931"/>
    <w:rsid w:val="005031B9"/>
    <w:rsid w:val="0050357E"/>
    <w:rsid w:val="00503636"/>
    <w:rsid w:val="0050393B"/>
    <w:rsid w:val="00503E2F"/>
    <w:rsid w:val="00504FB2"/>
    <w:rsid w:val="005057C8"/>
    <w:rsid w:val="00505A68"/>
    <w:rsid w:val="00506CBA"/>
    <w:rsid w:val="00511809"/>
    <w:rsid w:val="00512323"/>
    <w:rsid w:val="0051249B"/>
    <w:rsid w:val="00513D66"/>
    <w:rsid w:val="00514246"/>
    <w:rsid w:val="00514DA0"/>
    <w:rsid w:val="00515024"/>
    <w:rsid w:val="00516407"/>
    <w:rsid w:val="00516451"/>
    <w:rsid w:val="00516618"/>
    <w:rsid w:val="0052258A"/>
    <w:rsid w:val="00522977"/>
    <w:rsid w:val="0052318E"/>
    <w:rsid w:val="0052359A"/>
    <w:rsid w:val="0052511B"/>
    <w:rsid w:val="00525451"/>
    <w:rsid w:val="00526AC1"/>
    <w:rsid w:val="00527686"/>
    <w:rsid w:val="00530A99"/>
    <w:rsid w:val="005313BB"/>
    <w:rsid w:val="00532A95"/>
    <w:rsid w:val="00532E02"/>
    <w:rsid w:val="0053516F"/>
    <w:rsid w:val="005353F6"/>
    <w:rsid w:val="00535EA0"/>
    <w:rsid w:val="00540BB0"/>
    <w:rsid w:val="0054100C"/>
    <w:rsid w:val="00543268"/>
    <w:rsid w:val="0054341D"/>
    <w:rsid w:val="00544DAF"/>
    <w:rsid w:val="00545DE5"/>
    <w:rsid w:val="005463E4"/>
    <w:rsid w:val="00546E20"/>
    <w:rsid w:val="0054759A"/>
    <w:rsid w:val="00550C61"/>
    <w:rsid w:val="0055157D"/>
    <w:rsid w:val="005520FD"/>
    <w:rsid w:val="0055638F"/>
    <w:rsid w:val="005564F1"/>
    <w:rsid w:val="0055673C"/>
    <w:rsid w:val="00560789"/>
    <w:rsid w:val="005607ED"/>
    <w:rsid w:val="005612CA"/>
    <w:rsid w:val="00561C3B"/>
    <w:rsid w:val="00562447"/>
    <w:rsid w:val="00562780"/>
    <w:rsid w:val="00562E3F"/>
    <w:rsid w:val="00563387"/>
    <w:rsid w:val="00564887"/>
    <w:rsid w:val="0056643D"/>
    <w:rsid w:val="00566B75"/>
    <w:rsid w:val="00566BBB"/>
    <w:rsid w:val="00566D66"/>
    <w:rsid w:val="005670F3"/>
    <w:rsid w:val="005740A4"/>
    <w:rsid w:val="00574B2E"/>
    <w:rsid w:val="00575CA1"/>
    <w:rsid w:val="00576106"/>
    <w:rsid w:val="0057792F"/>
    <w:rsid w:val="00580297"/>
    <w:rsid w:val="00580324"/>
    <w:rsid w:val="00580916"/>
    <w:rsid w:val="005811FD"/>
    <w:rsid w:val="00581FCB"/>
    <w:rsid w:val="00582D23"/>
    <w:rsid w:val="005836FC"/>
    <w:rsid w:val="00584C75"/>
    <w:rsid w:val="00585F5C"/>
    <w:rsid w:val="005863E3"/>
    <w:rsid w:val="0058644C"/>
    <w:rsid w:val="005866F7"/>
    <w:rsid w:val="0058673C"/>
    <w:rsid w:val="00586FF5"/>
    <w:rsid w:val="00590D54"/>
    <w:rsid w:val="00590F3B"/>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D9A"/>
    <w:rsid w:val="005A43B2"/>
    <w:rsid w:val="005A4B21"/>
    <w:rsid w:val="005A5B4E"/>
    <w:rsid w:val="005A646A"/>
    <w:rsid w:val="005A68EB"/>
    <w:rsid w:val="005A6913"/>
    <w:rsid w:val="005A7472"/>
    <w:rsid w:val="005A76AD"/>
    <w:rsid w:val="005B0675"/>
    <w:rsid w:val="005B06C5"/>
    <w:rsid w:val="005B0F20"/>
    <w:rsid w:val="005B15BE"/>
    <w:rsid w:val="005B1AB0"/>
    <w:rsid w:val="005B1B0D"/>
    <w:rsid w:val="005B36C1"/>
    <w:rsid w:val="005B629E"/>
    <w:rsid w:val="005C140F"/>
    <w:rsid w:val="005C33DE"/>
    <w:rsid w:val="005C3F1C"/>
    <w:rsid w:val="005C45FB"/>
    <w:rsid w:val="005C52D1"/>
    <w:rsid w:val="005C53FD"/>
    <w:rsid w:val="005C723F"/>
    <w:rsid w:val="005C7667"/>
    <w:rsid w:val="005C7F92"/>
    <w:rsid w:val="005D04F4"/>
    <w:rsid w:val="005D0EFC"/>
    <w:rsid w:val="005D12E4"/>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C77"/>
    <w:rsid w:val="005E6CF7"/>
    <w:rsid w:val="005E7110"/>
    <w:rsid w:val="005E76B0"/>
    <w:rsid w:val="005F0A86"/>
    <w:rsid w:val="005F2324"/>
    <w:rsid w:val="005F249C"/>
    <w:rsid w:val="005F5097"/>
    <w:rsid w:val="005F63A7"/>
    <w:rsid w:val="005F6C67"/>
    <w:rsid w:val="005F6E35"/>
    <w:rsid w:val="005F704A"/>
    <w:rsid w:val="005F7591"/>
    <w:rsid w:val="005F7844"/>
    <w:rsid w:val="00600552"/>
    <w:rsid w:val="00600789"/>
    <w:rsid w:val="00601EFC"/>
    <w:rsid w:val="00603450"/>
    <w:rsid w:val="00603E68"/>
    <w:rsid w:val="006055DD"/>
    <w:rsid w:val="00605C22"/>
    <w:rsid w:val="006067E7"/>
    <w:rsid w:val="00606B78"/>
    <w:rsid w:val="00606D4E"/>
    <w:rsid w:val="00606EA6"/>
    <w:rsid w:val="00606F60"/>
    <w:rsid w:val="006107B5"/>
    <w:rsid w:val="00610DC5"/>
    <w:rsid w:val="00610F07"/>
    <w:rsid w:val="0061319C"/>
    <w:rsid w:val="0061326B"/>
    <w:rsid w:val="00615269"/>
    <w:rsid w:val="00616B70"/>
    <w:rsid w:val="00617373"/>
    <w:rsid w:val="00617C1D"/>
    <w:rsid w:val="00620191"/>
    <w:rsid w:val="006204D1"/>
    <w:rsid w:val="0062071E"/>
    <w:rsid w:val="00620A40"/>
    <w:rsid w:val="00620E23"/>
    <w:rsid w:val="00621382"/>
    <w:rsid w:val="00621D97"/>
    <w:rsid w:val="0062222E"/>
    <w:rsid w:val="00622C5D"/>
    <w:rsid w:val="00623064"/>
    <w:rsid w:val="006233E2"/>
    <w:rsid w:val="00625180"/>
    <w:rsid w:val="006266F7"/>
    <w:rsid w:val="00626746"/>
    <w:rsid w:val="00626A33"/>
    <w:rsid w:val="00630F48"/>
    <w:rsid w:val="00632245"/>
    <w:rsid w:val="00632747"/>
    <w:rsid w:val="006327FE"/>
    <w:rsid w:val="006352E6"/>
    <w:rsid w:val="00637131"/>
    <w:rsid w:val="00637410"/>
    <w:rsid w:val="0063765A"/>
    <w:rsid w:val="00637FB4"/>
    <w:rsid w:val="00640ED3"/>
    <w:rsid w:val="00641F3F"/>
    <w:rsid w:val="00643654"/>
    <w:rsid w:val="00645A66"/>
    <w:rsid w:val="006460B0"/>
    <w:rsid w:val="00646D02"/>
    <w:rsid w:val="006501A7"/>
    <w:rsid w:val="006502DB"/>
    <w:rsid w:val="006508C0"/>
    <w:rsid w:val="0065154D"/>
    <w:rsid w:val="00651605"/>
    <w:rsid w:val="006528BB"/>
    <w:rsid w:val="0065476E"/>
    <w:rsid w:val="00657E2D"/>
    <w:rsid w:val="00657FAD"/>
    <w:rsid w:val="006609A2"/>
    <w:rsid w:val="006623A3"/>
    <w:rsid w:val="0066387E"/>
    <w:rsid w:val="006638E6"/>
    <w:rsid w:val="0066452D"/>
    <w:rsid w:val="00664B6B"/>
    <w:rsid w:val="006654D7"/>
    <w:rsid w:val="00665A08"/>
    <w:rsid w:val="00666304"/>
    <w:rsid w:val="00666780"/>
    <w:rsid w:val="00666B9F"/>
    <w:rsid w:val="00667097"/>
    <w:rsid w:val="00667871"/>
    <w:rsid w:val="0066798D"/>
    <w:rsid w:val="00670AC6"/>
    <w:rsid w:val="006719B5"/>
    <w:rsid w:val="006730F4"/>
    <w:rsid w:val="00673227"/>
    <w:rsid w:val="006739B0"/>
    <w:rsid w:val="00673BAA"/>
    <w:rsid w:val="00674DBA"/>
    <w:rsid w:val="0067621B"/>
    <w:rsid w:val="00680E93"/>
    <w:rsid w:val="00681006"/>
    <w:rsid w:val="00681D88"/>
    <w:rsid w:val="0068255C"/>
    <w:rsid w:val="00685257"/>
    <w:rsid w:val="0069085E"/>
    <w:rsid w:val="006922F4"/>
    <w:rsid w:val="0069249A"/>
    <w:rsid w:val="006925BA"/>
    <w:rsid w:val="00692679"/>
    <w:rsid w:val="00692A53"/>
    <w:rsid w:val="00693A38"/>
    <w:rsid w:val="00697120"/>
    <w:rsid w:val="006A09D1"/>
    <w:rsid w:val="006A1E00"/>
    <w:rsid w:val="006A206A"/>
    <w:rsid w:val="006A26E4"/>
    <w:rsid w:val="006A45A0"/>
    <w:rsid w:val="006A58F8"/>
    <w:rsid w:val="006A6936"/>
    <w:rsid w:val="006B1405"/>
    <w:rsid w:val="006B1E99"/>
    <w:rsid w:val="006B2026"/>
    <w:rsid w:val="006B2319"/>
    <w:rsid w:val="006B29A1"/>
    <w:rsid w:val="006B2FB2"/>
    <w:rsid w:val="006B4B62"/>
    <w:rsid w:val="006B6CA4"/>
    <w:rsid w:val="006B73BA"/>
    <w:rsid w:val="006B75A4"/>
    <w:rsid w:val="006C0FBA"/>
    <w:rsid w:val="006C1598"/>
    <w:rsid w:val="006C245D"/>
    <w:rsid w:val="006C2765"/>
    <w:rsid w:val="006C3ADA"/>
    <w:rsid w:val="006C5681"/>
    <w:rsid w:val="006C655E"/>
    <w:rsid w:val="006C739C"/>
    <w:rsid w:val="006C73CF"/>
    <w:rsid w:val="006C77A2"/>
    <w:rsid w:val="006C7949"/>
    <w:rsid w:val="006D045B"/>
    <w:rsid w:val="006D26CB"/>
    <w:rsid w:val="006D3836"/>
    <w:rsid w:val="006D3879"/>
    <w:rsid w:val="006D5036"/>
    <w:rsid w:val="006D5808"/>
    <w:rsid w:val="006D603B"/>
    <w:rsid w:val="006D6632"/>
    <w:rsid w:val="006D6701"/>
    <w:rsid w:val="006D7EC7"/>
    <w:rsid w:val="006E00CC"/>
    <w:rsid w:val="006E072D"/>
    <w:rsid w:val="006E0B03"/>
    <w:rsid w:val="006E1377"/>
    <w:rsid w:val="006E1AD9"/>
    <w:rsid w:val="006E1BE5"/>
    <w:rsid w:val="006E34EA"/>
    <w:rsid w:val="006E4755"/>
    <w:rsid w:val="006E5DD5"/>
    <w:rsid w:val="006E6994"/>
    <w:rsid w:val="006F14C5"/>
    <w:rsid w:val="006F17F2"/>
    <w:rsid w:val="006F19B3"/>
    <w:rsid w:val="006F3FDF"/>
    <w:rsid w:val="006F4B16"/>
    <w:rsid w:val="006F52BB"/>
    <w:rsid w:val="006F5F7D"/>
    <w:rsid w:val="006F60FF"/>
    <w:rsid w:val="006F6305"/>
    <w:rsid w:val="006F6ED4"/>
    <w:rsid w:val="006F7BAA"/>
    <w:rsid w:val="006F7CD6"/>
    <w:rsid w:val="007009D2"/>
    <w:rsid w:val="0070116C"/>
    <w:rsid w:val="007012FE"/>
    <w:rsid w:val="0070187E"/>
    <w:rsid w:val="00701954"/>
    <w:rsid w:val="00701CFE"/>
    <w:rsid w:val="00706101"/>
    <w:rsid w:val="0070737F"/>
    <w:rsid w:val="00707EAF"/>
    <w:rsid w:val="00710F5F"/>
    <w:rsid w:val="007117C6"/>
    <w:rsid w:val="00711AD9"/>
    <w:rsid w:val="007123F5"/>
    <w:rsid w:val="0071340F"/>
    <w:rsid w:val="0071361F"/>
    <w:rsid w:val="007138C5"/>
    <w:rsid w:val="00715308"/>
    <w:rsid w:val="0071751F"/>
    <w:rsid w:val="00721AC3"/>
    <w:rsid w:val="00721EE7"/>
    <w:rsid w:val="00721F1A"/>
    <w:rsid w:val="007233A8"/>
    <w:rsid w:val="007246EF"/>
    <w:rsid w:val="0072482E"/>
    <w:rsid w:val="00724B4D"/>
    <w:rsid w:val="00724C94"/>
    <w:rsid w:val="00730B1E"/>
    <w:rsid w:val="00730CDC"/>
    <w:rsid w:val="007318FD"/>
    <w:rsid w:val="007319D2"/>
    <w:rsid w:val="00731DD8"/>
    <w:rsid w:val="0073653A"/>
    <w:rsid w:val="007367F1"/>
    <w:rsid w:val="007412F6"/>
    <w:rsid w:val="00741A23"/>
    <w:rsid w:val="007433B0"/>
    <w:rsid w:val="007434A1"/>
    <w:rsid w:val="00745987"/>
    <w:rsid w:val="00746EB0"/>
    <w:rsid w:val="0074740A"/>
    <w:rsid w:val="00747ECC"/>
    <w:rsid w:val="007504CF"/>
    <w:rsid w:val="007532D4"/>
    <w:rsid w:val="007544A1"/>
    <w:rsid w:val="007548EF"/>
    <w:rsid w:val="00754A53"/>
    <w:rsid w:val="0075670E"/>
    <w:rsid w:val="00760063"/>
    <w:rsid w:val="00761AE5"/>
    <w:rsid w:val="00761F41"/>
    <w:rsid w:val="00762081"/>
    <w:rsid w:val="0076218D"/>
    <w:rsid w:val="0076231C"/>
    <w:rsid w:val="00762694"/>
    <w:rsid w:val="00764371"/>
    <w:rsid w:val="00765238"/>
    <w:rsid w:val="00765663"/>
    <w:rsid w:val="00765CA3"/>
    <w:rsid w:val="0076649E"/>
    <w:rsid w:val="007664A4"/>
    <w:rsid w:val="0076795D"/>
    <w:rsid w:val="00772159"/>
    <w:rsid w:val="007736F2"/>
    <w:rsid w:val="00774337"/>
    <w:rsid w:val="00774444"/>
    <w:rsid w:val="00774D86"/>
    <w:rsid w:val="00774FBE"/>
    <w:rsid w:val="00775016"/>
    <w:rsid w:val="007758CF"/>
    <w:rsid w:val="007775D4"/>
    <w:rsid w:val="00777963"/>
    <w:rsid w:val="007839F4"/>
    <w:rsid w:val="007841E5"/>
    <w:rsid w:val="0078470D"/>
    <w:rsid w:val="0078591D"/>
    <w:rsid w:val="00785D34"/>
    <w:rsid w:val="00786A15"/>
    <w:rsid w:val="00786F06"/>
    <w:rsid w:val="00787992"/>
    <w:rsid w:val="00787AE8"/>
    <w:rsid w:val="007904FF"/>
    <w:rsid w:val="00790647"/>
    <w:rsid w:val="00791761"/>
    <w:rsid w:val="007922DE"/>
    <w:rsid w:val="0079251A"/>
    <w:rsid w:val="00794876"/>
    <w:rsid w:val="00795EA6"/>
    <w:rsid w:val="00797352"/>
    <w:rsid w:val="00797787"/>
    <w:rsid w:val="00797C25"/>
    <w:rsid w:val="007A09E2"/>
    <w:rsid w:val="007A1A5D"/>
    <w:rsid w:val="007A244A"/>
    <w:rsid w:val="007A31D6"/>
    <w:rsid w:val="007A685C"/>
    <w:rsid w:val="007A7931"/>
    <w:rsid w:val="007B21A7"/>
    <w:rsid w:val="007B2637"/>
    <w:rsid w:val="007B38FB"/>
    <w:rsid w:val="007B3B58"/>
    <w:rsid w:val="007B3CBB"/>
    <w:rsid w:val="007B4ADF"/>
    <w:rsid w:val="007B562A"/>
    <w:rsid w:val="007B61F5"/>
    <w:rsid w:val="007B72A8"/>
    <w:rsid w:val="007C02CF"/>
    <w:rsid w:val="007C3E85"/>
    <w:rsid w:val="007C4703"/>
    <w:rsid w:val="007C6039"/>
    <w:rsid w:val="007C6700"/>
    <w:rsid w:val="007C69A7"/>
    <w:rsid w:val="007C7CEB"/>
    <w:rsid w:val="007D1EEF"/>
    <w:rsid w:val="007D2816"/>
    <w:rsid w:val="007D30E4"/>
    <w:rsid w:val="007D35A4"/>
    <w:rsid w:val="007D3DDE"/>
    <w:rsid w:val="007D3FAB"/>
    <w:rsid w:val="007D403A"/>
    <w:rsid w:val="007D4135"/>
    <w:rsid w:val="007D430D"/>
    <w:rsid w:val="007D4804"/>
    <w:rsid w:val="007D5608"/>
    <w:rsid w:val="007D6211"/>
    <w:rsid w:val="007D62DB"/>
    <w:rsid w:val="007D6B1A"/>
    <w:rsid w:val="007D6E7E"/>
    <w:rsid w:val="007D7BF9"/>
    <w:rsid w:val="007E05FC"/>
    <w:rsid w:val="007E0FDB"/>
    <w:rsid w:val="007E138B"/>
    <w:rsid w:val="007E145D"/>
    <w:rsid w:val="007E16D7"/>
    <w:rsid w:val="007E1E88"/>
    <w:rsid w:val="007E20C2"/>
    <w:rsid w:val="007E293E"/>
    <w:rsid w:val="007E2E33"/>
    <w:rsid w:val="007E30AA"/>
    <w:rsid w:val="007E3A95"/>
    <w:rsid w:val="007E3C99"/>
    <w:rsid w:val="007E3E6F"/>
    <w:rsid w:val="007E4DD7"/>
    <w:rsid w:val="007E5043"/>
    <w:rsid w:val="007E6768"/>
    <w:rsid w:val="007E6E48"/>
    <w:rsid w:val="007E6E65"/>
    <w:rsid w:val="007E6EF3"/>
    <w:rsid w:val="007E7559"/>
    <w:rsid w:val="007F0810"/>
    <w:rsid w:val="007F2A1F"/>
    <w:rsid w:val="007F32B7"/>
    <w:rsid w:val="007F3ADC"/>
    <w:rsid w:val="007F3B36"/>
    <w:rsid w:val="007F3B83"/>
    <w:rsid w:val="007F3D7C"/>
    <w:rsid w:val="007F60E0"/>
    <w:rsid w:val="007F6444"/>
    <w:rsid w:val="007F6F2D"/>
    <w:rsid w:val="00802585"/>
    <w:rsid w:val="008025A2"/>
    <w:rsid w:val="00804B54"/>
    <w:rsid w:val="008051D6"/>
    <w:rsid w:val="0080562A"/>
    <w:rsid w:val="00806184"/>
    <w:rsid w:val="008066FC"/>
    <w:rsid w:val="00807ABB"/>
    <w:rsid w:val="00807AEE"/>
    <w:rsid w:val="00810192"/>
    <w:rsid w:val="00810B23"/>
    <w:rsid w:val="008110C8"/>
    <w:rsid w:val="00811C4D"/>
    <w:rsid w:val="00812683"/>
    <w:rsid w:val="00813014"/>
    <w:rsid w:val="008133EB"/>
    <w:rsid w:val="008144FF"/>
    <w:rsid w:val="00816793"/>
    <w:rsid w:val="00817D06"/>
    <w:rsid w:val="0082234A"/>
    <w:rsid w:val="00824978"/>
    <w:rsid w:val="00825733"/>
    <w:rsid w:val="0082616E"/>
    <w:rsid w:val="00826923"/>
    <w:rsid w:val="00830636"/>
    <w:rsid w:val="00831017"/>
    <w:rsid w:val="008316B6"/>
    <w:rsid w:val="00831BD2"/>
    <w:rsid w:val="0083204B"/>
    <w:rsid w:val="00832732"/>
    <w:rsid w:val="0083392C"/>
    <w:rsid w:val="00833A9C"/>
    <w:rsid w:val="00834851"/>
    <w:rsid w:val="00834DE6"/>
    <w:rsid w:val="00835AFE"/>
    <w:rsid w:val="00835E4D"/>
    <w:rsid w:val="00836E76"/>
    <w:rsid w:val="008371E4"/>
    <w:rsid w:val="00840626"/>
    <w:rsid w:val="00841628"/>
    <w:rsid w:val="00841849"/>
    <w:rsid w:val="00841B21"/>
    <w:rsid w:val="00841ECD"/>
    <w:rsid w:val="0084340E"/>
    <w:rsid w:val="00845666"/>
    <w:rsid w:val="00847AC8"/>
    <w:rsid w:val="00850082"/>
    <w:rsid w:val="008510A0"/>
    <w:rsid w:val="00851709"/>
    <w:rsid w:val="0085454B"/>
    <w:rsid w:val="00856996"/>
    <w:rsid w:val="00856D42"/>
    <w:rsid w:val="008611A9"/>
    <w:rsid w:val="008620F0"/>
    <w:rsid w:val="00862D36"/>
    <w:rsid w:val="008630B1"/>
    <w:rsid w:val="00863C4C"/>
    <w:rsid w:val="00863C9B"/>
    <w:rsid w:val="008644E9"/>
    <w:rsid w:val="00864C51"/>
    <w:rsid w:val="00865682"/>
    <w:rsid w:val="00867E0C"/>
    <w:rsid w:val="008705D0"/>
    <w:rsid w:val="00870BB4"/>
    <w:rsid w:val="00871F68"/>
    <w:rsid w:val="0087282B"/>
    <w:rsid w:val="00872D37"/>
    <w:rsid w:val="00873C54"/>
    <w:rsid w:val="00874595"/>
    <w:rsid w:val="00874A0B"/>
    <w:rsid w:val="00874B12"/>
    <w:rsid w:val="00877132"/>
    <w:rsid w:val="0088048C"/>
    <w:rsid w:val="00880BDE"/>
    <w:rsid w:val="00880F5F"/>
    <w:rsid w:val="0088114F"/>
    <w:rsid w:val="008815D4"/>
    <w:rsid w:val="008815DA"/>
    <w:rsid w:val="00882A08"/>
    <w:rsid w:val="00884C5E"/>
    <w:rsid w:val="00886397"/>
    <w:rsid w:val="00886D9A"/>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99E"/>
    <w:rsid w:val="008A2D28"/>
    <w:rsid w:val="008A3227"/>
    <w:rsid w:val="008A4192"/>
    <w:rsid w:val="008A5ECC"/>
    <w:rsid w:val="008A63C7"/>
    <w:rsid w:val="008A66E2"/>
    <w:rsid w:val="008A6A15"/>
    <w:rsid w:val="008A6C24"/>
    <w:rsid w:val="008A6ED1"/>
    <w:rsid w:val="008A7464"/>
    <w:rsid w:val="008A750D"/>
    <w:rsid w:val="008A7707"/>
    <w:rsid w:val="008A7B43"/>
    <w:rsid w:val="008B16F3"/>
    <w:rsid w:val="008B29C3"/>
    <w:rsid w:val="008B4293"/>
    <w:rsid w:val="008B453D"/>
    <w:rsid w:val="008B46D3"/>
    <w:rsid w:val="008B563E"/>
    <w:rsid w:val="008B6362"/>
    <w:rsid w:val="008B7AC8"/>
    <w:rsid w:val="008C22BF"/>
    <w:rsid w:val="008C2917"/>
    <w:rsid w:val="008C2E67"/>
    <w:rsid w:val="008C365B"/>
    <w:rsid w:val="008C3E8D"/>
    <w:rsid w:val="008C42C5"/>
    <w:rsid w:val="008C512C"/>
    <w:rsid w:val="008C7FEB"/>
    <w:rsid w:val="008D0120"/>
    <w:rsid w:val="008D02FC"/>
    <w:rsid w:val="008D2E6D"/>
    <w:rsid w:val="008D4890"/>
    <w:rsid w:val="008D4A6E"/>
    <w:rsid w:val="008D6101"/>
    <w:rsid w:val="008D7039"/>
    <w:rsid w:val="008D7DB3"/>
    <w:rsid w:val="008E1CF9"/>
    <w:rsid w:val="008E27CD"/>
    <w:rsid w:val="008E2DF6"/>
    <w:rsid w:val="008E3446"/>
    <w:rsid w:val="008E4619"/>
    <w:rsid w:val="008E5551"/>
    <w:rsid w:val="008E5BF0"/>
    <w:rsid w:val="008E5DF4"/>
    <w:rsid w:val="008E65B3"/>
    <w:rsid w:val="008E6D6F"/>
    <w:rsid w:val="008E765B"/>
    <w:rsid w:val="008F01CE"/>
    <w:rsid w:val="008F03BC"/>
    <w:rsid w:val="008F18F7"/>
    <w:rsid w:val="008F2E86"/>
    <w:rsid w:val="008F3223"/>
    <w:rsid w:val="008F38EF"/>
    <w:rsid w:val="008F63B4"/>
    <w:rsid w:val="00901AB1"/>
    <w:rsid w:val="00901B93"/>
    <w:rsid w:val="009021AC"/>
    <w:rsid w:val="00902F4E"/>
    <w:rsid w:val="00903C18"/>
    <w:rsid w:val="0090601E"/>
    <w:rsid w:val="00906FEE"/>
    <w:rsid w:val="00911677"/>
    <w:rsid w:val="009119E7"/>
    <w:rsid w:val="009134E9"/>
    <w:rsid w:val="00913979"/>
    <w:rsid w:val="00914118"/>
    <w:rsid w:val="0091448F"/>
    <w:rsid w:val="00916196"/>
    <w:rsid w:val="00916C0E"/>
    <w:rsid w:val="00917259"/>
    <w:rsid w:val="009211E5"/>
    <w:rsid w:val="009216BE"/>
    <w:rsid w:val="00921D94"/>
    <w:rsid w:val="0092202A"/>
    <w:rsid w:val="009222DF"/>
    <w:rsid w:val="009229E9"/>
    <w:rsid w:val="00923496"/>
    <w:rsid w:val="00923599"/>
    <w:rsid w:val="00924E38"/>
    <w:rsid w:val="00924F50"/>
    <w:rsid w:val="00925AC8"/>
    <w:rsid w:val="00926D41"/>
    <w:rsid w:val="009274AD"/>
    <w:rsid w:val="009276CB"/>
    <w:rsid w:val="0092770A"/>
    <w:rsid w:val="00927E64"/>
    <w:rsid w:val="00930173"/>
    <w:rsid w:val="0093052F"/>
    <w:rsid w:val="00930722"/>
    <w:rsid w:val="00930EB8"/>
    <w:rsid w:val="009312FA"/>
    <w:rsid w:val="00931851"/>
    <w:rsid w:val="00931B98"/>
    <w:rsid w:val="00932C1C"/>
    <w:rsid w:val="00933394"/>
    <w:rsid w:val="00933D99"/>
    <w:rsid w:val="00936580"/>
    <w:rsid w:val="00936A9D"/>
    <w:rsid w:val="0094007A"/>
    <w:rsid w:val="00940135"/>
    <w:rsid w:val="00940A93"/>
    <w:rsid w:val="00940E6B"/>
    <w:rsid w:val="00941048"/>
    <w:rsid w:val="00941588"/>
    <w:rsid w:val="0094269D"/>
    <w:rsid w:val="00942C52"/>
    <w:rsid w:val="00942F10"/>
    <w:rsid w:val="0094327D"/>
    <w:rsid w:val="009432E6"/>
    <w:rsid w:val="009453AA"/>
    <w:rsid w:val="0094558D"/>
    <w:rsid w:val="00947085"/>
    <w:rsid w:val="00947435"/>
    <w:rsid w:val="00947D2B"/>
    <w:rsid w:val="0095022A"/>
    <w:rsid w:val="00953D96"/>
    <w:rsid w:val="00953EAA"/>
    <w:rsid w:val="0095479A"/>
    <w:rsid w:val="0095480B"/>
    <w:rsid w:val="00954E06"/>
    <w:rsid w:val="009553A8"/>
    <w:rsid w:val="009557D7"/>
    <w:rsid w:val="00956F90"/>
    <w:rsid w:val="00957494"/>
    <w:rsid w:val="00960FF7"/>
    <w:rsid w:val="009617F3"/>
    <w:rsid w:val="0096190F"/>
    <w:rsid w:val="00962073"/>
    <w:rsid w:val="0096263C"/>
    <w:rsid w:val="00963740"/>
    <w:rsid w:val="00964492"/>
    <w:rsid w:val="00966810"/>
    <w:rsid w:val="0096689C"/>
    <w:rsid w:val="00970940"/>
    <w:rsid w:val="00971093"/>
    <w:rsid w:val="00971C1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C6E"/>
    <w:rsid w:val="00986124"/>
    <w:rsid w:val="009864B4"/>
    <w:rsid w:val="00986CAA"/>
    <w:rsid w:val="00986D71"/>
    <w:rsid w:val="0099009E"/>
    <w:rsid w:val="0099086D"/>
    <w:rsid w:val="00992AF4"/>
    <w:rsid w:val="009931DE"/>
    <w:rsid w:val="0099331E"/>
    <w:rsid w:val="009949B2"/>
    <w:rsid w:val="00996855"/>
    <w:rsid w:val="009A0E9E"/>
    <w:rsid w:val="009A28B3"/>
    <w:rsid w:val="009A2AF7"/>
    <w:rsid w:val="009A3607"/>
    <w:rsid w:val="009A4930"/>
    <w:rsid w:val="009A5867"/>
    <w:rsid w:val="009A66E7"/>
    <w:rsid w:val="009A6F16"/>
    <w:rsid w:val="009A711F"/>
    <w:rsid w:val="009A715B"/>
    <w:rsid w:val="009A76CA"/>
    <w:rsid w:val="009A792F"/>
    <w:rsid w:val="009B253E"/>
    <w:rsid w:val="009B496C"/>
    <w:rsid w:val="009B4B50"/>
    <w:rsid w:val="009B547A"/>
    <w:rsid w:val="009B561B"/>
    <w:rsid w:val="009B62DC"/>
    <w:rsid w:val="009B63E3"/>
    <w:rsid w:val="009B7302"/>
    <w:rsid w:val="009B7CA2"/>
    <w:rsid w:val="009C1E92"/>
    <w:rsid w:val="009C2312"/>
    <w:rsid w:val="009C2E45"/>
    <w:rsid w:val="009C30A8"/>
    <w:rsid w:val="009D1864"/>
    <w:rsid w:val="009D1C88"/>
    <w:rsid w:val="009D2FC2"/>
    <w:rsid w:val="009D3421"/>
    <w:rsid w:val="009D53EE"/>
    <w:rsid w:val="009D5D32"/>
    <w:rsid w:val="009D626A"/>
    <w:rsid w:val="009D6D6F"/>
    <w:rsid w:val="009E0A6E"/>
    <w:rsid w:val="009E0EB0"/>
    <w:rsid w:val="009E15F3"/>
    <w:rsid w:val="009E1DE4"/>
    <w:rsid w:val="009E2EC7"/>
    <w:rsid w:val="009E3086"/>
    <w:rsid w:val="009E4104"/>
    <w:rsid w:val="009E4504"/>
    <w:rsid w:val="009E4647"/>
    <w:rsid w:val="009E4871"/>
    <w:rsid w:val="009E49EC"/>
    <w:rsid w:val="009E4E95"/>
    <w:rsid w:val="009E5AA0"/>
    <w:rsid w:val="009E66F7"/>
    <w:rsid w:val="009E6A76"/>
    <w:rsid w:val="009E716C"/>
    <w:rsid w:val="009F115E"/>
    <w:rsid w:val="009F1E0B"/>
    <w:rsid w:val="009F2CE1"/>
    <w:rsid w:val="009F53DC"/>
    <w:rsid w:val="009F67D6"/>
    <w:rsid w:val="00A01390"/>
    <w:rsid w:val="00A01593"/>
    <w:rsid w:val="00A01ECA"/>
    <w:rsid w:val="00A03037"/>
    <w:rsid w:val="00A0319B"/>
    <w:rsid w:val="00A03291"/>
    <w:rsid w:val="00A067C6"/>
    <w:rsid w:val="00A0687D"/>
    <w:rsid w:val="00A06C7D"/>
    <w:rsid w:val="00A06D78"/>
    <w:rsid w:val="00A07F7E"/>
    <w:rsid w:val="00A10922"/>
    <w:rsid w:val="00A10C97"/>
    <w:rsid w:val="00A11476"/>
    <w:rsid w:val="00A11898"/>
    <w:rsid w:val="00A132D0"/>
    <w:rsid w:val="00A13D1B"/>
    <w:rsid w:val="00A14825"/>
    <w:rsid w:val="00A14E61"/>
    <w:rsid w:val="00A15D7E"/>
    <w:rsid w:val="00A161CC"/>
    <w:rsid w:val="00A16534"/>
    <w:rsid w:val="00A1655B"/>
    <w:rsid w:val="00A16AA8"/>
    <w:rsid w:val="00A20982"/>
    <w:rsid w:val="00A21157"/>
    <w:rsid w:val="00A2124B"/>
    <w:rsid w:val="00A21F90"/>
    <w:rsid w:val="00A234C4"/>
    <w:rsid w:val="00A237D9"/>
    <w:rsid w:val="00A238D9"/>
    <w:rsid w:val="00A25454"/>
    <w:rsid w:val="00A255FB"/>
    <w:rsid w:val="00A25C76"/>
    <w:rsid w:val="00A26062"/>
    <w:rsid w:val="00A27156"/>
    <w:rsid w:val="00A27B2B"/>
    <w:rsid w:val="00A32748"/>
    <w:rsid w:val="00A33C71"/>
    <w:rsid w:val="00A3512B"/>
    <w:rsid w:val="00A35301"/>
    <w:rsid w:val="00A35864"/>
    <w:rsid w:val="00A35EC5"/>
    <w:rsid w:val="00A35FE6"/>
    <w:rsid w:val="00A36950"/>
    <w:rsid w:val="00A40986"/>
    <w:rsid w:val="00A41E26"/>
    <w:rsid w:val="00A42656"/>
    <w:rsid w:val="00A426D6"/>
    <w:rsid w:val="00A42C9F"/>
    <w:rsid w:val="00A433D9"/>
    <w:rsid w:val="00A4451F"/>
    <w:rsid w:val="00A44D27"/>
    <w:rsid w:val="00A45E69"/>
    <w:rsid w:val="00A45F80"/>
    <w:rsid w:val="00A4658F"/>
    <w:rsid w:val="00A51A14"/>
    <w:rsid w:val="00A5376B"/>
    <w:rsid w:val="00A54307"/>
    <w:rsid w:val="00A56AA7"/>
    <w:rsid w:val="00A604C7"/>
    <w:rsid w:val="00A607B8"/>
    <w:rsid w:val="00A60897"/>
    <w:rsid w:val="00A6158C"/>
    <w:rsid w:val="00A61AD8"/>
    <w:rsid w:val="00A62C4F"/>
    <w:rsid w:val="00A63F6F"/>
    <w:rsid w:val="00A6415C"/>
    <w:rsid w:val="00A64311"/>
    <w:rsid w:val="00A64474"/>
    <w:rsid w:val="00A651B2"/>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959"/>
    <w:rsid w:val="00A83624"/>
    <w:rsid w:val="00A85103"/>
    <w:rsid w:val="00A85E95"/>
    <w:rsid w:val="00A86511"/>
    <w:rsid w:val="00A872B8"/>
    <w:rsid w:val="00A87308"/>
    <w:rsid w:val="00A902B8"/>
    <w:rsid w:val="00A911A0"/>
    <w:rsid w:val="00A91336"/>
    <w:rsid w:val="00A91862"/>
    <w:rsid w:val="00A91B4D"/>
    <w:rsid w:val="00A940B0"/>
    <w:rsid w:val="00A9478D"/>
    <w:rsid w:val="00A96904"/>
    <w:rsid w:val="00A97EA0"/>
    <w:rsid w:val="00AA15BB"/>
    <w:rsid w:val="00AA15CD"/>
    <w:rsid w:val="00AA2193"/>
    <w:rsid w:val="00AA28B6"/>
    <w:rsid w:val="00AA2C36"/>
    <w:rsid w:val="00AA2D73"/>
    <w:rsid w:val="00AA341D"/>
    <w:rsid w:val="00AA4E6E"/>
    <w:rsid w:val="00AA5901"/>
    <w:rsid w:val="00AA6B60"/>
    <w:rsid w:val="00AA6E7B"/>
    <w:rsid w:val="00AB0FEC"/>
    <w:rsid w:val="00AB16C5"/>
    <w:rsid w:val="00AB20E3"/>
    <w:rsid w:val="00AB2DCA"/>
    <w:rsid w:val="00AB387A"/>
    <w:rsid w:val="00AB44D3"/>
    <w:rsid w:val="00AB4E09"/>
    <w:rsid w:val="00AB5188"/>
    <w:rsid w:val="00AB6874"/>
    <w:rsid w:val="00AB6DE3"/>
    <w:rsid w:val="00AC0151"/>
    <w:rsid w:val="00AC0C8D"/>
    <w:rsid w:val="00AC11E9"/>
    <w:rsid w:val="00AC402A"/>
    <w:rsid w:val="00AC6E87"/>
    <w:rsid w:val="00AC7E18"/>
    <w:rsid w:val="00AD0C8D"/>
    <w:rsid w:val="00AD162D"/>
    <w:rsid w:val="00AD1E57"/>
    <w:rsid w:val="00AD388B"/>
    <w:rsid w:val="00AD3EEC"/>
    <w:rsid w:val="00AD3FCB"/>
    <w:rsid w:val="00AD3FCD"/>
    <w:rsid w:val="00AD4301"/>
    <w:rsid w:val="00AD4899"/>
    <w:rsid w:val="00AD4A5C"/>
    <w:rsid w:val="00AD4B93"/>
    <w:rsid w:val="00AD5700"/>
    <w:rsid w:val="00AD5CED"/>
    <w:rsid w:val="00AD5D1E"/>
    <w:rsid w:val="00AE06CF"/>
    <w:rsid w:val="00AE09A7"/>
    <w:rsid w:val="00AE1D18"/>
    <w:rsid w:val="00AE2471"/>
    <w:rsid w:val="00AE2D2B"/>
    <w:rsid w:val="00AE2EA2"/>
    <w:rsid w:val="00AE3A83"/>
    <w:rsid w:val="00AE3C1A"/>
    <w:rsid w:val="00AE3C1B"/>
    <w:rsid w:val="00AE4BE6"/>
    <w:rsid w:val="00AE5131"/>
    <w:rsid w:val="00AE51D7"/>
    <w:rsid w:val="00AE61AD"/>
    <w:rsid w:val="00AE7FCA"/>
    <w:rsid w:val="00AF08C9"/>
    <w:rsid w:val="00AF1162"/>
    <w:rsid w:val="00AF11C1"/>
    <w:rsid w:val="00AF2015"/>
    <w:rsid w:val="00AF4709"/>
    <w:rsid w:val="00AF516D"/>
    <w:rsid w:val="00AF54C4"/>
    <w:rsid w:val="00AF55B6"/>
    <w:rsid w:val="00AF5D77"/>
    <w:rsid w:val="00AF704E"/>
    <w:rsid w:val="00B0157D"/>
    <w:rsid w:val="00B0186A"/>
    <w:rsid w:val="00B0206A"/>
    <w:rsid w:val="00B022E9"/>
    <w:rsid w:val="00B02ECC"/>
    <w:rsid w:val="00B03E7D"/>
    <w:rsid w:val="00B05381"/>
    <w:rsid w:val="00B0569A"/>
    <w:rsid w:val="00B0575D"/>
    <w:rsid w:val="00B059C7"/>
    <w:rsid w:val="00B071FE"/>
    <w:rsid w:val="00B07B49"/>
    <w:rsid w:val="00B10752"/>
    <w:rsid w:val="00B11965"/>
    <w:rsid w:val="00B11F06"/>
    <w:rsid w:val="00B13AAA"/>
    <w:rsid w:val="00B13F05"/>
    <w:rsid w:val="00B14557"/>
    <w:rsid w:val="00B14D08"/>
    <w:rsid w:val="00B1518A"/>
    <w:rsid w:val="00B15D8B"/>
    <w:rsid w:val="00B16557"/>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606F"/>
    <w:rsid w:val="00B2674D"/>
    <w:rsid w:val="00B26BCE"/>
    <w:rsid w:val="00B270BF"/>
    <w:rsid w:val="00B27C1C"/>
    <w:rsid w:val="00B317CB"/>
    <w:rsid w:val="00B31EF1"/>
    <w:rsid w:val="00B32C14"/>
    <w:rsid w:val="00B32E3D"/>
    <w:rsid w:val="00B363C2"/>
    <w:rsid w:val="00B4075F"/>
    <w:rsid w:val="00B409CD"/>
    <w:rsid w:val="00B416CD"/>
    <w:rsid w:val="00B43A1B"/>
    <w:rsid w:val="00B43D40"/>
    <w:rsid w:val="00B4575B"/>
    <w:rsid w:val="00B4583C"/>
    <w:rsid w:val="00B4693B"/>
    <w:rsid w:val="00B507D7"/>
    <w:rsid w:val="00B5116B"/>
    <w:rsid w:val="00B54B34"/>
    <w:rsid w:val="00B54F13"/>
    <w:rsid w:val="00B55813"/>
    <w:rsid w:val="00B55E63"/>
    <w:rsid w:val="00B55E77"/>
    <w:rsid w:val="00B55FF2"/>
    <w:rsid w:val="00B57C1A"/>
    <w:rsid w:val="00B57FE7"/>
    <w:rsid w:val="00B602C6"/>
    <w:rsid w:val="00B604AA"/>
    <w:rsid w:val="00B604AC"/>
    <w:rsid w:val="00B6070F"/>
    <w:rsid w:val="00B616CC"/>
    <w:rsid w:val="00B61A54"/>
    <w:rsid w:val="00B63DC7"/>
    <w:rsid w:val="00B66218"/>
    <w:rsid w:val="00B66977"/>
    <w:rsid w:val="00B67C08"/>
    <w:rsid w:val="00B67C0E"/>
    <w:rsid w:val="00B67CB3"/>
    <w:rsid w:val="00B70042"/>
    <w:rsid w:val="00B701C9"/>
    <w:rsid w:val="00B715ED"/>
    <w:rsid w:val="00B72FA0"/>
    <w:rsid w:val="00B73BFC"/>
    <w:rsid w:val="00B73C04"/>
    <w:rsid w:val="00B74CB3"/>
    <w:rsid w:val="00B7555C"/>
    <w:rsid w:val="00B76518"/>
    <w:rsid w:val="00B770CC"/>
    <w:rsid w:val="00B77708"/>
    <w:rsid w:val="00B80064"/>
    <w:rsid w:val="00B80708"/>
    <w:rsid w:val="00B81867"/>
    <w:rsid w:val="00B83CED"/>
    <w:rsid w:val="00B83FA6"/>
    <w:rsid w:val="00B8422F"/>
    <w:rsid w:val="00B842C4"/>
    <w:rsid w:val="00B85292"/>
    <w:rsid w:val="00B85434"/>
    <w:rsid w:val="00B86837"/>
    <w:rsid w:val="00B87F38"/>
    <w:rsid w:val="00B910E3"/>
    <w:rsid w:val="00B91350"/>
    <w:rsid w:val="00B92550"/>
    <w:rsid w:val="00B929DB"/>
    <w:rsid w:val="00B936E9"/>
    <w:rsid w:val="00B950BA"/>
    <w:rsid w:val="00B95178"/>
    <w:rsid w:val="00B954DA"/>
    <w:rsid w:val="00B95810"/>
    <w:rsid w:val="00B9596F"/>
    <w:rsid w:val="00B96CB1"/>
    <w:rsid w:val="00BA02A7"/>
    <w:rsid w:val="00BA041C"/>
    <w:rsid w:val="00BA2C1B"/>
    <w:rsid w:val="00BA2C90"/>
    <w:rsid w:val="00BA4090"/>
    <w:rsid w:val="00BA4ED4"/>
    <w:rsid w:val="00BA64E5"/>
    <w:rsid w:val="00BA6752"/>
    <w:rsid w:val="00BA6C6D"/>
    <w:rsid w:val="00BA72C3"/>
    <w:rsid w:val="00BA7DAF"/>
    <w:rsid w:val="00BB01B9"/>
    <w:rsid w:val="00BB124B"/>
    <w:rsid w:val="00BB19A9"/>
    <w:rsid w:val="00BB19C6"/>
    <w:rsid w:val="00BB1EEC"/>
    <w:rsid w:val="00BB2864"/>
    <w:rsid w:val="00BB323E"/>
    <w:rsid w:val="00BB3634"/>
    <w:rsid w:val="00BB3B8F"/>
    <w:rsid w:val="00BB3F3F"/>
    <w:rsid w:val="00BB5632"/>
    <w:rsid w:val="00BB5756"/>
    <w:rsid w:val="00BB5A40"/>
    <w:rsid w:val="00BB5AA5"/>
    <w:rsid w:val="00BB5D83"/>
    <w:rsid w:val="00BB6402"/>
    <w:rsid w:val="00BC0497"/>
    <w:rsid w:val="00BC19B9"/>
    <w:rsid w:val="00BC1FCB"/>
    <w:rsid w:val="00BC2C68"/>
    <w:rsid w:val="00BC3541"/>
    <w:rsid w:val="00BC3E8A"/>
    <w:rsid w:val="00BC53B6"/>
    <w:rsid w:val="00BC6B7C"/>
    <w:rsid w:val="00BD00C8"/>
    <w:rsid w:val="00BD058C"/>
    <w:rsid w:val="00BD36AE"/>
    <w:rsid w:val="00BD36ED"/>
    <w:rsid w:val="00BD3C50"/>
    <w:rsid w:val="00BD3D49"/>
    <w:rsid w:val="00BD417F"/>
    <w:rsid w:val="00BD4779"/>
    <w:rsid w:val="00BD4EC0"/>
    <w:rsid w:val="00BD567E"/>
    <w:rsid w:val="00BD688C"/>
    <w:rsid w:val="00BD71A3"/>
    <w:rsid w:val="00BD74CF"/>
    <w:rsid w:val="00BD7B2B"/>
    <w:rsid w:val="00BD7F36"/>
    <w:rsid w:val="00BE0F04"/>
    <w:rsid w:val="00BE1ED0"/>
    <w:rsid w:val="00BE21E2"/>
    <w:rsid w:val="00BE2CF7"/>
    <w:rsid w:val="00BE3413"/>
    <w:rsid w:val="00BE34E5"/>
    <w:rsid w:val="00BE36BB"/>
    <w:rsid w:val="00BE5EB2"/>
    <w:rsid w:val="00BE6741"/>
    <w:rsid w:val="00BE6A52"/>
    <w:rsid w:val="00BE7434"/>
    <w:rsid w:val="00BF12EE"/>
    <w:rsid w:val="00BF3686"/>
    <w:rsid w:val="00BF39F3"/>
    <w:rsid w:val="00BF59B4"/>
    <w:rsid w:val="00BF7148"/>
    <w:rsid w:val="00BF7B22"/>
    <w:rsid w:val="00BF7B77"/>
    <w:rsid w:val="00C002D9"/>
    <w:rsid w:val="00C02954"/>
    <w:rsid w:val="00C02DD9"/>
    <w:rsid w:val="00C03964"/>
    <w:rsid w:val="00C06F47"/>
    <w:rsid w:val="00C07141"/>
    <w:rsid w:val="00C075CB"/>
    <w:rsid w:val="00C07FD5"/>
    <w:rsid w:val="00C1035E"/>
    <w:rsid w:val="00C114B0"/>
    <w:rsid w:val="00C12129"/>
    <w:rsid w:val="00C12E2D"/>
    <w:rsid w:val="00C13AA7"/>
    <w:rsid w:val="00C13F97"/>
    <w:rsid w:val="00C1434D"/>
    <w:rsid w:val="00C1464B"/>
    <w:rsid w:val="00C14B24"/>
    <w:rsid w:val="00C15E4A"/>
    <w:rsid w:val="00C160A6"/>
    <w:rsid w:val="00C16E21"/>
    <w:rsid w:val="00C24265"/>
    <w:rsid w:val="00C24298"/>
    <w:rsid w:val="00C24D04"/>
    <w:rsid w:val="00C27213"/>
    <w:rsid w:val="00C2741B"/>
    <w:rsid w:val="00C30B58"/>
    <w:rsid w:val="00C31544"/>
    <w:rsid w:val="00C328FF"/>
    <w:rsid w:val="00C34452"/>
    <w:rsid w:val="00C34A07"/>
    <w:rsid w:val="00C3564C"/>
    <w:rsid w:val="00C365B9"/>
    <w:rsid w:val="00C376F9"/>
    <w:rsid w:val="00C3796A"/>
    <w:rsid w:val="00C400AF"/>
    <w:rsid w:val="00C40922"/>
    <w:rsid w:val="00C410AA"/>
    <w:rsid w:val="00C411B3"/>
    <w:rsid w:val="00C41879"/>
    <w:rsid w:val="00C419FA"/>
    <w:rsid w:val="00C41D88"/>
    <w:rsid w:val="00C443FD"/>
    <w:rsid w:val="00C44FC8"/>
    <w:rsid w:val="00C45283"/>
    <w:rsid w:val="00C45390"/>
    <w:rsid w:val="00C4551D"/>
    <w:rsid w:val="00C457A1"/>
    <w:rsid w:val="00C458FF"/>
    <w:rsid w:val="00C50BE1"/>
    <w:rsid w:val="00C514B9"/>
    <w:rsid w:val="00C51B03"/>
    <w:rsid w:val="00C520AD"/>
    <w:rsid w:val="00C52D2B"/>
    <w:rsid w:val="00C5365D"/>
    <w:rsid w:val="00C53A27"/>
    <w:rsid w:val="00C546B2"/>
    <w:rsid w:val="00C55200"/>
    <w:rsid w:val="00C61EA8"/>
    <w:rsid w:val="00C61EAC"/>
    <w:rsid w:val="00C6327C"/>
    <w:rsid w:val="00C64A11"/>
    <w:rsid w:val="00C653DB"/>
    <w:rsid w:val="00C65B3F"/>
    <w:rsid w:val="00C65B50"/>
    <w:rsid w:val="00C66A73"/>
    <w:rsid w:val="00C66B18"/>
    <w:rsid w:val="00C66DA0"/>
    <w:rsid w:val="00C67E11"/>
    <w:rsid w:val="00C708D3"/>
    <w:rsid w:val="00C70977"/>
    <w:rsid w:val="00C726DF"/>
    <w:rsid w:val="00C72DF8"/>
    <w:rsid w:val="00C743B0"/>
    <w:rsid w:val="00C7566B"/>
    <w:rsid w:val="00C75D59"/>
    <w:rsid w:val="00C778D1"/>
    <w:rsid w:val="00C80F81"/>
    <w:rsid w:val="00C81111"/>
    <w:rsid w:val="00C819FF"/>
    <w:rsid w:val="00C81BF8"/>
    <w:rsid w:val="00C8213D"/>
    <w:rsid w:val="00C827F5"/>
    <w:rsid w:val="00C83C78"/>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6B6"/>
    <w:rsid w:val="00CA0EBB"/>
    <w:rsid w:val="00CA154A"/>
    <w:rsid w:val="00CA2345"/>
    <w:rsid w:val="00CA24E5"/>
    <w:rsid w:val="00CA3188"/>
    <w:rsid w:val="00CA3E35"/>
    <w:rsid w:val="00CA45C7"/>
    <w:rsid w:val="00CA470E"/>
    <w:rsid w:val="00CA4883"/>
    <w:rsid w:val="00CA4D55"/>
    <w:rsid w:val="00CA52D5"/>
    <w:rsid w:val="00CA560C"/>
    <w:rsid w:val="00CA6598"/>
    <w:rsid w:val="00CA6705"/>
    <w:rsid w:val="00CA7AAA"/>
    <w:rsid w:val="00CB058E"/>
    <w:rsid w:val="00CB05CF"/>
    <w:rsid w:val="00CB1190"/>
    <w:rsid w:val="00CB16FC"/>
    <w:rsid w:val="00CB265A"/>
    <w:rsid w:val="00CB2925"/>
    <w:rsid w:val="00CB2AA1"/>
    <w:rsid w:val="00CB4095"/>
    <w:rsid w:val="00CB4875"/>
    <w:rsid w:val="00CB4B54"/>
    <w:rsid w:val="00CB4E18"/>
    <w:rsid w:val="00CB5FBB"/>
    <w:rsid w:val="00CB61AF"/>
    <w:rsid w:val="00CB64CF"/>
    <w:rsid w:val="00CB7741"/>
    <w:rsid w:val="00CC133F"/>
    <w:rsid w:val="00CC1495"/>
    <w:rsid w:val="00CC14FE"/>
    <w:rsid w:val="00CC2138"/>
    <w:rsid w:val="00CC2C04"/>
    <w:rsid w:val="00CC2D76"/>
    <w:rsid w:val="00CC4473"/>
    <w:rsid w:val="00CC7155"/>
    <w:rsid w:val="00CD2295"/>
    <w:rsid w:val="00CD337B"/>
    <w:rsid w:val="00CD3E32"/>
    <w:rsid w:val="00CD4708"/>
    <w:rsid w:val="00CD4F58"/>
    <w:rsid w:val="00CD5ACC"/>
    <w:rsid w:val="00CD60E0"/>
    <w:rsid w:val="00CD61BB"/>
    <w:rsid w:val="00CD6C86"/>
    <w:rsid w:val="00CE0E07"/>
    <w:rsid w:val="00CE3733"/>
    <w:rsid w:val="00CE4F74"/>
    <w:rsid w:val="00CE59D4"/>
    <w:rsid w:val="00CE7299"/>
    <w:rsid w:val="00CE7558"/>
    <w:rsid w:val="00CE7D65"/>
    <w:rsid w:val="00CF019D"/>
    <w:rsid w:val="00CF02E1"/>
    <w:rsid w:val="00CF1781"/>
    <w:rsid w:val="00CF189F"/>
    <w:rsid w:val="00CF1CA2"/>
    <w:rsid w:val="00CF43B7"/>
    <w:rsid w:val="00CF4E39"/>
    <w:rsid w:val="00CF5EC5"/>
    <w:rsid w:val="00CF6041"/>
    <w:rsid w:val="00D00F80"/>
    <w:rsid w:val="00D01EFE"/>
    <w:rsid w:val="00D02393"/>
    <w:rsid w:val="00D02D18"/>
    <w:rsid w:val="00D0437F"/>
    <w:rsid w:val="00D0466B"/>
    <w:rsid w:val="00D05B62"/>
    <w:rsid w:val="00D05E09"/>
    <w:rsid w:val="00D0622E"/>
    <w:rsid w:val="00D100B9"/>
    <w:rsid w:val="00D10C6D"/>
    <w:rsid w:val="00D12BA8"/>
    <w:rsid w:val="00D15B81"/>
    <w:rsid w:val="00D20D25"/>
    <w:rsid w:val="00D2161A"/>
    <w:rsid w:val="00D2166D"/>
    <w:rsid w:val="00D217D3"/>
    <w:rsid w:val="00D23F5E"/>
    <w:rsid w:val="00D26EDE"/>
    <w:rsid w:val="00D32394"/>
    <w:rsid w:val="00D327BA"/>
    <w:rsid w:val="00D332AC"/>
    <w:rsid w:val="00D3557A"/>
    <w:rsid w:val="00D3576A"/>
    <w:rsid w:val="00D359B0"/>
    <w:rsid w:val="00D3619E"/>
    <w:rsid w:val="00D3629D"/>
    <w:rsid w:val="00D36378"/>
    <w:rsid w:val="00D3708F"/>
    <w:rsid w:val="00D405F2"/>
    <w:rsid w:val="00D414C0"/>
    <w:rsid w:val="00D41FE6"/>
    <w:rsid w:val="00D42552"/>
    <w:rsid w:val="00D433B3"/>
    <w:rsid w:val="00D43DF9"/>
    <w:rsid w:val="00D4615C"/>
    <w:rsid w:val="00D4733E"/>
    <w:rsid w:val="00D47C2D"/>
    <w:rsid w:val="00D502DE"/>
    <w:rsid w:val="00D512E1"/>
    <w:rsid w:val="00D51581"/>
    <w:rsid w:val="00D517B5"/>
    <w:rsid w:val="00D52BEB"/>
    <w:rsid w:val="00D52C14"/>
    <w:rsid w:val="00D53D2C"/>
    <w:rsid w:val="00D546A9"/>
    <w:rsid w:val="00D54AAF"/>
    <w:rsid w:val="00D54ED5"/>
    <w:rsid w:val="00D60940"/>
    <w:rsid w:val="00D60FBF"/>
    <w:rsid w:val="00D62D0F"/>
    <w:rsid w:val="00D637D2"/>
    <w:rsid w:val="00D6518E"/>
    <w:rsid w:val="00D67008"/>
    <w:rsid w:val="00D670BC"/>
    <w:rsid w:val="00D67589"/>
    <w:rsid w:val="00D67B14"/>
    <w:rsid w:val="00D71404"/>
    <w:rsid w:val="00D720D9"/>
    <w:rsid w:val="00D72642"/>
    <w:rsid w:val="00D739A4"/>
    <w:rsid w:val="00D74E0B"/>
    <w:rsid w:val="00D76167"/>
    <w:rsid w:val="00D765F0"/>
    <w:rsid w:val="00D76A99"/>
    <w:rsid w:val="00D7719B"/>
    <w:rsid w:val="00D773B7"/>
    <w:rsid w:val="00D77D6D"/>
    <w:rsid w:val="00D8280D"/>
    <w:rsid w:val="00D83385"/>
    <w:rsid w:val="00D84F9F"/>
    <w:rsid w:val="00D85320"/>
    <w:rsid w:val="00D86716"/>
    <w:rsid w:val="00D9038B"/>
    <w:rsid w:val="00D90476"/>
    <w:rsid w:val="00D90FA1"/>
    <w:rsid w:val="00D92335"/>
    <w:rsid w:val="00D95947"/>
    <w:rsid w:val="00D95CBA"/>
    <w:rsid w:val="00D960B7"/>
    <w:rsid w:val="00D96E5B"/>
    <w:rsid w:val="00D97956"/>
    <w:rsid w:val="00DA04AF"/>
    <w:rsid w:val="00DA0A56"/>
    <w:rsid w:val="00DA42C4"/>
    <w:rsid w:val="00DA42D5"/>
    <w:rsid w:val="00DA46AC"/>
    <w:rsid w:val="00DA77E8"/>
    <w:rsid w:val="00DA7B3B"/>
    <w:rsid w:val="00DB0E02"/>
    <w:rsid w:val="00DB0FF9"/>
    <w:rsid w:val="00DB141C"/>
    <w:rsid w:val="00DB1E67"/>
    <w:rsid w:val="00DB28AB"/>
    <w:rsid w:val="00DB2F98"/>
    <w:rsid w:val="00DB3ABD"/>
    <w:rsid w:val="00DB3F5C"/>
    <w:rsid w:val="00DB4505"/>
    <w:rsid w:val="00DB4522"/>
    <w:rsid w:val="00DB59C4"/>
    <w:rsid w:val="00DB5AB7"/>
    <w:rsid w:val="00DB5DDB"/>
    <w:rsid w:val="00DC015C"/>
    <w:rsid w:val="00DC361F"/>
    <w:rsid w:val="00DC36FD"/>
    <w:rsid w:val="00DC3821"/>
    <w:rsid w:val="00DC3C17"/>
    <w:rsid w:val="00DC3CA6"/>
    <w:rsid w:val="00DC4139"/>
    <w:rsid w:val="00DC4644"/>
    <w:rsid w:val="00DC4891"/>
    <w:rsid w:val="00DC5DD6"/>
    <w:rsid w:val="00DC5E4A"/>
    <w:rsid w:val="00DC65A4"/>
    <w:rsid w:val="00DC69B5"/>
    <w:rsid w:val="00DC6AB5"/>
    <w:rsid w:val="00DC7403"/>
    <w:rsid w:val="00DD0D25"/>
    <w:rsid w:val="00DD1580"/>
    <w:rsid w:val="00DD1CE1"/>
    <w:rsid w:val="00DD3156"/>
    <w:rsid w:val="00DD6AB2"/>
    <w:rsid w:val="00DD7D3E"/>
    <w:rsid w:val="00DE06E3"/>
    <w:rsid w:val="00DE2365"/>
    <w:rsid w:val="00DE30D1"/>
    <w:rsid w:val="00DE4338"/>
    <w:rsid w:val="00DE54E7"/>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C83"/>
    <w:rsid w:val="00E01335"/>
    <w:rsid w:val="00E0348D"/>
    <w:rsid w:val="00E0380D"/>
    <w:rsid w:val="00E04E12"/>
    <w:rsid w:val="00E05051"/>
    <w:rsid w:val="00E054C0"/>
    <w:rsid w:val="00E05726"/>
    <w:rsid w:val="00E0682A"/>
    <w:rsid w:val="00E0717E"/>
    <w:rsid w:val="00E079B7"/>
    <w:rsid w:val="00E10258"/>
    <w:rsid w:val="00E1084C"/>
    <w:rsid w:val="00E10C62"/>
    <w:rsid w:val="00E12D9E"/>
    <w:rsid w:val="00E14F0D"/>
    <w:rsid w:val="00E15567"/>
    <w:rsid w:val="00E15AD0"/>
    <w:rsid w:val="00E20207"/>
    <w:rsid w:val="00E214AE"/>
    <w:rsid w:val="00E215F2"/>
    <w:rsid w:val="00E22CE2"/>
    <w:rsid w:val="00E24537"/>
    <w:rsid w:val="00E255D7"/>
    <w:rsid w:val="00E25C73"/>
    <w:rsid w:val="00E27968"/>
    <w:rsid w:val="00E327F7"/>
    <w:rsid w:val="00E332D2"/>
    <w:rsid w:val="00E33F68"/>
    <w:rsid w:val="00E344D0"/>
    <w:rsid w:val="00E352C0"/>
    <w:rsid w:val="00E35751"/>
    <w:rsid w:val="00E35C9F"/>
    <w:rsid w:val="00E35F1C"/>
    <w:rsid w:val="00E40045"/>
    <w:rsid w:val="00E405F9"/>
    <w:rsid w:val="00E411E0"/>
    <w:rsid w:val="00E417CE"/>
    <w:rsid w:val="00E417E5"/>
    <w:rsid w:val="00E43A30"/>
    <w:rsid w:val="00E43A6C"/>
    <w:rsid w:val="00E44A68"/>
    <w:rsid w:val="00E45388"/>
    <w:rsid w:val="00E46202"/>
    <w:rsid w:val="00E46BBC"/>
    <w:rsid w:val="00E46D07"/>
    <w:rsid w:val="00E46EBB"/>
    <w:rsid w:val="00E472B3"/>
    <w:rsid w:val="00E479AE"/>
    <w:rsid w:val="00E507EB"/>
    <w:rsid w:val="00E51F03"/>
    <w:rsid w:val="00E525CE"/>
    <w:rsid w:val="00E53E4F"/>
    <w:rsid w:val="00E54EB5"/>
    <w:rsid w:val="00E554B7"/>
    <w:rsid w:val="00E55EF3"/>
    <w:rsid w:val="00E568EB"/>
    <w:rsid w:val="00E56E5B"/>
    <w:rsid w:val="00E625CA"/>
    <w:rsid w:val="00E628C8"/>
    <w:rsid w:val="00E63B8A"/>
    <w:rsid w:val="00E63D69"/>
    <w:rsid w:val="00E64417"/>
    <w:rsid w:val="00E6481D"/>
    <w:rsid w:val="00E66136"/>
    <w:rsid w:val="00E6614B"/>
    <w:rsid w:val="00E66233"/>
    <w:rsid w:val="00E66C55"/>
    <w:rsid w:val="00E66EEB"/>
    <w:rsid w:val="00E67B09"/>
    <w:rsid w:val="00E70ED4"/>
    <w:rsid w:val="00E714CC"/>
    <w:rsid w:val="00E71801"/>
    <w:rsid w:val="00E72667"/>
    <w:rsid w:val="00E72B63"/>
    <w:rsid w:val="00E73BC5"/>
    <w:rsid w:val="00E75D71"/>
    <w:rsid w:val="00E763C9"/>
    <w:rsid w:val="00E76649"/>
    <w:rsid w:val="00E76E6E"/>
    <w:rsid w:val="00E77C52"/>
    <w:rsid w:val="00E80A52"/>
    <w:rsid w:val="00E80C37"/>
    <w:rsid w:val="00E812EF"/>
    <w:rsid w:val="00E814ED"/>
    <w:rsid w:val="00E81CA3"/>
    <w:rsid w:val="00E8480E"/>
    <w:rsid w:val="00E87B91"/>
    <w:rsid w:val="00E87C10"/>
    <w:rsid w:val="00E9155E"/>
    <w:rsid w:val="00E922F3"/>
    <w:rsid w:val="00E92C25"/>
    <w:rsid w:val="00E92E97"/>
    <w:rsid w:val="00E94C0B"/>
    <w:rsid w:val="00E95B5B"/>
    <w:rsid w:val="00E96764"/>
    <w:rsid w:val="00E97038"/>
    <w:rsid w:val="00E97053"/>
    <w:rsid w:val="00E97958"/>
    <w:rsid w:val="00E97A48"/>
    <w:rsid w:val="00E97DCB"/>
    <w:rsid w:val="00EA14F0"/>
    <w:rsid w:val="00EA1D2A"/>
    <w:rsid w:val="00EA2B84"/>
    <w:rsid w:val="00EA2E05"/>
    <w:rsid w:val="00EA34B9"/>
    <w:rsid w:val="00EA406C"/>
    <w:rsid w:val="00EA4D0E"/>
    <w:rsid w:val="00EA59AD"/>
    <w:rsid w:val="00EA658F"/>
    <w:rsid w:val="00EA726E"/>
    <w:rsid w:val="00EB0587"/>
    <w:rsid w:val="00EB05AA"/>
    <w:rsid w:val="00EB280B"/>
    <w:rsid w:val="00EB2B3E"/>
    <w:rsid w:val="00EB367C"/>
    <w:rsid w:val="00EB3E13"/>
    <w:rsid w:val="00EB6117"/>
    <w:rsid w:val="00EC085E"/>
    <w:rsid w:val="00EC14FB"/>
    <w:rsid w:val="00EC2D99"/>
    <w:rsid w:val="00EC3A39"/>
    <w:rsid w:val="00EC4A78"/>
    <w:rsid w:val="00EC4C7F"/>
    <w:rsid w:val="00EC5E58"/>
    <w:rsid w:val="00EC6DDA"/>
    <w:rsid w:val="00ED0309"/>
    <w:rsid w:val="00ED27F1"/>
    <w:rsid w:val="00ED4CF4"/>
    <w:rsid w:val="00ED4DBC"/>
    <w:rsid w:val="00ED50AC"/>
    <w:rsid w:val="00ED6013"/>
    <w:rsid w:val="00ED686E"/>
    <w:rsid w:val="00ED6E89"/>
    <w:rsid w:val="00EE1970"/>
    <w:rsid w:val="00EE1B08"/>
    <w:rsid w:val="00EE2069"/>
    <w:rsid w:val="00EE6404"/>
    <w:rsid w:val="00EE6D93"/>
    <w:rsid w:val="00EF00AC"/>
    <w:rsid w:val="00EF0954"/>
    <w:rsid w:val="00EF0F32"/>
    <w:rsid w:val="00EF3B73"/>
    <w:rsid w:val="00EF3DE8"/>
    <w:rsid w:val="00EF44BC"/>
    <w:rsid w:val="00EF4B34"/>
    <w:rsid w:val="00EF4B4D"/>
    <w:rsid w:val="00EF4F0D"/>
    <w:rsid w:val="00EF5147"/>
    <w:rsid w:val="00EF54DC"/>
    <w:rsid w:val="00EF7A18"/>
    <w:rsid w:val="00EF7A35"/>
    <w:rsid w:val="00F02248"/>
    <w:rsid w:val="00F02592"/>
    <w:rsid w:val="00F04826"/>
    <w:rsid w:val="00F04855"/>
    <w:rsid w:val="00F05295"/>
    <w:rsid w:val="00F052E6"/>
    <w:rsid w:val="00F056DF"/>
    <w:rsid w:val="00F057D8"/>
    <w:rsid w:val="00F07364"/>
    <w:rsid w:val="00F07996"/>
    <w:rsid w:val="00F101A8"/>
    <w:rsid w:val="00F10AE1"/>
    <w:rsid w:val="00F11FDC"/>
    <w:rsid w:val="00F140E4"/>
    <w:rsid w:val="00F141F7"/>
    <w:rsid w:val="00F15D8B"/>
    <w:rsid w:val="00F176B7"/>
    <w:rsid w:val="00F20A53"/>
    <w:rsid w:val="00F20E64"/>
    <w:rsid w:val="00F21423"/>
    <w:rsid w:val="00F230E2"/>
    <w:rsid w:val="00F268DF"/>
    <w:rsid w:val="00F272FE"/>
    <w:rsid w:val="00F313BC"/>
    <w:rsid w:val="00F325AA"/>
    <w:rsid w:val="00F32864"/>
    <w:rsid w:val="00F32C74"/>
    <w:rsid w:val="00F33205"/>
    <w:rsid w:val="00F33F7E"/>
    <w:rsid w:val="00F34ACF"/>
    <w:rsid w:val="00F35181"/>
    <w:rsid w:val="00F36535"/>
    <w:rsid w:val="00F36E8C"/>
    <w:rsid w:val="00F3701B"/>
    <w:rsid w:val="00F37918"/>
    <w:rsid w:val="00F379A6"/>
    <w:rsid w:val="00F40B33"/>
    <w:rsid w:val="00F41127"/>
    <w:rsid w:val="00F42996"/>
    <w:rsid w:val="00F42A84"/>
    <w:rsid w:val="00F43CE7"/>
    <w:rsid w:val="00F45037"/>
    <w:rsid w:val="00F46C9C"/>
    <w:rsid w:val="00F50F18"/>
    <w:rsid w:val="00F513AA"/>
    <w:rsid w:val="00F51D1B"/>
    <w:rsid w:val="00F52005"/>
    <w:rsid w:val="00F5253C"/>
    <w:rsid w:val="00F52824"/>
    <w:rsid w:val="00F52BF1"/>
    <w:rsid w:val="00F54468"/>
    <w:rsid w:val="00F5471B"/>
    <w:rsid w:val="00F57B28"/>
    <w:rsid w:val="00F60DF2"/>
    <w:rsid w:val="00F629C4"/>
    <w:rsid w:val="00F62BEF"/>
    <w:rsid w:val="00F62F99"/>
    <w:rsid w:val="00F63C35"/>
    <w:rsid w:val="00F643F5"/>
    <w:rsid w:val="00F64868"/>
    <w:rsid w:val="00F64B23"/>
    <w:rsid w:val="00F66498"/>
    <w:rsid w:val="00F665E8"/>
    <w:rsid w:val="00F66E8A"/>
    <w:rsid w:val="00F66EB3"/>
    <w:rsid w:val="00F67B4E"/>
    <w:rsid w:val="00F70B04"/>
    <w:rsid w:val="00F70E24"/>
    <w:rsid w:val="00F70EAA"/>
    <w:rsid w:val="00F72E51"/>
    <w:rsid w:val="00F73BC3"/>
    <w:rsid w:val="00F7499E"/>
    <w:rsid w:val="00F75D11"/>
    <w:rsid w:val="00F810AD"/>
    <w:rsid w:val="00F82918"/>
    <w:rsid w:val="00F82FE7"/>
    <w:rsid w:val="00F83ED6"/>
    <w:rsid w:val="00F84F60"/>
    <w:rsid w:val="00F85389"/>
    <w:rsid w:val="00F90334"/>
    <w:rsid w:val="00F9095D"/>
    <w:rsid w:val="00F918ED"/>
    <w:rsid w:val="00F928F0"/>
    <w:rsid w:val="00F93D06"/>
    <w:rsid w:val="00F9617B"/>
    <w:rsid w:val="00F96281"/>
    <w:rsid w:val="00F96AD8"/>
    <w:rsid w:val="00F978F5"/>
    <w:rsid w:val="00FA0302"/>
    <w:rsid w:val="00FA2FFA"/>
    <w:rsid w:val="00FA41DB"/>
    <w:rsid w:val="00FA4B51"/>
    <w:rsid w:val="00FA6E70"/>
    <w:rsid w:val="00FA7107"/>
    <w:rsid w:val="00FB02B6"/>
    <w:rsid w:val="00FB059F"/>
    <w:rsid w:val="00FB083E"/>
    <w:rsid w:val="00FB14CF"/>
    <w:rsid w:val="00FB4888"/>
    <w:rsid w:val="00FB69D4"/>
    <w:rsid w:val="00FB705E"/>
    <w:rsid w:val="00FB7161"/>
    <w:rsid w:val="00FB742E"/>
    <w:rsid w:val="00FC01D0"/>
    <w:rsid w:val="00FC06F6"/>
    <w:rsid w:val="00FC1177"/>
    <w:rsid w:val="00FC154E"/>
    <w:rsid w:val="00FC23AC"/>
    <w:rsid w:val="00FC337D"/>
    <w:rsid w:val="00FC35B1"/>
    <w:rsid w:val="00FC3C5D"/>
    <w:rsid w:val="00FC4F80"/>
    <w:rsid w:val="00FC51D0"/>
    <w:rsid w:val="00FC564A"/>
    <w:rsid w:val="00FC6855"/>
    <w:rsid w:val="00FC6A7C"/>
    <w:rsid w:val="00FC7007"/>
    <w:rsid w:val="00FC76FF"/>
    <w:rsid w:val="00FD050F"/>
    <w:rsid w:val="00FD06C0"/>
    <w:rsid w:val="00FD0DF8"/>
    <w:rsid w:val="00FD1898"/>
    <w:rsid w:val="00FD280C"/>
    <w:rsid w:val="00FD45C9"/>
    <w:rsid w:val="00FD4D84"/>
    <w:rsid w:val="00FD6006"/>
    <w:rsid w:val="00FD668F"/>
    <w:rsid w:val="00FD7719"/>
    <w:rsid w:val="00FD7B3F"/>
    <w:rsid w:val="00FE1AD7"/>
    <w:rsid w:val="00FE3719"/>
    <w:rsid w:val="00FE64E9"/>
    <w:rsid w:val="00FE70F8"/>
    <w:rsid w:val="00FE7C32"/>
    <w:rsid w:val="00FF00CF"/>
    <w:rsid w:val="00FF0336"/>
    <w:rsid w:val="00FF056B"/>
    <w:rsid w:val="00FF48DF"/>
    <w:rsid w:val="00FF4B9F"/>
    <w:rsid w:val="00FF4F46"/>
    <w:rsid w:val="00FF65C9"/>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docId w15:val="{70F652E2-3606-4560-AF3C-14D73A563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B10752"/>
    <w:pPr>
      <w:keepNext/>
      <w:keepLines/>
      <w:spacing w:before="200"/>
      <w:outlineLvl w:val="1"/>
    </w:pPr>
    <w:rPr>
      <w:rFonts w:asciiTheme="majorHAnsi" w:eastAsiaTheme="majorEastAsia" w:hAnsiTheme="majorHAnsi" w:cstheme="majorBidi"/>
      <w:b/>
      <w:bCs/>
      <w:szCs w:val="26"/>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B10752"/>
    <w:rPr>
      <w:rFonts w:asciiTheme="majorHAnsi" w:eastAsiaTheme="majorEastAsia" w:hAnsiTheme="majorHAnsi" w:cstheme="majorBidi"/>
      <w:b/>
      <w:bCs/>
      <w:sz w:val="24"/>
      <w:szCs w:val="26"/>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uiPriority w:val="11"/>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uiPriority w:val="11"/>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
    <w:basedOn w:val="Normal"/>
    <w:link w:val="FootnoteTextChar"/>
    <w:uiPriority w:val="99"/>
    <w:unhideWhenUsed/>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
    <w:uiPriority w:val="99"/>
    <w:unhideWhenUsed/>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Grid">
    <w:name w:val="Table Grid"/>
    <w:basedOn w:val="TableNormal"/>
    <w:uiPriority w:val="59"/>
    <w:rsid w:val="00B03E7D"/>
    <w:rPr>
      <w:rFonts w:ascii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eastAsia="MS Mincho" w:hAnsi="Cambria"/>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eastAsia="MS Mincho" w:hAnsi="Cambria"/>
      <w:sz w:val="24"/>
      <w:szCs w:val="24"/>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eastAsia="MS Mincho" w:hAnsi="Cambria"/>
      <w:sz w:val="24"/>
      <w:szCs w:val="24"/>
    </w:rPr>
    <w:tblPr>
      <w:tblStyleRowBandSize w:val="1"/>
      <w:tblStyleColBandSize w:val="1"/>
      <w:tblInd w:w="0" w:type="dxa"/>
      <w:tblBorders>
        <w:top w:val="single" w:sz="4" w:space="0" w:color="4BACC6"/>
        <w:left w:val="single" w:sz="4" w:space="0" w:color="4BACC6"/>
        <w:bottom w:val="single" w:sz="4" w:space="0" w:color="4BACC6"/>
        <w:right w:val="single" w:sz="4" w:space="0" w:color="4BACC6"/>
      </w:tblBorders>
      <w:tblCellMar>
        <w:top w:w="0" w:type="dxa"/>
        <w:left w:w="108" w:type="dxa"/>
        <w:bottom w:w="0" w:type="dxa"/>
        <w:right w:w="108" w:type="dxa"/>
      </w:tblCellMar>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eastAsia="MS Mincho" w:hAnsi="Cambria"/>
      <w:sz w:val="24"/>
      <w:szCs w:val="24"/>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eastAsia="MS Mincho" w:hAnsi="Cambria"/>
      <w:sz w:val="24"/>
      <w:szCs w:val="24"/>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eastAsia="MS Mincho" w:hAnsi="Cambria"/>
      <w:sz w:val="24"/>
      <w:szCs w:val="24"/>
    </w:rPr>
    <w:tblPr>
      <w:tblStyleRowBandSize w:val="1"/>
      <w:tblStyleColBandSize w:val="1"/>
      <w:tblInd w:w="0"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0" w:type="dxa"/>
        <w:left w:w="108" w:type="dxa"/>
        <w:bottom w:w="0" w:type="dxa"/>
        <w:right w:w="108" w:type="dxa"/>
      </w:tblCellMar>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eastAsia="MS Mincho" w:hAnsi="Cambria"/>
      <w:sz w:val="24"/>
      <w:szCs w:val="24"/>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2">
    <w:name w:val="Table Grid Light12"/>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3">
    <w:name w:val="Table Grid Light13"/>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4">
    <w:name w:val="Table Grid Light14"/>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TableGridLight15">
    <w:name w:val="Table Grid Light15"/>
    <w:basedOn w:val="TableNormal"/>
    <w:next w:val="TableNormal"/>
    <w:uiPriority w:val="40"/>
    <w:rsid w:val="00527686"/>
    <w:rPr>
      <w:rFonts w:ascii="Cambria" w:hAnsi="Cambria"/>
      <w:sz w:val="22"/>
      <w:szCs w:val="22"/>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rPr>
      <w:rFonts w:eastAsia="MS Mincho"/>
    </w:r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rFonts w:eastAsia="MS Mincho"/>
      <w:color w:val="365F91" w:themeColor="accent1" w:themeShade="BF"/>
    </w:r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eastAsia="MS Mincho" w:hAnsiTheme="minorHAnsi" w:cstheme="minorBidi"/>
      <w:sz w:val="22"/>
      <w:szCs w:val="22"/>
    </w:r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chart" Target="charts/chart10.xml"/><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image" Target="media/image24.emf"/><Relationship Id="rId68" Type="http://schemas.openxmlformats.org/officeDocument/2006/relationships/image" Target="media/image29.png"/><Relationship Id="rId16" Type="http://schemas.openxmlformats.org/officeDocument/2006/relationships/chart" Target="charts/chart5.xml"/><Relationship Id="rId11" Type="http://schemas.openxmlformats.org/officeDocument/2006/relationships/header" Target="header1.xml"/><Relationship Id="rId24" Type="http://schemas.openxmlformats.org/officeDocument/2006/relationships/image" Target="media/image2.emf"/><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chart" Target="charts/chart16.xml"/><Relationship Id="rId53" Type="http://schemas.openxmlformats.org/officeDocument/2006/relationships/chart" Target="charts/chart24.xml"/><Relationship Id="rId58" Type="http://schemas.openxmlformats.org/officeDocument/2006/relationships/image" Target="media/image21.emf"/><Relationship Id="rId66" Type="http://schemas.openxmlformats.org/officeDocument/2006/relationships/image" Target="media/image27.png"/><Relationship Id="rId74" Type="http://schemas.openxmlformats.org/officeDocument/2006/relationships/image" Target="media/image35.emf"/><Relationship Id="rId5" Type="http://schemas.openxmlformats.org/officeDocument/2006/relationships/webSettings" Target="webSettings.xml"/><Relationship Id="rId61" Type="http://schemas.openxmlformats.org/officeDocument/2006/relationships/chart" Target="charts/chart28.xml"/><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chart" Target="charts/chart11.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chart" Target="charts/chart27.xml"/><Relationship Id="rId64" Type="http://schemas.openxmlformats.org/officeDocument/2006/relationships/image" Target="media/image25.png"/><Relationship Id="rId69" Type="http://schemas.openxmlformats.org/officeDocument/2006/relationships/image" Target="media/image30.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22.xml"/><Relationship Id="rId72"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image" Target="media/image3.emf"/><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chart" Target="charts/chart17.xml"/><Relationship Id="rId59" Type="http://schemas.openxmlformats.org/officeDocument/2006/relationships/image" Target="media/image22.emf"/><Relationship Id="rId67" Type="http://schemas.openxmlformats.org/officeDocument/2006/relationships/image" Target="media/image28.emf"/><Relationship Id="rId20" Type="http://schemas.openxmlformats.org/officeDocument/2006/relationships/chart" Target="charts/chart9.xml"/><Relationship Id="rId41" Type="http://schemas.openxmlformats.org/officeDocument/2006/relationships/image" Target="media/image19.png"/><Relationship Id="rId54" Type="http://schemas.openxmlformats.org/officeDocument/2006/relationships/chart" Target="charts/chart25.xml"/><Relationship Id="rId62" Type="http://schemas.openxmlformats.org/officeDocument/2006/relationships/chart" Target="charts/chart29.xml"/><Relationship Id="rId70" Type="http://schemas.openxmlformats.org/officeDocument/2006/relationships/image" Target="media/image31.png"/><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image" Target="media/image6.png"/><Relationship Id="rId36" Type="http://schemas.openxmlformats.org/officeDocument/2006/relationships/image" Target="media/image14.png"/><Relationship Id="rId49" Type="http://schemas.openxmlformats.org/officeDocument/2006/relationships/chart" Target="charts/chart20.xml"/><Relationship Id="rId57" Type="http://schemas.openxmlformats.org/officeDocument/2006/relationships/image" Target="media/image20.emf"/><Relationship Id="rId10" Type="http://schemas.openxmlformats.org/officeDocument/2006/relationships/footer" Target="footer2.xml"/><Relationship Id="rId31" Type="http://schemas.openxmlformats.org/officeDocument/2006/relationships/image" Target="media/image9.png"/><Relationship Id="rId44" Type="http://schemas.openxmlformats.org/officeDocument/2006/relationships/chart" Target="charts/chart15.xml"/><Relationship Id="rId52" Type="http://schemas.openxmlformats.org/officeDocument/2006/relationships/chart" Target="charts/chart23.xml"/><Relationship Id="rId60" Type="http://schemas.openxmlformats.org/officeDocument/2006/relationships/image" Target="media/image23.png"/><Relationship Id="rId65" Type="http://schemas.openxmlformats.org/officeDocument/2006/relationships/image" Target="media/image26.emf"/><Relationship Id="rId73" Type="http://schemas.openxmlformats.org/officeDocument/2006/relationships/image" Target="media/image34.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chart" Target="charts/chart21.xml"/><Relationship Id="rId55" Type="http://schemas.openxmlformats.org/officeDocument/2006/relationships/chart" Target="charts/chart26.xml"/><Relationship Id="rId76"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32.png"/><Relationship Id="rId2" Type="http://schemas.openxmlformats.org/officeDocument/2006/relationships/numbering" Target="numbering.xml"/><Relationship Id="rId29" Type="http://schemas.openxmlformats.org/officeDocument/2006/relationships/image" Target="media/image7.png"/></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Chart%202%20in%20Microsoft%20Word"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mariel.frroku\Desktop\Desktop\Viti%202019\Analiza%20e%205%20mujorit%202019\Te%20dhenat%20e%20analizes%205%20mujore%20te%20zbatimit%20te%20buxhetit%20vendor.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mariel.frroku\Desktop\Desktop\Viti%202019\Analiza%20e%205%20mujorit%202019\Te%20dhenat%20e%20analizes%205%20mujore%20te%20zbatimit%20te%20buxhetit%20vendor.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mariel.frroku\Desktop\Desktop\Viti%202019\Analiza%20e%205%20mujorit%202019\Te%20dhenat%20e%20analizes%205%20mujore%20te%20zbatimit%20te%20buxhetit%20vendor.xlsx" TargetMode="Externa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3.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4.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5.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7.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8.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9.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0.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1.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2.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3.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4.xml"/></Relationships>
</file>

<file path=word/charts/_rels/chart28.xml.rels><?xml version="1.0" encoding="UTF-8" standalone="yes"?>
<Relationships xmlns="http://schemas.openxmlformats.org/package/2006/relationships"><Relationship Id="rId1" Type="http://schemas.openxmlformats.org/officeDocument/2006/relationships/oleObject" Target="file:///D:\Doc\1%20Work%20Magazine\Detyrimet%20e%20Prapambetura\Detyrimet%20Work\Detyrime%2020172018%20Grafik.xlsx" TargetMode="External"/></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oleObject" Target="Chart%20in%20Microsoft%20Word"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jonida.kaza\Desktop\ANALIZAT%20FISKALE\RAPORTE%20MIISTRIA\Performanca%20e%20te%20Ardhurave\Raporti%20Mujor\databas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1.3047324965745021E-2"/>
          <c:y val="0.11408815903197926"/>
          <c:w val="0.97011593966398602"/>
          <c:h val="0.73981168437861355"/>
        </c:manualLayout>
      </c:layout>
      <c:barChart>
        <c:barDir val="col"/>
        <c:grouping val="stacked"/>
        <c:varyColors val="0"/>
        <c:ser>
          <c:idx val="0"/>
          <c:order val="0"/>
          <c:tx>
            <c:strRef>
              <c:f>'Tatimet+Doganat'!$B$3</c:f>
              <c:strCache>
                <c:ptCount val="1"/>
                <c:pt idx="0">
                  <c:v>Realizimi Total</c:v>
                </c:pt>
              </c:strCache>
            </c:strRef>
          </c:tx>
          <c:spPr>
            <a:solidFill>
              <a:schemeClr val="bg1"/>
            </a:solidFill>
            <a:ln>
              <a:noFill/>
            </a:ln>
            <a:effectLst/>
          </c:spPr>
          <c:invertIfNegative val="0"/>
          <c:dPt>
            <c:idx val="0"/>
            <c:invertIfNegative val="0"/>
            <c:bubble3D val="0"/>
            <c:spPr>
              <a:solidFill>
                <a:srgbClr val="00B050"/>
              </a:solidFill>
              <a:ln>
                <a:noFill/>
              </a:ln>
              <a:effectLst/>
            </c:spPr>
            <c:extLst xmlns:c16r2="http://schemas.microsoft.com/office/drawing/2015/06/chart">
              <c:ext xmlns:c16="http://schemas.microsoft.com/office/drawing/2014/chart" uri="{C3380CC4-5D6E-409C-BE32-E72D297353CC}">
                <c16:uniqueId val="{00000001-AA19-4498-8447-2E74948D25BB}"/>
              </c:ext>
            </c:extLst>
          </c:dPt>
          <c:dPt>
            <c:idx val="10"/>
            <c:invertIfNegative val="0"/>
            <c:bubble3D val="0"/>
            <c:spPr>
              <a:solidFill>
                <a:schemeClr val="tx1">
                  <a:lumMod val="50000"/>
                  <a:lumOff val="50000"/>
                </a:schemeClr>
              </a:solidFill>
              <a:ln>
                <a:noFill/>
              </a:ln>
              <a:effectLst/>
            </c:spPr>
            <c:extLst xmlns:c16r2="http://schemas.microsoft.com/office/drawing/2015/06/chart">
              <c:ext xmlns:c16="http://schemas.microsoft.com/office/drawing/2014/chart" uri="{C3380CC4-5D6E-409C-BE32-E72D297353CC}">
                <c16:uniqueId val="{00000003-AA19-4498-8447-2E74948D25BB}"/>
              </c:ext>
            </c:extLst>
          </c:dPt>
          <c:dPt>
            <c:idx val="11"/>
            <c:invertIfNegative val="0"/>
            <c:bubble3D val="0"/>
            <c:spPr>
              <a:solidFill>
                <a:schemeClr val="tx2">
                  <a:lumMod val="60000"/>
                  <a:lumOff val="40000"/>
                </a:schemeClr>
              </a:solidFill>
              <a:ln>
                <a:noFill/>
              </a:ln>
              <a:effectLst/>
            </c:spPr>
            <c:extLst xmlns:c16r2="http://schemas.microsoft.com/office/drawing/2015/06/chart">
              <c:ext xmlns:c16="http://schemas.microsoft.com/office/drawing/2014/chart" uri="{C3380CC4-5D6E-409C-BE32-E72D297353CC}">
                <c16:uniqueId val="{00000005-AA19-4498-8447-2E74948D25BB}"/>
              </c:ext>
            </c:extLst>
          </c:dPt>
          <c:dLbls>
            <c:dLbl>
              <c:idx val="0"/>
              <c:layout>
                <c:manualLayout>
                  <c:x val="0"/>
                  <c:y val="-0.31818181818181823"/>
                </c:manualLayout>
              </c:layout>
              <c:tx>
                <c:rich>
                  <a:bodyPr/>
                  <a:lstStyle/>
                  <a:p>
                    <a:r>
                      <a:rPr lang="en-US"/>
                      <a:t>158,793</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A19-4498-8447-2E74948D25BB}"/>
                </c:ext>
                <c:ext xmlns:c15="http://schemas.microsoft.com/office/drawing/2012/chart" uri="{CE6537A1-D6FC-4f65-9D91-7224C49458BB}"/>
              </c:extLst>
            </c:dLbl>
            <c:dLbl>
              <c:idx val="10"/>
              <c:layout>
                <c:manualLayout>
                  <c:x val="-1.5520102897395801E-16"/>
                  <c:y val="-0.34848484848484851"/>
                </c:manualLayout>
              </c:layout>
              <c:tx>
                <c:rich>
                  <a:bodyPr/>
                  <a:lstStyle/>
                  <a:p>
                    <a:r>
                      <a:rPr lang="en-US"/>
                      <a:t>165,088</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A19-4498-8447-2E74948D25BB}"/>
                </c:ext>
                <c:ext xmlns:c15="http://schemas.microsoft.com/office/drawing/2012/chart" uri="{CE6537A1-D6FC-4f65-9D91-7224C49458BB}"/>
              </c:extLst>
            </c:dLbl>
            <c:dLbl>
              <c:idx val="11"/>
              <c:layout>
                <c:manualLayout>
                  <c:x val="0"/>
                  <c:y val="-0.37121212121212127"/>
                </c:manualLayout>
              </c:layout>
              <c:tx>
                <c:rich>
                  <a:bodyPr/>
                  <a:lstStyle/>
                  <a:p>
                    <a:r>
                      <a:rPr lang="en-US"/>
                      <a:t>168,025</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A19-4498-8447-2E74948D25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'Tatimet+Doganat'!$A$4:$A$15</c:f>
              <c:strCache>
                <c:ptCount val="12"/>
                <c:pt idx="0">
                  <c:v>Fakt 2018</c:v>
                </c:pt>
                <c:pt idx="1">
                  <c:v>TVSH import</c:v>
                </c:pt>
                <c:pt idx="2">
                  <c:v>TVSH B.V</c:v>
                </c:pt>
                <c:pt idx="3">
                  <c:v>Tatim Fitimi</c:v>
                </c:pt>
                <c:pt idx="4">
                  <c:v>Akciza</c:v>
                </c:pt>
                <c:pt idx="5">
                  <c:v>TAP</c:v>
                </c:pt>
                <c:pt idx="6">
                  <c:v>T. Nacionale</c:v>
                </c:pt>
                <c:pt idx="7">
                  <c:v>R. Minerare</c:v>
                </c:pt>
                <c:pt idx="8">
                  <c:v>T. Doganore</c:v>
                </c:pt>
                <c:pt idx="9">
                  <c:v>Kontributet </c:v>
                </c:pt>
                <c:pt idx="10">
                  <c:v>Fakt 2019</c:v>
                </c:pt>
                <c:pt idx="11">
                  <c:v>Plan </c:v>
                </c:pt>
              </c:strCache>
            </c:strRef>
          </c:cat>
          <c:val>
            <c:numRef>
              <c:f>'Tatimet+Doganat'!$B$4:$B$15</c:f>
              <c:numCache>
                <c:formatCode>_(* #,##0_);_(* \(#,##0\);_(* "-"??_);_(@_)</c:formatCode>
                <c:ptCount val="12"/>
                <c:pt idx="0">
                  <c:v>157725</c:v>
                </c:pt>
                <c:pt idx="1">
                  <c:v>157725</c:v>
                </c:pt>
                <c:pt idx="2">
                  <c:v>156159</c:v>
                </c:pt>
                <c:pt idx="3">
                  <c:v>156159</c:v>
                </c:pt>
                <c:pt idx="4">
                  <c:v>158267</c:v>
                </c:pt>
                <c:pt idx="5">
                  <c:v>158622</c:v>
                </c:pt>
                <c:pt idx="6">
                  <c:v>161685</c:v>
                </c:pt>
                <c:pt idx="7">
                  <c:v>161428</c:v>
                </c:pt>
                <c:pt idx="8">
                  <c:v>161428</c:v>
                </c:pt>
                <c:pt idx="9">
                  <c:v>161554</c:v>
                </c:pt>
                <c:pt idx="10">
                  <c:v>163763</c:v>
                </c:pt>
                <c:pt idx="11">
                  <c:v>166670</c:v>
                </c:pt>
              </c:numCache>
            </c:numRef>
          </c:val>
          <c:extLst xmlns:c16r2="http://schemas.microsoft.com/office/drawing/2015/06/chart">
            <c:ext xmlns:c16="http://schemas.microsoft.com/office/drawing/2014/chart" uri="{C3380CC4-5D6E-409C-BE32-E72D297353CC}">
              <c16:uniqueId val="{00000006-AA19-4498-8447-2E74948D25BB}"/>
            </c:ext>
          </c:extLst>
        </c:ser>
        <c:ser>
          <c:idx val="1"/>
          <c:order val="1"/>
          <c:tx>
            <c:strRef>
              <c:f>'Tatimet+Doganat'!$C$3</c:f>
              <c:strCache>
                <c:ptCount val="1"/>
                <c:pt idx="0">
                  <c:v>Rënie</c:v>
                </c:pt>
              </c:strCache>
            </c:strRef>
          </c:tx>
          <c:spPr>
            <a:solidFill>
              <a:srgbClr val="FF0000"/>
            </a:solidFill>
            <a:ln>
              <a:noFill/>
            </a:ln>
            <a:effectLst/>
          </c:spPr>
          <c:invertIfNegative val="0"/>
          <c:dLbls>
            <c:dLbl>
              <c:idx val="0"/>
              <c:delete val="1"/>
              <c:extLst xmlns:c16r2="http://schemas.microsoft.com/office/drawing/2015/06/chart">
                <c:ext xmlns:c16="http://schemas.microsoft.com/office/drawing/2014/chart" uri="{C3380CC4-5D6E-409C-BE32-E72D297353CC}">
                  <c16:uniqueId val="{00000007-AA19-4498-8447-2E74948D25BB}"/>
                </c:ext>
                <c:ext xmlns:c15="http://schemas.microsoft.com/office/drawing/2012/chart" uri="{CE6537A1-D6FC-4f65-9D91-7224C49458BB}"/>
              </c:extLst>
            </c:dLbl>
            <c:dLbl>
              <c:idx val="1"/>
              <c:delete val="1"/>
              <c:extLst xmlns:c16r2="http://schemas.microsoft.com/office/drawing/2015/06/chart">
                <c:ext xmlns:c16="http://schemas.microsoft.com/office/drawing/2014/chart" uri="{C3380CC4-5D6E-409C-BE32-E72D297353CC}">
                  <c16:uniqueId val="{00000008-AA19-4498-8447-2E74948D25BB}"/>
                </c:ext>
                <c:ext xmlns:c15="http://schemas.microsoft.com/office/drawing/2012/chart" uri="{CE6537A1-D6FC-4f65-9D91-7224C49458BB}"/>
              </c:extLst>
            </c:dLbl>
            <c:dLbl>
              <c:idx val="2"/>
              <c:layout>
                <c:manualLayout>
                  <c:x val="4.5918369191642666E-3"/>
                  <c:y val="-3.78698224852071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A19-4498-8447-2E74948D25BB}"/>
                </c:ext>
                <c:ext xmlns:c15="http://schemas.microsoft.com/office/drawing/2012/chart" uri="{CE6537A1-D6FC-4f65-9D91-7224C49458BB}"/>
              </c:extLst>
            </c:dLbl>
            <c:dLbl>
              <c:idx val="3"/>
              <c:delete val="1"/>
              <c:extLst xmlns:c16r2="http://schemas.microsoft.com/office/drawing/2015/06/chart">
                <c:ext xmlns:c16="http://schemas.microsoft.com/office/drawing/2014/chart" uri="{C3380CC4-5D6E-409C-BE32-E72D297353CC}">
                  <c16:uniqueId val="{0000000A-AA19-4498-8447-2E74948D25BB}"/>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B-AA19-4498-8447-2E74948D25BB}"/>
                </c:ext>
                <c:ext xmlns:c15="http://schemas.microsoft.com/office/drawing/2012/chart" uri="{CE6537A1-D6FC-4f65-9D91-7224C49458BB}"/>
              </c:extLst>
            </c:dLbl>
            <c:dLbl>
              <c:idx val="5"/>
              <c:delete val="1"/>
              <c:extLst xmlns:c16r2="http://schemas.microsoft.com/office/drawing/2015/06/chart">
                <c:ext xmlns:c16="http://schemas.microsoft.com/office/drawing/2014/chart" uri="{C3380CC4-5D6E-409C-BE32-E72D297353CC}">
                  <c16:uniqueId val="{0000000C-AA19-4498-8447-2E74948D25BB}"/>
                </c:ext>
                <c:ext xmlns:c15="http://schemas.microsoft.com/office/drawing/2012/chart" uri="{CE6537A1-D6FC-4f65-9D91-7224C49458BB}"/>
              </c:extLst>
            </c:dLbl>
            <c:dLbl>
              <c:idx val="6"/>
              <c:layout>
                <c:manualLayout>
                  <c:x val="4.5918369191642666E-3"/>
                  <c:y val="-3.31360946745562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A19-4498-8447-2E74948D25BB}"/>
                </c:ext>
                <c:ext xmlns:c15="http://schemas.microsoft.com/office/drawing/2012/chart" uri="{CE6537A1-D6FC-4f65-9D91-7224C49458BB}"/>
              </c:extLst>
            </c:dLbl>
            <c:dLbl>
              <c:idx val="7"/>
              <c:layout>
                <c:manualLayout>
                  <c:x val="1.5306123063880887E-3"/>
                  <c:y val="-3.076923076923077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E-AA19-4498-8447-2E74948D25BB}"/>
                </c:ext>
                <c:ext xmlns:c15="http://schemas.microsoft.com/office/drawing/2012/chart" uri="{CE6537A1-D6FC-4f65-9D91-7224C49458BB}"/>
              </c:extLst>
            </c:dLbl>
            <c:dLbl>
              <c:idx val="8"/>
              <c:delete val="1"/>
              <c:extLst xmlns:c16r2="http://schemas.microsoft.com/office/drawing/2015/06/chart">
                <c:ext xmlns:c16="http://schemas.microsoft.com/office/drawing/2014/chart" uri="{C3380CC4-5D6E-409C-BE32-E72D297353CC}">
                  <c16:uniqueId val="{0000000F-AA19-4498-8447-2E74948D25BB}"/>
                </c:ext>
                <c:ext xmlns:c15="http://schemas.microsoft.com/office/drawing/2012/chart" uri="{CE6537A1-D6FC-4f65-9D91-7224C49458BB}"/>
              </c:extLst>
            </c:dLbl>
            <c:dLbl>
              <c:idx val="9"/>
              <c:delete val="1"/>
              <c:extLst xmlns:c16r2="http://schemas.microsoft.com/office/drawing/2015/06/chart">
                <c:ext xmlns:c16="http://schemas.microsoft.com/office/drawing/2014/chart" uri="{C3380CC4-5D6E-409C-BE32-E72D297353CC}">
                  <c16:uniqueId val="{00000010-AA19-4498-8447-2E74948D25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'Tatimet+Doganat'!$A$4:$A$15</c:f>
              <c:strCache>
                <c:ptCount val="12"/>
                <c:pt idx="0">
                  <c:v>Fakt 2018</c:v>
                </c:pt>
                <c:pt idx="1">
                  <c:v>TVSH import</c:v>
                </c:pt>
                <c:pt idx="2">
                  <c:v>TVSH B.V</c:v>
                </c:pt>
                <c:pt idx="3">
                  <c:v>Tatim Fitimi</c:v>
                </c:pt>
                <c:pt idx="4">
                  <c:v>Akciza</c:v>
                </c:pt>
                <c:pt idx="5">
                  <c:v>TAP</c:v>
                </c:pt>
                <c:pt idx="6">
                  <c:v>T. Nacionale</c:v>
                </c:pt>
                <c:pt idx="7">
                  <c:v>R. Minerare</c:v>
                </c:pt>
                <c:pt idx="8">
                  <c:v>T. Doganore</c:v>
                </c:pt>
                <c:pt idx="9">
                  <c:v>Kontributet </c:v>
                </c:pt>
                <c:pt idx="10">
                  <c:v>Fakt 2019</c:v>
                </c:pt>
                <c:pt idx="11">
                  <c:v>Plan </c:v>
                </c:pt>
              </c:strCache>
            </c:strRef>
          </c:cat>
          <c:val>
            <c:numRef>
              <c:f>'Tatimet+Doganat'!$C$4:$C$15</c:f>
              <c:numCache>
                <c:formatCode>_(* #,##0_);_(* \(#,##0\);_(* "-"??_);_(@_)</c:formatCode>
                <c:ptCount val="12"/>
                <c:pt idx="0">
                  <c:v>0</c:v>
                </c:pt>
                <c:pt idx="1">
                  <c:v>0</c:v>
                </c:pt>
                <c:pt idx="2">
                  <c:v>1669</c:v>
                </c:pt>
                <c:pt idx="3">
                  <c:v>0</c:v>
                </c:pt>
                <c:pt idx="4">
                  <c:v>0</c:v>
                </c:pt>
                <c:pt idx="5">
                  <c:v>0</c:v>
                </c:pt>
                <c:pt idx="6">
                  <c:v>1134</c:v>
                </c:pt>
                <c:pt idx="7">
                  <c:v>257</c:v>
                </c:pt>
                <c:pt idx="8">
                  <c:v>0</c:v>
                </c:pt>
                <c:pt idx="9">
                  <c:v>0</c:v>
                </c:pt>
              </c:numCache>
            </c:numRef>
          </c:val>
          <c:extLst xmlns:c16r2="http://schemas.microsoft.com/office/drawing/2015/06/chart">
            <c:ext xmlns:c16="http://schemas.microsoft.com/office/drawing/2014/chart" uri="{C3380CC4-5D6E-409C-BE32-E72D297353CC}">
              <c16:uniqueId val="{00000011-AA19-4498-8447-2E74948D25BB}"/>
            </c:ext>
          </c:extLst>
        </c:ser>
        <c:ser>
          <c:idx val="2"/>
          <c:order val="2"/>
          <c:tx>
            <c:strRef>
              <c:f>'Tatimet+Doganat'!$D$3</c:f>
              <c:strCache>
                <c:ptCount val="1"/>
                <c:pt idx="0">
                  <c:v>Rritje</c:v>
                </c:pt>
              </c:strCache>
            </c:strRef>
          </c:tx>
          <c:spPr>
            <a:solidFill>
              <a:srgbClr val="3333FF"/>
            </a:solidFill>
            <a:ln>
              <a:noFill/>
            </a:ln>
            <a:effectLst/>
          </c:spPr>
          <c:invertIfNegative val="0"/>
          <c:dLbls>
            <c:dLbl>
              <c:idx val="1"/>
              <c:layout>
                <c:manualLayout>
                  <c:x val="-3.0612246127761917E-3"/>
                  <c:y val="-3.313609467455621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2-AA19-4498-8447-2E74948D25BB}"/>
                </c:ext>
                <c:ext xmlns:c15="http://schemas.microsoft.com/office/drawing/2012/chart" uri="{CE6537A1-D6FC-4f65-9D91-7224C49458BB}"/>
              </c:extLst>
            </c:dLbl>
            <c:dLbl>
              <c:idx val="2"/>
              <c:delete val="1"/>
              <c:extLst xmlns:c16r2="http://schemas.microsoft.com/office/drawing/2015/06/chart">
                <c:ext xmlns:c16="http://schemas.microsoft.com/office/drawing/2014/chart" uri="{C3380CC4-5D6E-409C-BE32-E72D297353CC}">
                  <c16:uniqueId val="{00000013-AA19-4498-8447-2E74948D25BB}"/>
                </c:ext>
                <c:ext xmlns:c15="http://schemas.microsoft.com/office/drawing/2012/chart" uri="{CE6537A1-D6FC-4f65-9D91-7224C49458BB}"/>
              </c:extLst>
            </c:dLbl>
            <c:dLbl>
              <c:idx val="3"/>
              <c:layout>
                <c:manualLayout>
                  <c:x val="0"/>
                  <c:y val="-3.78698224852071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AA19-4498-8447-2E74948D25BB}"/>
                </c:ext>
                <c:ext xmlns:c15="http://schemas.microsoft.com/office/drawing/2012/chart" uri="{CE6537A1-D6FC-4f65-9D91-7224C49458BB}"/>
              </c:extLst>
            </c:dLbl>
            <c:dLbl>
              <c:idx val="4"/>
              <c:layout>
                <c:manualLayout>
                  <c:x val="0"/>
                  <c:y val="-2.603550295857988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A19-4498-8447-2E74948D25BB}"/>
                </c:ext>
                <c:ext xmlns:c15="http://schemas.microsoft.com/office/drawing/2012/chart" uri="{CE6537A1-D6FC-4f65-9D91-7224C49458BB}"/>
              </c:extLst>
            </c:dLbl>
            <c:dLbl>
              <c:idx val="5"/>
              <c:layout>
                <c:manualLayout>
                  <c:x val="3.0612246127761215E-3"/>
                  <c:y val="-3.78698224852071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6-AA19-4498-8447-2E74948D25BB}"/>
                </c:ext>
                <c:ext xmlns:c15="http://schemas.microsoft.com/office/drawing/2012/chart" uri="{CE6537A1-D6FC-4f65-9D91-7224C49458BB}"/>
              </c:extLst>
            </c:dLbl>
            <c:dLbl>
              <c:idx val="6"/>
              <c:delete val="1"/>
              <c:extLst xmlns:c16r2="http://schemas.microsoft.com/office/drawing/2015/06/chart">
                <c:ext xmlns:c16="http://schemas.microsoft.com/office/drawing/2014/chart" uri="{C3380CC4-5D6E-409C-BE32-E72D297353CC}">
                  <c16:uniqueId val="{00000017-AA19-4498-8447-2E74948D25BB}"/>
                </c:ext>
                <c:ext xmlns:c15="http://schemas.microsoft.com/office/drawing/2012/chart" uri="{CE6537A1-D6FC-4f65-9D91-7224C49458BB}"/>
              </c:extLst>
            </c:dLbl>
            <c:dLbl>
              <c:idx val="7"/>
              <c:delete val="1"/>
              <c:extLst xmlns:c16r2="http://schemas.microsoft.com/office/drawing/2015/06/chart">
                <c:ext xmlns:c16="http://schemas.microsoft.com/office/drawing/2014/chart" uri="{C3380CC4-5D6E-409C-BE32-E72D297353CC}">
                  <c16:uniqueId val="{00000018-AA19-4498-8447-2E74948D25BB}"/>
                </c:ext>
                <c:ext xmlns:c15="http://schemas.microsoft.com/office/drawing/2012/chart" uri="{CE6537A1-D6FC-4f65-9D91-7224C49458BB}"/>
              </c:extLst>
            </c:dLbl>
            <c:dLbl>
              <c:idx val="8"/>
              <c:layout>
                <c:manualLayout>
                  <c:x val="-1.5306123063880887E-3"/>
                  <c:y val="-1.89349112426035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A19-4498-8447-2E74948D25BB}"/>
                </c:ext>
                <c:ext xmlns:c15="http://schemas.microsoft.com/office/drawing/2012/chart" uri="{CE6537A1-D6FC-4f65-9D91-7224C49458BB}"/>
              </c:extLst>
            </c:dLbl>
            <c:dLbl>
              <c:idx val="9"/>
              <c:layout>
                <c:manualLayout>
                  <c:x val="3.0612246127761774E-3"/>
                  <c:y val="-3.0769230769230771E-2"/>
                </c:manualLayout>
              </c:layout>
              <c:tx>
                <c:rich>
                  <a:bodyPr/>
                  <a:lstStyle/>
                  <a:p>
                    <a:r>
                      <a:rPr lang="en-US"/>
                      <a:t>2,467</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A-AA19-4498-8447-2E74948D25BB}"/>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'Tatimet+Doganat'!$A$4:$A$15</c:f>
              <c:strCache>
                <c:ptCount val="12"/>
                <c:pt idx="0">
                  <c:v>Fakt 2018</c:v>
                </c:pt>
                <c:pt idx="1">
                  <c:v>TVSH import</c:v>
                </c:pt>
                <c:pt idx="2">
                  <c:v>TVSH B.V</c:v>
                </c:pt>
                <c:pt idx="3">
                  <c:v>Tatim Fitimi</c:v>
                </c:pt>
                <c:pt idx="4">
                  <c:v>Akciza</c:v>
                </c:pt>
                <c:pt idx="5">
                  <c:v>TAP</c:v>
                </c:pt>
                <c:pt idx="6">
                  <c:v>T. Nacionale</c:v>
                </c:pt>
                <c:pt idx="7">
                  <c:v>R. Minerare</c:v>
                </c:pt>
                <c:pt idx="8">
                  <c:v>T. Doganore</c:v>
                </c:pt>
                <c:pt idx="9">
                  <c:v>Kontributet </c:v>
                </c:pt>
                <c:pt idx="10">
                  <c:v>Fakt 2019</c:v>
                </c:pt>
                <c:pt idx="11">
                  <c:v>Plan </c:v>
                </c:pt>
              </c:strCache>
            </c:strRef>
          </c:cat>
          <c:val>
            <c:numRef>
              <c:f>'Tatimet+Doganat'!$D$4:$D$15</c:f>
              <c:numCache>
                <c:formatCode>_(* #,##0_);_(* \(#,##0\);_(* "-"??_);_(@_)</c:formatCode>
                <c:ptCount val="12"/>
                <c:pt idx="1">
                  <c:v>103</c:v>
                </c:pt>
                <c:pt idx="2">
                  <c:v>0</c:v>
                </c:pt>
                <c:pt idx="3">
                  <c:v>2108</c:v>
                </c:pt>
                <c:pt idx="4">
                  <c:v>355</c:v>
                </c:pt>
                <c:pt idx="5">
                  <c:v>4197</c:v>
                </c:pt>
                <c:pt idx="6">
                  <c:v>0</c:v>
                </c:pt>
                <c:pt idx="7">
                  <c:v>0</c:v>
                </c:pt>
                <c:pt idx="8">
                  <c:v>126</c:v>
                </c:pt>
                <c:pt idx="9">
                  <c:v>2209</c:v>
                </c:pt>
              </c:numCache>
            </c:numRef>
          </c:val>
          <c:extLst xmlns:c16r2="http://schemas.microsoft.com/office/drawing/2015/06/chart">
            <c:ext xmlns:c16="http://schemas.microsoft.com/office/drawing/2014/chart" uri="{C3380CC4-5D6E-409C-BE32-E72D297353CC}">
              <c16:uniqueId val="{0000001B-AA19-4498-8447-2E74948D25BB}"/>
            </c:ext>
          </c:extLst>
        </c:ser>
        <c:dLbls>
          <c:showLegendKey val="0"/>
          <c:showVal val="0"/>
          <c:showCatName val="0"/>
          <c:showSerName val="0"/>
          <c:showPercent val="0"/>
          <c:showBubbleSize val="0"/>
        </c:dLbls>
        <c:gapWidth val="20"/>
        <c:overlap val="100"/>
        <c:axId val="412032528"/>
        <c:axId val="412033616"/>
      </c:barChart>
      <c:catAx>
        <c:axId val="41203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rgbClr val="C00000"/>
                </a:solidFill>
                <a:latin typeface="+mn-lt"/>
                <a:ea typeface="+mn-ea"/>
                <a:cs typeface="+mn-cs"/>
              </a:defRPr>
            </a:pPr>
            <a:endParaRPr lang="en-US"/>
          </a:p>
        </c:txPr>
        <c:crossAx val="412033616"/>
        <c:crosses val="autoZero"/>
        <c:auto val="1"/>
        <c:lblAlgn val="ctr"/>
        <c:lblOffset val="100"/>
        <c:noMultiLvlLbl val="0"/>
      </c:catAx>
      <c:valAx>
        <c:axId val="412033616"/>
        <c:scaling>
          <c:orientation val="minMax"/>
          <c:min val="100000"/>
        </c:scaling>
        <c:delete val="1"/>
        <c:axPos val="l"/>
        <c:numFmt formatCode="_(* #,##0_);_(* \(#,##0\);_(* &quot;-&quot;??_);_(@_)" sourceLinked="1"/>
        <c:majorTickMark val="none"/>
        <c:minorTickMark val="none"/>
        <c:tickLblPos val="nextTo"/>
        <c:crossAx val="412032528"/>
        <c:crosses val="autoZero"/>
        <c:crossBetween val="between"/>
      </c:valAx>
      <c:spPr>
        <a:noFill/>
        <a:ln>
          <a:noFill/>
        </a:ln>
        <a:effectLst/>
      </c:spPr>
    </c:plotArea>
    <c:legend>
      <c:legendPos val="b"/>
      <c:legendEntry>
        <c:idx val="0"/>
        <c:delete val="1"/>
      </c:legendEntry>
      <c:layout>
        <c:manualLayout>
          <c:xMode val="edge"/>
          <c:yMode val="edge"/>
          <c:x val="0.27046148443120216"/>
          <c:y val="2.9857894982062153E-2"/>
          <c:w val="0.3672402927543103"/>
          <c:h val="5.8340944201335253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solidFill>
        <a:schemeClr val="bg1">
          <a:lumMod val="85000"/>
        </a:schemeClr>
      </a:solidFill>
      <a:round/>
    </a:ln>
    <a:effectLst/>
  </c:spPr>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1"/>
          <c:order val="1"/>
          <c:tx>
            <c:strRef>
              <c:f>'[Chart in Microsoft Word]Sheet1'!$D$51</c:f>
              <c:strCache>
                <c:ptCount val="1"/>
                <c:pt idx="0">
                  <c:v>Plan</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Word]Sheet1'!$B$52:$B$59</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Word]Sheet1'!$D$52:$D$59</c:f>
              <c:numCache>
                <c:formatCode>_(* #,##0.0_);_(* \(#,##0.0\);_(* "-"??_);_(@_)</c:formatCode>
                <c:ptCount val="8"/>
                <c:pt idx="0">
                  <c:v>11.62</c:v>
                </c:pt>
                <c:pt idx="1">
                  <c:v>11.6</c:v>
                </c:pt>
                <c:pt idx="2">
                  <c:v>11.2</c:v>
                </c:pt>
                <c:pt idx="3">
                  <c:v>14.455</c:v>
                </c:pt>
                <c:pt idx="4">
                  <c:v>13.255000000000001</c:v>
                </c:pt>
                <c:pt idx="5">
                  <c:v>14.141</c:v>
                </c:pt>
                <c:pt idx="6">
                  <c:v>15.3</c:v>
                </c:pt>
                <c:pt idx="7">
                  <c:v>16.600000000000001</c:v>
                </c:pt>
              </c:numCache>
            </c:numRef>
          </c:val>
          <c:extLst xmlns:c16r2="http://schemas.microsoft.com/office/drawing/2015/06/chart">
            <c:ext xmlns:c16="http://schemas.microsoft.com/office/drawing/2014/chart" uri="{C3380CC4-5D6E-409C-BE32-E72D297353CC}">
              <c16:uniqueId val="{00000001-520E-406D-A9BA-07646124828E}"/>
            </c:ext>
          </c:extLst>
        </c:ser>
        <c:dLbls>
          <c:showLegendKey val="0"/>
          <c:showVal val="0"/>
          <c:showCatName val="0"/>
          <c:showSerName val="0"/>
          <c:showPercent val="0"/>
          <c:showBubbleSize val="0"/>
        </c:dLbls>
        <c:gapWidth val="150"/>
        <c:axId val="410879488"/>
        <c:axId val="410881120"/>
      </c:barChart>
      <c:lineChart>
        <c:grouping val="standard"/>
        <c:varyColors val="0"/>
        <c:ser>
          <c:idx val="0"/>
          <c:order val="0"/>
          <c:tx>
            <c:strRef>
              <c:f>'[Chart in Microsoft Word]Sheet1'!$C$51</c:f>
              <c:strCache>
                <c:ptCount val="1"/>
                <c:pt idx="0">
                  <c:v>Fakt </c:v>
                </c:pt>
              </c:strCache>
            </c:strRef>
          </c:tx>
          <c:spPr>
            <a:ln w="28575" cap="rnd">
              <a:solidFill>
                <a:schemeClr val="accent1">
                  <a:shade val="76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Word]Sheet1'!$B$52:$B$59</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Word]Sheet1'!$C$52:$C$59</c:f>
              <c:numCache>
                <c:formatCode>_(* #,##0.0_);_(* \(#,##0.0\);_(* "-"??_);_(@_)</c:formatCode>
                <c:ptCount val="8"/>
                <c:pt idx="0">
                  <c:v>10.976000000000001</c:v>
                </c:pt>
                <c:pt idx="1">
                  <c:v>11.988</c:v>
                </c:pt>
                <c:pt idx="2">
                  <c:v>10.901999999999999</c:v>
                </c:pt>
                <c:pt idx="3">
                  <c:v>11.252000000000001</c:v>
                </c:pt>
                <c:pt idx="4">
                  <c:v>13.429</c:v>
                </c:pt>
                <c:pt idx="5">
                  <c:v>12.914</c:v>
                </c:pt>
                <c:pt idx="6">
                  <c:v>14.24361</c:v>
                </c:pt>
                <c:pt idx="7">
                  <c:v>18.440000000000001</c:v>
                </c:pt>
              </c:numCache>
            </c:numRef>
          </c:val>
          <c:smooth val="0"/>
          <c:extLst xmlns:c16r2="http://schemas.microsoft.com/office/drawing/2015/06/chart">
            <c:ext xmlns:c16="http://schemas.microsoft.com/office/drawing/2014/chart" uri="{C3380CC4-5D6E-409C-BE32-E72D297353CC}">
              <c16:uniqueId val="{00000000-520E-406D-A9BA-07646124828E}"/>
            </c:ext>
          </c:extLst>
        </c:ser>
        <c:dLbls>
          <c:showLegendKey val="0"/>
          <c:showVal val="0"/>
          <c:showCatName val="0"/>
          <c:showSerName val="0"/>
          <c:showPercent val="0"/>
          <c:showBubbleSize val="0"/>
        </c:dLbls>
        <c:marker val="1"/>
        <c:smooth val="0"/>
        <c:axId val="410879488"/>
        <c:axId val="410881120"/>
      </c:lineChart>
      <c:catAx>
        <c:axId val="41087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81120"/>
        <c:crosses val="autoZero"/>
        <c:auto val="1"/>
        <c:lblAlgn val="ctr"/>
        <c:lblOffset val="100"/>
        <c:noMultiLvlLbl val="0"/>
      </c:catAx>
      <c:valAx>
        <c:axId val="410881120"/>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7948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1"/>
          <c:order val="1"/>
          <c:tx>
            <c:strRef>
              <c:f>'[Chart in Microsoft Word]Sheet1'!$D$64</c:f>
              <c:strCache>
                <c:ptCount val="1"/>
                <c:pt idx="0">
                  <c:v>Plan</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Word]Sheet1'!$B$65:$B$72</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Word]Sheet1'!$D$65:$D$72</c:f>
              <c:numCache>
                <c:formatCode>_(* #,##0.0_);_(* \(#,##0.0\);_(* "-"??_);_(@_)</c:formatCode>
                <c:ptCount val="8"/>
                <c:pt idx="0">
                  <c:v>7.25</c:v>
                </c:pt>
                <c:pt idx="1">
                  <c:v>8.9499999999999993</c:v>
                </c:pt>
                <c:pt idx="2">
                  <c:v>10.5</c:v>
                </c:pt>
                <c:pt idx="3">
                  <c:v>12.259</c:v>
                </c:pt>
                <c:pt idx="4">
                  <c:v>13.404999999999999</c:v>
                </c:pt>
                <c:pt idx="5">
                  <c:v>12.6</c:v>
                </c:pt>
                <c:pt idx="6">
                  <c:v>13.81</c:v>
                </c:pt>
                <c:pt idx="7">
                  <c:v>14.87</c:v>
                </c:pt>
              </c:numCache>
            </c:numRef>
          </c:val>
          <c:extLst xmlns:c16r2="http://schemas.microsoft.com/office/drawing/2015/06/chart">
            <c:ext xmlns:c16="http://schemas.microsoft.com/office/drawing/2014/chart" uri="{C3380CC4-5D6E-409C-BE32-E72D297353CC}">
              <c16:uniqueId val="{00000001-E990-49D2-A98E-4BCE7802C9E7}"/>
            </c:ext>
          </c:extLst>
        </c:ser>
        <c:dLbls>
          <c:showLegendKey val="0"/>
          <c:showVal val="0"/>
          <c:showCatName val="0"/>
          <c:showSerName val="0"/>
          <c:showPercent val="0"/>
          <c:showBubbleSize val="0"/>
        </c:dLbls>
        <c:gapWidth val="150"/>
        <c:axId val="410886560"/>
        <c:axId val="410875136"/>
      </c:barChart>
      <c:lineChart>
        <c:grouping val="standard"/>
        <c:varyColors val="0"/>
        <c:ser>
          <c:idx val="0"/>
          <c:order val="0"/>
          <c:tx>
            <c:strRef>
              <c:f>'[Chart in Microsoft Word]Sheet1'!$C$64</c:f>
              <c:strCache>
                <c:ptCount val="1"/>
                <c:pt idx="0">
                  <c:v>Fakt</c:v>
                </c:pt>
              </c:strCache>
            </c:strRef>
          </c:tx>
          <c:spPr>
            <a:ln w="28575" cap="rnd">
              <a:solidFill>
                <a:schemeClr val="accent1">
                  <a:shade val="76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Word]Sheet1'!$B$65:$B$72</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Word]Sheet1'!$C$65:$C$72</c:f>
              <c:numCache>
                <c:formatCode>_(* #,##0.0_);_(* \(#,##0.0\);_(* "-"??_);_(@_)</c:formatCode>
                <c:ptCount val="8"/>
                <c:pt idx="0">
                  <c:v>8.9209999999999994</c:v>
                </c:pt>
                <c:pt idx="1">
                  <c:v>7.41</c:v>
                </c:pt>
                <c:pt idx="2">
                  <c:v>9.4190000000000005</c:v>
                </c:pt>
                <c:pt idx="3">
                  <c:v>10.505000000000001</c:v>
                </c:pt>
                <c:pt idx="4">
                  <c:v>12.384</c:v>
                </c:pt>
                <c:pt idx="5">
                  <c:v>16.407</c:v>
                </c:pt>
                <c:pt idx="6">
                  <c:v>14.192954</c:v>
                </c:pt>
                <c:pt idx="7">
                  <c:v>13</c:v>
                </c:pt>
              </c:numCache>
            </c:numRef>
          </c:val>
          <c:smooth val="0"/>
          <c:extLst xmlns:c16r2="http://schemas.microsoft.com/office/drawing/2015/06/chart">
            <c:ext xmlns:c16="http://schemas.microsoft.com/office/drawing/2014/chart" uri="{C3380CC4-5D6E-409C-BE32-E72D297353CC}">
              <c16:uniqueId val="{00000000-E990-49D2-A98E-4BCE7802C9E7}"/>
            </c:ext>
          </c:extLst>
        </c:ser>
        <c:dLbls>
          <c:showLegendKey val="0"/>
          <c:showVal val="0"/>
          <c:showCatName val="0"/>
          <c:showSerName val="0"/>
          <c:showPercent val="0"/>
          <c:showBubbleSize val="0"/>
        </c:dLbls>
        <c:marker val="1"/>
        <c:smooth val="0"/>
        <c:axId val="410886560"/>
        <c:axId val="410875136"/>
      </c:lineChart>
      <c:catAx>
        <c:axId val="41088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75136"/>
        <c:crosses val="autoZero"/>
        <c:auto val="1"/>
        <c:lblAlgn val="ctr"/>
        <c:lblOffset val="100"/>
        <c:noMultiLvlLbl val="0"/>
      </c:catAx>
      <c:valAx>
        <c:axId val="410875136"/>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86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1"/>
          <c:order val="1"/>
          <c:tx>
            <c:strRef>
              <c:f>'[Chart 2 in Microsoft Word]Sheet1'!$F$64</c:f>
              <c:strCache>
                <c:ptCount val="1"/>
                <c:pt idx="0">
                  <c:v>Plan</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2 in Microsoft Word]Sheet1'!$B$65:$B$72</c:f>
              <c:numCache>
                <c:formatCode>General</c:formatCode>
                <c:ptCount val="8"/>
                <c:pt idx="0">
                  <c:v>2012</c:v>
                </c:pt>
                <c:pt idx="1">
                  <c:v>2013</c:v>
                </c:pt>
                <c:pt idx="2">
                  <c:v>2014</c:v>
                </c:pt>
                <c:pt idx="3">
                  <c:v>2015</c:v>
                </c:pt>
                <c:pt idx="4">
                  <c:v>2016</c:v>
                </c:pt>
                <c:pt idx="5">
                  <c:v>2017</c:v>
                </c:pt>
                <c:pt idx="6">
                  <c:v>2018</c:v>
                </c:pt>
                <c:pt idx="7">
                  <c:v>2019</c:v>
                </c:pt>
              </c:numCache>
            </c:numRef>
          </c:cat>
          <c:val>
            <c:numRef>
              <c:f>'[Chart 2 in Microsoft Word]Sheet1'!$F$65:$F$72</c:f>
              <c:numCache>
                <c:formatCode>_(* #,##0.0_);_(* \(#,##0.0\);_(* "-"??_);_(@_)</c:formatCode>
                <c:ptCount val="8"/>
                <c:pt idx="0">
                  <c:v>22.68</c:v>
                </c:pt>
                <c:pt idx="1">
                  <c:v>23.5</c:v>
                </c:pt>
                <c:pt idx="2">
                  <c:v>24.9</c:v>
                </c:pt>
                <c:pt idx="3">
                  <c:v>26.628</c:v>
                </c:pt>
                <c:pt idx="4">
                  <c:v>30.37</c:v>
                </c:pt>
                <c:pt idx="5">
                  <c:v>32.072000000000003</c:v>
                </c:pt>
                <c:pt idx="6">
                  <c:v>34</c:v>
                </c:pt>
                <c:pt idx="7">
                  <c:v>39</c:v>
                </c:pt>
              </c:numCache>
            </c:numRef>
          </c:val>
          <c:extLst xmlns:c16r2="http://schemas.microsoft.com/office/drawing/2015/06/chart">
            <c:ext xmlns:c16="http://schemas.microsoft.com/office/drawing/2014/chart" uri="{C3380CC4-5D6E-409C-BE32-E72D297353CC}">
              <c16:uniqueId val="{00000001-1F75-488D-8911-AD895BCCB655}"/>
            </c:ext>
          </c:extLst>
        </c:ser>
        <c:dLbls>
          <c:showLegendKey val="0"/>
          <c:showVal val="0"/>
          <c:showCatName val="0"/>
          <c:showSerName val="0"/>
          <c:showPercent val="0"/>
          <c:showBubbleSize val="0"/>
        </c:dLbls>
        <c:gapWidth val="150"/>
        <c:axId val="410876224"/>
        <c:axId val="410883840"/>
      </c:barChart>
      <c:lineChart>
        <c:grouping val="standard"/>
        <c:varyColors val="0"/>
        <c:ser>
          <c:idx val="0"/>
          <c:order val="0"/>
          <c:tx>
            <c:strRef>
              <c:f>'[Chart 2 in Microsoft Word]Sheet1'!$E$64</c:f>
              <c:strCache>
                <c:ptCount val="1"/>
                <c:pt idx="0">
                  <c:v>Fakt</c:v>
                </c:pt>
              </c:strCache>
            </c:strRef>
          </c:tx>
          <c:spPr>
            <a:ln w="28575" cap="rnd">
              <a:solidFill>
                <a:schemeClr val="accent1">
                  <a:shade val="76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2 in Microsoft Word]Sheet1'!$B$65:$B$72</c:f>
              <c:numCache>
                <c:formatCode>General</c:formatCode>
                <c:ptCount val="8"/>
                <c:pt idx="0">
                  <c:v>2012</c:v>
                </c:pt>
                <c:pt idx="1">
                  <c:v>2013</c:v>
                </c:pt>
                <c:pt idx="2">
                  <c:v>2014</c:v>
                </c:pt>
                <c:pt idx="3">
                  <c:v>2015</c:v>
                </c:pt>
                <c:pt idx="4">
                  <c:v>2016</c:v>
                </c:pt>
                <c:pt idx="5">
                  <c:v>2017</c:v>
                </c:pt>
                <c:pt idx="6">
                  <c:v>2018</c:v>
                </c:pt>
                <c:pt idx="7">
                  <c:v>2019</c:v>
                </c:pt>
              </c:numCache>
            </c:numRef>
          </c:cat>
          <c:val>
            <c:numRef>
              <c:f>'[Chart 2 in Microsoft Word]Sheet1'!$E$65:$E$72</c:f>
              <c:numCache>
                <c:formatCode>_(* #,##0.0_);_(* \(#,##0.0\);_(* "-"??_);_(@_)</c:formatCode>
                <c:ptCount val="8"/>
                <c:pt idx="0">
                  <c:v>22.395</c:v>
                </c:pt>
                <c:pt idx="1">
                  <c:v>22.977</c:v>
                </c:pt>
                <c:pt idx="2">
                  <c:v>25</c:v>
                </c:pt>
                <c:pt idx="3">
                  <c:v>27.398</c:v>
                </c:pt>
                <c:pt idx="4">
                  <c:v>31.167999999999999</c:v>
                </c:pt>
                <c:pt idx="5">
                  <c:v>33.543999999999997</c:v>
                </c:pt>
                <c:pt idx="6">
                  <c:v>36.840514990999999</c:v>
                </c:pt>
                <c:pt idx="7">
                  <c:v>39</c:v>
                </c:pt>
              </c:numCache>
            </c:numRef>
          </c:val>
          <c:smooth val="0"/>
          <c:extLst xmlns:c16r2="http://schemas.microsoft.com/office/drawing/2015/06/chart">
            <c:ext xmlns:c16="http://schemas.microsoft.com/office/drawing/2014/chart" uri="{C3380CC4-5D6E-409C-BE32-E72D297353CC}">
              <c16:uniqueId val="{00000000-1F75-488D-8911-AD895BCCB655}"/>
            </c:ext>
          </c:extLst>
        </c:ser>
        <c:dLbls>
          <c:showLegendKey val="0"/>
          <c:showVal val="0"/>
          <c:showCatName val="0"/>
          <c:showSerName val="0"/>
          <c:showPercent val="0"/>
          <c:showBubbleSize val="0"/>
        </c:dLbls>
        <c:marker val="1"/>
        <c:smooth val="0"/>
        <c:axId val="410876224"/>
        <c:axId val="410883840"/>
      </c:lineChart>
      <c:catAx>
        <c:axId val="410876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83840"/>
        <c:crosses val="autoZero"/>
        <c:auto val="1"/>
        <c:lblAlgn val="ctr"/>
        <c:lblOffset val="100"/>
        <c:noMultiLvlLbl val="0"/>
      </c:catAx>
      <c:valAx>
        <c:axId val="410883840"/>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76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02851623745052"/>
          <c:y val="6.4958153815678696E-2"/>
          <c:w val="0.87110591374098034"/>
          <c:h val="0.65915610646325462"/>
        </c:manualLayout>
      </c:layout>
      <c:barChart>
        <c:barDir val="col"/>
        <c:grouping val="clustered"/>
        <c:varyColors val="0"/>
        <c:ser>
          <c:idx val="0"/>
          <c:order val="0"/>
          <c:tx>
            <c:strRef>
              <c:f>Shpenzimet!$C$26</c:f>
              <c:strCache>
                <c:ptCount val="1"/>
                <c:pt idx="0">
                  <c:v> 5 mujori 2019</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Shpenzimet!$D$25:$I$25</c:f>
              <c:strCache>
                <c:ptCount val="6"/>
                <c:pt idx="0">
                  <c:v>Paga</c:v>
                </c:pt>
                <c:pt idx="1">
                  <c:v>Sigurime</c:v>
                </c:pt>
                <c:pt idx="2">
                  <c:v>Operative</c:v>
                </c:pt>
                <c:pt idx="3">
                  <c:v>Subvencione</c:v>
                </c:pt>
                <c:pt idx="4">
                  <c:v>Te tjera</c:v>
                </c:pt>
                <c:pt idx="5">
                  <c:v>Shpenzime Kapitale</c:v>
                </c:pt>
              </c:strCache>
            </c:strRef>
          </c:cat>
          <c:val>
            <c:numRef>
              <c:f>Shpenzimet!$D$26:$I$26</c:f>
              <c:numCache>
                <c:formatCode>#,##0</c:formatCode>
                <c:ptCount val="6"/>
                <c:pt idx="0">
                  <c:v>7637</c:v>
                </c:pt>
                <c:pt idx="1">
                  <c:v>1295</c:v>
                </c:pt>
                <c:pt idx="2">
                  <c:v>6327</c:v>
                </c:pt>
                <c:pt idx="3">
                  <c:v>61</c:v>
                </c:pt>
                <c:pt idx="4">
                  <c:v>508</c:v>
                </c:pt>
                <c:pt idx="5">
                  <c:v>7824</c:v>
                </c:pt>
              </c:numCache>
            </c:numRef>
          </c:val>
        </c:ser>
        <c:ser>
          <c:idx val="1"/>
          <c:order val="1"/>
          <c:tx>
            <c:strRef>
              <c:f>Shpenzimet!$C$27</c:f>
              <c:strCache>
                <c:ptCount val="1"/>
                <c:pt idx="0">
                  <c:v> 5 mujori 2018</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Shpenzimet!$D$25:$I$25</c:f>
              <c:strCache>
                <c:ptCount val="6"/>
                <c:pt idx="0">
                  <c:v>Paga</c:v>
                </c:pt>
                <c:pt idx="1">
                  <c:v>Sigurime</c:v>
                </c:pt>
                <c:pt idx="2">
                  <c:v>Operative</c:v>
                </c:pt>
                <c:pt idx="3">
                  <c:v>Subvencione</c:v>
                </c:pt>
                <c:pt idx="4">
                  <c:v>Te tjera</c:v>
                </c:pt>
                <c:pt idx="5">
                  <c:v>Shpenzime Kapitale</c:v>
                </c:pt>
              </c:strCache>
            </c:strRef>
          </c:cat>
          <c:val>
            <c:numRef>
              <c:f>Shpenzimet!$D$27:$I$27</c:f>
              <c:numCache>
                <c:formatCode>#,##0</c:formatCode>
                <c:ptCount val="6"/>
                <c:pt idx="0">
                  <c:v>7315</c:v>
                </c:pt>
                <c:pt idx="1">
                  <c:v>1213</c:v>
                </c:pt>
                <c:pt idx="2">
                  <c:v>6314</c:v>
                </c:pt>
                <c:pt idx="3">
                  <c:v>57</c:v>
                </c:pt>
                <c:pt idx="4">
                  <c:v>523</c:v>
                </c:pt>
                <c:pt idx="5">
                  <c:v>6392</c:v>
                </c:pt>
              </c:numCache>
            </c:numRef>
          </c:val>
        </c:ser>
        <c:dLbls>
          <c:showLegendKey val="0"/>
          <c:showVal val="0"/>
          <c:showCatName val="0"/>
          <c:showSerName val="0"/>
          <c:showPercent val="0"/>
          <c:showBubbleSize val="0"/>
        </c:dLbls>
        <c:gapWidth val="100"/>
        <c:overlap val="-24"/>
        <c:axId val="410873504"/>
        <c:axId val="410874592"/>
      </c:barChart>
      <c:catAx>
        <c:axId val="410873504"/>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410874592"/>
        <c:crosses val="autoZero"/>
        <c:auto val="1"/>
        <c:lblAlgn val="ctr"/>
        <c:lblOffset val="100"/>
        <c:noMultiLvlLbl val="0"/>
      </c:catAx>
      <c:valAx>
        <c:axId val="410874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cap="all" baseline="0">
                    <a:solidFill>
                      <a:srgbClr val="C00000"/>
                    </a:solidFill>
                    <a:latin typeface="+mn-lt"/>
                    <a:ea typeface="+mn-ea"/>
                    <a:cs typeface="+mn-cs"/>
                  </a:defRPr>
                </a:pPr>
                <a:r>
                  <a:rPr lang="sq-AL" b="1">
                    <a:solidFill>
                      <a:srgbClr val="C00000"/>
                    </a:solidFill>
                  </a:rPr>
                  <a:t>Në milion leke</a:t>
                </a:r>
              </a:p>
            </c:rich>
          </c:tx>
          <c:layout>
            <c:manualLayout>
              <c:xMode val="edge"/>
              <c:yMode val="edge"/>
              <c:x val="3.3502247862581534E-3"/>
              <c:y val="0.30925040030373557"/>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410873504"/>
        <c:crosses val="autoZero"/>
        <c:crossBetween val="between"/>
      </c:valAx>
      <c:spPr>
        <a:noFill/>
        <a:ln>
          <a:noFill/>
        </a:ln>
        <a:effectLst/>
      </c:spPr>
    </c:plotArea>
    <c:legend>
      <c:legendPos val="b"/>
      <c:layout>
        <c:manualLayout>
          <c:xMode val="edge"/>
          <c:yMode val="edge"/>
          <c:x val="0.26415841584158417"/>
          <c:y val="0.90408755509334915"/>
          <c:w val="0.44968079485113865"/>
          <c:h val="7.0755212202248299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50000"/>
                  <a:lumOff val="50000"/>
                </a:schemeClr>
              </a:solidFill>
              <a:latin typeface="+mn-lt"/>
              <a:ea typeface="+mn-ea"/>
              <a:cs typeface="+mn-cs"/>
            </a:defRPr>
          </a:pPr>
          <a:endParaRPr lang="en-US"/>
        </a:p>
      </c:txPr>
    </c:legend>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3206947857632456E-2"/>
          <c:y val="5.5650574415902931E-2"/>
          <c:w val="0.90736613337345573"/>
          <c:h val="0.60372509788735418"/>
        </c:manualLayout>
      </c:layout>
      <c:barChart>
        <c:barDir val="col"/>
        <c:grouping val="clustered"/>
        <c:varyColors val="0"/>
        <c:ser>
          <c:idx val="2"/>
          <c:order val="0"/>
          <c:tx>
            <c:strRef>
              <c:f>'Te ardhurat'!$C$6</c:f>
              <c:strCache>
                <c:ptCount val="1"/>
                <c:pt idx="0">
                  <c:v>Taksë mbi Pasurinë (ndërtesat)</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ardhurat'!$D$3:$R$3</c:f>
              <c:strCache>
                <c:ptCount val="15"/>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strCache>
            </c:strRef>
          </c:cat>
          <c:val>
            <c:numRef>
              <c:f>'Te ardhurat'!$D$6:$R$6</c:f>
              <c:numCache>
                <c:formatCode>#,##0</c:formatCode>
                <c:ptCount val="15"/>
                <c:pt idx="0">
                  <c:v>527.68600000000004</c:v>
                </c:pt>
                <c:pt idx="1">
                  <c:v>611.13499999999999</c:v>
                </c:pt>
                <c:pt idx="2">
                  <c:v>405.88806</c:v>
                </c:pt>
                <c:pt idx="3">
                  <c:v>620.31200000000001</c:v>
                </c:pt>
                <c:pt idx="4">
                  <c:v>796.43562000000009</c:v>
                </c:pt>
                <c:pt idx="5">
                  <c:v>985.12200000000007</c:v>
                </c:pt>
                <c:pt idx="6">
                  <c:v>958</c:v>
                </c:pt>
                <c:pt idx="7">
                  <c:v>1418</c:v>
                </c:pt>
                <c:pt idx="8">
                  <c:v>1346</c:v>
                </c:pt>
                <c:pt idx="9">
                  <c:v>1931</c:v>
                </c:pt>
                <c:pt idx="10">
                  <c:v>2101</c:v>
                </c:pt>
                <c:pt idx="11">
                  <c:v>2316</c:v>
                </c:pt>
                <c:pt idx="12">
                  <c:v>2535</c:v>
                </c:pt>
                <c:pt idx="13">
                  <c:v>2197.4</c:v>
                </c:pt>
                <c:pt idx="14">
                  <c:v>2665.3</c:v>
                </c:pt>
              </c:numCache>
            </c:numRef>
          </c:val>
        </c:ser>
        <c:ser>
          <c:idx val="4"/>
          <c:order val="1"/>
          <c:tx>
            <c:strRef>
              <c:f>'Te ardhurat'!$C$8</c:f>
              <c:strCache>
                <c:ptCount val="1"/>
                <c:pt idx="0">
                  <c:v>Taksë mbi Biznesin e vogël</c:v>
                </c:pt>
              </c:strCache>
            </c:strRef>
          </c:tx>
          <c:spPr>
            <a:solidFill>
              <a:schemeClr val="accent5"/>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ardhurat'!$D$3:$R$3</c:f>
              <c:strCache>
                <c:ptCount val="15"/>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strCache>
            </c:strRef>
          </c:cat>
          <c:val>
            <c:numRef>
              <c:f>'Te ardhurat'!$D$8:$R$8</c:f>
              <c:numCache>
                <c:formatCode>#,##0</c:formatCode>
                <c:ptCount val="15"/>
                <c:pt idx="0">
                  <c:v>1808.33</c:v>
                </c:pt>
                <c:pt idx="1">
                  <c:v>1348.5329999999999</c:v>
                </c:pt>
                <c:pt idx="2">
                  <c:v>1236.9317900000001</c:v>
                </c:pt>
                <c:pt idx="3">
                  <c:v>1288.5109299999999</c:v>
                </c:pt>
                <c:pt idx="4">
                  <c:v>1421.7955300000001</c:v>
                </c:pt>
                <c:pt idx="5">
                  <c:v>1432.7118500000001</c:v>
                </c:pt>
                <c:pt idx="6">
                  <c:v>1737</c:v>
                </c:pt>
                <c:pt idx="7">
                  <c:v>1103</c:v>
                </c:pt>
                <c:pt idx="8">
                  <c:v>1082</c:v>
                </c:pt>
                <c:pt idx="9">
                  <c:v>612</c:v>
                </c:pt>
                <c:pt idx="10">
                  <c:v>730</c:v>
                </c:pt>
                <c:pt idx="11">
                  <c:v>519</c:v>
                </c:pt>
                <c:pt idx="12">
                  <c:v>220</c:v>
                </c:pt>
                <c:pt idx="13">
                  <c:v>258.36</c:v>
                </c:pt>
                <c:pt idx="14">
                  <c:v>282.3</c:v>
                </c:pt>
              </c:numCache>
            </c:numRef>
          </c:val>
        </c:ser>
        <c:ser>
          <c:idx val="6"/>
          <c:order val="2"/>
          <c:tx>
            <c:strRef>
              <c:f>'Te ardhurat'!$C$10</c:f>
              <c:strCache>
                <c:ptCount val="1"/>
                <c:pt idx="0">
                  <c:v>Taksa Lokale</c:v>
                </c:pt>
              </c:strCache>
            </c:strRef>
          </c:tx>
          <c:spPr>
            <a:solidFill>
              <a:schemeClr val="accent1">
                <a:lumMod val="60000"/>
              </a:schemeClr>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ardhurat'!$D$3:$R$3</c:f>
              <c:strCache>
                <c:ptCount val="15"/>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strCache>
            </c:strRef>
          </c:cat>
          <c:val>
            <c:numRef>
              <c:f>'Te ardhurat'!$D$10:$R$10</c:f>
              <c:numCache>
                <c:formatCode>#,##0</c:formatCode>
                <c:ptCount val="15"/>
                <c:pt idx="0">
                  <c:v>2574.4749999999995</c:v>
                </c:pt>
                <c:pt idx="1">
                  <c:v>2683.7773100000004</c:v>
                </c:pt>
                <c:pt idx="2">
                  <c:v>3135.2402400000001</c:v>
                </c:pt>
                <c:pt idx="3">
                  <c:v>2949.2167200000004</c:v>
                </c:pt>
                <c:pt idx="4">
                  <c:v>3883.9930899999999</c:v>
                </c:pt>
                <c:pt idx="5">
                  <c:v>3337.3802699999992</c:v>
                </c:pt>
                <c:pt idx="6">
                  <c:v>3576</c:v>
                </c:pt>
                <c:pt idx="7">
                  <c:v>3241</c:v>
                </c:pt>
                <c:pt idx="8">
                  <c:v>2619</c:v>
                </c:pt>
                <c:pt idx="9">
                  <c:v>2905</c:v>
                </c:pt>
                <c:pt idx="10">
                  <c:v>2952</c:v>
                </c:pt>
                <c:pt idx="11">
                  <c:v>3949</c:v>
                </c:pt>
                <c:pt idx="12">
                  <c:v>6586</c:v>
                </c:pt>
                <c:pt idx="13">
                  <c:v>6360.33</c:v>
                </c:pt>
                <c:pt idx="14">
                  <c:v>8401</c:v>
                </c:pt>
              </c:numCache>
            </c:numRef>
          </c:val>
        </c:ser>
        <c:dLbls>
          <c:dLblPos val="outEnd"/>
          <c:showLegendKey val="0"/>
          <c:showVal val="1"/>
          <c:showCatName val="0"/>
          <c:showSerName val="0"/>
          <c:showPercent val="0"/>
          <c:showBubbleSize val="0"/>
        </c:dLbls>
        <c:gapWidth val="444"/>
        <c:overlap val="-90"/>
        <c:axId val="551799472"/>
        <c:axId val="551783152"/>
      </c:barChart>
      <c:catAx>
        <c:axId val="5517994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cap="all" spc="120" normalizeH="0" baseline="0">
                <a:solidFill>
                  <a:srgbClr val="C00000"/>
                </a:solidFill>
                <a:latin typeface="+mn-lt"/>
                <a:ea typeface="+mn-ea"/>
                <a:cs typeface="+mn-cs"/>
              </a:defRPr>
            </a:pPr>
            <a:endParaRPr lang="en-US"/>
          </a:p>
        </c:txPr>
        <c:crossAx val="551783152"/>
        <c:crosses val="autoZero"/>
        <c:auto val="1"/>
        <c:lblAlgn val="ctr"/>
        <c:lblOffset val="100"/>
        <c:noMultiLvlLbl val="0"/>
      </c:catAx>
      <c:valAx>
        <c:axId val="551783152"/>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rgbClr val="C00000"/>
                    </a:solidFill>
                    <a:latin typeface="+mn-lt"/>
                    <a:ea typeface="+mn-ea"/>
                    <a:cs typeface="+mn-cs"/>
                  </a:defRPr>
                </a:pPr>
                <a:r>
                  <a:rPr lang="en-US">
                    <a:solidFill>
                      <a:srgbClr val="C00000"/>
                    </a:solidFill>
                  </a:rPr>
                  <a:t>Në milion leke</a:t>
                </a:r>
              </a:p>
            </c:rich>
          </c:tx>
          <c:layout>
            <c:manualLayout>
              <c:xMode val="edge"/>
              <c:yMode val="edge"/>
              <c:x val="4.246284501061571E-3"/>
              <c:y val="0.29057924025481474"/>
            </c:manualLayout>
          </c:layout>
          <c:overlay val="0"/>
          <c:spPr>
            <a:noFill/>
            <a:ln>
              <a:noFill/>
            </a:ln>
            <a:effectLst/>
          </c:spPr>
        </c:title>
        <c:numFmt formatCode="#,##0" sourceLinked="1"/>
        <c:majorTickMark val="none"/>
        <c:minorTickMark val="none"/>
        <c:tickLblPos val="nextTo"/>
        <c:crossAx val="551799472"/>
        <c:crosses val="autoZero"/>
        <c:crossBetween val="between"/>
      </c:valAx>
      <c:spPr>
        <a:noFill/>
        <a:ln>
          <a:noFill/>
        </a:ln>
        <a:effectLst/>
      </c:spPr>
    </c:plotArea>
    <c:legend>
      <c:legendPos val="t"/>
      <c:layout>
        <c:manualLayout>
          <c:xMode val="edge"/>
          <c:yMode val="edge"/>
          <c:x val="0.13330909273283514"/>
          <c:y val="0.87887067395264118"/>
          <c:w val="0.74504588996439136"/>
          <c:h val="7.8343166714188589E-2"/>
        </c:manualLayout>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2"/>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10321483585043673"/>
          <c:y val="2.7128837156225036E-2"/>
          <c:w val="0.82781584269179453"/>
          <c:h val="0.61391579101392812"/>
        </c:manualLayout>
      </c:layout>
      <c:barChart>
        <c:barDir val="col"/>
        <c:grouping val="clustered"/>
        <c:varyColors val="0"/>
        <c:ser>
          <c:idx val="1"/>
          <c:order val="0"/>
          <c:tx>
            <c:strRef>
              <c:f>'Te ardhurat'!$C$4</c:f>
              <c:strCache>
                <c:ptCount val="1"/>
                <c:pt idx="0">
                  <c:v>Të ardhura nga Pushteti Vendor</c:v>
                </c:pt>
              </c:strCache>
            </c:strRef>
          </c:tx>
          <c:spPr>
            <a:solidFill>
              <a:schemeClr val="accent5">
                <a:lumMod val="40000"/>
                <a:lumOff val="60000"/>
              </a:schemeClr>
            </a:solidFill>
            <a:ln w="9525" cap="flat" cmpd="sng" algn="ctr">
              <a:solidFill>
                <a:schemeClr val="accent6">
                  <a:tint val="77000"/>
                  <a:shade val="95000"/>
                </a:schemeClr>
              </a:solidFill>
              <a:round/>
            </a:ln>
            <a:effectLst>
              <a:outerShdw blurRad="40000" dist="20000" dir="5400000" rotWithShape="0">
                <a:srgbClr val="000000">
                  <a:alpha val="38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ardhurat'!$D$3:$R$3</c:f>
              <c:strCache>
                <c:ptCount val="15"/>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pt idx="12">
                  <c:v>5M-2017</c:v>
                </c:pt>
                <c:pt idx="13">
                  <c:v>5M-2018</c:v>
                </c:pt>
                <c:pt idx="14">
                  <c:v>5M-2019</c:v>
                </c:pt>
              </c:strCache>
            </c:strRef>
          </c:cat>
          <c:val>
            <c:numRef>
              <c:f>'Te ardhurat'!$D$4:$R$4</c:f>
              <c:numCache>
                <c:formatCode>#,##0</c:formatCode>
                <c:ptCount val="15"/>
                <c:pt idx="0">
                  <c:v>4910.491</c:v>
                </c:pt>
                <c:pt idx="1">
                  <c:v>4643.4453100000001</c:v>
                </c:pt>
                <c:pt idx="2">
                  <c:v>4778.0600899999999</c:v>
                </c:pt>
                <c:pt idx="3">
                  <c:v>4858.0396500000006</c:v>
                </c:pt>
                <c:pt idx="4">
                  <c:v>6102.2242399999996</c:v>
                </c:pt>
                <c:pt idx="5">
                  <c:v>5755.2141199999987</c:v>
                </c:pt>
                <c:pt idx="6">
                  <c:v>6271</c:v>
                </c:pt>
                <c:pt idx="7">
                  <c:v>5762</c:v>
                </c:pt>
                <c:pt idx="8">
                  <c:v>5047</c:v>
                </c:pt>
                <c:pt idx="9">
                  <c:v>5448</c:v>
                </c:pt>
                <c:pt idx="10">
                  <c:v>5783</c:v>
                </c:pt>
                <c:pt idx="11">
                  <c:v>6784</c:v>
                </c:pt>
                <c:pt idx="12">
                  <c:v>9341</c:v>
                </c:pt>
                <c:pt idx="13">
                  <c:v>8816.09</c:v>
                </c:pt>
                <c:pt idx="14">
                  <c:v>11348.6</c:v>
                </c:pt>
              </c:numCache>
            </c:numRef>
          </c:val>
        </c:ser>
        <c:dLbls>
          <c:showLegendKey val="0"/>
          <c:showVal val="0"/>
          <c:showCatName val="0"/>
          <c:showSerName val="0"/>
          <c:showPercent val="0"/>
          <c:showBubbleSize val="0"/>
        </c:dLbls>
        <c:gapWidth val="40"/>
        <c:axId val="551797840"/>
        <c:axId val="551808176"/>
      </c:barChart>
      <c:lineChart>
        <c:grouping val="standard"/>
        <c:varyColors val="0"/>
        <c:ser>
          <c:idx val="0"/>
          <c:order val="1"/>
          <c:tx>
            <c:strRef>
              <c:f>'Te ardhurat'!$C$5</c:f>
              <c:strCache>
                <c:ptCount val="1"/>
                <c:pt idx="0">
                  <c:v>Ritmi i rritjes</c:v>
                </c:pt>
              </c:strCache>
            </c:strRef>
          </c:tx>
          <c:spPr>
            <a:ln w="15875" cap="rnd">
              <a:solidFill>
                <a:schemeClr val="accent6">
                  <a:shade val="76000"/>
                </a:schemeClr>
              </a:solidFill>
              <a:round/>
            </a:ln>
            <a:effectLst>
              <a:outerShdw blurRad="40000" dist="20000" dir="5400000" rotWithShape="0">
                <a:srgbClr val="000000">
                  <a:alpha val="38000"/>
                </a:srgbClr>
              </a:outerShdw>
            </a:effectLst>
          </c:spPr>
          <c:marker>
            <c:symbol val="none"/>
          </c:marker>
          <c:dLbls>
            <c:dLbl>
              <c:idx val="1"/>
              <c:layout>
                <c:manualLayout>
                  <c:x val="-6.1617012159194386E-2"/>
                  <c:y val="-7.749250444817992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0"/>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ardhurat'!$D$3:$O$3</c:f>
              <c:strCache>
                <c:ptCount val="12"/>
                <c:pt idx="0">
                  <c:v>5M-2005</c:v>
                </c:pt>
                <c:pt idx="1">
                  <c:v>5M-2006</c:v>
                </c:pt>
                <c:pt idx="2">
                  <c:v>5M-2007</c:v>
                </c:pt>
                <c:pt idx="3">
                  <c:v>5M-2008</c:v>
                </c:pt>
                <c:pt idx="4">
                  <c:v>5M-2009</c:v>
                </c:pt>
                <c:pt idx="5">
                  <c:v>5M-2010</c:v>
                </c:pt>
                <c:pt idx="6">
                  <c:v>5M-2011</c:v>
                </c:pt>
                <c:pt idx="7">
                  <c:v>5M-2012</c:v>
                </c:pt>
                <c:pt idx="8">
                  <c:v>5M-2013</c:v>
                </c:pt>
                <c:pt idx="9">
                  <c:v>5M-2014</c:v>
                </c:pt>
                <c:pt idx="10">
                  <c:v>5M-2015</c:v>
                </c:pt>
                <c:pt idx="11">
                  <c:v>5M-2016</c:v>
                </c:pt>
              </c:strCache>
            </c:strRef>
          </c:cat>
          <c:val>
            <c:numRef>
              <c:f>'Te ardhurat'!$D$5:$R$5</c:f>
              <c:numCache>
                <c:formatCode>0%</c:formatCode>
                <c:ptCount val="15"/>
                <c:pt idx="0">
                  <c:v>9.4E-2</c:v>
                </c:pt>
                <c:pt idx="1">
                  <c:v>-5.4382685967655761E-2</c:v>
                </c:pt>
                <c:pt idx="2">
                  <c:v>2.8990280064265444E-2</c:v>
                </c:pt>
                <c:pt idx="3">
                  <c:v>1.6738918827619992E-2</c:v>
                </c:pt>
                <c:pt idx="4">
                  <c:v>0.25610836461575581</c:v>
                </c:pt>
                <c:pt idx="5">
                  <c:v>-5.6866169834493142E-2</c:v>
                </c:pt>
                <c:pt idx="6">
                  <c:v>8.9620623880454581E-2</c:v>
                </c:pt>
                <c:pt idx="7">
                  <c:v>-8.1167277946101096E-2</c:v>
                </c:pt>
                <c:pt idx="8">
                  <c:v>-0.12408885803540437</c:v>
                </c:pt>
                <c:pt idx="9">
                  <c:v>7.945314047949277E-2</c:v>
                </c:pt>
                <c:pt idx="10">
                  <c:v>6.1490455212922172E-2</c:v>
                </c:pt>
                <c:pt idx="11">
                  <c:v>0.17309355006052221</c:v>
                </c:pt>
                <c:pt idx="12">
                  <c:v>0.37691627358490565</c:v>
                </c:pt>
                <c:pt idx="13">
                  <c:v>-5.6194197623380779E-2</c:v>
                </c:pt>
                <c:pt idx="14">
                  <c:v>0.28725999848005185</c:v>
                </c:pt>
              </c:numCache>
            </c:numRef>
          </c:val>
          <c:smooth val="1"/>
        </c:ser>
        <c:dLbls>
          <c:showLegendKey val="0"/>
          <c:showVal val="0"/>
          <c:showCatName val="0"/>
          <c:showSerName val="0"/>
          <c:showPercent val="0"/>
          <c:showBubbleSize val="0"/>
        </c:dLbls>
        <c:marker val="1"/>
        <c:smooth val="0"/>
        <c:axId val="551796208"/>
        <c:axId val="551797296"/>
      </c:lineChart>
      <c:catAx>
        <c:axId val="5517978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551808176"/>
        <c:crosses val="autoZero"/>
        <c:auto val="0"/>
        <c:lblAlgn val="ctr"/>
        <c:lblOffset val="100"/>
        <c:tickLblSkip val="1"/>
        <c:tickMarkSkip val="1"/>
        <c:noMultiLvlLbl val="0"/>
      </c:catAx>
      <c:valAx>
        <c:axId val="551808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rgbClr val="C00000"/>
                    </a:solidFill>
                    <a:latin typeface="+mn-lt"/>
                    <a:ea typeface="+mn-ea"/>
                    <a:cs typeface="+mn-cs"/>
                  </a:defRPr>
                </a:pPr>
                <a:r>
                  <a:rPr lang="sq-AL">
                    <a:solidFill>
                      <a:srgbClr val="C00000"/>
                    </a:solidFill>
                  </a:rPr>
                  <a:t>Në miliardë</a:t>
                </a:r>
              </a:p>
            </c:rich>
          </c:tx>
          <c:layout>
            <c:manualLayout>
              <c:xMode val="edge"/>
              <c:yMode val="edge"/>
              <c:x val="6.1610085624542836E-3"/>
              <c:y val="0.36163471413899356"/>
            </c:manualLayout>
          </c:layout>
          <c:overlay val="0"/>
          <c:spPr>
            <a:noFill/>
            <a:ln>
              <a:noFill/>
            </a:ln>
            <a:effectLst/>
          </c:spPr>
        </c:title>
        <c:numFmt formatCode="#,##0.0" sourceLinked="0"/>
        <c:majorTickMark val="none"/>
        <c:minorTickMark val="none"/>
        <c:tickLblPos val="nextTo"/>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51797840"/>
        <c:crosses val="autoZero"/>
        <c:crossBetween val="between"/>
        <c:dispUnits>
          <c:builtInUnit val="thousands"/>
        </c:dispUnits>
      </c:valAx>
      <c:catAx>
        <c:axId val="551796208"/>
        <c:scaling>
          <c:orientation val="minMax"/>
        </c:scaling>
        <c:delete val="1"/>
        <c:axPos val="b"/>
        <c:numFmt formatCode="General" sourceLinked="1"/>
        <c:majorTickMark val="none"/>
        <c:minorTickMark val="none"/>
        <c:tickLblPos val="nextTo"/>
        <c:crossAx val="551797296"/>
        <c:crosses val="autoZero"/>
        <c:auto val="0"/>
        <c:lblAlgn val="ctr"/>
        <c:lblOffset val="100"/>
        <c:noMultiLvlLbl val="0"/>
      </c:catAx>
      <c:valAx>
        <c:axId val="551797296"/>
        <c:scaling>
          <c:orientation val="minMax"/>
        </c:scaling>
        <c:delete val="0"/>
        <c:axPos val="r"/>
        <c:numFmt formatCode="0%" sourceLinked="0"/>
        <c:majorTickMark val="none"/>
        <c:minorTickMark val="none"/>
        <c:tickLblPos val="nextTo"/>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51796208"/>
        <c:crosses val="max"/>
        <c:crossBetween val="between"/>
      </c:valAx>
      <c:spPr>
        <a:noFill/>
        <a:ln>
          <a:noFill/>
        </a:ln>
        <a:effectLst/>
      </c:spPr>
    </c:plotArea>
    <c:legend>
      <c:legendPos val="b"/>
      <c:layout>
        <c:manualLayout>
          <c:xMode val="edge"/>
          <c:yMode val="edge"/>
          <c:x val="0.2131753366894712"/>
          <c:y val="0.88458119564322768"/>
          <c:w val="0.56490615722215054"/>
          <c:h val="9.7997201569316045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2"/>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164311191870247E-2"/>
          <c:y val="8.6300711221565185E-2"/>
          <c:w val="0.83101066693586378"/>
          <c:h val="0.67955378496006791"/>
        </c:manualLayout>
      </c:layout>
      <c:barChart>
        <c:barDir val="col"/>
        <c:grouping val="clustered"/>
        <c:varyColors val="0"/>
        <c:ser>
          <c:idx val="0"/>
          <c:order val="0"/>
          <c:tx>
            <c:strRef>
              <c:f>'Stoku i Borxhit'!$A$26</c:f>
              <c:strCache>
                <c:ptCount val="1"/>
                <c:pt idx="0">
                  <c:v>Borxhi Shtetëror</c:v>
                </c:pt>
              </c:strCache>
            </c:strRef>
          </c:tx>
          <c:spPr>
            <a:solidFill>
              <a:srgbClr val="5B9BD5"/>
            </a:solidFill>
            <a:ln>
              <a:noFill/>
            </a:ln>
            <a:effectLst/>
          </c:spPr>
          <c:invertIfNegative val="0"/>
          <c:dLbls>
            <c:dLbl>
              <c:idx val="0"/>
              <c:layout>
                <c:manualLayout>
                  <c:x val="-1.9586668320030757E-17"/>
                  <c:y val="0.38226441956452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391817845873958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
                  <c:y val="0.3807108469094019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7.8346673280123027E-17"/>
                  <c:y val="0.3695716194320474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0"/>
                  <c:y val="0.3484840387731317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Borxhit'!$B$25:$F$25</c:f>
              <c:strCache>
                <c:ptCount val="5"/>
                <c:pt idx="0">
                  <c:v>2015</c:v>
                </c:pt>
                <c:pt idx="1">
                  <c:v>2016</c:v>
                </c:pt>
                <c:pt idx="2">
                  <c:v>2017</c:v>
                </c:pt>
                <c:pt idx="3">
                  <c:v>2018</c:v>
                </c:pt>
                <c:pt idx="4">
                  <c:v>Maj 2019</c:v>
                </c:pt>
              </c:strCache>
            </c:strRef>
          </c:cat>
          <c:val>
            <c:numRef>
              <c:f>'Stoku i Borxhit'!$B$26:$F$26</c:f>
              <c:numCache>
                <c:formatCode>_(* #,##0.0_);_(* \(#,##0.0\);_(* "-"??_);_(@_)</c:formatCode>
                <c:ptCount val="5"/>
                <c:pt idx="0">
                  <c:v>986.24173660700285</c:v>
                </c:pt>
                <c:pt idx="1">
                  <c:v>1012.241</c:v>
                </c:pt>
                <c:pt idx="2">
                  <c:v>1037.4566964684852</c:v>
                </c:pt>
                <c:pt idx="3">
                  <c:v>1061.8967513634955</c:v>
                </c:pt>
                <c:pt idx="4">
                  <c:v>1062.4736385032693</c:v>
                </c:pt>
              </c:numCache>
            </c:numRef>
          </c:val>
          <c:extLst/>
        </c:ser>
        <c:ser>
          <c:idx val="1"/>
          <c:order val="1"/>
          <c:tx>
            <c:strRef>
              <c:f>'Stoku i Borxhit'!$A$27</c:f>
              <c:strCache>
                <c:ptCount val="1"/>
                <c:pt idx="0">
                  <c:v>Borxhi i Garantuar</c:v>
                </c:pt>
              </c:strCache>
            </c:strRef>
          </c:tx>
          <c:spPr>
            <a:solidFill>
              <a:srgbClr val="C00000"/>
            </a:solidFill>
            <a:ln>
              <a:noFill/>
            </a:ln>
            <a:effectLst/>
          </c:spPr>
          <c:invertIfNegative val="0"/>
          <c:dLbls>
            <c:dLbl>
              <c:idx val="0"/>
              <c:layout>
                <c:manualLayout>
                  <c:x val="-3.9173336640061513E-17"/>
                  <c:y val="2.37906423473433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8346673280123027E-17"/>
                  <c:y val="2.379064234734330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586042823156217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0"/>
                  <c:y val="1.586042823156217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5669334656024605E-16"/>
                  <c:y val="3.1720856463124503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Borxhit'!$B$25:$F$25</c:f>
              <c:strCache>
                <c:ptCount val="5"/>
                <c:pt idx="0">
                  <c:v>2015</c:v>
                </c:pt>
                <c:pt idx="1">
                  <c:v>2016</c:v>
                </c:pt>
                <c:pt idx="2">
                  <c:v>2017</c:v>
                </c:pt>
                <c:pt idx="3">
                  <c:v>2018</c:v>
                </c:pt>
                <c:pt idx="4">
                  <c:v>Maj 2019</c:v>
                </c:pt>
              </c:strCache>
            </c:strRef>
          </c:cat>
          <c:val>
            <c:numRef>
              <c:f>'Stoku i Borxhit'!$B$27:$F$27</c:f>
              <c:numCache>
                <c:formatCode>_(* #,##0.0_);_(* \(#,##0.0\);_(* "-"??_);_(@_)</c:formatCode>
                <c:ptCount val="5"/>
                <c:pt idx="0">
                  <c:v>56.030081178239996</c:v>
                </c:pt>
                <c:pt idx="1">
                  <c:v>53.468000000000004</c:v>
                </c:pt>
                <c:pt idx="2">
                  <c:v>49.885175518906451</c:v>
                </c:pt>
                <c:pt idx="3">
                  <c:v>44.672074609123086</c:v>
                </c:pt>
                <c:pt idx="4">
                  <c:v>42.625024738192813</c:v>
                </c:pt>
              </c:numCache>
            </c:numRef>
          </c:val>
        </c:ser>
        <c:ser>
          <c:idx val="2"/>
          <c:order val="2"/>
          <c:tx>
            <c:strRef>
              <c:f>'Stoku i Borxhit'!$A$28</c:f>
              <c:strCache>
                <c:ptCount val="1"/>
                <c:pt idx="0">
                  <c:v>Borxhi i Pushtetit Lokal</c:v>
                </c:pt>
              </c:strCache>
            </c:strRef>
          </c:tx>
          <c:spPr>
            <a:solidFill>
              <a:srgbClr val="7030A0"/>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Borxhit'!$B$25:$F$25</c:f>
              <c:strCache>
                <c:ptCount val="5"/>
                <c:pt idx="0">
                  <c:v>2015</c:v>
                </c:pt>
                <c:pt idx="1">
                  <c:v>2016</c:v>
                </c:pt>
                <c:pt idx="2">
                  <c:v>2017</c:v>
                </c:pt>
                <c:pt idx="3">
                  <c:v>2018</c:v>
                </c:pt>
                <c:pt idx="4">
                  <c:v>Maj 2019</c:v>
                </c:pt>
              </c:strCache>
            </c:strRef>
          </c:cat>
          <c:val>
            <c:numRef>
              <c:f>'Stoku i Borxhit'!$B$28:$F$28</c:f>
              <c:numCache>
                <c:formatCode>_(* #,##0.0_);_(* \(#,##0.0\);_(* "-"??_);_(@_)</c:formatCode>
                <c:ptCount val="5"/>
                <c:pt idx="0">
                  <c:v>0.95677000000000001</c:v>
                </c:pt>
                <c:pt idx="1">
                  <c:v>0.90134000000000003</c:v>
                </c:pt>
                <c:pt idx="2">
                  <c:v>0.82746000000000008</c:v>
                </c:pt>
                <c:pt idx="3">
                  <c:v>0.71565968409814007</c:v>
                </c:pt>
                <c:pt idx="4">
                  <c:v>0.66146188308814002</c:v>
                </c:pt>
              </c:numCache>
            </c:numRef>
          </c:val>
        </c:ser>
        <c:dLbls>
          <c:showLegendKey val="0"/>
          <c:showVal val="0"/>
          <c:showCatName val="0"/>
          <c:showSerName val="0"/>
          <c:showPercent val="0"/>
          <c:showBubbleSize val="0"/>
        </c:dLbls>
        <c:gapWidth val="148"/>
        <c:overlap val="-27"/>
        <c:axId val="551788048"/>
        <c:axId val="551811984"/>
      </c:barChart>
      <c:lineChart>
        <c:grouping val="standard"/>
        <c:varyColors val="0"/>
        <c:ser>
          <c:idx val="3"/>
          <c:order val="3"/>
          <c:tx>
            <c:strRef>
              <c:f>'Stoku i Borxhit'!$A$29</c:f>
              <c:strCache>
                <c:ptCount val="1"/>
                <c:pt idx="0">
                  <c:v>Borxhi Publik/PBB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7063599458728042E-2"/>
                  <c:y val="-6.146572104018912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0672079386558412E-2"/>
                  <c:y val="-6.146572104018912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4942795612087026E-2"/>
                  <c:y val="-7.345575485374797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9126960091527019E-2"/>
                  <c:y val="-6.564655049887717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234369742243915E-2"/>
                  <c:y val="-4.974047016686093E-2"/>
                </c:manualLayout>
              </c:layout>
              <c:showLegendKey val="0"/>
              <c:showVal val="1"/>
              <c:showCatName val="0"/>
              <c:showSerName val="0"/>
              <c:showPercent val="0"/>
              <c:showBubbleSize val="0"/>
              <c:extLst>
                <c:ext xmlns:c15="http://schemas.microsoft.com/office/drawing/2012/chart" uri="{CE6537A1-D6FC-4f65-9D91-7224C49458BB}"/>
              </c:extLst>
            </c:dLbl>
            <c:dLbl>
              <c:idx val="140"/>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Lst>
            </c:dLbl>
            <c:dLbl>
              <c:idx val="142"/>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Borxhit'!$B$25:$F$25</c:f>
              <c:strCache>
                <c:ptCount val="5"/>
                <c:pt idx="0">
                  <c:v>2015</c:v>
                </c:pt>
                <c:pt idx="1">
                  <c:v>2016</c:v>
                </c:pt>
                <c:pt idx="2">
                  <c:v>2017</c:v>
                </c:pt>
                <c:pt idx="3">
                  <c:v>2018</c:v>
                </c:pt>
                <c:pt idx="4">
                  <c:v>Maj 2019</c:v>
                </c:pt>
              </c:strCache>
            </c:strRef>
          </c:cat>
          <c:val>
            <c:numRef>
              <c:f>'Stoku i Borxhit'!$B$29:$F$29</c:f>
              <c:numCache>
                <c:formatCode>0.0%</c:formatCode>
                <c:ptCount val="5"/>
                <c:pt idx="0">
                  <c:v>0.72733984470694912</c:v>
                </c:pt>
                <c:pt idx="1">
                  <c:v>0.72300265855806944</c:v>
                </c:pt>
                <c:pt idx="2">
                  <c:v>0.70074811619217314</c:v>
                </c:pt>
                <c:pt idx="3">
                  <c:v>0.67204905061111819</c:v>
                </c:pt>
                <c:pt idx="4">
                  <c:v>0.6308764968042615</c:v>
                </c:pt>
              </c:numCache>
            </c:numRef>
          </c:val>
          <c:smooth val="1"/>
        </c:ser>
        <c:dLbls>
          <c:showLegendKey val="0"/>
          <c:showVal val="0"/>
          <c:showCatName val="0"/>
          <c:showSerName val="0"/>
          <c:showPercent val="0"/>
          <c:showBubbleSize val="0"/>
        </c:dLbls>
        <c:marker val="1"/>
        <c:smooth val="0"/>
        <c:axId val="551794576"/>
        <c:axId val="551806000"/>
      </c:lineChart>
      <c:catAx>
        <c:axId val="5517880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11984"/>
        <c:crosses val="autoZero"/>
        <c:auto val="1"/>
        <c:lblAlgn val="ctr"/>
        <c:lblOffset val="100"/>
        <c:noMultiLvlLbl val="0"/>
      </c:catAx>
      <c:valAx>
        <c:axId val="551811984"/>
        <c:scaling>
          <c:orientation val="minMax"/>
          <c:max val="13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1863685308567198E-2"/>
              <c:y val="0.19900565678387674"/>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88048"/>
        <c:crosses val="autoZero"/>
        <c:crossBetween val="between"/>
        <c:majorUnit val="300"/>
      </c:valAx>
      <c:valAx>
        <c:axId val="551806000"/>
        <c:scaling>
          <c:orientation val="minMax"/>
          <c:max val="0.75000000000000011"/>
          <c:min val="0"/>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4576"/>
        <c:crosses val="max"/>
        <c:crossBetween val="between"/>
        <c:majorUnit val="0.15000000000000002"/>
      </c:valAx>
      <c:catAx>
        <c:axId val="551794576"/>
        <c:scaling>
          <c:orientation val="minMax"/>
        </c:scaling>
        <c:delete val="1"/>
        <c:axPos val="b"/>
        <c:numFmt formatCode="General" sourceLinked="1"/>
        <c:majorTickMark val="none"/>
        <c:minorTickMark val="none"/>
        <c:tickLblPos val="nextTo"/>
        <c:crossAx val="551806000"/>
        <c:crosses val="autoZero"/>
        <c:auto val="1"/>
        <c:lblAlgn val="ctr"/>
        <c:lblOffset val="100"/>
        <c:noMultiLvlLbl val="0"/>
      </c:catAx>
      <c:spPr>
        <a:noFill/>
        <a:ln>
          <a:noFill/>
        </a:ln>
        <a:effectLst/>
      </c:spPr>
    </c:plotArea>
    <c:legend>
      <c:legendPos val="b"/>
      <c:layout>
        <c:manualLayout>
          <c:xMode val="edge"/>
          <c:yMode val="edge"/>
          <c:x val="7.1021771317046914E-2"/>
          <c:y val="0.89996134057250066"/>
          <c:w val="0.87502990278707826"/>
          <c:h val="8.555192958294662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8917582781143949"/>
        </c:manualLayout>
      </c:layout>
      <c:barChart>
        <c:barDir val="col"/>
        <c:grouping val="clustered"/>
        <c:varyColors val="0"/>
        <c:ser>
          <c:idx val="0"/>
          <c:order val="0"/>
          <c:tx>
            <c:strRef>
              <c:f>'Kompozimi '!$A$14</c:f>
              <c:strCache>
                <c:ptCount val="1"/>
                <c:pt idx="0">
                  <c:v>Instrumente të tregtueshme</c:v>
                </c:pt>
              </c:strCache>
            </c:strRef>
          </c:tx>
          <c:spPr>
            <a:solidFill>
              <a:srgbClr val="5B9BD5"/>
            </a:solidFill>
            <a:ln>
              <a:noFill/>
            </a:ln>
            <a:effectLst/>
          </c:spPr>
          <c:invertIfNegative val="0"/>
          <c:dLbls>
            <c:dLbl>
              <c:idx val="0"/>
              <c:layout>
                <c:manualLayout>
                  <c:x val="0"/>
                  <c:y val="2.336448598130840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1.557632398753893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1.557632398753894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7.8346673280123027E-17"/>
                  <c:y val="1.557632398753893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5669334656024605E-16"/>
                  <c:y val="2.336448598130841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'!$B$13:$F$13</c:f>
              <c:strCache>
                <c:ptCount val="5"/>
                <c:pt idx="0">
                  <c:v>2015</c:v>
                </c:pt>
                <c:pt idx="1">
                  <c:v>2016</c:v>
                </c:pt>
                <c:pt idx="2">
                  <c:v>2017</c:v>
                </c:pt>
                <c:pt idx="3">
                  <c:v>2018</c:v>
                </c:pt>
                <c:pt idx="4">
                  <c:v>Maj 2019</c:v>
                </c:pt>
              </c:strCache>
            </c:strRef>
          </c:cat>
          <c:val>
            <c:numRef>
              <c:f>'Kompozimi '!$B$14:$F$14</c:f>
              <c:numCache>
                <c:formatCode>0.0%</c:formatCode>
                <c:ptCount val="5"/>
                <c:pt idx="0">
                  <c:v>0.55907805376676134</c:v>
                </c:pt>
                <c:pt idx="1">
                  <c:v>0.55520555867142884</c:v>
                </c:pt>
                <c:pt idx="2">
                  <c:v>0.5580271147371606</c:v>
                </c:pt>
                <c:pt idx="3">
                  <c:v>0.59432138359154785</c:v>
                </c:pt>
                <c:pt idx="4">
                  <c:v>0.59644106335141145</c:v>
                </c:pt>
              </c:numCache>
            </c:numRef>
          </c:val>
        </c:ser>
        <c:ser>
          <c:idx val="1"/>
          <c:order val="1"/>
          <c:tx>
            <c:strRef>
              <c:f>'Kompozimi '!$A$15</c:f>
              <c:strCache>
                <c:ptCount val="1"/>
                <c:pt idx="0">
                  <c:v>Hua për financim projektesh</c:v>
                </c:pt>
              </c:strCache>
            </c:strRef>
          </c:tx>
          <c:spPr>
            <a:solidFill>
              <a:srgbClr val="7030A0"/>
            </a:solidFill>
            <a:ln>
              <a:noFill/>
            </a:ln>
            <a:effectLst/>
          </c:spPr>
          <c:invertIfNegative val="0"/>
          <c:dLbls>
            <c:dLbl>
              <c:idx val="0"/>
              <c:layout>
                <c:manualLayout>
                  <c:x val="-7.0782017632411336E-4"/>
                  <c:y val="3.85446562170382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1"/>
              <c:layout>
                <c:manualLayout>
                  <c:x val="-2.4574332054647409E-3"/>
                  <c:y val="3.16726764294650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283195369810327E-3"/>
                  <c:y val="3.16726764294649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6632007537520132E-3"/>
                  <c:y val="2.336448598130834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0991318392893197E-3"/>
                  <c:y val="2.873034562268501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7030A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'!$B$13:$F$13</c:f>
              <c:strCache>
                <c:ptCount val="5"/>
                <c:pt idx="0">
                  <c:v>2015</c:v>
                </c:pt>
                <c:pt idx="1">
                  <c:v>2016</c:v>
                </c:pt>
                <c:pt idx="2">
                  <c:v>2017</c:v>
                </c:pt>
                <c:pt idx="3">
                  <c:v>2018</c:v>
                </c:pt>
                <c:pt idx="4">
                  <c:v>Maj 2019</c:v>
                </c:pt>
              </c:strCache>
            </c:strRef>
          </c:cat>
          <c:val>
            <c:numRef>
              <c:f>'Kompozimi '!$B$15:$F$15</c:f>
              <c:numCache>
                <c:formatCode>0.0%</c:formatCode>
                <c:ptCount val="5"/>
                <c:pt idx="0">
                  <c:v>0.28201764221155612</c:v>
                </c:pt>
                <c:pt idx="1">
                  <c:v>0.27481036005416565</c:v>
                </c:pt>
                <c:pt idx="2">
                  <c:v>0.25990098210582335</c:v>
                </c:pt>
                <c:pt idx="3">
                  <c:v>0.24205469206337524</c:v>
                </c:pt>
                <c:pt idx="4">
                  <c:v>0.24090017051672138</c:v>
                </c:pt>
              </c:numCache>
            </c:numRef>
          </c:val>
          <c:extLst/>
        </c:ser>
        <c:ser>
          <c:idx val="2"/>
          <c:order val="2"/>
          <c:tx>
            <c:strRef>
              <c:f>'Kompozimi '!$A$16</c:f>
              <c:strCache>
                <c:ptCount val="1"/>
                <c:pt idx="0">
                  <c:v>Mbështetje Buxhetore</c:v>
                </c:pt>
              </c:strCache>
            </c:strRef>
          </c:tx>
          <c:spPr>
            <a:solidFill>
              <a:srgbClr val="C00000"/>
            </a:solidFill>
            <a:ln>
              <a:noFill/>
            </a:ln>
            <a:effectLst/>
          </c:spPr>
          <c:invertIfNegative val="0"/>
          <c:dLbls>
            <c:dLbl>
              <c:idx val="0"/>
              <c:layout>
                <c:manualLayout>
                  <c:x val="-2.0914933710209299E-3"/>
                  <c:y val="2.336448598130841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1"/>
              <c:layout>
                <c:manualLayout>
                  <c:x val="-5.7932902617942377E-3"/>
                  <c:y val="3.115264797507788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017968907733473E-3"/>
                  <c:y val="3.16726764294649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0914933710209299E-3"/>
                  <c:y val="3.07564942232687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4047042196650063E-3"/>
                  <c:y val="2.296833222949927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'!$B$13:$F$13</c:f>
              <c:strCache>
                <c:ptCount val="5"/>
                <c:pt idx="0">
                  <c:v>2015</c:v>
                </c:pt>
                <c:pt idx="1">
                  <c:v>2016</c:v>
                </c:pt>
                <c:pt idx="2">
                  <c:v>2017</c:v>
                </c:pt>
                <c:pt idx="3">
                  <c:v>2018</c:v>
                </c:pt>
                <c:pt idx="4">
                  <c:v>Maj 2019</c:v>
                </c:pt>
              </c:strCache>
            </c:strRef>
          </c:cat>
          <c:val>
            <c:numRef>
              <c:f>'Kompozimi '!$B$16:$F$16</c:f>
              <c:numCache>
                <c:formatCode>0.0%</c:formatCode>
                <c:ptCount val="5"/>
                <c:pt idx="0">
                  <c:v>0.10514667290159262</c:v>
                </c:pt>
                <c:pt idx="1">
                  <c:v>0.1198128113028905</c:v>
                </c:pt>
                <c:pt idx="2">
                  <c:v>0.1361938064424964</c:v>
                </c:pt>
                <c:pt idx="3">
                  <c:v>0.12325402314242208</c:v>
                </c:pt>
                <c:pt idx="4">
                  <c:v>0.12408752699993369</c:v>
                </c:pt>
              </c:numCache>
            </c:numRef>
          </c:val>
          <c:extLst/>
        </c:ser>
        <c:ser>
          <c:idx val="3"/>
          <c:order val="3"/>
          <c:tx>
            <c:strRef>
              <c:f>'Kompozimi '!$A$17</c:f>
              <c:strCache>
                <c:ptCount val="1"/>
                <c:pt idx="0">
                  <c:v>Garanci</c:v>
                </c:pt>
              </c:strCache>
            </c:strRef>
          </c:tx>
          <c:spPr>
            <a:solidFill>
              <a:schemeClr val="bg1">
                <a:lumMod val="50000"/>
              </a:schemeClr>
            </a:solidFill>
            <a:ln>
              <a:noFill/>
            </a:ln>
            <a:effectLst/>
          </c:spPr>
          <c:invertIfNegative val="0"/>
          <c:dLbls>
            <c:dLbl>
              <c:idx val="0"/>
              <c:layout>
                <c:manualLayout>
                  <c:x val="-3.208493169123482E-4"/>
                  <c:y val="2.8730345622684943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1"/>
              <c:layout>
                <c:manualLayout>
                  <c:x val="0"/>
                  <c:y val="3.1152647975077809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251849992854479E-3"/>
                  <c:y val="1.518026263049647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4576014536644456E-3"/>
                  <c:y val="2.873034562268494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2518339053772124E-3"/>
                  <c:y val="4.6332818210807689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'!$B$13:$F$13</c:f>
              <c:strCache>
                <c:ptCount val="5"/>
                <c:pt idx="0">
                  <c:v>2015</c:v>
                </c:pt>
                <c:pt idx="1">
                  <c:v>2016</c:v>
                </c:pt>
                <c:pt idx="2">
                  <c:v>2017</c:v>
                </c:pt>
                <c:pt idx="3">
                  <c:v>2018</c:v>
                </c:pt>
                <c:pt idx="4">
                  <c:v>Maj 2019</c:v>
                </c:pt>
              </c:strCache>
            </c:strRef>
          </c:cat>
          <c:val>
            <c:numRef>
              <c:f>'Kompozimi '!$B$17:$F$17</c:f>
              <c:numCache>
                <c:formatCode>0.0%</c:formatCode>
                <c:ptCount val="5"/>
                <c:pt idx="0">
                  <c:v>5.3757631120089987E-2</c:v>
                </c:pt>
                <c:pt idx="1">
                  <c:v>5.0171269971514935E-2</c:v>
                </c:pt>
                <c:pt idx="2">
                  <c:v>4.5878096714519791E-2</c:v>
                </c:pt>
                <c:pt idx="3">
                  <c:v>4.036990120265483E-2</c:v>
                </c:pt>
                <c:pt idx="4">
                  <c:v>3.8571239131933492E-2</c:v>
                </c:pt>
              </c:numCache>
            </c:numRef>
          </c:val>
          <c:extLst/>
        </c:ser>
        <c:dLbls>
          <c:showLegendKey val="0"/>
          <c:showVal val="0"/>
          <c:showCatName val="0"/>
          <c:showSerName val="0"/>
          <c:showPercent val="0"/>
          <c:showBubbleSize val="0"/>
        </c:dLbls>
        <c:gapWidth val="118"/>
        <c:axId val="551780432"/>
        <c:axId val="551792944"/>
      </c:barChart>
      <c:catAx>
        <c:axId val="5517804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2944"/>
        <c:crosses val="autoZero"/>
        <c:auto val="1"/>
        <c:lblAlgn val="ctr"/>
        <c:lblOffset val="100"/>
        <c:noMultiLvlLbl val="0"/>
      </c:catAx>
      <c:valAx>
        <c:axId val="55179294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80432"/>
        <c:crosses val="autoZero"/>
        <c:crossBetween val="between"/>
        <c:majorUnit val="0.2"/>
      </c:valAx>
      <c:spPr>
        <a:noFill/>
        <a:ln>
          <a:noFill/>
        </a:ln>
        <a:effectLst/>
      </c:spPr>
    </c:plotArea>
    <c:legend>
      <c:legendPos val="b"/>
      <c:layout>
        <c:manualLayout>
          <c:xMode val="edge"/>
          <c:yMode val="edge"/>
          <c:x val="6.348357897570496E-2"/>
          <c:y val="0.88442074460667175"/>
          <c:w val="0.891061814388586"/>
          <c:h val="9.813568629861009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24323946013495"/>
          <c:y val="6.3897763578274758E-2"/>
          <c:w val="0.81663746304575491"/>
          <c:h val="0.71531190753348683"/>
        </c:manualLayout>
      </c:layout>
      <c:barChart>
        <c:barDir val="col"/>
        <c:grouping val="stacked"/>
        <c:varyColors val="0"/>
        <c:ser>
          <c:idx val="0"/>
          <c:order val="0"/>
          <c:tx>
            <c:strRef>
              <c:f>'BB Fix Variabel'!$A$8</c:f>
              <c:strCache>
                <c:ptCount val="1"/>
                <c:pt idx="0">
                  <c:v>Fiks</c:v>
                </c:pt>
              </c:strCache>
            </c:strRef>
          </c:tx>
          <c:spPr>
            <a:solidFill>
              <a:srgbClr val="5B9BD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Variabel'!$B$7:$F$7</c:f>
              <c:strCache>
                <c:ptCount val="5"/>
                <c:pt idx="0">
                  <c:v>2015</c:v>
                </c:pt>
                <c:pt idx="1">
                  <c:v>2016</c:v>
                </c:pt>
                <c:pt idx="2">
                  <c:v>2017</c:v>
                </c:pt>
                <c:pt idx="3">
                  <c:v>2018</c:v>
                </c:pt>
                <c:pt idx="4">
                  <c:v>Maj 2019</c:v>
                </c:pt>
              </c:strCache>
            </c:strRef>
          </c:cat>
          <c:val>
            <c:numRef>
              <c:f>'BB Fix Variabel'!$B$8:$F$8</c:f>
              <c:numCache>
                <c:formatCode>0.0%</c:formatCode>
                <c:ptCount val="5"/>
                <c:pt idx="0">
                  <c:v>0.86229352251563451</c:v>
                </c:pt>
                <c:pt idx="1">
                  <c:v>0.87327515660342026</c:v>
                </c:pt>
                <c:pt idx="2">
                  <c:v>0.9120890588503141</c:v>
                </c:pt>
                <c:pt idx="3">
                  <c:v>0.93514088654326621</c:v>
                </c:pt>
                <c:pt idx="4">
                  <c:v>0.94366359801804567</c:v>
                </c:pt>
              </c:numCache>
            </c:numRef>
          </c:val>
        </c:ser>
        <c:ser>
          <c:idx val="1"/>
          <c:order val="1"/>
          <c:tx>
            <c:strRef>
              <c:f>'BB Fix Variabel'!$A$9</c:f>
              <c:strCache>
                <c:ptCount val="1"/>
                <c:pt idx="0">
                  <c:v>Me norma të ndryshueshme</c:v>
                </c:pt>
              </c:strCache>
            </c:strRef>
          </c:tx>
          <c:spPr>
            <a:solidFill>
              <a:srgbClr val="C00000"/>
            </a:solidFill>
            <a:ln>
              <a:noFill/>
            </a:ln>
            <a:effectLst/>
          </c:spPr>
          <c:invertIfNegative val="0"/>
          <c:dLbls>
            <c:dLbl>
              <c:idx val="0"/>
              <c:layout>
                <c:manualLayout>
                  <c:x val="0"/>
                  <c:y val="-9.2592592592592813E-3"/>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4"/>
              <c:layout>
                <c:manualLayout>
                  <c:x val="0"/>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894896669525617E-16"/>
                  <c:y val="-9.2592592592592587E-3"/>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7940669404329091E-16"/>
                  <c:y val="-2.314814814814816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Variabel'!$B$7:$F$7</c:f>
              <c:strCache>
                <c:ptCount val="5"/>
                <c:pt idx="0">
                  <c:v>2015</c:v>
                </c:pt>
                <c:pt idx="1">
                  <c:v>2016</c:v>
                </c:pt>
                <c:pt idx="2">
                  <c:v>2017</c:v>
                </c:pt>
                <c:pt idx="3">
                  <c:v>2018</c:v>
                </c:pt>
                <c:pt idx="4">
                  <c:v>Maj 2019</c:v>
                </c:pt>
              </c:strCache>
            </c:strRef>
          </c:cat>
          <c:val>
            <c:numRef>
              <c:f>'BB Fix Variabel'!$B$9:$F$9</c:f>
              <c:numCache>
                <c:formatCode>0.0%</c:formatCode>
                <c:ptCount val="5"/>
                <c:pt idx="0">
                  <c:v>0.13770647748436551</c:v>
                </c:pt>
                <c:pt idx="1">
                  <c:v>0.12672484339657963</c:v>
                </c:pt>
                <c:pt idx="2">
                  <c:v>8.7910941149686006E-2</c:v>
                </c:pt>
                <c:pt idx="3">
                  <c:v>6.485911345673373E-2</c:v>
                </c:pt>
                <c:pt idx="4">
                  <c:v>5.6336401981954248E-2</c:v>
                </c:pt>
              </c:numCache>
            </c:numRef>
          </c:val>
          <c:extLst/>
        </c:ser>
        <c:dLbls>
          <c:showLegendKey val="0"/>
          <c:showVal val="0"/>
          <c:showCatName val="0"/>
          <c:showSerName val="0"/>
          <c:showPercent val="0"/>
          <c:showBubbleSize val="0"/>
        </c:dLbls>
        <c:gapWidth val="114"/>
        <c:overlap val="100"/>
        <c:axId val="551811440"/>
        <c:axId val="551800016"/>
      </c:barChart>
      <c:catAx>
        <c:axId val="5518114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0016"/>
        <c:crosses val="autoZero"/>
        <c:auto val="1"/>
        <c:lblAlgn val="ctr"/>
        <c:lblOffset val="100"/>
        <c:noMultiLvlLbl val="0"/>
      </c:catAx>
      <c:valAx>
        <c:axId val="551800016"/>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11440"/>
        <c:crosses val="autoZero"/>
        <c:crossBetween val="between"/>
        <c:majorUnit val="0.2"/>
      </c:valAx>
      <c:spPr>
        <a:noFill/>
        <a:ln>
          <a:noFill/>
        </a:ln>
        <a:effectLst/>
      </c:spPr>
    </c:plotArea>
    <c:legend>
      <c:legendPos val="b"/>
      <c:layout>
        <c:manualLayout>
          <c:xMode val="edge"/>
          <c:yMode val="edge"/>
          <c:x val="0.19483921905226798"/>
          <c:y val="0.89771741398433991"/>
          <c:w val="0.61032156189546416"/>
          <c:h val="7.438858322625988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26334774725397"/>
          <c:y val="6.3879210220673638E-2"/>
          <c:w val="0.85445498491158856"/>
          <c:h val="0.70122820013351994"/>
        </c:manualLayout>
      </c:layout>
      <c:barChart>
        <c:barDir val="col"/>
        <c:grouping val="stacked"/>
        <c:varyColors val="0"/>
        <c:ser>
          <c:idx val="0"/>
          <c:order val="0"/>
          <c:tx>
            <c:strRef>
              <c:f>'BB sipas titujve'!$A$21</c:f>
              <c:strCache>
                <c:ptCount val="1"/>
                <c:pt idx="0">
                  <c:v>Deri në 1 vit</c:v>
                </c:pt>
              </c:strCache>
            </c:strRef>
          </c:tx>
          <c:spPr>
            <a:solidFill>
              <a:srgbClr val="5B9B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titujve'!$B$20:$F$20</c:f>
              <c:strCache>
                <c:ptCount val="5"/>
                <c:pt idx="0">
                  <c:v>2015</c:v>
                </c:pt>
                <c:pt idx="1">
                  <c:v>2016</c:v>
                </c:pt>
                <c:pt idx="2">
                  <c:v>2017</c:v>
                </c:pt>
                <c:pt idx="3">
                  <c:v>2018</c:v>
                </c:pt>
                <c:pt idx="4">
                  <c:v>Maj 2019</c:v>
                </c:pt>
              </c:strCache>
            </c:strRef>
          </c:cat>
          <c:val>
            <c:numRef>
              <c:f>'BB sipas titujve'!$B$21:$F$21</c:f>
              <c:numCache>
                <c:formatCode>0.0%</c:formatCode>
                <c:ptCount val="5"/>
                <c:pt idx="0">
                  <c:v>0.42965846447943695</c:v>
                </c:pt>
                <c:pt idx="1">
                  <c:v>0.39448993948019762</c:v>
                </c:pt>
                <c:pt idx="2">
                  <c:v>0.35661495929817533</c:v>
                </c:pt>
                <c:pt idx="3">
                  <c:v>0.3442709566429682</c:v>
                </c:pt>
                <c:pt idx="4">
                  <c:v>0.34073325494714013</c:v>
                </c:pt>
              </c:numCache>
            </c:numRef>
          </c:val>
        </c:ser>
        <c:ser>
          <c:idx val="1"/>
          <c:order val="1"/>
          <c:tx>
            <c:strRef>
              <c:f>'BB sipas titujve'!$A$22</c:f>
              <c:strCache>
                <c:ptCount val="1"/>
                <c:pt idx="0">
                  <c:v>1 deri në 3 vite</c:v>
                </c:pt>
              </c:strCache>
            </c:strRef>
          </c:tx>
          <c:spPr>
            <a:solidFill>
              <a:srgbClr val="C00000"/>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titujve'!$B$20:$F$20</c:f>
              <c:strCache>
                <c:ptCount val="5"/>
                <c:pt idx="0">
                  <c:v>2015</c:v>
                </c:pt>
                <c:pt idx="1">
                  <c:v>2016</c:v>
                </c:pt>
                <c:pt idx="2">
                  <c:v>2017</c:v>
                </c:pt>
                <c:pt idx="3">
                  <c:v>2018</c:v>
                </c:pt>
                <c:pt idx="4">
                  <c:v>Maj 2019</c:v>
                </c:pt>
              </c:strCache>
            </c:strRef>
          </c:cat>
          <c:val>
            <c:numRef>
              <c:f>'BB sipas titujve'!$B$22:$F$22</c:f>
              <c:numCache>
                <c:formatCode>0.0%</c:formatCode>
                <c:ptCount val="5"/>
                <c:pt idx="0">
                  <c:v>0.22586279058178721</c:v>
                </c:pt>
                <c:pt idx="1">
                  <c:v>0.21210635631980793</c:v>
                </c:pt>
                <c:pt idx="2">
                  <c:v>0.21967232831650157</c:v>
                </c:pt>
                <c:pt idx="3">
                  <c:v>0.211345530552463</c:v>
                </c:pt>
                <c:pt idx="4">
                  <c:v>0.19254495465152424</c:v>
                </c:pt>
              </c:numCache>
            </c:numRef>
          </c:val>
        </c:ser>
        <c:ser>
          <c:idx val="2"/>
          <c:order val="2"/>
          <c:tx>
            <c:strRef>
              <c:f>'BB sipas titujve'!$A$23</c:f>
              <c:strCache>
                <c:ptCount val="1"/>
                <c:pt idx="0">
                  <c:v>3 deri në 5 vite</c:v>
                </c:pt>
              </c:strCache>
            </c:strRef>
          </c:tx>
          <c:spPr>
            <a:solidFill>
              <a:schemeClr val="bg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titujve'!$B$20:$F$20</c:f>
              <c:strCache>
                <c:ptCount val="5"/>
                <c:pt idx="0">
                  <c:v>2015</c:v>
                </c:pt>
                <c:pt idx="1">
                  <c:v>2016</c:v>
                </c:pt>
                <c:pt idx="2">
                  <c:v>2017</c:v>
                </c:pt>
                <c:pt idx="3">
                  <c:v>2018</c:v>
                </c:pt>
                <c:pt idx="4">
                  <c:v>Maj 2019</c:v>
                </c:pt>
              </c:strCache>
            </c:strRef>
          </c:cat>
          <c:val>
            <c:numRef>
              <c:f>'BB sipas titujve'!$B$23:$F$23</c:f>
              <c:numCache>
                <c:formatCode>0.0%</c:formatCode>
                <c:ptCount val="5"/>
                <c:pt idx="0">
                  <c:v>0.17440029267040957</c:v>
                </c:pt>
                <c:pt idx="1">
                  <c:v>0.18542036666349801</c:v>
                </c:pt>
                <c:pt idx="2">
                  <c:v>0.18854049117130847</c:v>
                </c:pt>
                <c:pt idx="3">
                  <c:v>0.17920198206823099</c:v>
                </c:pt>
                <c:pt idx="4">
                  <c:v>0.18581523163272448</c:v>
                </c:pt>
              </c:numCache>
            </c:numRef>
          </c:val>
        </c:ser>
        <c:ser>
          <c:idx val="3"/>
          <c:order val="3"/>
          <c:tx>
            <c:strRef>
              <c:f>'BB sipas titujve'!$A$24</c:f>
              <c:strCache>
                <c:ptCount val="1"/>
                <c:pt idx="0">
                  <c:v>Mbi 5 vite</c:v>
                </c:pt>
              </c:strCache>
            </c:strRef>
          </c:tx>
          <c:spPr>
            <a:solidFill>
              <a:schemeClr val="accent6">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titujve'!$B$20:$F$20</c:f>
              <c:strCache>
                <c:ptCount val="5"/>
                <c:pt idx="0">
                  <c:v>2015</c:v>
                </c:pt>
                <c:pt idx="1">
                  <c:v>2016</c:v>
                </c:pt>
                <c:pt idx="2">
                  <c:v>2017</c:v>
                </c:pt>
                <c:pt idx="3">
                  <c:v>2018</c:v>
                </c:pt>
                <c:pt idx="4">
                  <c:v>Maj 2019</c:v>
                </c:pt>
              </c:strCache>
            </c:strRef>
          </c:cat>
          <c:val>
            <c:numRef>
              <c:f>'BB sipas titujve'!$B$24:$F$24</c:f>
              <c:numCache>
                <c:formatCode>0.0%</c:formatCode>
                <c:ptCount val="5"/>
                <c:pt idx="0">
                  <c:v>0.17007845226836621</c:v>
                </c:pt>
                <c:pt idx="1">
                  <c:v>0.20798333753649637</c:v>
                </c:pt>
                <c:pt idx="2">
                  <c:v>0.23517222121401465</c:v>
                </c:pt>
                <c:pt idx="3">
                  <c:v>0.26518153073633771</c:v>
                </c:pt>
                <c:pt idx="4">
                  <c:v>0.28090655876861115</c:v>
                </c:pt>
              </c:numCache>
            </c:numRef>
          </c:val>
        </c:ser>
        <c:dLbls>
          <c:showLegendKey val="0"/>
          <c:showVal val="0"/>
          <c:showCatName val="0"/>
          <c:showSerName val="0"/>
          <c:showPercent val="0"/>
          <c:showBubbleSize val="0"/>
        </c:dLbls>
        <c:gapWidth val="114"/>
        <c:overlap val="100"/>
        <c:axId val="551790224"/>
        <c:axId val="551793488"/>
      </c:barChart>
      <c:catAx>
        <c:axId val="5517902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3488"/>
        <c:crosses val="autoZero"/>
        <c:auto val="1"/>
        <c:lblAlgn val="ctr"/>
        <c:lblOffset val="100"/>
        <c:noMultiLvlLbl val="0"/>
      </c:catAx>
      <c:valAx>
        <c:axId val="551793488"/>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0224"/>
        <c:crosses val="autoZero"/>
        <c:crossBetween val="between"/>
        <c:majorUnit val="0.2"/>
      </c:valAx>
      <c:spPr>
        <a:noFill/>
        <a:ln>
          <a:noFill/>
        </a:ln>
        <a:effectLst/>
      </c:spPr>
    </c:plotArea>
    <c:legend>
      <c:legendPos val="b"/>
      <c:layout>
        <c:manualLayout>
          <c:xMode val="edge"/>
          <c:yMode val="edge"/>
          <c:x val="0"/>
          <c:y val="0.88590144851140473"/>
          <c:w val="0.95019708938648961"/>
          <c:h val="8.622870885909136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Sheet1!$K$17</c:f>
              <c:strCache>
                <c:ptCount val="1"/>
                <c:pt idx="0">
                  <c:v>2018</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Sheet1!$L$16:$M$16</c:f>
              <c:strCache>
                <c:ptCount val="2"/>
                <c:pt idx="0">
                  <c:v>Import I taksuar</c:v>
                </c:pt>
                <c:pt idx="1">
                  <c:v>Eksport Total</c:v>
                </c:pt>
              </c:strCache>
            </c:strRef>
          </c:cat>
          <c:val>
            <c:numRef>
              <c:f>Sheet1!$L$17:$M$17</c:f>
              <c:numCache>
                <c:formatCode>0</c:formatCode>
                <c:ptCount val="2"/>
                <c:pt idx="0">
                  <c:v>191.78700000000001</c:v>
                </c:pt>
                <c:pt idx="1">
                  <c:v>131.376</c:v>
                </c:pt>
              </c:numCache>
            </c:numRef>
          </c:val>
          <c:extLst xmlns:c16r2="http://schemas.microsoft.com/office/drawing/2015/06/chart">
            <c:ext xmlns:c16="http://schemas.microsoft.com/office/drawing/2014/chart" uri="{C3380CC4-5D6E-409C-BE32-E72D297353CC}">
              <c16:uniqueId val="{00000000-B518-4FCA-A8B7-46230BECCCBF}"/>
            </c:ext>
          </c:extLst>
        </c:ser>
        <c:ser>
          <c:idx val="1"/>
          <c:order val="1"/>
          <c:tx>
            <c:strRef>
              <c:f>Sheet1!$K$18</c:f>
              <c:strCache>
                <c:ptCount val="1"/>
                <c:pt idx="0">
                  <c:v>2019</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Sheet1!$L$16:$M$16</c:f>
              <c:strCache>
                <c:ptCount val="2"/>
                <c:pt idx="0">
                  <c:v>Import I taksuar</c:v>
                </c:pt>
                <c:pt idx="1">
                  <c:v>Eksport Total</c:v>
                </c:pt>
              </c:strCache>
            </c:strRef>
          </c:cat>
          <c:val>
            <c:numRef>
              <c:f>Sheet1!$L$18:$M$18</c:f>
              <c:numCache>
                <c:formatCode>0</c:formatCode>
                <c:ptCount val="2"/>
                <c:pt idx="0">
                  <c:v>201.55099999999999</c:v>
                </c:pt>
                <c:pt idx="1">
                  <c:v>131.411</c:v>
                </c:pt>
              </c:numCache>
            </c:numRef>
          </c:val>
          <c:extLst xmlns:c16r2="http://schemas.microsoft.com/office/drawing/2015/06/chart">
            <c:ext xmlns:c16="http://schemas.microsoft.com/office/drawing/2014/chart" uri="{C3380CC4-5D6E-409C-BE32-E72D297353CC}">
              <c16:uniqueId val="{00000001-B518-4FCA-A8B7-46230BECCCBF}"/>
            </c:ext>
          </c:extLst>
        </c:ser>
        <c:dLbls>
          <c:showLegendKey val="0"/>
          <c:showVal val="0"/>
          <c:showCatName val="0"/>
          <c:showSerName val="0"/>
          <c:showPercent val="0"/>
          <c:showBubbleSize val="0"/>
        </c:dLbls>
        <c:gapWidth val="182"/>
        <c:axId val="412034160"/>
        <c:axId val="412034704"/>
      </c:barChart>
      <c:catAx>
        <c:axId val="4120341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412034704"/>
        <c:crosses val="autoZero"/>
        <c:auto val="1"/>
        <c:lblAlgn val="ctr"/>
        <c:lblOffset val="100"/>
        <c:noMultiLvlLbl val="0"/>
      </c:catAx>
      <c:valAx>
        <c:axId val="41203470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412034160"/>
        <c:crosses val="autoZero"/>
        <c:crossBetween val="between"/>
      </c:valAx>
      <c:spPr>
        <a:noFill/>
        <a:ln>
          <a:noFill/>
        </a:ln>
        <a:effectLst/>
      </c:spPr>
    </c:plotArea>
    <c:legend>
      <c:legendPos val="b"/>
      <c:layout>
        <c:manualLayout>
          <c:xMode val="edge"/>
          <c:yMode val="edge"/>
          <c:x val="0.32567587214863447"/>
          <c:y val="0.85503727433310384"/>
          <c:w val="0.35593688544034036"/>
          <c:h val="0.10693991197868327"/>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70611780504181165"/>
        </c:manualLayout>
      </c:layout>
      <c:barChart>
        <c:barDir val="col"/>
        <c:grouping val="percentStacked"/>
        <c:varyColors val="0"/>
        <c:ser>
          <c:idx val="0"/>
          <c:order val="0"/>
          <c:tx>
            <c:strRef>
              <c:f>'B.Jashtem sipas instr'!$A$13</c:f>
              <c:strCache>
                <c:ptCount val="1"/>
                <c:pt idx="0">
                  <c:v>Kredi</c:v>
                </c:pt>
              </c:strCache>
            </c:strRef>
          </c:tx>
          <c:spPr>
            <a:solidFill>
              <a:srgbClr val="5B9B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instr'!$B$12:$F$12</c:f>
              <c:strCache>
                <c:ptCount val="5"/>
                <c:pt idx="0">
                  <c:v>2015</c:v>
                </c:pt>
                <c:pt idx="1">
                  <c:v>2016</c:v>
                </c:pt>
                <c:pt idx="2">
                  <c:v>2017</c:v>
                </c:pt>
                <c:pt idx="3">
                  <c:v>2018</c:v>
                </c:pt>
                <c:pt idx="4">
                  <c:v>Maj 2019</c:v>
                </c:pt>
              </c:strCache>
            </c:strRef>
          </c:cat>
          <c:val>
            <c:numRef>
              <c:f>'B.Jashtem sipas instr'!$B$13:$F$13</c:f>
              <c:numCache>
                <c:formatCode>0.0%</c:formatCode>
                <c:ptCount val="5"/>
                <c:pt idx="0">
                  <c:v>0.63171067107522083</c:v>
                </c:pt>
                <c:pt idx="1">
                  <c:v>0.60835823562029878</c:v>
                </c:pt>
                <c:pt idx="2">
                  <c:v>0.57612819477198618</c:v>
                </c:pt>
                <c:pt idx="3">
                  <c:v>0.53914670138026288</c:v>
                </c:pt>
                <c:pt idx="4">
                  <c:v>0.53746745907859206</c:v>
                </c:pt>
              </c:numCache>
            </c:numRef>
          </c:val>
        </c:ser>
        <c:ser>
          <c:idx val="1"/>
          <c:order val="1"/>
          <c:tx>
            <c:strRef>
              <c:f>'B.Jashtem sipas instr'!$A$14</c:f>
              <c:strCache>
                <c:ptCount val="1"/>
                <c:pt idx="0">
                  <c:v>Mbështetje buxhetore</c:v>
                </c:pt>
              </c:strCache>
            </c:strRef>
          </c:tx>
          <c:spPr>
            <a:solidFill>
              <a:srgbClr val="C00000"/>
            </a:solidFill>
            <a:ln>
              <a:noFill/>
            </a:ln>
            <a:effectLst/>
          </c:spPr>
          <c:invertIfNegative val="0"/>
          <c:dLbls>
            <c:dLbl>
              <c:idx val="0"/>
              <c:layout>
                <c:manualLayout>
                  <c:x val="0"/>
                  <c:y val="1.3888888888888846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instr'!$B$12:$F$12</c:f>
              <c:strCache>
                <c:ptCount val="5"/>
                <c:pt idx="0">
                  <c:v>2015</c:v>
                </c:pt>
                <c:pt idx="1">
                  <c:v>2016</c:v>
                </c:pt>
                <c:pt idx="2">
                  <c:v>2017</c:v>
                </c:pt>
                <c:pt idx="3">
                  <c:v>2018</c:v>
                </c:pt>
                <c:pt idx="4">
                  <c:v>Maj 2019</c:v>
                </c:pt>
              </c:strCache>
            </c:strRef>
          </c:cat>
          <c:val>
            <c:numRef>
              <c:f>'B.Jashtem sipas instr'!$B$14:$F$14</c:f>
              <c:numCache>
                <c:formatCode>0.0%</c:formatCode>
                <c:ptCount val="5"/>
                <c:pt idx="0">
                  <c:v>0.16176742624439036</c:v>
                </c:pt>
                <c:pt idx="1">
                  <c:v>0.19500780075024285</c:v>
                </c:pt>
                <c:pt idx="2">
                  <c:v>0.23820938393569469</c:v>
                </c:pt>
                <c:pt idx="3">
                  <c:v>0.21987866803136147</c:v>
                </c:pt>
                <c:pt idx="4">
                  <c:v>0.2223827072313572</c:v>
                </c:pt>
              </c:numCache>
            </c:numRef>
          </c:val>
        </c:ser>
        <c:ser>
          <c:idx val="2"/>
          <c:order val="2"/>
          <c:tx>
            <c:strRef>
              <c:f>'B.Jashtem sipas instr'!$A$15</c:f>
              <c:strCache>
                <c:ptCount val="1"/>
                <c:pt idx="0">
                  <c:v>Eurobond</c:v>
                </c:pt>
              </c:strCache>
            </c:strRef>
          </c:tx>
          <c:spPr>
            <a:solidFill>
              <a:schemeClr val="bg1">
                <a:lumMod val="65000"/>
              </a:schemeClr>
            </a:solidFill>
            <a:ln>
              <a:noFill/>
            </a:ln>
            <a:effectLst/>
          </c:spPr>
          <c:invertIfNegative val="0"/>
          <c:dLbls>
            <c:dLbl>
              <c:idx val="4"/>
              <c:layout>
                <c:manualLayout>
                  <c:x val="0"/>
                  <c:y val="1.3888888888888888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5"/>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instr'!$B$12:$F$12</c:f>
              <c:strCache>
                <c:ptCount val="5"/>
                <c:pt idx="0">
                  <c:v>2015</c:v>
                </c:pt>
                <c:pt idx="1">
                  <c:v>2016</c:v>
                </c:pt>
                <c:pt idx="2">
                  <c:v>2017</c:v>
                </c:pt>
                <c:pt idx="3">
                  <c:v>2018</c:v>
                </c:pt>
                <c:pt idx="4">
                  <c:v>Maj 2019</c:v>
                </c:pt>
              </c:strCache>
            </c:strRef>
          </c:cat>
          <c:val>
            <c:numRef>
              <c:f>'B.Jashtem sipas instr'!$B$15:$F$15</c:f>
              <c:numCache>
                <c:formatCode>0.0%</c:formatCode>
                <c:ptCount val="5"/>
                <c:pt idx="0">
                  <c:v>0.13276408029453562</c:v>
                </c:pt>
                <c:pt idx="1">
                  <c:v>0.12640754804750903</c:v>
                </c:pt>
                <c:pt idx="2">
                  <c:v>0.12196801398765489</c:v>
                </c:pt>
                <c:pt idx="3">
                  <c:v>0.18632059066111512</c:v>
                </c:pt>
                <c:pt idx="4">
                  <c:v>0.18568286110055471</c:v>
                </c:pt>
              </c:numCache>
            </c:numRef>
          </c:val>
          <c:extLst/>
        </c:ser>
        <c:ser>
          <c:idx val="3"/>
          <c:order val="3"/>
          <c:tx>
            <c:strRef>
              <c:f>'B.Jashtem sipas instr'!$A$16</c:f>
              <c:strCache>
                <c:ptCount val="1"/>
                <c:pt idx="0">
                  <c:v>PBG</c:v>
                </c:pt>
              </c:strCache>
            </c:strRef>
          </c:tx>
          <c:spPr>
            <a:solidFill>
              <a:schemeClr val="accent6"/>
            </a:solidFill>
            <a:ln>
              <a:noFill/>
            </a:ln>
            <a:effectLst/>
          </c:spPr>
          <c:invertIfNegative val="0"/>
          <c:dLbls>
            <c:dLbl>
              <c:idx val="2"/>
              <c:layout>
                <c:manualLayout>
                  <c:x val="0"/>
                  <c:y val="-6.4370958846239647E-3"/>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instr'!$B$12:$F$12</c:f>
              <c:strCache>
                <c:ptCount val="5"/>
                <c:pt idx="0">
                  <c:v>2015</c:v>
                </c:pt>
                <c:pt idx="1">
                  <c:v>2016</c:v>
                </c:pt>
                <c:pt idx="2">
                  <c:v>2017</c:v>
                </c:pt>
                <c:pt idx="3">
                  <c:v>2018</c:v>
                </c:pt>
                <c:pt idx="4">
                  <c:v>Maj 2019</c:v>
                </c:pt>
              </c:strCache>
            </c:strRef>
          </c:cat>
          <c:val>
            <c:numRef>
              <c:f>'B.Jashtem sipas instr'!$B$16:$F$16</c:f>
              <c:numCache>
                <c:formatCode>0.0%</c:formatCode>
                <c:ptCount val="5"/>
                <c:pt idx="0">
                  <c:v>7.3757822385853128E-2</c:v>
                </c:pt>
                <c:pt idx="1">
                  <c:v>7.0226415581949461E-2</c:v>
                </c:pt>
                <c:pt idx="2">
                  <c:v>6.3694407304664219E-2</c:v>
                </c:pt>
                <c:pt idx="3">
                  <c:v>5.465403992726043E-2</c:v>
                </c:pt>
                <c:pt idx="4">
                  <c:v>5.4466972589496052E-2</c:v>
                </c:pt>
              </c:numCache>
            </c:numRef>
          </c:val>
        </c:ser>
        <c:dLbls>
          <c:showLegendKey val="0"/>
          <c:showVal val="0"/>
          <c:showCatName val="0"/>
          <c:showSerName val="0"/>
          <c:showPercent val="0"/>
          <c:showBubbleSize val="0"/>
        </c:dLbls>
        <c:gapWidth val="114"/>
        <c:overlap val="100"/>
        <c:axId val="551800560"/>
        <c:axId val="551781520"/>
      </c:barChart>
      <c:catAx>
        <c:axId val="55180056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81520"/>
        <c:crosses val="autoZero"/>
        <c:auto val="1"/>
        <c:lblAlgn val="ctr"/>
        <c:lblOffset val="100"/>
        <c:noMultiLvlLbl val="0"/>
      </c:catAx>
      <c:valAx>
        <c:axId val="551781520"/>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0560"/>
        <c:crosses val="autoZero"/>
        <c:crossBetween val="between"/>
        <c:majorUnit val="0.2"/>
      </c:valAx>
      <c:spPr>
        <a:noFill/>
        <a:ln>
          <a:noFill/>
        </a:ln>
        <a:effectLst/>
      </c:spPr>
    </c:plotArea>
    <c:legend>
      <c:legendPos val="b"/>
      <c:layout>
        <c:manualLayout>
          <c:xMode val="edge"/>
          <c:yMode val="edge"/>
          <c:x val="0.10031587431595916"/>
          <c:y val="0.88325392820681314"/>
          <c:w val="0.84909887714512267"/>
          <c:h val="0.1167460717931868"/>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129404638899775"/>
          <c:y val="7.9165167326376393E-2"/>
          <c:w val="0.85084084512060432"/>
          <c:h val="0.68480197102945883"/>
        </c:manualLayout>
      </c:layout>
      <c:barChart>
        <c:barDir val="col"/>
        <c:grouping val="percentStacked"/>
        <c:varyColors val="0"/>
        <c:ser>
          <c:idx val="0"/>
          <c:order val="0"/>
          <c:tx>
            <c:strRef>
              <c:f>'Kompozimi sipas interesit'!$A$21</c:f>
              <c:strCache>
                <c:ptCount val="1"/>
                <c:pt idx="0">
                  <c:v>Fiks</c:v>
                </c:pt>
              </c:strCache>
            </c:strRef>
          </c:tx>
          <c:spPr>
            <a:solidFill>
              <a:srgbClr val="5B9BD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interesit'!$B$20:$F$20</c:f>
              <c:strCache>
                <c:ptCount val="5"/>
                <c:pt idx="0">
                  <c:v>2015</c:v>
                </c:pt>
                <c:pt idx="1">
                  <c:v>2016</c:v>
                </c:pt>
                <c:pt idx="2">
                  <c:v>2017</c:v>
                </c:pt>
                <c:pt idx="3">
                  <c:v>2018</c:v>
                </c:pt>
                <c:pt idx="4">
                  <c:v>Maj 2019</c:v>
                </c:pt>
              </c:strCache>
            </c:strRef>
          </c:cat>
          <c:val>
            <c:numRef>
              <c:f>'Kompozimi sipas interesit'!$B$21:$F$21</c:f>
              <c:numCache>
                <c:formatCode>0.0%</c:formatCode>
                <c:ptCount val="5"/>
                <c:pt idx="0">
                  <c:v>0.55680372747939055</c:v>
                </c:pt>
                <c:pt idx="1">
                  <c:v>0.53883845614000803</c:v>
                </c:pt>
                <c:pt idx="2">
                  <c:v>0.49920566515941572</c:v>
                </c:pt>
                <c:pt idx="3">
                  <c:v>0.52621890666633608</c:v>
                </c:pt>
                <c:pt idx="4">
                  <c:v>0.52568590691880968</c:v>
                </c:pt>
              </c:numCache>
            </c:numRef>
          </c:val>
        </c:ser>
        <c:ser>
          <c:idx val="1"/>
          <c:order val="1"/>
          <c:tx>
            <c:strRef>
              <c:f>'Kompozimi sipas interesit'!$A$22</c:f>
              <c:strCache>
                <c:ptCount val="1"/>
                <c:pt idx="0">
                  <c:v>Me norma të ndryshueshme</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interesit'!$B$20:$F$20</c:f>
              <c:strCache>
                <c:ptCount val="5"/>
                <c:pt idx="0">
                  <c:v>2015</c:v>
                </c:pt>
                <c:pt idx="1">
                  <c:v>2016</c:v>
                </c:pt>
                <c:pt idx="2">
                  <c:v>2017</c:v>
                </c:pt>
                <c:pt idx="3">
                  <c:v>2018</c:v>
                </c:pt>
                <c:pt idx="4">
                  <c:v>Maj 2019</c:v>
                </c:pt>
              </c:strCache>
            </c:strRef>
          </c:cat>
          <c:val>
            <c:numRef>
              <c:f>'Kompozimi sipas interesit'!$B$22:$F$22</c:f>
              <c:numCache>
                <c:formatCode>0.0%</c:formatCode>
                <c:ptCount val="5"/>
                <c:pt idx="0">
                  <c:v>0.44319627252060939</c:v>
                </c:pt>
                <c:pt idx="1">
                  <c:v>0.46116154385999197</c:v>
                </c:pt>
                <c:pt idx="2">
                  <c:v>0.50079433484058422</c:v>
                </c:pt>
                <c:pt idx="3">
                  <c:v>0.47378109333366392</c:v>
                </c:pt>
                <c:pt idx="4">
                  <c:v>0.47431409308119032</c:v>
                </c:pt>
              </c:numCache>
            </c:numRef>
          </c:val>
        </c:ser>
        <c:dLbls>
          <c:showLegendKey val="0"/>
          <c:showVal val="0"/>
          <c:showCatName val="0"/>
          <c:showSerName val="0"/>
          <c:showPercent val="0"/>
          <c:showBubbleSize val="0"/>
        </c:dLbls>
        <c:gapWidth val="100"/>
        <c:overlap val="100"/>
        <c:axId val="551809808"/>
        <c:axId val="551795120"/>
      </c:barChart>
      <c:catAx>
        <c:axId val="5518098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795120"/>
        <c:crosses val="autoZero"/>
        <c:auto val="1"/>
        <c:lblAlgn val="ctr"/>
        <c:lblOffset val="100"/>
        <c:noMultiLvlLbl val="0"/>
      </c:catAx>
      <c:valAx>
        <c:axId val="551795120"/>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9808"/>
        <c:crosses val="autoZero"/>
        <c:crossBetween val="between"/>
        <c:majorUnit val="0.2"/>
      </c:valAx>
      <c:spPr>
        <a:noFill/>
        <a:ln>
          <a:noFill/>
        </a:ln>
        <a:effectLst/>
      </c:spPr>
    </c:plotArea>
    <c:legend>
      <c:legendPos val="b"/>
      <c:layout>
        <c:manualLayout>
          <c:xMode val="edge"/>
          <c:yMode val="edge"/>
          <c:x val="0.11756974382727048"/>
          <c:y val="0.91581046862534254"/>
          <c:w val="0.74676060854384152"/>
          <c:h val="7.8266413171905136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9193418130426"/>
          <c:y val="7.9594790159189577E-2"/>
          <c:w val="0.80677686923749914"/>
          <c:h val="0.64491037751974201"/>
        </c:manualLayout>
      </c:layout>
      <c:barChart>
        <c:barDir val="col"/>
        <c:grouping val="clustered"/>
        <c:varyColors val="0"/>
        <c:ser>
          <c:idx val="0"/>
          <c:order val="0"/>
          <c:tx>
            <c:strRef>
              <c:f>' Huamarrja e Brendshme'!$A$16</c:f>
              <c:strCache>
                <c:ptCount val="1"/>
                <c:pt idx="0">
                  <c:v>Emetime</c:v>
                </c:pt>
              </c:strCache>
            </c:strRef>
          </c:tx>
          <c:spPr>
            <a:solidFill>
              <a:srgbClr val="5B9B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Brendshme'!$B$15:$F$15</c:f>
              <c:strCache>
                <c:ptCount val="5"/>
                <c:pt idx="0">
                  <c:v>Jan-Maj 2015</c:v>
                </c:pt>
                <c:pt idx="1">
                  <c:v>Jan-Maj 2016</c:v>
                </c:pt>
                <c:pt idx="2">
                  <c:v>Jan-Maj 2017</c:v>
                </c:pt>
                <c:pt idx="3">
                  <c:v>Jan-Maj 2018</c:v>
                </c:pt>
                <c:pt idx="4">
                  <c:v>Jan-Maj 2019</c:v>
                </c:pt>
              </c:strCache>
            </c:strRef>
          </c:cat>
          <c:val>
            <c:numRef>
              <c:f>' Huamarrja e Brendshme'!$B$16:$F$16</c:f>
              <c:numCache>
                <c:formatCode>_(* #,##0.0_);_(* \(#,##0.0\);_(* "-"??_);_(@_)</c:formatCode>
                <c:ptCount val="5"/>
                <c:pt idx="0">
                  <c:v>199.07619295446</c:v>
                </c:pt>
                <c:pt idx="1">
                  <c:v>171.14510732293999</c:v>
                </c:pt>
                <c:pt idx="2">
                  <c:v>167.09811392809002</c:v>
                </c:pt>
                <c:pt idx="3">
                  <c:v>156.03091198807002</c:v>
                </c:pt>
                <c:pt idx="4">
                  <c:v>145.53043084295001</c:v>
                </c:pt>
              </c:numCache>
            </c:numRef>
          </c:val>
        </c:ser>
        <c:dLbls>
          <c:showLegendKey val="0"/>
          <c:showVal val="0"/>
          <c:showCatName val="0"/>
          <c:showSerName val="0"/>
          <c:showPercent val="0"/>
          <c:showBubbleSize val="0"/>
        </c:dLbls>
        <c:gapWidth val="219"/>
        <c:overlap val="-27"/>
        <c:axId val="551795664"/>
        <c:axId val="551802192"/>
      </c:barChart>
      <c:lineChart>
        <c:grouping val="standard"/>
        <c:varyColors val="0"/>
        <c:ser>
          <c:idx val="1"/>
          <c:order val="1"/>
          <c:tx>
            <c:strRef>
              <c:f>' Huamarrja e Brendshme'!$A$18</c:f>
              <c:strCache>
                <c:ptCount val="1"/>
                <c:pt idx="0">
                  <c:v>Emetime/Të Ardhura tatimore</c:v>
                </c:pt>
              </c:strCache>
            </c:strRef>
          </c:tx>
          <c:spPr>
            <a:ln w="28575"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3.0049801467124302E-2"/>
                  <c:y val="-7.3751308885037004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1583888552392488E-2"/>
                  <c:y val="-7.118382365990877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7913049330372166E-2"/>
                  <c:y val="-8.3189479226441543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2132377683558783E-2"/>
                  <c:y val="-7.648680466406762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4296217780469748E-2"/>
                  <c:y val="-9.670308867289409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Brendshme'!$B$15:$F$15</c:f>
              <c:strCache>
                <c:ptCount val="5"/>
                <c:pt idx="0">
                  <c:v>Jan-Maj 2015</c:v>
                </c:pt>
                <c:pt idx="1">
                  <c:v>Jan-Maj 2016</c:v>
                </c:pt>
                <c:pt idx="2">
                  <c:v>Jan-Maj 2017</c:v>
                </c:pt>
                <c:pt idx="3">
                  <c:v>Jan-Maj 2018</c:v>
                </c:pt>
                <c:pt idx="4">
                  <c:v>Jan-Maj 2019</c:v>
                </c:pt>
              </c:strCache>
            </c:strRef>
          </c:cat>
          <c:val>
            <c:numRef>
              <c:f>' Huamarrja e Brendshme'!$B$18:$F$18</c:f>
              <c:numCache>
                <c:formatCode>0.0%</c:formatCode>
                <c:ptCount val="5"/>
                <c:pt idx="0">
                  <c:v>1.4881308527273949</c:v>
                </c:pt>
                <c:pt idx="1">
                  <c:v>1.1398123722823539</c:v>
                </c:pt>
                <c:pt idx="2">
                  <c:v>1.0223882545052896</c:v>
                </c:pt>
                <c:pt idx="3">
                  <c:v>0.92818084036114545</c:v>
                </c:pt>
                <c:pt idx="4">
                  <c:v>0.82267060962662519</c:v>
                </c:pt>
              </c:numCache>
            </c:numRef>
          </c:val>
          <c:smooth val="1"/>
        </c:ser>
        <c:dLbls>
          <c:showLegendKey val="0"/>
          <c:showVal val="0"/>
          <c:showCatName val="0"/>
          <c:showSerName val="0"/>
          <c:showPercent val="0"/>
          <c:showBubbleSize val="0"/>
        </c:dLbls>
        <c:marker val="1"/>
        <c:smooth val="0"/>
        <c:axId val="551788592"/>
        <c:axId val="551786416"/>
      </c:lineChart>
      <c:catAx>
        <c:axId val="5517956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2192"/>
        <c:crosses val="autoZero"/>
        <c:auto val="1"/>
        <c:lblAlgn val="ctr"/>
        <c:lblOffset val="100"/>
        <c:noMultiLvlLbl val="0"/>
      </c:catAx>
      <c:valAx>
        <c:axId val="551802192"/>
        <c:scaling>
          <c:orientation val="minMax"/>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miliard Lekë</a:t>
                </a:r>
              </a:p>
            </c:rich>
          </c:tx>
          <c:layout>
            <c:manualLayout>
              <c:xMode val="edge"/>
              <c:yMode val="edge"/>
              <c:x val="1.0386297866612826E-2"/>
              <c:y val="0.19224725947573609"/>
            </c:manualLayout>
          </c:layout>
          <c:overlay val="0"/>
          <c:spPr>
            <a:noFill/>
            <a:ln>
              <a:noFill/>
            </a:ln>
            <a:effectLst/>
          </c:spPr>
        </c:title>
        <c:numFmt formatCode="_(* #,##0_);_(* \(#,##0\);_(* &quot;-&quot;_);_(@_)"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5664"/>
        <c:crosses val="autoZero"/>
        <c:crossBetween val="between"/>
      </c:valAx>
      <c:valAx>
        <c:axId val="551786416"/>
        <c:scaling>
          <c:orientation val="minMax"/>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88592"/>
        <c:crosses val="max"/>
        <c:crossBetween val="between"/>
        <c:majorUnit val="0.4"/>
      </c:valAx>
      <c:catAx>
        <c:axId val="551788592"/>
        <c:scaling>
          <c:orientation val="minMax"/>
        </c:scaling>
        <c:delete val="1"/>
        <c:axPos val="b"/>
        <c:numFmt formatCode="General" sourceLinked="1"/>
        <c:majorTickMark val="none"/>
        <c:minorTickMark val="none"/>
        <c:tickLblPos val="nextTo"/>
        <c:crossAx val="551786416"/>
        <c:crosses val="autoZero"/>
        <c:auto val="1"/>
        <c:lblAlgn val="ctr"/>
        <c:lblOffset val="100"/>
        <c:noMultiLvlLbl val="0"/>
      </c:catAx>
      <c:spPr>
        <a:noFill/>
        <a:ln>
          <a:noFill/>
        </a:ln>
        <a:effectLst/>
      </c:spPr>
    </c:plotArea>
    <c:legend>
      <c:legendPos val="b"/>
      <c:layout>
        <c:manualLayout>
          <c:xMode val="edge"/>
          <c:yMode val="edge"/>
          <c:x val="0.25385826771653541"/>
          <c:y val="0.90683706143099696"/>
          <c:w val="0.49228346456692912"/>
          <c:h val="9.316293856900304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ysClr val="window" lastClr="FFFFFF">
          <a:lumMod val="75000"/>
        </a:sys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7944343495524597E-2"/>
          <c:y val="5.8523215571504889E-2"/>
          <c:w val="0.83376741368867358"/>
          <c:h val="0.66553915273865094"/>
        </c:manualLayout>
      </c:layout>
      <c:barChart>
        <c:barDir val="col"/>
        <c:grouping val="clustered"/>
        <c:varyColors val="0"/>
        <c:ser>
          <c:idx val="0"/>
          <c:order val="0"/>
          <c:tx>
            <c:strRef>
              <c:f>'Sherbimi i Borxhit'!$A$5</c:f>
              <c:strCache>
                <c:ptCount val="1"/>
                <c:pt idx="0">
                  <c:v>Borxhi Shtetëror</c:v>
                </c:pt>
              </c:strCache>
            </c:strRef>
          </c:tx>
          <c:spPr>
            <a:solidFill>
              <a:srgbClr val="5B9BD5"/>
            </a:solidFill>
            <a:ln>
              <a:noFill/>
            </a:ln>
            <a:effectLst/>
          </c:spPr>
          <c:invertIfNegative val="0"/>
          <c:dLbls>
            <c:dLbl>
              <c:idx val="2"/>
              <c:layout>
                <c:manualLayout>
                  <c:x val="5.0908540278619017E-3"/>
                  <c:y val="0.28835886664609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8.1734975435770671E-4"/>
                  <c:y val="0.2875737877898005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8.1734975435762832E-4"/>
                  <c:y val="0.27911179244187395"/>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Borxhit'!$B$4:$F$4</c:f>
              <c:strCache>
                <c:ptCount val="5"/>
                <c:pt idx="0">
                  <c:v>Jan-Maj 2015</c:v>
                </c:pt>
                <c:pt idx="1">
                  <c:v>Jan-Maj 2016</c:v>
                </c:pt>
                <c:pt idx="2">
                  <c:v>Jan-Maj 2017</c:v>
                </c:pt>
                <c:pt idx="3">
                  <c:v>Jan-Maj 2018</c:v>
                </c:pt>
                <c:pt idx="4">
                  <c:v>Jan-Maj 2019</c:v>
                </c:pt>
              </c:strCache>
            </c:strRef>
          </c:cat>
          <c:val>
            <c:numRef>
              <c:f>'Sherbimi i Borxhit'!$B$5:$F$5</c:f>
              <c:numCache>
                <c:formatCode>_-* #,##0.0_L_e_k_-;\-* #,##0.0_L_e_k_-;_-* "-"??_L_e_k_-;_-@_-</c:formatCode>
                <c:ptCount val="5"/>
                <c:pt idx="0">
                  <c:v>962</c:v>
                </c:pt>
                <c:pt idx="1">
                  <c:v>1015.6</c:v>
                </c:pt>
                <c:pt idx="2">
                  <c:v>1024.0999999999999</c:v>
                </c:pt>
                <c:pt idx="3">
                  <c:v>1026.4000000000001</c:v>
                </c:pt>
                <c:pt idx="4">
                  <c:v>1026.5</c:v>
                </c:pt>
              </c:numCache>
            </c:numRef>
          </c:val>
        </c:ser>
        <c:ser>
          <c:idx val="1"/>
          <c:order val="1"/>
          <c:tx>
            <c:strRef>
              <c:f>'Sherbimi i Borxhit'!$A$6</c:f>
              <c:strCache>
                <c:ptCount val="1"/>
                <c:pt idx="0">
                  <c:v>Interesa</c:v>
                </c:pt>
              </c:strCache>
            </c:strRef>
          </c:tx>
          <c:spPr>
            <a:solidFill>
              <a:srgbClr val="C00000"/>
            </a:solidFill>
            <a:ln>
              <a:noFill/>
            </a:ln>
            <a:effectLst/>
          </c:spPr>
          <c:invertIfNegative val="0"/>
          <c:dLbls>
            <c:dLbl>
              <c:idx val="0"/>
              <c:layout>
                <c:manualLayout>
                  <c:x val="0"/>
                  <c:y val="3.733736822720169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8.5470085470085479E-3"/>
                  <c:y val="4.5765518248272061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1367521367520585E-3"/>
                  <c:y val="4.576551824827198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0807423110572718E-2"/>
                  <c:y val="2.457768000238900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4957264957264958E-2"/>
                  <c:y val="3.7337368227201691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Borxhit'!$B$4:$F$4</c:f>
              <c:strCache>
                <c:ptCount val="5"/>
                <c:pt idx="0">
                  <c:v>Jan-Maj 2015</c:v>
                </c:pt>
                <c:pt idx="1">
                  <c:v>Jan-Maj 2016</c:v>
                </c:pt>
                <c:pt idx="2">
                  <c:v>Jan-Maj 2017</c:v>
                </c:pt>
                <c:pt idx="3">
                  <c:v>Jan-Maj 2018</c:v>
                </c:pt>
                <c:pt idx="4">
                  <c:v>Jan-Maj 2019</c:v>
                </c:pt>
              </c:strCache>
            </c:strRef>
          </c:cat>
          <c:val>
            <c:numRef>
              <c:f>'Sherbimi i Borxhit'!$B$6:$F$6</c:f>
              <c:numCache>
                <c:formatCode>_-* #,##0.0_L_e_k_-;\-* #,##0.0_L_e_k_-;_-* "-"??_L_e_k_-;_-@_-</c:formatCode>
                <c:ptCount val="5"/>
                <c:pt idx="0">
                  <c:v>14.31</c:v>
                </c:pt>
                <c:pt idx="1">
                  <c:v>14.599</c:v>
                </c:pt>
                <c:pt idx="2">
                  <c:v>12.006</c:v>
                </c:pt>
                <c:pt idx="3">
                  <c:v>13.063000000000001</c:v>
                </c:pt>
                <c:pt idx="4">
                  <c:v>14.1</c:v>
                </c:pt>
              </c:numCache>
            </c:numRef>
          </c:val>
        </c:ser>
        <c:dLbls>
          <c:showLegendKey val="0"/>
          <c:showVal val="0"/>
          <c:showCatName val="0"/>
          <c:showSerName val="0"/>
          <c:showPercent val="0"/>
          <c:showBubbleSize val="0"/>
        </c:dLbls>
        <c:gapWidth val="219"/>
        <c:overlap val="-27"/>
        <c:axId val="551802736"/>
        <c:axId val="551783696"/>
      </c:barChart>
      <c:lineChart>
        <c:grouping val="standard"/>
        <c:varyColors val="0"/>
        <c:ser>
          <c:idx val="3"/>
          <c:order val="2"/>
          <c:tx>
            <c:strRef>
              <c:f>'Sherbimi i Borxhit'!$A$8</c:f>
              <c:strCache>
                <c:ptCount val="1"/>
                <c:pt idx="0">
                  <c:v>Interesa/Të Ardhura Tatimore</c:v>
                </c:pt>
              </c:strCache>
            </c:strRef>
          </c:tx>
          <c:spPr>
            <a:ln w="22225" cap="rnd">
              <a:solidFill>
                <a:sysClr val="window" lastClr="FFFFFF">
                  <a:lumMod val="50000"/>
                </a:sysClr>
              </a:solidFill>
              <a:round/>
            </a:ln>
            <a:effectLst/>
          </c:spPr>
          <c:marker>
            <c:symbol val="diamond"/>
            <c:size val="5"/>
            <c:spPr>
              <a:solidFill>
                <a:sysClr val="window" lastClr="FFFFFF">
                  <a:lumMod val="50000"/>
                </a:sysClr>
              </a:solidFill>
              <a:ln w="9525">
                <a:noFill/>
              </a:ln>
              <a:effectLst/>
            </c:spPr>
          </c:marker>
          <c:dLbls>
            <c:dLbl>
              <c:idx val="0"/>
              <c:layout>
                <c:manualLayout>
                  <c:x val="-2.7777777777777797E-2"/>
                  <c:y val="-7.4042957019753067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6818594791035698E-2"/>
                  <c:y val="-8.2471107040823444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9230769230769232E-2"/>
                  <c:y val="-7.692777340885487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6680799515445262E-2"/>
                  <c:y val="-9.00504693550474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8679756376606769E-2"/>
                  <c:y val="-8.1622319333977053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Borxhit'!$B$4:$F$4</c:f>
              <c:strCache>
                <c:ptCount val="5"/>
                <c:pt idx="0">
                  <c:v>Jan-Maj 2015</c:v>
                </c:pt>
                <c:pt idx="1">
                  <c:v>Jan-Maj 2016</c:v>
                </c:pt>
                <c:pt idx="2">
                  <c:v>Jan-Maj 2017</c:v>
                </c:pt>
                <c:pt idx="3">
                  <c:v>Jan-Maj 2018</c:v>
                </c:pt>
                <c:pt idx="4">
                  <c:v>Jan-Maj 2019</c:v>
                </c:pt>
              </c:strCache>
            </c:strRef>
          </c:cat>
          <c:val>
            <c:numRef>
              <c:f>'Sherbimi i Borxhit'!$B$8:$F$8</c:f>
              <c:numCache>
                <c:formatCode>0.00%</c:formatCode>
                <c:ptCount val="5"/>
                <c:pt idx="0">
                  <c:v>0.10696986006458557</c:v>
                </c:pt>
                <c:pt idx="1">
                  <c:v>9.7228142149288724E-2</c:v>
                </c:pt>
                <c:pt idx="2">
                  <c:v>7.345859923274127E-2</c:v>
                </c:pt>
                <c:pt idx="3">
                  <c:v>7.7707847522961976E-2</c:v>
                </c:pt>
                <c:pt idx="4">
                  <c:v>7.9481397970687706E-2</c:v>
                </c:pt>
              </c:numCache>
            </c:numRef>
          </c:val>
          <c:smooth val="1"/>
        </c:ser>
        <c:dLbls>
          <c:showLegendKey val="0"/>
          <c:showVal val="0"/>
          <c:showCatName val="0"/>
          <c:showSerName val="0"/>
          <c:showPercent val="0"/>
          <c:showBubbleSize val="0"/>
        </c:dLbls>
        <c:marker val="1"/>
        <c:smooth val="0"/>
        <c:axId val="551803824"/>
        <c:axId val="551803280"/>
      </c:lineChart>
      <c:catAx>
        <c:axId val="55180273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83696"/>
        <c:crosses val="autoZero"/>
        <c:auto val="1"/>
        <c:lblAlgn val="ctr"/>
        <c:lblOffset val="100"/>
        <c:noMultiLvlLbl val="0"/>
      </c:catAx>
      <c:valAx>
        <c:axId val="551783696"/>
        <c:scaling>
          <c:orientation val="minMax"/>
          <c:max val="1000"/>
        </c:scaling>
        <c:delete val="0"/>
        <c:axPos val="l"/>
        <c:title>
          <c:tx>
            <c:rich>
              <a:bodyPr rot="-5400000" spcFirstLastPara="1" vertOverflow="ellipsis" vert="horz" wrap="square" anchor="ctr" anchorCtr="1"/>
              <a:lstStyle/>
              <a:p>
                <a:pPr>
                  <a:defRPr sz="800" b="1" i="0" u="none" strike="noStrike" kern="1200" baseline="0">
                    <a:solidFill>
                      <a:sysClr val="windowText" lastClr="000000"/>
                    </a:solidFill>
                    <a:latin typeface="+mn-lt"/>
                    <a:ea typeface="+mn-ea"/>
                    <a:cs typeface="+mn-cs"/>
                  </a:defRPr>
                </a:pPr>
                <a:r>
                  <a:rPr lang="en-US" sz="800" b="1">
                    <a:solidFill>
                      <a:sysClr val="windowText" lastClr="000000"/>
                    </a:solidFill>
                  </a:rPr>
                  <a:t>miliard Lekë</a:t>
                </a:r>
              </a:p>
            </c:rich>
          </c:tx>
          <c:layout>
            <c:manualLayout>
              <c:xMode val="edge"/>
              <c:yMode val="edge"/>
              <c:x val="1.0495490948246854E-2"/>
              <c:y val="0.20342899615424179"/>
            </c:manualLayout>
          </c:layout>
          <c:overlay val="0"/>
          <c:spPr>
            <a:noFill/>
            <a:ln>
              <a:noFill/>
            </a:ln>
            <a:effectLst/>
          </c:spPr>
        </c:title>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2736"/>
        <c:crosses val="autoZero"/>
        <c:crossBetween val="between"/>
        <c:majorUnit val="200"/>
      </c:valAx>
      <c:valAx>
        <c:axId val="551803280"/>
        <c:scaling>
          <c:orientation val="minMax"/>
          <c:max val="0.12000000000000001"/>
        </c:scaling>
        <c:delete val="0"/>
        <c:axPos val="r"/>
        <c:numFmt formatCode="0.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3824"/>
        <c:crosses val="max"/>
        <c:crossBetween val="between"/>
        <c:majorUnit val="2.0000000000000004E-2"/>
      </c:valAx>
      <c:catAx>
        <c:axId val="551803824"/>
        <c:scaling>
          <c:orientation val="minMax"/>
        </c:scaling>
        <c:delete val="1"/>
        <c:axPos val="b"/>
        <c:numFmt formatCode="General" sourceLinked="1"/>
        <c:majorTickMark val="none"/>
        <c:minorTickMark val="none"/>
        <c:tickLblPos val="nextTo"/>
        <c:crossAx val="551803280"/>
        <c:crosses val="autoZero"/>
        <c:auto val="1"/>
        <c:lblAlgn val="ctr"/>
        <c:lblOffset val="100"/>
        <c:noMultiLvlLbl val="0"/>
      </c:catAx>
      <c:spPr>
        <a:noFill/>
        <a:ln>
          <a:noFill/>
        </a:ln>
        <a:effectLst/>
      </c:spPr>
    </c:plotArea>
    <c:legend>
      <c:legendPos val="b"/>
      <c:layout>
        <c:manualLayout>
          <c:xMode val="edge"/>
          <c:yMode val="edge"/>
          <c:x val="0.1140748031496063"/>
          <c:y val="0.91291730126654524"/>
          <c:w val="0.82487738024613511"/>
          <c:h val="7.9225906620827333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02756955380577"/>
          <c:y val="0.15391464955769418"/>
          <c:w val="0.80633952755905491"/>
          <c:h val="0.61342730306859794"/>
        </c:manualLayout>
      </c:layout>
      <c:lineChart>
        <c:grouping val="standard"/>
        <c:varyColors val="0"/>
        <c:ser>
          <c:idx val="0"/>
          <c:order val="0"/>
          <c:tx>
            <c:strRef>
              <c:f>'Sherbimi i Borxhit'!$A$31</c:f>
              <c:strCache>
                <c:ptCount val="1"/>
                <c:pt idx="0">
                  <c:v>Yield</c:v>
                </c:pt>
              </c:strCache>
            </c:strRef>
          </c:tx>
          <c:spPr>
            <a:ln w="22225" cap="rnd">
              <a:solidFill>
                <a:schemeClr val="accent1"/>
              </a:solidFill>
              <a:round/>
            </a:ln>
            <a:effectLst/>
          </c:spPr>
          <c:marker>
            <c:symbol val="diamond"/>
            <c:size val="4"/>
            <c:spPr>
              <a:solidFill>
                <a:schemeClr val="accent1"/>
              </a:solidFill>
              <a:ln w="9525">
                <a:solidFill>
                  <a:schemeClr val="accent1"/>
                </a:solidFill>
              </a:ln>
              <a:effectLst/>
            </c:spPr>
          </c:marker>
          <c:dLbls>
            <c:dLbl>
              <c:idx val="0"/>
              <c:layout>
                <c:manualLayout>
                  <c:x val="-3.4167507907665408E-2"/>
                  <c:y val="-8.744823563721204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9076990376202938E-2"/>
                  <c:y val="7.310715790155852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2680362070125849E-2"/>
                  <c:y val="9.0092349567415186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269399017430521E-2"/>
                  <c:y val="7.67084669971809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7746988357224736E-2"/>
                  <c:y val="8.1859304623958962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Borxhit'!$B$30:$F$30</c:f>
              <c:strCache>
                <c:ptCount val="5"/>
                <c:pt idx="0">
                  <c:v>2015</c:v>
                </c:pt>
                <c:pt idx="1">
                  <c:v>2016</c:v>
                </c:pt>
                <c:pt idx="2">
                  <c:v>2017</c:v>
                </c:pt>
                <c:pt idx="3">
                  <c:v>2018</c:v>
                </c:pt>
                <c:pt idx="4">
                  <c:v>Maj 2019</c:v>
                </c:pt>
              </c:strCache>
            </c:strRef>
          </c:cat>
          <c:val>
            <c:numRef>
              <c:f>'Sherbimi i Borxhit'!$B$31:$F$31</c:f>
              <c:numCache>
                <c:formatCode>0.00%</c:formatCode>
                <c:ptCount val="5"/>
                <c:pt idx="0">
                  <c:v>5.3099999999999994E-2</c:v>
                </c:pt>
                <c:pt idx="1">
                  <c:v>4.3700000000000003E-2</c:v>
                </c:pt>
                <c:pt idx="2">
                  <c:v>4.3299999999999998E-2</c:v>
                </c:pt>
                <c:pt idx="3">
                  <c:v>4.1829999999999999E-2</c:v>
                </c:pt>
                <c:pt idx="4">
                  <c:v>3.9030000000000002E-2</c:v>
                </c:pt>
              </c:numCache>
            </c:numRef>
          </c:val>
          <c:smooth val="1"/>
        </c:ser>
        <c:dLbls>
          <c:showLegendKey val="0"/>
          <c:showVal val="0"/>
          <c:showCatName val="0"/>
          <c:showSerName val="0"/>
          <c:showPercent val="0"/>
          <c:showBubbleSize val="0"/>
        </c:dLbls>
        <c:marker val="1"/>
        <c:smooth val="0"/>
        <c:axId val="551782064"/>
        <c:axId val="551790768"/>
      </c:lineChart>
      <c:lineChart>
        <c:grouping val="standard"/>
        <c:varyColors val="0"/>
        <c:ser>
          <c:idx val="1"/>
          <c:order val="1"/>
          <c:tx>
            <c:strRef>
              <c:f>'Sherbimi i Borxhit'!$A$32</c:f>
              <c:strCache>
                <c:ptCount val="1"/>
                <c:pt idx="0">
                  <c:v>DMM</c:v>
                </c:pt>
              </c:strCache>
            </c:strRef>
          </c:tx>
          <c:spPr>
            <a:ln w="22225" cap="rnd">
              <a:solidFill>
                <a:srgbClr val="C00000"/>
              </a:solidFill>
              <a:round/>
            </a:ln>
            <a:effectLst/>
          </c:spPr>
          <c:marker>
            <c:symbol val="square"/>
            <c:size val="4"/>
            <c:spPr>
              <a:solidFill>
                <a:srgbClr val="C00000"/>
              </a:solidFill>
              <a:ln w="9525">
                <a:solidFill>
                  <a:schemeClr val="accent2"/>
                </a:solidFill>
              </a:ln>
              <a:effectLst/>
            </c:spPr>
          </c:marker>
          <c:dLbls>
            <c:dLbl>
              <c:idx val="0"/>
              <c:layout>
                <c:manualLayout>
                  <c:x val="-3.4133333333333335E-2"/>
                  <c:y val="-8.1858985046840679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7066666666666667E-2"/>
                  <c:y val="-6.5905887199093433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7066666666666744E-2"/>
                  <c:y val="-7.259963497564572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3.6266666666666669E-2"/>
                  <c:y val="-7.9293382752198036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3466666666666667E-2"/>
                  <c:y val="-7.407407407407407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Borxhit'!$B$30:$F$30</c:f>
              <c:strCache>
                <c:ptCount val="5"/>
                <c:pt idx="0">
                  <c:v>2015</c:v>
                </c:pt>
                <c:pt idx="1">
                  <c:v>2016</c:v>
                </c:pt>
                <c:pt idx="2">
                  <c:v>2017</c:v>
                </c:pt>
                <c:pt idx="3">
                  <c:v>2018</c:v>
                </c:pt>
                <c:pt idx="4">
                  <c:v>Maj 2019</c:v>
                </c:pt>
              </c:strCache>
            </c:strRef>
          </c:cat>
          <c:val>
            <c:numRef>
              <c:f>'Sherbimi i Borxhit'!$B$32:$F$32</c:f>
              <c:numCache>
                <c:formatCode>General</c:formatCode>
                <c:ptCount val="5"/>
                <c:pt idx="0">
                  <c:v>706</c:v>
                </c:pt>
                <c:pt idx="1">
                  <c:v>753</c:v>
                </c:pt>
                <c:pt idx="2">
                  <c:v>780</c:v>
                </c:pt>
                <c:pt idx="3">
                  <c:v>783</c:v>
                </c:pt>
                <c:pt idx="4" formatCode="#,##0">
                  <c:v>821</c:v>
                </c:pt>
              </c:numCache>
            </c:numRef>
          </c:val>
          <c:smooth val="1"/>
        </c:ser>
        <c:dLbls>
          <c:showLegendKey val="0"/>
          <c:showVal val="0"/>
          <c:showCatName val="0"/>
          <c:showSerName val="0"/>
          <c:showPercent val="0"/>
          <c:showBubbleSize val="0"/>
        </c:dLbls>
        <c:marker val="1"/>
        <c:smooth val="0"/>
        <c:axId val="551806544"/>
        <c:axId val="551785872"/>
      </c:lineChart>
      <c:catAx>
        <c:axId val="55178206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790768"/>
        <c:crosses val="autoZero"/>
        <c:auto val="1"/>
        <c:lblAlgn val="ctr"/>
        <c:lblOffset val="100"/>
        <c:noMultiLvlLbl val="0"/>
      </c:catAx>
      <c:valAx>
        <c:axId val="551790768"/>
        <c:scaling>
          <c:orientation val="minMax"/>
          <c:min val="3.0000000000000006E-2"/>
        </c:scaling>
        <c:delete val="0"/>
        <c:axPos val="l"/>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Yield</a:t>
                </a:r>
              </a:p>
            </c:rich>
          </c:tx>
          <c:layout>
            <c:manualLayout>
              <c:xMode val="edge"/>
              <c:yMode val="edge"/>
              <c:x val="5.9746954707584628E-2"/>
              <c:y val="7.3730598490003565E-3"/>
            </c:manualLayout>
          </c:layout>
          <c:overlay val="0"/>
          <c:spPr>
            <a:noFill/>
            <a:ln>
              <a:noFill/>
            </a:ln>
            <a:effectLst/>
          </c:sp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782064"/>
        <c:crosses val="autoZero"/>
        <c:crossBetween val="between"/>
      </c:valAx>
      <c:valAx>
        <c:axId val="551785872"/>
        <c:scaling>
          <c:orientation val="minMax"/>
        </c:scaling>
        <c:delete val="0"/>
        <c:axPos val="r"/>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DMM</a:t>
                </a:r>
              </a:p>
            </c:rich>
          </c:tx>
          <c:layout>
            <c:manualLayout>
              <c:xMode val="edge"/>
              <c:yMode val="edge"/>
              <c:x val="0.89715576418332321"/>
              <c:y val="1.7115453160947459E-3"/>
            </c:manualLayout>
          </c:layout>
          <c:overlay val="0"/>
          <c:spPr>
            <a:noFill/>
            <a:ln>
              <a:noFill/>
            </a:ln>
            <a:effectLst/>
          </c:sp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1806544"/>
        <c:crosses val="max"/>
        <c:crossBetween val="between"/>
        <c:majorUnit val="50"/>
      </c:valAx>
      <c:catAx>
        <c:axId val="551806544"/>
        <c:scaling>
          <c:orientation val="minMax"/>
        </c:scaling>
        <c:delete val="1"/>
        <c:axPos val="b"/>
        <c:numFmt formatCode="General" sourceLinked="1"/>
        <c:majorTickMark val="out"/>
        <c:minorTickMark val="none"/>
        <c:tickLblPos val="nextTo"/>
        <c:crossAx val="551785872"/>
        <c:crosses val="autoZero"/>
        <c:auto val="1"/>
        <c:lblAlgn val="ctr"/>
        <c:lblOffset val="100"/>
        <c:noMultiLvlLbl val="0"/>
      </c:catAx>
      <c:spPr>
        <a:noFill/>
        <a:ln>
          <a:noFill/>
        </a:ln>
        <a:effectLst/>
      </c:spPr>
    </c:plotArea>
    <c:legend>
      <c:legendPos val="b"/>
      <c:layout>
        <c:manualLayout>
          <c:xMode val="edge"/>
          <c:yMode val="edge"/>
          <c:x val="0.38908774803149604"/>
          <c:y val="0.90445795131641482"/>
          <c:w val="0.23145290594509554"/>
          <c:h val="9.55420486835852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5680649567926814E-2"/>
          <c:y val="5.3527980535279802E-2"/>
          <c:w val="0.86317094135162931"/>
          <c:h val="0.66945858511872081"/>
        </c:manualLayout>
      </c:layout>
      <c:barChart>
        <c:barDir val="col"/>
        <c:grouping val="clustered"/>
        <c:varyColors val="0"/>
        <c:ser>
          <c:idx val="0"/>
          <c:order val="0"/>
          <c:tx>
            <c:strRef>
              <c:f>'Tregu primar ankandet'!$H$51</c:f>
              <c:strCache>
                <c:ptCount val="1"/>
                <c:pt idx="0">
                  <c:v>Kërkesa</c:v>
                </c:pt>
              </c:strCache>
            </c:strRef>
          </c:tx>
          <c:spPr>
            <a:solidFill>
              <a:srgbClr val="5B9BD5"/>
            </a:solidFill>
            <a:ln>
              <a:noFill/>
            </a:ln>
            <a:effectLst/>
          </c:spPr>
          <c:invertIfNegative val="0"/>
          <c:dLbls>
            <c:dLbl>
              <c:idx val="0"/>
              <c:layout>
                <c:manualLayout>
                  <c:x val="-1.9493177387914409E-3"/>
                  <c:y val="0.4852009837353007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3.5737079040056123E-17"/>
                  <c:y val="0.4732494264988528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7.1474158080112246E-17"/>
                  <c:y val="0.414617562568458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1.9493236422369498E-3"/>
                  <c:y val="0.389704326906458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3.8986354775829889E-3"/>
                  <c:y val="0.30764420195507058"/>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ankandet'!$A$70:$A$74</c:f>
              <c:strCache>
                <c:ptCount val="5"/>
                <c:pt idx="0">
                  <c:v>Janar</c:v>
                </c:pt>
                <c:pt idx="1">
                  <c:v>Shkurt</c:v>
                </c:pt>
                <c:pt idx="2">
                  <c:v>Mars</c:v>
                </c:pt>
                <c:pt idx="3">
                  <c:v>Prill</c:v>
                </c:pt>
                <c:pt idx="4">
                  <c:v>Maj</c:v>
                </c:pt>
              </c:strCache>
            </c:strRef>
          </c:cat>
          <c:val>
            <c:numRef>
              <c:f>'Tregu primar ankandet'!$H$70:$H$74</c:f>
              <c:numCache>
                <c:formatCode>_-* #,##0.0_L_e_k_-;\-* #,##0.0_L_e_k_-;_-* "-"??_L_e_k_-;_-@_-</c:formatCode>
                <c:ptCount val="5"/>
                <c:pt idx="0">
                  <c:v>49.044110000000003</c:v>
                </c:pt>
                <c:pt idx="1">
                  <c:v>47.09778</c:v>
                </c:pt>
                <c:pt idx="2">
                  <c:v>39.259259999999998</c:v>
                </c:pt>
                <c:pt idx="3">
                  <c:v>31.767609999999998</c:v>
                </c:pt>
                <c:pt idx="4">
                  <c:v>32.096829999999997</c:v>
                </c:pt>
              </c:numCache>
            </c:numRef>
          </c:val>
        </c:ser>
        <c:ser>
          <c:idx val="1"/>
          <c:order val="1"/>
          <c:tx>
            <c:strRef>
              <c:f>'Tregu primar ankandet'!$I$51</c:f>
              <c:strCache>
                <c:ptCount val="1"/>
                <c:pt idx="0">
                  <c:v>Oferta</c:v>
                </c:pt>
              </c:strCache>
            </c:strRef>
          </c:tx>
          <c:spPr>
            <a:solidFill>
              <a:srgbClr val="C00000"/>
            </a:solidFill>
            <a:ln>
              <a:noFill/>
            </a:ln>
            <a:effectLst/>
          </c:spPr>
          <c:invertIfNegative val="0"/>
          <c:dLbls>
            <c:dLbl>
              <c:idx val="0"/>
              <c:layout>
                <c:manualLayout>
                  <c:x val="-3.5737079040056123E-17"/>
                  <c:y val="0.3453001839337012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
                  <c:y val="0.304375968751937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9493177387913516E-3"/>
                  <c:y val="0.2973439146878293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7.8346673280123027E-17"/>
                  <c:y val="0.3494694199221585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4"/>
              <c:layout>
                <c:manualLayout>
                  <c:x val="5.8479532163742687E-3"/>
                  <c:y val="0.26941285882571764"/>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ankandet'!$A$70:$A$74</c:f>
              <c:strCache>
                <c:ptCount val="5"/>
                <c:pt idx="0">
                  <c:v>Janar</c:v>
                </c:pt>
                <c:pt idx="1">
                  <c:v>Shkurt</c:v>
                </c:pt>
                <c:pt idx="2">
                  <c:v>Mars</c:v>
                </c:pt>
                <c:pt idx="3">
                  <c:v>Prill</c:v>
                </c:pt>
                <c:pt idx="4">
                  <c:v>Maj</c:v>
                </c:pt>
              </c:strCache>
            </c:strRef>
          </c:cat>
          <c:val>
            <c:numRef>
              <c:f>'Tregu primar ankandet'!$I$70:$I$74</c:f>
              <c:numCache>
                <c:formatCode>_-* #,##0.0_L_e_k_-;\-* #,##0.0_L_e_k_-;_-* "-"??_L_e_k_-;_-@_-</c:formatCode>
                <c:ptCount val="5"/>
                <c:pt idx="0">
                  <c:v>33.1</c:v>
                </c:pt>
                <c:pt idx="1">
                  <c:v>29</c:v>
                </c:pt>
                <c:pt idx="2">
                  <c:v>27</c:v>
                </c:pt>
                <c:pt idx="3">
                  <c:v>27.5</c:v>
                </c:pt>
                <c:pt idx="4">
                  <c:v>31</c:v>
                </c:pt>
              </c:numCache>
            </c:numRef>
          </c:val>
        </c:ser>
        <c:dLbls>
          <c:showLegendKey val="0"/>
          <c:showVal val="0"/>
          <c:showCatName val="0"/>
          <c:showSerName val="0"/>
          <c:showPercent val="0"/>
          <c:showBubbleSize val="0"/>
        </c:dLbls>
        <c:gapWidth val="219"/>
        <c:axId val="551807632"/>
        <c:axId val="551810896"/>
      </c:barChart>
      <c:lineChart>
        <c:grouping val="standard"/>
        <c:varyColors val="0"/>
        <c:ser>
          <c:idx val="2"/>
          <c:order val="2"/>
          <c:tx>
            <c:strRef>
              <c:f>'Tregu primar ankandet'!$J$51</c:f>
              <c:strCache>
                <c:ptCount val="1"/>
                <c:pt idx="0">
                  <c:v>Raporti i Mbulimit</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1.2787524366471735E-2"/>
                  <c:y val="-7.6076218819104299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3.0359882899252979E-2"/>
                  <c:y val="-3.45703165506418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7.1673733091055921E-4"/>
                  <c:y val="-3.055104284045275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'Tregu primar ankandet'!$A$70:$A$72</c:f>
              <c:strCache>
                <c:ptCount val="3"/>
                <c:pt idx="0">
                  <c:v>Janar</c:v>
                </c:pt>
                <c:pt idx="1">
                  <c:v>Shkurt</c:v>
                </c:pt>
                <c:pt idx="2">
                  <c:v>Mars</c:v>
                </c:pt>
              </c:strCache>
            </c:strRef>
          </c:cat>
          <c:val>
            <c:numRef>
              <c:f>'Tregu primar ankandet'!$J$70:$J$74</c:f>
              <c:numCache>
                <c:formatCode>_(* #,##0.00_);_(* \(#,##0.00\);_(* "-"??_);_(@_)</c:formatCode>
                <c:ptCount val="5"/>
                <c:pt idx="0">
                  <c:v>1.4816951661631421</c:v>
                </c:pt>
                <c:pt idx="1">
                  <c:v>1.6240613793103449</c:v>
                </c:pt>
                <c:pt idx="2">
                  <c:v>1.4540466666666665</c:v>
                </c:pt>
                <c:pt idx="3">
                  <c:v>1.1551858181818182</c:v>
                </c:pt>
                <c:pt idx="4">
                  <c:v>1.0353816129032256</c:v>
                </c:pt>
              </c:numCache>
            </c:numRef>
          </c:val>
          <c:smooth val="1"/>
        </c:ser>
        <c:dLbls>
          <c:showLegendKey val="0"/>
          <c:showVal val="0"/>
          <c:showCatName val="0"/>
          <c:showSerName val="0"/>
          <c:showPercent val="0"/>
          <c:showBubbleSize val="0"/>
        </c:dLbls>
        <c:marker val="1"/>
        <c:smooth val="0"/>
        <c:axId val="551791312"/>
        <c:axId val="551810352"/>
      </c:lineChart>
      <c:catAx>
        <c:axId val="5518076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10896"/>
        <c:crosses val="autoZero"/>
        <c:auto val="1"/>
        <c:lblAlgn val="ctr"/>
        <c:lblOffset val="100"/>
        <c:noMultiLvlLbl val="0"/>
      </c:catAx>
      <c:valAx>
        <c:axId val="551810896"/>
        <c:scaling>
          <c:orientation val="minMax"/>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1370381586917023E-2"/>
              <c:y val="0.20962648899656774"/>
            </c:manualLayout>
          </c:layout>
          <c:overlay val="0"/>
          <c:spPr>
            <a:noFill/>
            <a:ln>
              <a:noFill/>
            </a:ln>
            <a:effectLst/>
          </c:sp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807632"/>
        <c:crosses val="autoZero"/>
        <c:crossBetween val="between"/>
        <c:majorUnit val="20"/>
      </c:valAx>
      <c:valAx>
        <c:axId val="551810352"/>
        <c:scaling>
          <c:orientation val="minMax"/>
          <c:max val="1.7000000000000002"/>
          <c:min val="1"/>
        </c:scaling>
        <c:delete val="0"/>
        <c:axPos val="r"/>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51791312"/>
        <c:crosses val="max"/>
        <c:crossBetween val="between"/>
        <c:majorUnit val="0.2"/>
      </c:valAx>
      <c:catAx>
        <c:axId val="551791312"/>
        <c:scaling>
          <c:orientation val="minMax"/>
        </c:scaling>
        <c:delete val="1"/>
        <c:axPos val="b"/>
        <c:numFmt formatCode="General" sourceLinked="1"/>
        <c:majorTickMark val="out"/>
        <c:minorTickMark val="none"/>
        <c:tickLblPos val="nextTo"/>
        <c:crossAx val="551810352"/>
        <c:crosses val="autoZero"/>
        <c:auto val="1"/>
        <c:lblAlgn val="ctr"/>
        <c:lblOffset val="100"/>
        <c:noMultiLvlLbl val="0"/>
      </c:catAx>
      <c:spPr>
        <a:noFill/>
        <a:ln>
          <a:noFill/>
        </a:ln>
        <a:effectLst/>
      </c:spPr>
    </c:plotArea>
    <c:legend>
      <c:legendPos val="b"/>
      <c:layout>
        <c:manualLayout>
          <c:xMode val="edge"/>
          <c:yMode val="edge"/>
          <c:x val="0.27279658025202985"/>
          <c:y val="0.90815027683583349"/>
          <c:w val="0.44660956854077449"/>
          <c:h val="8.211736306684291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698149134182132E-2"/>
          <c:y val="0.11000006118443896"/>
          <c:w val="0.8978574106986158"/>
          <c:h val="0.66624385669992559"/>
        </c:manualLayout>
      </c:layout>
      <c:barChart>
        <c:barDir val="col"/>
        <c:grouping val="clustered"/>
        <c:varyColors val="0"/>
        <c:ser>
          <c:idx val="0"/>
          <c:order val="0"/>
          <c:tx>
            <c:strRef>
              <c:f>'Mbajtesit e Borxhit'!$A$3</c:f>
              <c:strCache>
                <c:ptCount val="1"/>
                <c:pt idx="0">
                  <c:v>BSH</c:v>
                </c:pt>
              </c:strCache>
            </c:strRef>
          </c:tx>
          <c:spPr>
            <a:solidFill>
              <a:srgbClr val="5B9BD5"/>
            </a:solidFill>
            <a:ln>
              <a:noFill/>
            </a:ln>
            <a:effectLst/>
            <a:sp3d/>
          </c:spPr>
          <c:invertIfNegative val="0"/>
          <c:dLbls>
            <c:dLbl>
              <c:idx val="1"/>
              <c:layout>
                <c:manualLayout>
                  <c:x val="-2.3335956497686043E-3"/>
                  <c:y val="-1.294118046662975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3309340039100744E-3"/>
                  <c:y val="-2.588236093325959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2205846305673261E-3"/>
                  <c:y val="-1.7254907288839674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432384602357928E-3"/>
                  <c:y val="-8.6274536444198371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4.2206215247377436E-3"/>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'Mbajtesit e Borxhit'!$B$2:$F$2</c:f>
              <c:strCache>
                <c:ptCount val="5"/>
                <c:pt idx="0">
                  <c:v>2015</c:v>
                </c:pt>
                <c:pt idx="1">
                  <c:v>2016</c:v>
                </c:pt>
                <c:pt idx="2">
                  <c:v>2017</c:v>
                </c:pt>
                <c:pt idx="3">
                  <c:v>2018</c:v>
                </c:pt>
                <c:pt idx="4">
                  <c:v>Maj 2019</c:v>
                </c:pt>
              </c:strCache>
            </c:strRef>
          </c:cat>
          <c:val>
            <c:numRef>
              <c:f>'Mbajtesit e Borxhit'!$B$3:$F$3</c:f>
              <c:numCache>
                <c:formatCode>0.0%</c:formatCode>
                <c:ptCount val="5"/>
                <c:pt idx="0">
                  <c:v>9.9099999999999994E-2</c:v>
                </c:pt>
                <c:pt idx="1">
                  <c:v>9.2799999999999994E-2</c:v>
                </c:pt>
                <c:pt idx="2">
                  <c:v>7.9399999999999998E-2</c:v>
                </c:pt>
                <c:pt idx="3">
                  <c:v>8.0199999999999994E-2</c:v>
                </c:pt>
                <c:pt idx="4">
                  <c:v>8.1000000000000003E-2</c:v>
                </c:pt>
              </c:numCache>
            </c:numRef>
          </c:val>
          <c:extLst/>
        </c:ser>
        <c:ser>
          <c:idx val="1"/>
          <c:order val="1"/>
          <c:tx>
            <c:strRef>
              <c:f>'Mbajtesit e Borxhit'!$A$4</c:f>
              <c:strCache>
                <c:ptCount val="1"/>
                <c:pt idx="0">
                  <c:v>Institucione Financiare_Banka</c:v>
                </c:pt>
              </c:strCache>
            </c:strRef>
          </c:tx>
          <c:spPr>
            <a:solidFill>
              <a:srgbClr val="C00000"/>
            </a:solidFill>
            <a:ln>
              <a:noFill/>
            </a:ln>
            <a:effectLst/>
            <a:sp3d/>
          </c:spPr>
          <c:invertIfNegative val="0"/>
          <c:dLbls>
            <c:dLbl>
              <c:idx val="0"/>
              <c:spPr>
                <a:noFill/>
                <a:ln>
                  <a:noFill/>
                </a:ln>
                <a:effectLst/>
              </c:spPr>
              <c:txPr>
                <a:bodyPr rot="-5400000" spcFirstLastPara="1" vertOverflow="ellipsis" vert="horz" wrap="square" lIns="38100" tIns="19050" rIns="38100" bIns="19050" anchor="ctr" anchorCtr="1">
                  <a:no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Lst>
            </c:dLbl>
            <c:dLbl>
              <c:idx val="1"/>
              <c:layout>
                <c:manualLayout>
                  <c:x val="8.6956482046567588E-3"/>
                  <c:y val="-1.294118046662975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6956482046567068E-3"/>
                  <c:y val="-2.5882360933259511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144922905432886E-2"/>
                  <c:y val="-3.019608775546943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8.6956482046567588E-3"/>
                  <c:y val="-2.156863411104959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'Mbajtesit e Borxhit'!$B$2:$F$2</c:f>
              <c:strCache>
                <c:ptCount val="5"/>
                <c:pt idx="0">
                  <c:v>2015</c:v>
                </c:pt>
                <c:pt idx="1">
                  <c:v>2016</c:v>
                </c:pt>
                <c:pt idx="2">
                  <c:v>2017</c:v>
                </c:pt>
                <c:pt idx="3">
                  <c:v>2018</c:v>
                </c:pt>
                <c:pt idx="4">
                  <c:v>Maj 2019</c:v>
                </c:pt>
              </c:strCache>
            </c:strRef>
          </c:cat>
          <c:val>
            <c:numRef>
              <c:f>'Mbajtesit e Borxhit'!$B$4:$F$4</c:f>
              <c:numCache>
                <c:formatCode>0.0%</c:formatCode>
                <c:ptCount val="5"/>
                <c:pt idx="0">
                  <c:v>0.58199999999999996</c:v>
                </c:pt>
                <c:pt idx="1">
                  <c:v>0.60329999999999995</c:v>
                </c:pt>
                <c:pt idx="2">
                  <c:v>0.60960000000000003</c:v>
                </c:pt>
                <c:pt idx="3">
                  <c:v>0.61246</c:v>
                </c:pt>
                <c:pt idx="4">
                  <c:v>0.60872999999999999</c:v>
                </c:pt>
              </c:numCache>
            </c:numRef>
          </c:val>
          <c:extLst/>
        </c:ser>
        <c:ser>
          <c:idx val="3"/>
          <c:order val="2"/>
          <c:tx>
            <c:strRef>
              <c:f>'Mbajtesit e Borxhit'!$A$6</c:f>
              <c:strCache>
                <c:ptCount val="1"/>
                <c:pt idx="0">
                  <c:v>Institucione Financiare_Jo Banka</c:v>
                </c:pt>
              </c:strCache>
            </c:strRef>
          </c:tx>
          <c:spPr>
            <a:solidFill>
              <a:schemeClr val="accent4"/>
            </a:solidFill>
            <a:ln>
              <a:noFill/>
            </a:ln>
            <a:effectLst/>
            <a:sp3d/>
          </c:spPr>
          <c:invertIfNegative val="0"/>
          <c:dLbls>
            <c:dLbl>
              <c:idx val="0"/>
              <c:layout>
                <c:manualLayout>
                  <c:x val="1.2661864574213252E-2"/>
                  <c:y val="-7.8852162393034302E-17"/>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1"/>
              <c:layout>
                <c:manualLayout>
                  <c:x val="7.5472777441281383E-3"/>
                  <c:y val="-1.457366728914461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0472272696682145E-2"/>
                  <c:y val="-9.595133126696570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9.7368598155999735E-3"/>
                  <c:y val="-9.607325979118135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6.912645534692779E-3"/>
                  <c:y val="1.9181282046345675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6882486098950975E-2"/>
                  <c:y val="7.8852162393034302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spcFirstLastPara="1" vertOverflow="ellipsis" vert="horz" wrap="square" lIns="38100" tIns="19050" rIns="38100" bIns="19050" anchor="ctr" anchorCtr="1">
                <a:spAutoFit/>
              </a:bodyPr>
              <a:lstStyle/>
              <a:p>
                <a:pPr>
                  <a:defRPr sz="800" b="1" i="0" u="none" strike="noStrike" kern="1200" baseline="0">
                    <a:solidFill>
                      <a:schemeClr val="accent4"/>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'Mbajtesit e Borxhit'!$B$2:$F$2</c:f>
              <c:strCache>
                <c:ptCount val="5"/>
                <c:pt idx="0">
                  <c:v>2015</c:v>
                </c:pt>
                <c:pt idx="1">
                  <c:v>2016</c:v>
                </c:pt>
                <c:pt idx="2">
                  <c:v>2017</c:v>
                </c:pt>
                <c:pt idx="3">
                  <c:v>2018</c:v>
                </c:pt>
                <c:pt idx="4">
                  <c:v>Maj 2019</c:v>
                </c:pt>
              </c:strCache>
            </c:strRef>
          </c:cat>
          <c:val>
            <c:numRef>
              <c:f>'Mbajtesit e Borxhit'!$B$6:$F$6</c:f>
              <c:numCache>
                <c:formatCode>0.0%</c:formatCode>
                <c:ptCount val="5"/>
                <c:pt idx="0">
                  <c:v>0.1588</c:v>
                </c:pt>
                <c:pt idx="1">
                  <c:v>0.13950000000000001</c:v>
                </c:pt>
                <c:pt idx="2">
                  <c:v>0.14973</c:v>
                </c:pt>
                <c:pt idx="3">
                  <c:v>0.1398934</c:v>
                </c:pt>
                <c:pt idx="4">
                  <c:v>0.15011659999999999</c:v>
                </c:pt>
              </c:numCache>
            </c:numRef>
          </c:val>
          <c:extLst/>
        </c:ser>
        <c:ser>
          <c:idx val="4"/>
          <c:order val="3"/>
          <c:tx>
            <c:strRef>
              <c:f>'Mbajtesit e Borxhit'!$A$7</c:f>
              <c:strCache>
                <c:ptCount val="1"/>
                <c:pt idx="0">
                  <c:v>Institucione Jo Financiare</c:v>
                </c:pt>
              </c:strCache>
            </c:strRef>
          </c:tx>
          <c:spPr>
            <a:solidFill>
              <a:schemeClr val="bg1">
                <a:lumMod val="50000"/>
              </a:schemeClr>
            </a:solidFill>
            <a:ln>
              <a:noFill/>
            </a:ln>
            <a:effectLst/>
            <a:sp3d/>
          </c:spPr>
          <c:invertIfNegative val="0"/>
          <c:dLbls>
            <c:dLbl>
              <c:idx val="0"/>
              <c:layout>
                <c:manualLayout>
                  <c:x val="2.8985494015522266E-3"/>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8985494015521997E-3"/>
                  <c:y val="-7.908407815449583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2.8985494015521468E-3"/>
                  <c:y val="-7.908407815449583E-17"/>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3478241023283794E-3"/>
                  <c:y val="0"/>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8985494015521468E-3"/>
                  <c:y val="-7.908407815449583E-17"/>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5.5632790872250613E-3"/>
                  <c:y val="-7.908407815449583E-17"/>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5400000" vert="horz" wrap="square" lIns="38100" tIns="19050" rIns="38100" bIns="19050" anchor="ctr">
                <a:spAutoFit/>
              </a:bodyPr>
              <a:lstStyle/>
              <a:p>
                <a:pPr>
                  <a:defRPr sz="800" b="1">
                    <a:latin typeface="+mn-lt"/>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'Mbajtesit e Borxhit'!$B$2:$F$2</c:f>
              <c:strCache>
                <c:ptCount val="5"/>
                <c:pt idx="0">
                  <c:v>2015</c:v>
                </c:pt>
                <c:pt idx="1">
                  <c:v>2016</c:v>
                </c:pt>
                <c:pt idx="2">
                  <c:v>2017</c:v>
                </c:pt>
                <c:pt idx="3">
                  <c:v>2018</c:v>
                </c:pt>
                <c:pt idx="4">
                  <c:v>Maj 2019</c:v>
                </c:pt>
              </c:strCache>
            </c:strRef>
          </c:cat>
          <c:val>
            <c:numRef>
              <c:f>'Mbajtesit e Borxhit'!$B$7:$F$7</c:f>
              <c:numCache>
                <c:formatCode>0.0%</c:formatCode>
                <c:ptCount val="5"/>
                <c:pt idx="0">
                  <c:v>1.18E-2</c:v>
                </c:pt>
                <c:pt idx="1">
                  <c:v>1.374E-2</c:v>
                </c:pt>
                <c:pt idx="2">
                  <c:v>1.269E-2</c:v>
                </c:pt>
                <c:pt idx="3">
                  <c:v>1.5949999999999999E-2</c:v>
                </c:pt>
                <c:pt idx="4">
                  <c:v>1.7765300000000001E-2</c:v>
                </c:pt>
              </c:numCache>
            </c:numRef>
          </c:val>
        </c:ser>
        <c:ser>
          <c:idx val="5"/>
          <c:order val="4"/>
          <c:tx>
            <c:strRef>
              <c:f>'Mbajtesit e Borxhit'!$A$8</c:f>
              <c:strCache>
                <c:ptCount val="1"/>
                <c:pt idx="0">
                  <c:v>Individë</c:v>
                </c:pt>
              </c:strCache>
            </c:strRef>
          </c:tx>
          <c:spPr>
            <a:solidFill>
              <a:schemeClr val="accent6"/>
            </a:solidFill>
            <a:ln>
              <a:noFill/>
            </a:ln>
            <a:effectLst/>
            <a:sp3d/>
          </c:spPr>
          <c:invertIfNegative val="0"/>
          <c:dLbls>
            <c:dLbl>
              <c:idx val="0"/>
              <c:layout>
                <c:manualLayout>
                  <c:x val="2.8985494015522531E-3"/>
                  <c:y val="-1.0219116942756585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Lst>
            </c:dLbl>
            <c:dLbl>
              <c:idx val="1"/>
              <c:layout>
                <c:manualLayout>
                  <c:x val="6.2234366205926109E-3"/>
                  <c:y val="-1.884657058717634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6022587687966366E-2"/>
                  <c:y val="-9.8882846652107222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114092838483231E-2"/>
                  <c:y val="-1.437354156972095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6810901832293935E-2"/>
                  <c:y val="-9.9008522157950328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5367811380091728E-2"/>
                  <c:y val="-2.2562703433309097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bg1"/>
              </a:solidFill>
              <a:ln>
                <a:noFill/>
              </a:ln>
              <a:effectLst/>
            </c:spPr>
            <c:txPr>
              <a:bodyPr rot="-5400000" spcFirstLastPara="1" vertOverflow="ellipsis" vert="horz" wrap="square" lIns="38100" tIns="19050" rIns="38100" bIns="19050" anchor="ctr" anchorCtr="1">
                <a:spAutoFit/>
              </a:bodyPr>
              <a:lstStyle/>
              <a:p>
                <a:pPr>
                  <a:defRPr sz="800" b="1" i="0" u="none" strike="noStrike" kern="1200" baseline="0">
                    <a:solidFill>
                      <a:schemeClr val="accent6"/>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'Mbajtesit e Borxhit'!$B$2:$F$2</c:f>
              <c:strCache>
                <c:ptCount val="5"/>
                <c:pt idx="0">
                  <c:v>2015</c:v>
                </c:pt>
                <c:pt idx="1">
                  <c:v>2016</c:v>
                </c:pt>
                <c:pt idx="2">
                  <c:v>2017</c:v>
                </c:pt>
                <c:pt idx="3">
                  <c:v>2018</c:v>
                </c:pt>
                <c:pt idx="4">
                  <c:v>Maj 2019</c:v>
                </c:pt>
              </c:strCache>
            </c:strRef>
          </c:cat>
          <c:val>
            <c:numRef>
              <c:f>'Mbajtesit e Borxhit'!$B$8:$F$8</c:f>
              <c:numCache>
                <c:formatCode>0.0%</c:formatCode>
                <c:ptCount val="5"/>
                <c:pt idx="0">
                  <c:v>0.14829999999999999</c:v>
                </c:pt>
                <c:pt idx="1">
                  <c:v>0.1507</c:v>
                </c:pt>
                <c:pt idx="2">
                  <c:v>0.14859</c:v>
                </c:pt>
                <c:pt idx="3">
                  <c:v>0.15146999999999999</c:v>
                </c:pt>
                <c:pt idx="4">
                  <c:v>0.14238999999999999</c:v>
                </c:pt>
              </c:numCache>
            </c:numRef>
          </c:val>
          <c:extLst/>
        </c:ser>
        <c:dLbls>
          <c:showLegendKey val="0"/>
          <c:showVal val="0"/>
          <c:showCatName val="0"/>
          <c:showSerName val="0"/>
          <c:showPercent val="0"/>
          <c:showBubbleSize val="0"/>
        </c:dLbls>
        <c:gapWidth val="129"/>
        <c:axId val="591148000"/>
        <c:axId val="591167040"/>
      </c:barChart>
      <c:catAx>
        <c:axId val="591148000"/>
        <c:scaling>
          <c:orientation val="minMax"/>
        </c:scaling>
        <c:delete val="0"/>
        <c:axPos val="b"/>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91167040"/>
        <c:crosses val="autoZero"/>
        <c:auto val="1"/>
        <c:lblAlgn val="ctr"/>
        <c:lblOffset val="100"/>
        <c:noMultiLvlLbl val="0"/>
      </c:catAx>
      <c:valAx>
        <c:axId val="591167040"/>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91148000"/>
        <c:crosses val="autoZero"/>
        <c:crossBetween val="between"/>
        <c:majorUnit val="0.2"/>
      </c:valAx>
      <c:spPr>
        <a:noFill/>
        <a:ln>
          <a:noFill/>
        </a:ln>
        <a:effectLst/>
        <a:sp3d/>
      </c:spPr>
    </c:plotArea>
    <c:legend>
      <c:legendPos val="b"/>
      <c:layout>
        <c:manualLayout>
          <c:xMode val="edge"/>
          <c:yMode val="edge"/>
          <c:x val="0.11724106602059357"/>
          <c:y val="0.88809920892364025"/>
          <c:w val="0.88275893397940641"/>
          <c:h val="0.1119008656925219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7481156201628631E-2"/>
          <c:y val="4.0865275044859095E-2"/>
          <c:w val="0.91671314523184599"/>
          <c:h val="0.70475426201565805"/>
        </c:manualLayout>
      </c:layout>
      <c:lineChart>
        <c:grouping val="standard"/>
        <c:varyColors val="0"/>
        <c:ser>
          <c:idx val="0"/>
          <c:order val="0"/>
          <c:tx>
            <c:strRef>
              <c:f>'Yeld Mesatar i Ponderuar'!$B$4</c:f>
              <c:strCache>
                <c:ptCount val="1"/>
                <c:pt idx="0">
                  <c:v>2017</c:v>
                </c:pt>
              </c:strCache>
            </c:strRef>
          </c:tx>
          <c:spPr>
            <a:ln w="25400" cap="rnd">
              <a:solidFill>
                <a:srgbClr val="C00000"/>
              </a:solidFill>
              <a:round/>
            </a:ln>
            <a:effectLst/>
          </c:spPr>
          <c:marker>
            <c:symbol val="diamond"/>
            <c:size val="5"/>
            <c:spPr>
              <a:solidFill>
                <a:srgbClr val="C00000"/>
              </a:solidFill>
              <a:ln w="9525">
                <a:noFill/>
              </a:ln>
              <a:effectLst/>
            </c:spPr>
          </c:marker>
          <c:dLbls>
            <c:dLbl>
              <c:idx val="0"/>
              <c:layout>
                <c:manualLayout>
                  <c:x val="-2.673346120196516E-2"/>
                  <c:y val="4.2244913026311913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2.506265993891026E-2"/>
                  <c:y val="-5.402084036628991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3.7063732418063162E-2"/>
                  <c:y val="-8.496554114999790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9721717477623068E-2"/>
                  <c:y val="-8.0149327033264745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3.4188034188034268E-2"/>
                  <c:y val="-6.8658977758232695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0050137963523867E-2"/>
                  <c:y val="6.8563321146210165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6626455346927789E-2"/>
                  <c:y val="4.4199132670584909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1422706777037486E-2"/>
                  <c:y val="3.7524355521601403E-2"/>
                </c:manualLayout>
              </c:layout>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Ponderuar'!$A$5:$A$12</c:f>
              <c:strCache>
                <c:ptCount val="8"/>
                <c:pt idx="0">
                  <c:v>Bono 3 m</c:v>
                </c:pt>
                <c:pt idx="1">
                  <c:v>Bono 6m</c:v>
                </c:pt>
                <c:pt idx="2">
                  <c:v>Bono 12m</c:v>
                </c:pt>
                <c:pt idx="3">
                  <c:v>OB 2vj</c:v>
                </c:pt>
                <c:pt idx="4">
                  <c:v>OB 3vj</c:v>
                </c:pt>
                <c:pt idx="5">
                  <c:v>OB 5vj</c:v>
                </c:pt>
                <c:pt idx="6">
                  <c:v>OB 7vj</c:v>
                </c:pt>
                <c:pt idx="7">
                  <c:v>OB 10vj</c:v>
                </c:pt>
              </c:strCache>
            </c:strRef>
          </c:cat>
          <c:val>
            <c:numRef>
              <c:f>'Yeld Mesatar i Ponderuar'!$B$5:$B$12</c:f>
              <c:numCache>
                <c:formatCode>0.00%</c:formatCode>
                <c:ptCount val="8"/>
                <c:pt idx="0">
                  <c:v>1.2200000000000001E-2</c:v>
                </c:pt>
                <c:pt idx="1">
                  <c:v>1.84E-2</c:v>
                </c:pt>
                <c:pt idx="2">
                  <c:v>2.3699999999999999E-2</c:v>
                </c:pt>
                <c:pt idx="3">
                  <c:v>2.8899999999999999E-2</c:v>
                </c:pt>
                <c:pt idx="4">
                  <c:v>3.6499999999999998E-2</c:v>
                </c:pt>
                <c:pt idx="5">
                  <c:v>5.1829E-2</c:v>
                </c:pt>
                <c:pt idx="6">
                  <c:v>5.373E-2</c:v>
                </c:pt>
                <c:pt idx="7">
                  <c:v>6.8080000000000002E-2</c:v>
                </c:pt>
              </c:numCache>
            </c:numRef>
          </c:val>
          <c:smooth val="1"/>
        </c:ser>
        <c:ser>
          <c:idx val="1"/>
          <c:order val="1"/>
          <c:tx>
            <c:strRef>
              <c:f>'Yeld Mesatar i Ponderuar'!$C$4</c:f>
              <c:strCache>
                <c:ptCount val="1"/>
                <c:pt idx="0">
                  <c:v>2018</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2.3838071088571555E-2"/>
                  <c:y val="-9.593676736294559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1"/>
              <c:layout>
                <c:manualLayout>
                  <c:x val="-2.3976377952755947E-2"/>
                  <c:y val="2.104685969546476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2.6933340063261323E-2"/>
                  <c:y val="4.8816971665740384E-3"/>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1.863281512887812E-2"/>
                  <c:y val="2.608985943613958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1.9582744464634306E-2"/>
                  <c:y val="3.94207960042499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6"/>
              <c:layout>
                <c:manualLayout>
                  <c:x val="-3.5397402247795952E-2"/>
                  <c:y val="-7.8614327306110787E-2"/>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3.4015383493729949E-2"/>
                  <c:y val="-6.8178012783256553E-2"/>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Ponderuar'!$A$5:$A$12</c:f>
              <c:strCache>
                <c:ptCount val="8"/>
                <c:pt idx="0">
                  <c:v>Bono 3 m</c:v>
                </c:pt>
                <c:pt idx="1">
                  <c:v>Bono 6m</c:v>
                </c:pt>
                <c:pt idx="2">
                  <c:v>Bono 12m</c:v>
                </c:pt>
                <c:pt idx="3">
                  <c:v>OB 2vj</c:v>
                </c:pt>
                <c:pt idx="4">
                  <c:v>OB 3vj</c:v>
                </c:pt>
                <c:pt idx="5">
                  <c:v>OB 5vj</c:v>
                </c:pt>
                <c:pt idx="6">
                  <c:v>OB 7vj</c:v>
                </c:pt>
                <c:pt idx="7">
                  <c:v>OB 10vj</c:v>
                </c:pt>
              </c:strCache>
            </c:strRef>
          </c:cat>
          <c:val>
            <c:numRef>
              <c:f>'Yeld Mesatar i Ponderuar'!$C$5:$C$12</c:f>
              <c:numCache>
                <c:formatCode>0.00%</c:formatCode>
                <c:ptCount val="8"/>
                <c:pt idx="0">
                  <c:v>1.3100000000000001E-2</c:v>
                </c:pt>
                <c:pt idx="1">
                  <c:v>1.7399999999999999E-2</c:v>
                </c:pt>
                <c:pt idx="2">
                  <c:v>2.129E-2</c:v>
                </c:pt>
                <c:pt idx="3">
                  <c:v>2.6280000000000001E-2</c:v>
                </c:pt>
                <c:pt idx="4">
                  <c:v>3.61E-2</c:v>
                </c:pt>
                <c:pt idx="5">
                  <c:v>5.2752E-2</c:v>
                </c:pt>
                <c:pt idx="6">
                  <c:v>5.5960000000000003E-2</c:v>
                </c:pt>
                <c:pt idx="7">
                  <c:v>6.8190000000000001E-2</c:v>
                </c:pt>
              </c:numCache>
            </c:numRef>
          </c:val>
          <c:smooth val="1"/>
        </c:ser>
        <c:ser>
          <c:idx val="2"/>
          <c:order val="2"/>
          <c:tx>
            <c:strRef>
              <c:f>'Yeld Mesatar i Ponderuar'!$D$4</c:f>
              <c:strCache>
                <c:ptCount val="1"/>
                <c:pt idx="0">
                  <c:v>Maj 2019</c:v>
                </c:pt>
              </c:strCache>
            </c:strRef>
          </c:tx>
          <c:spPr>
            <a:ln w="25400" cap="rnd">
              <a:solidFill>
                <a:schemeClr val="accent1"/>
              </a:solidFill>
              <a:round/>
            </a:ln>
            <a:effectLst/>
          </c:spPr>
          <c:marker>
            <c:symbol val="diamond"/>
            <c:size val="5"/>
            <c:spPr>
              <a:solidFill>
                <a:schemeClr val="accent1"/>
              </a:solidFill>
              <a:ln w="9525">
                <a:noFill/>
              </a:ln>
              <a:effectLst/>
            </c:spPr>
          </c:marker>
          <c:dLbls>
            <c:dLbl>
              <c:idx val="0"/>
              <c:layout>
                <c:manualLayout>
                  <c:x val="-5.0125319877820668E-3"/>
                  <c:y val="3.437689841491176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659785315297126E-2"/>
                  <c:y val="4.577265183882182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35594589137897E-2"/>
                  <c:y val="4.252995689032552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8572077528770443E-2"/>
                  <c:y val="6.3747749020161643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7.9685712362877713E-3"/>
                  <c:y val="4.8539631689944102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1.569621105054176E-2"/>
                  <c:y val="4.4199132670584874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1.6708439959274733E-3"/>
                  <c:y val="2.9465912927067225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1.0146179644211141E-2"/>
                  <c:y val="7.857576780551255E-2"/>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6.5242417614464865E-2"/>
                      <c:h val="7.0595609733650574E-2"/>
                    </c:manualLayout>
                  </c15:layout>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Ponderuar'!$A$5:$A$12</c:f>
              <c:strCache>
                <c:ptCount val="8"/>
                <c:pt idx="0">
                  <c:v>Bono 3 m</c:v>
                </c:pt>
                <c:pt idx="1">
                  <c:v>Bono 6m</c:v>
                </c:pt>
                <c:pt idx="2">
                  <c:v>Bono 12m</c:v>
                </c:pt>
                <c:pt idx="3">
                  <c:v>OB 2vj</c:v>
                </c:pt>
                <c:pt idx="4">
                  <c:v>OB 3vj</c:v>
                </c:pt>
                <c:pt idx="5">
                  <c:v>OB 5vj</c:v>
                </c:pt>
                <c:pt idx="6">
                  <c:v>OB 7vj</c:v>
                </c:pt>
                <c:pt idx="7">
                  <c:v>OB 10vj</c:v>
                </c:pt>
              </c:strCache>
            </c:strRef>
          </c:cat>
          <c:val>
            <c:numRef>
              <c:f>'Yeld Mesatar i Ponderuar'!$D$5:$D$12</c:f>
              <c:numCache>
                <c:formatCode>0.00%</c:formatCode>
                <c:ptCount val="8"/>
                <c:pt idx="1">
                  <c:v>9.9000000000000008E-3</c:v>
                </c:pt>
                <c:pt idx="2">
                  <c:v>1.23E-2</c:v>
                </c:pt>
                <c:pt idx="3">
                  <c:v>1.5900000000000001E-2</c:v>
                </c:pt>
                <c:pt idx="4">
                  <c:v>1.8907631578947402E-2</c:v>
                </c:pt>
                <c:pt idx="5">
                  <c:v>3.1833722715719402E-2</c:v>
                </c:pt>
                <c:pt idx="6">
                  <c:v>3.7499999999999999E-2</c:v>
                </c:pt>
                <c:pt idx="7">
                  <c:v>5.4648936598041792E-2</c:v>
                </c:pt>
              </c:numCache>
            </c:numRef>
          </c:val>
          <c:smooth val="1"/>
        </c:ser>
        <c:dLbls>
          <c:showLegendKey val="0"/>
          <c:showVal val="0"/>
          <c:showCatName val="0"/>
          <c:showSerName val="0"/>
          <c:showPercent val="0"/>
          <c:showBubbleSize val="0"/>
        </c:dLbls>
        <c:marker val="1"/>
        <c:smooth val="0"/>
        <c:axId val="591148544"/>
        <c:axId val="591155616"/>
      </c:lineChart>
      <c:catAx>
        <c:axId val="591148544"/>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91155616"/>
        <c:crosses val="autoZero"/>
        <c:auto val="1"/>
        <c:lblAlgn val="ctr"/>
        <c:lblOffset val="100"/>
        <c:noMultiLvlLbl val="0"/>
      </c:catAx>
      <c:valAx>
        <c:axId val="591155616"/>
        <c:scaling>
          <c:orientation val="minMax"/>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crossAx val="591148544"/>
        <c:crosses val="autoZero"/>
        <c:crossBetween val="between"/>
        <c:majorUnit val="2.0000000000000004E-2"/>
      </c:valAx>
      <c:spPr>
        <a:noFill/>
        <a:ln>
          <a:noFill/>
        </a:ln>
        <a:effectLst/>
      </c:spPr>
    </c:plotArea>
    <c:legend>
      <c:legendPos val="b"/>
      <c:layout>
        <c:manualLayout>
          <c:xMode val="edge"/>
          <c:yMode val="edge"/>
          <c:x val="0.29650207786526683"/>
          <c:y val="0.90730456887927835"/>
          <c:w val="0.40468084718576847"/>
          <c:h val="8.2873460145032621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299052557454713E-2"/>
          <c:y val="8.2011424103901928E-2"/>
          <c:w val="0.88666458613405041"/>
          <c:h val="0.62550359396564792"/>
        </c:manualLayout>
      </c:layout>
      <c:barChart>
        <c:barDir val="col"/>
        <c:grouping val="stacked"/>
        <c:varyColors val="0"/>
        <c:ser>
          <c:idx val="1"/>
          <c:order val="1"/>
          <c:tx>
            <c:strRef>
              <c:f>'Stok Grafik cnt (2)'!$D$123</c:f>
              <c:strCache>
                <c:ptCount val="1"/>
                <c:pt idx="0">
                  <c:v>MIE</c:v>
                </c:pt>
              </c:strCache>
            </c:strRef>
          </c:tx>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 Grafik cnt (2)'!$I$120:$M$120</c:f>
              <c:strCache>
                <c:ptCount val="5"/>
                <c:pt idx="0">
                  <c:v>Janar -Mars 2018</c:v>
                </c:pt>
                <c:pt idx="1">
                  <c:v>Prill - Qershor 2018</c:v>
                </c:pt>
                <c:pt idx="2">
                  <c:v>Korrik-Shtator 2018</c:v>
                </c:pt>
                <c:pt idx="3">
                  <c:v>Tetor-Dhjetor 2018</c:v>
                </c:pt>
                <c:pt idx="4">
                  <c:v>Janar-Mars 2019</c:v>
                </c:pt>
              </c:strCache>
            </c:strRef>
          </c:cat>
          <c:val>
            <c:numRef>
              <c:f>'Stok Grafik cnt (2)'!$I$123:$M$123</c:f>
              <c:numCache>
                <c:formatCode>0.0</c:formatCode>
                <c:ptCount val="5"/>
                <c:pt idx="0">
                  <c:v>1461.4</c:v>
                </c:pt>
                <c:pt idx="1">
                  <c:v>2439</c:v>
                </c:pt>
                <c:pt idx="2">
                  <c:v>3480.8</c:v>
                </c:pt>
                <c:pt idx="3">
                  <c:v>3236.9259999999999</c:v>
                </c:pt>
                <c:pt idx="4">
                  <c:v>3828</c:v>
                </c:pt>
              </c:numCache>
            </c:numRef>
          </c:val>
        </c:ser>
        <c:ser>
          <c:idx val="2"/>
          <c:order val="2"/>
          <c:tx>
            <c:strRef>
              <c:f>'Stok Grafik cnt (2)'!$D$124</c:f>
              <c:strCache>
                <c:ptCount val="1"/>
                <c:pt idx="0">
                  <c:v>ML te tjera</c:v>
                </c:pt>
              </c:strCache>
            </c:strRef>
          </c:tx>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chemeClr>
              </a:solidFill>
              <a:round/>
            </a:ln>
            <a:effectLst>
              <a:outerShdw blurRad="40000" dist="20000" dir="5400000" rotWithShape="0">
                <a:srgbClr val="000000">
                  <a:alpha val="38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 Grafik cnt (2)'!$I$120:$M$120</c:f>
              <c:strCache>
                <c:ptCount val="5"/>
                <c:pt idx="0">
                  <c:v>Janar -Mars 2018</c:v>
                </c:pt>
                <c:pt idx="1">
                  <c:v>Prill - Qershor 2018</c:v>
                </c:pt>
                <c:pt idx="2">
                  <c:v>Korrik-Shtator 2018</c:v>
                </c:pt>
                <c:pt idx="3">
                  <c:v>Tetor-Dhjetor 2018</c:v>
                </c:pt>
                <c:pt idx="4">
                  <c:v>Janar-Mars 2019</c:v>
                </c:pt>
              </c:strCache>
            </c:strRef>
          </c:cat>
          <c:val>
            <c:numRef>
              <c:f>'Stok Grafik cnt (2)'!$I$124:$M$124</c:f>
              <c:numCache>
                <c:formatCode>0.0</c:formatCode>
                <c:ptCount val="5"/>
                <c:pt idx="0">
                  <c:v>2727.2000000000003</c:v>
                </c:pt>
                <c:pt idx="1">
                  <c:v>3325.7</c:v>
                </c:pt>
                <c:pt idx="2">
                  <c:v>3447.7</c:v>
                </c:pt>
                <c:pt idx="3">
                  <c:v>2939.1620000000007</c:v>
                </c:pt>
                <c:pt idx="4">
                  <c:v>3035.2200000000003</c:v>
                </c:pt>
              </c:numCache>
            </c:numRef>
          </c:val>
        </c:ser>
        <c:dLbls>
          <c:showLegendKey val="0"/>
          <c:showVal val="0"/>
          <c:showCatName val="0"/>
          <c:showSerName val="0"/>
          <c:showPercent val="0"/>
          <c:showBubbleSize val="0"/>
        </c:dLbls>
        <c:gapWidth val="55"/>
        <c:overlap val="100"/>
        <c:axId val="591145280"/>
        <c:axId val="591150720"/>
      </c:barChart>
      <c:lineChart>
        <c:grouping val="standard"/>
        <c:varyColors val="0"/>
        <c:ser>
          <c:idx val="0"/>
          <c:order val="0"/>
          <c:tx>
            <c:strRef>
              <c:f>'Stok Grafik cnt (2)'!$D$122</c:f>
              <c:strCache>
                <c:ptCount val="1"/>
                <c:pt idx="0">
                  <c:v>Total Detyrime te Prapambetura</c:v>
                </c:pt>
              </c:strCache>
            </c:strRef>
          </c:tx>
          <c:spPr>
            <a:ln w="15875" cap="rnd">
              <a:solidFill>
                <a:schemeClr val="accent1"/>
              </a:solidFill>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dLbls>
            <c:dLbl>
              <c:idx val="0"/>
              <c:layout>
                <c:manualLayout>
                  <c:x val="-3.5417658382425221E-2"/>
                  <c:y val="-0.12924663098439509"/>
                </c:manualLayout>
              </c:layout>
              <c:dLblPos val="r"/>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 Grafik cnt (2)'!$I$119:$M$119</c:f>
              <c:strCache>
                <c:ptCount val="5"/>
                <c:pt idx="0">
                  <c:v>Mars 2018</c:v>
                </c:pt>
                <c:pt idx="1">
                  <c:v>Qershor 2018</c:v>
                </c:pt>
                <c:pt idx="2">
                  <c:v>Shtator 2018</c:v>
                </c:pt>
                <c:pt idx="3">
                  <c:v>Dhjetor 2018</c:v>
                </c:pt>
                <c:pt idx="4">
                  <c:v>Mars 2019</c:v>
                </c:pt>
              </c:strCache>
            </c:strRef>
          </c:cat>
          <c:val>
            <c:numRef>
              <c:f>'Stok Grafik cnt (2)'!$I$122:$M$122</c:f>
              <c:numCache>
                <c:formatCode>0.0</c:formatCode>
                <c:ptCount val="5"/>
                <c:pt idx="0">
                  <c:v>4188.6000000000004</c:v>
                </c:pt>
                <c:pt idx="1">
                  <c:v>5764.7</c:v>
                </c:pt>
                <c:pt idx="2">
                  <c:v>6928.5</c:v>
                </c:pt>
                <c:pt idx="3">
                  <c:v>6176.0880000000006</c:v>
                </c:pt>
                <c:pt idx="4">
                  <c:v>6863.22</c:v>
                </c:pt>
              </c:numCache>
            </c:numRef>
          </c:val>
          <c:smooth val="0"/>
        </c:ser>
        <c:dLbls>
          <c:showLegendKey val="0"/>
          <c:showVal val="0"/>
          <c:showCatName val="0"/>
          <c:showSerName val="0"/>
          <c:showPercent val="0"/>
          <c:showBubbleSize val="0"/>
        </c:dLbls>
        <c:marker val="1"/>
        <c:smooth val="0"/>
        <c:axId val="591145280"/>
        <c:axId val="591150720"/>
      </c:lineChart>
      <c:catAx>
        <c:axId val="591145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591150720"/>
        <c:crosses val="autoZero"/>
        <c:auto val="1"/>
        <c:lblAlgn val="ctr"/>
        <c:lblOffset val="100"/>
        <c:noMultiLvlLbl val="0"/>
      </c:catAx>
      <c:valAx>
        <c:axId val="59115072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911452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22588345037189"/>
          <c:y val="0.1032058944439174"/>
          <c:w val="0.77305259849279218"/>
          <c:h val="0.7303654513065384"/>
        </c:manualLayout>
      </c:layout>
      <c:barChart>
        <c:barDir val="col"/>
        <c:grouping val="clustered"/>
        <c:varyColors val="0"/>
        <c:ser>
          <c:idx val="0"/>
          <c:order val="0"/>
          <c:tx>
            <c:strRef>
              <c:f>'V.GJ. Others'!$C$6</c:f>
              <c:strCache>
                <c:ptCount val="1"/>
                <c:pt idx="0">
                  <c:v>Vendime Gjyqesore</c:v>
                </c:pt>
              </c:strCache>
            </c:strRef>
          </c:tx>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'V.GJ. Others'!$B$9:$B$12</c:f>
              <c:strCache>
                <c:ptCount val="4"/>
                <c:pt idx="0">
                  <c:v>Qershor 2018</c:v>
                </c:pt>
                <c:pt idx="1">
                  <c:v>Shtator 2018</c:v>
                </c:pt>
                <c:pt idx="2">
                  <c:v>Dhjetor 2018</c:v>
                </c:pt>
                <c:pt idx="3">
                  <c:v>Mars 2019</c:v>
                </c:pt>
              </c:strCache>
            </c:strRef>
          </c:cat>
          <c:val>
            <c:numRef>
              <c:f>'V.GJ. Others'!$C$9:$C$12</c:f>
              <c:numCache>
                <c:formatCode>_ * #.##0_)\ _A_L_L_ ;_ * \(#.##0\)\ _A_L_L_ ;_ * "-"_)\ _A_L_L_ ;_ @_ </c:formatCode>
                <c:ptCount val="4"/>
                <c:pt idx="0">
                  <c:v>2924.5</c:v>
                </c:pt>
                <c:pt idx="1">
                  <c:v>2725.2</c:v>
                </c:pt>
                <c:pt idx="2">
                  <c:v>1921.25</c:v>
                </c:pt>
                <c:pt idx="3">
                  <c:v>2243</c:v>
                </c:pt>
              </c:numCache>
            </c:numRef>
          </c:val>
        </c:ser>
        <c:dLbls>
          <c:showLegendKey val="0"/>
          <c:showVal val="0"/>
          <c:showCatName val="0"/>
          <c:showSerName val="0"/>
          <c:showPercent val="0"/>
          <c:showBubbleSize val="0"/>
        </c:dLbls>
        <c:gapWidth val="110"/>
        <c:overlap val="9"/>
        <c:axId val="591169216"/>
        <c:axId val="591149088"/>
      </c:barChart>
      <c:lineChart>
        <c:grouping val="standard"/>
        <c:varyColors val="0"/>
        <c:ser>
          <c:idx val="1"/>
          <c:order val="1"/>
          <c:tx>
            <c:strRef>
              <c:f>'V.GJ. Others'!$G$6</c:f>
              <c:strCache>
                <c:ptCount val="1"/>
                <c:pt idx="0">
                  <c:v>Ritmi i rritjes </c:v>
                </c:pt>
              </c:strCache>
            </c:strRef>
          </c:tx>
          <c:spPr>
            <a:ln w="15875" cap="rnd">
              <a:solidFill>
                <a:schemeClr val="accent2"/>
              </a:solidFill>
              <a:round/>
            </a:ln>
            <a:effectLst>
              <a:outerShdw blurRad="40000" dist="20000" dir="5400000" rotWithShape="0">
                <a:srgbClr val="000000">
                  <a:alpha val="38000"/>
                </a:srgbClr>
              </a:outerShdw>
            </a:effectLst>
          </c:spPr>
          <c:marker>
            <c:symbol val="none"/>
          </c:marker>
          <c:dPt>
            <c:idx val="3"/>
            <c:bubble3D val="0"/>
          </c:dPt>
          <c:dLbls>
            <c:dLbl>
              <c:idx val="0"/>
              <c:layout>
                <c:manualLayout>
                  <c:x val="-3.6795878034292823E-2"/>
                  <c:y val="-3.267748157986277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'V.GJ. Others'!$B$9:$B$12</c:f>
              <c:strCache>
                <c:ptCount val="4"/>
                <c:pt idx="0">
                  <c:v>Qershor 2018</c:v>
                </c:pt>
                <c:pt idx="1">
                  <c:v>Shtator 2018</c:v>
                </c:pt>
                <c:pt idx="2">
                  <c:v>Dhjetor 2018</c:v>
                </c:pt>
                <c:pt idx="3">
                  <c:v>Mars 2019</c:v>
                </c:pt>
              </c:strCache>
            </c:strRef>
          </c:cat>
          <c:val>
            <c:numRef>
              <c:f>'V.GJ. Others'!$G$9:$G$12</c:f>
              <c:numCache>
                <c:formatCode>0%</c:formatCode>
                <c:ptCount val="4"/>
                <c:pt idx="0">
                  <c:v>0.36665264731996816</c:v>
                </c:pt>
                <c:pt idx="1">
                  <c:v>-6.8148401436142994E-2</c:v>
                </c:pt>
                <c:pt idx="2">
                  <c:v>-0.29500587112872445</c:v>
                </c:pt>
                <c:pt idx="3">
                  <c:v>0.16746909564085882</c:v>
                </c:pt>
              </c:numCache>
            </c:numRef>
          </c:val>
          <c:smooth val="0"/>
        </c:ser>
        <c:dLbls>
          <c:showLegendKey val="0"/>
          <c:showVal val="0"/>
          <c:showCatName val="0"/>
          <c:showSerName val="0"/>
          <c:showPercent val="0"/>
          <c:showBubbleSize val="0"/>
        </c:dLbls>
        <c:marker val="1"/>
        <c:smooth val="0"/>
        <c:axId val="591158880"/>
        <c:axId val="591149632"/>
      </c:lineChart>
      <c:catAx>
        <c:axId val="591169216"/>
        <c:scaling>
          <c:orientation val="minMax"/>
        </c:scaling>
        <c:delete val="0"/>
        <c:axPos val="b"/>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rgbClr val="C00000"/>
                </a:solidFill>
                <a:latin typeface="+mn-lt"/>
                <a:ea typeface="+mn-ea"/>
                <a:cs typeface="+mn-cs"/>
              </a:defRPr>
            </a:pPr>
            <a:endParaRPr lang="en-US"/>
          </a:p>
        </c:txPr>
        <c:crossAx val="591149088"/>
        <c:crosses val="autoZero"/>
        <c:auto val="1"/>
        <c:lblAlgn val="ctr"/>
        <c:lblOffset val="100"/>
        <c:noMultiLvlLbl val="0"/>
      </c:catAx>
      <c:valAx>
        <c:axId val="591149088"/>
        <c:scaling>
          <c:orientation val="minMax"/>
        </c:scaling>
        <c:delete val="0"/>
        <c:axPos val="l"/>
        <c:majorGridlines>
          <c:spPr>
            <a:ln w="9525" cap="flat" cmpd="sng" algn="ctr">
              <a:solidFill>
                <a:schemeClr val="tx1">
                  <a:lumMod val="15000"/>
                  <a:lumOff val="85000"/>
                </a:schemeClr>
              </a:solidFill>
              <a:round/>
            </a:ln>
            <a:effectLst/>
          </c:spPr>
        </c:majorGridlines>
        <c:numFmt formatCode="_ * #.##0_)\ _A_L_L_ ;_ * \(#.##0\)\ _A_L_L_ ;_ * &quot;-&quot;_)\ _A_L_L_ ;_ @_ "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91169216"/>
        <c:crosses val="autoZero"/>
        <c:crossBetween val="between"/>
      </c:valAx>
      <c:valAx>
        <c:axId val="59114963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591158880"/>
        <c:crosses val="max"/>
        <c:crossBetween val="between"/>
      </c:valAx>
      <c:catAx>
        <c:axId val="591158880"/>
        <c:scaling>
          <c:orientation val="minMax"/>
        </c:scaling>
        <c:delete val="1"/>
        <c:axPos val="b"/>
        <c:numFmt formatCode="General" sourceLinked="1"/>
        <c:majorTickMark val="none"/>
        <c:minorTickMark val="none"/>
        <c:tickLblPos val="nextTo"/>
        <c:crossAx val="591149632"/>
        <c:crosses val="autoZero"/>
        <c:auto val="1"/>
        <c:lblAlgn val="ctr"/>
        <c:lblOffset val="100"/>
        <c:noMultiLvlLbl val="0"/>
      </c:catAx>
      <c:spPr>
        <a:noFill/>
        <a:ln>
          <a:noFill/>
        </a:ln>
        <a:effectLst/>
      </c:spPr>
    </c:plotArea>
    <c:plotVisOnly val="1"/>
    <c:dispBlanksAs val="gap"/>
    <c:showDLblsOverMax val="0"/>
  </c:chart>
  <c:spPr>
    <a:solidFill>
      <a:schemeClr val="bg1">
        <a:lumMod val="95000"/>
      </a:schemeClr>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
          <c:y val="6.6366946067225457E-2"/>
          <c:w val="0.99271574486924075"/>
          <c:h val="0.75090283069455033"/>
        </c:manualLayout>
      </c:layout>
      <c:lineChart>
        <c:grouping val="standard"/>
        <c:varyColors val="0"/>
        <c:ser>
          <c:idx val="0"/>
          <c:order val="0"/>
          <c:tx>
            <c:strRef>
              <c:f>Sheet1!$B$1</c:f>
              <c:strCache>
                <c:ptCount val="1"/>
                <c:pt idx="0">
                  <c:v>Realizimi 2018</c:v>
                </c:pt>
              </c:strCache>
            </c:strRef>
          </c:tx>
          <c:spPr>
            <a:ln w="28575" cap="rnd" cmpd="sng" algn="ctr">
              <a:solidFill>
                <a:schemeClr val="accent1">
                  <a:shade val="65000"/>
                  <a:shade val="95000"/>
                  <a:satMod val="105000"/>
                </a:schemeClr>
              </a:solidFill>
              <a:prstDash val="solid"/>
              <a:round/>
            </a:ln>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Sheet1!$B$2:$B$13</c:f>
              <c:numCache>
                <c:formatCode>_(* #,##0_);_(* \(#,##0\);_(* "-"??_);_(@_)</c:formatCode>
                <c:ptCount val="12"/>
                <c:pt idx="0">
                  <c:v>11361</c:v>
                </c:pt>
                <c:pt idx="1">
                  <c:v>11327</c:v>
                </c:pt>
                <c:pt idx="2">
                  <c:v>13408</c:v>
                </c:pt>
                <c:pt idx="3">
                  <c:v>12586</c:v>
                </c:pt>
                <c:pt idx="4">
                  <c:v>13791</c:v>
                </c:pt>
                <c:pt idx="5">
                  <c:v>14317</c:v>
                </c:pt>
                <c:pt idx="6">
                  <c:v>14303</c:v>
                </c:pt>
                <c:pt idx="7">
                  <c:v>14892</c:v>
                </c:pt>
                <c:pt idx="8">
                  <c:v>13160</c:v>
                </c:pt>
                <c:pt idx="9">
                  <c:v>13791</c:v>
                </c:pt>
                <c:pt idx="10">
                  <c:v>13815.135999999999</c:v>
                </c:pt>
                <c:pt idx="11">
                  <c:v>14878.342000000004</c:v>
                </c:pt>
              </c:numCache>
            </c:numRef>
          </c:val>
          <c:smooth val="0"/>
          <c:extLst xmlns:c16r2="http://schemas.microsoft.com/office/drawing/2015/06/chart">
            <c:ext xmlns:c16="http://schemas.microsoft.com/office/drawing/2014/chart" uri="{C3380CC4-5D6E-409C-BE32-E72D297353CC}">
              <c16:uniqueId val="{00000000-44AA-40B9-B6E5-589DF0DAC7F9}"/>
            </c:ext>
          </c:extLst>
        </c:ser>
        <c:ser>
          <c:idx val="1"/>
          <c:order val="1"/>
          <c:tx>
            <c:strRef>
              <c:f>Sheet1!$C$1</c:f>
              <c:strCache>
                <c:ptCount val="1"/>
                <c:pt idx="0">
                  <c:v>Realizimi 2019</c:v>
                </c:pt>
              </c:strCache>
            </c:strRef>
          </c:tx>
          <c:spPr>
            <a:ln w="28575" cap="rnd" cmpd="sng" algn="ctr">
              <a:solidFill>
                <a:schemeClr val="accent1">
                  <a:shade val="95000"/>
                  <a:satMod val="105000"/>
                </a:schemeClr>
              </a:solidFill>
              <a:prstDash val="solid"/>
              <a:round/>
            </a:ln>
            <a:effectLst>
              <a:outerShdw blurRad="50800" dist="38100" dir="2700000" algn="tl" rotWithShape="0">
                <a:prstClr val="black">
                  <a:alpha val="40000"/>
                </a:prstClr>
              </a:outerShdw>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Sheet1!$C$2:$C$13</c:f>
              <c:numCache>
                <c:formatCode>_(* #,##0_);_(* \(#,##0\);_(* "-"??_);_(@_)</c:formatCode>
                <c:ptCount val="12"/>
                <c:pt idx="0">
                  <c:v>10404</c:v>
                </c:pt>
                <c:pt idx="1">
                  <c:v>11559</c:v>
                </c:pt>
                <c:pt idx="2">
                  <c:v>13269</c:v>
                </c:pt>
                <c:pt idx="3">
                  <c:v>13462</c:v>
                </c:pt>
                <c:pt idx="4">
                  <c:v>14107</c:v>
                </c:pt>
              </c:numCache>
            </c:numRef>
          </c:val>
          <c:smooth val="0"/>
          <c:extLst xmlns:c16r2="http://schemas.microsoft.com/office/drawing/2015/06/chart">
            <c:ext xmlns:c16="http://schemas.microsoft.com/office/drawing/2014/chart" uri="{C3380CC4-5D6E-409C-BE32-E72D297353CC}">
              <c16:uniqueId val="{0000000C-44AA-40B9-B6E5-589DF0DAC7F9}"/>
            </c:ext>
          </c:extLst>
        </c:ser>
        <c:ser>
          <c:idx val="2"/>
          <c:order val="2"/>
          <c:tx>
            <c:strRef>
              <c:f>Sheet1!$D$1</c:f>
              <c:strCache>
                <c:ptCount val="1"/>
                <c:pt idx="0">
                  <c:v>Plan 2019</c:v>
                </c:pt>
              </c:strCache>
            </c:strRef>
          </c:tx>
          <c:spPr>
            <a:ln w="28575" cap="rnd" cmpd="sng" algn="ctr">
              <a:solidFill>
                <a:schemeClr val="accent1">
                  <a:tint val="65000"/>
                  <a:shade val="95000"/>
                  <a:satMod val="105000"/>
                </a:schemeClr>
              </a:solidFill>
              <a:prstDash val="solid"/>
              <a:round/>
            </a:ln>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Sheet1!$D$2:$D$13</c:f>
              <c:numCache>
                <c:formatCode>_(* #,##0_);_(* \(#,##0\);_(* "-"??_);_(@_)</c:formatCode>
                <c:ptCount val="12"/>
                <c:pt idx="0">
                  <c:v>10684</c:v>
                </c:pt>
                <c:pt idx="1">
                  <c:v>11900</c:v>
                </c:pt>
                <c:pt idx="2">
                  <c:v>13867</c:v>
                </c:pt>
                <c:pt idx="3">
                  <c:v>13831</c:v>
                </c:pt>
                <c:pt idx="4">
                  <c:v>14597</c:v>
                </c:pt>
                <c:pt idx="5">
                  <c:v>15469</c:v>
                </c:pt>
                <c:pt idx="6">
                  <c:v>15750</c:v>
                </c:pt>
                <c:pt idx="7">
                  <c:v>16150</c:v>
                </c:pt>
                <c:pt idx="8">
                  <c:v>14508</c:v>
                </c:pt>
                <c:pt idx="9">
                  <c:v>15117</c:v>
                </c:pt>
                <c:pt idx="10">
                  <c:v>14917</c:v>
                </c:pt>
                <c:pt idx="11">
                  <c:v>15972</c:v>
                </c:pt>
              </c:numCache>
            </c:numRef>
          </c:val>
          <c:smooth val="0"/>
          <c:extLst xmlns:c16r2="http://schemas.microsoft.com/office/drawing/2015/06/chart">
            <c:ext xmlns:c16="http://schemas.microsoft.com/office/drawing/2014/chart" uri="{C3380CC4-5D6E-409C-BE32-E72D297353CC}">
              <c16:uniqueId val="{0000000D-44AA-40B9-B6E5-589DF0DAC7F9}"/>
            </c:ext>
          </c:extLst>
        </c:ser>
        <c:dLbls>
          <c:showLegendKey val="0"/>
          <c:showVal val="0"/>
          <c:showCatName val="0"/>
          <c:showSerName val="0"/>
          <c:showPercent val="0"/>
          <c:showBubbleSize val="0"/>
        </c:dLbls>
        <c:smooth val="0"/>
        <c:axId val="311180832"/>
        <c:axId val="311183552"/>
      </c:lineChart>
      <c:catAx>
        <c:axId val="311180832"/>
        <c:scaling>
          <c:orientation val="minMax"/>
        </c:scaling>
        <c:delete val="0"/>
        <c:axPos val="b"/>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crossAx val="311183552"/>
        <c:crosses val="autoZero"/>
        <c:auto val="1"/>
        <c:lblAlgn val="ctr"/>
        <c:lblOffset val="100"/>
        <c:noMultiLvlLbl val="0"/>
      </c:catAx>
      <c:valAx>
        <c:axId val="311183552"/>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olid"/>
              <a:round/>
            </a:ln>
            <a:effectLst/>
          </c:spPr>
        </c:majorGridlines>
        <c:numFmt formatCode="_(* #,##0_);_(* \(#,##0\);_(* &quot;-&quot;??_);_(@_)"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1180832"/>
        <c:crosses val="autoZero"/>
        <c:crossBetween val="between"/>
      </c:valAx>
      <c:spPr>
        <a:solidFill>
          <a:schemeClr val="bg1"/>
        </a:solidFill>
        <a:ln>
          <a:noFill/>
        </a:ln>
        <a:effectLst/>
      </c:spPr>
    </c:plotArea>
    <c:legend>
      <c:legendPos val="b"/>
      <c:layout>
        <c:manualLayout>
          <c:xMode val="edge"/>
          <c:yMode val="edge"/>
          <c:x val="0.18041795408485328"/>
          <c:y val="0.70352834927892083"/>
          <c:w val="0.80055782584139012"/>
          <c:h val="0.1156318065339638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tx2">
        <a:lumMod val="40000"/>
        <a:lumOff val="60000"/>
      </a:schemeClr>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4680181754631247"/>
          <c:w val="1"/>
          <c:h val="0.50542997354489838"/>
        </c:manualLayout>
      </c:layout>
      <c:bar3DChart>
        <c:barDir val="col"/>
        <c:grouping val="clustered"/>
        <c:varyColors val="0"/>
        <c:ser>
          <c:idx val="0"/>
          <c:order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1-4FB7-4C38-9709-210DABD7E325}"/>
              </c:ext>
            </c:extLst>
          </c:dPt>
          <c:dPt>
            <c:idx val="1"/>
            <c:invertIfNegative val="0"/>
            <c:bubble3D val="0"/>
            <c:extLst xmlns:c16r2="http://schemas.microsoft.com/office/drawing/2015/06/chart">
              <c:ext xmlns:c16="http://schemas.microsoft.com/office/drawing/2014/chart" uri="{C3380CC4-5D6E-409C-BE32-E72D297353CC}">
                <c16:uniqueId val="{00000003-4FB7-4C38-9709-210DABD7E325}"/>
              </c:ext>
            </c:extLst>
          </c:dPt>
          <c:dPt>
            <c:idx val="2"/>
            <c:invertIfNegative val="0"/>
            <c:bubble3D val="0"/>
            <c:extLst xmlns:c16r2="http://schemas.microsoft.com/office/drawing/2015/06/chart">
              <c:ext xmlns:c16="http://schemas.microsoft.com/office/drawing/2014/chart" uri="{C3380CC4-5D6E-409C-BE32-E72D297353CC}">
                <c16:uniqueId val="{00000005-4FB7-4C38-9709-210DABD7E325}"/>
              </c:ext>
            </c:extLst>
          </c:dPt>
          <c:cat>
            <c:strRef>
              <c:f>Sheet1!$A$216:$A$218</c:f>
              <c:strCache>
                <c:ptCount val="3"/>
                <c:pt idx="0">
                  <c:v>Fakt 5-M 2018</c:v>
                </c:pt>
                <c:pt idx="1">
                  <c:v>Fakt 5-M 2019</c:v>
                </c:pt>
                <c:pt idx="2">
                  <c:v>Plan 5-M 2019</c:v>
                </c:pt>
              </c:strCache>
            </c:strRef>
          </c:cat>
          <c:val>
            <c:numRef>
              <c:f>Sheet1!$B$216:$B$218</c:f>
              <c:numCache>
                <c:formatCode>_(* #,##0_);_(* \(#,##0\);_(* "-"??_);_(@_)</c:formatCode>
                <c:ptCount val="3"/>
                <c:pt idx="0">
                  <c:v>62473</c:v>
                </c:pt>
                <c:pt idx="1">
                  <c:v>62800</c:v>
                </c:pt>
                <c:pt idx="2">
                  <c:v>64880</c:v>
                </c:pt>
              </c:numCache>
            </c:numRef>
          </c:val>
          <c:extLst xmlns:c16r2="http://schemas.microsoft.com/office/drawing/2015/06/chart">
            <c:ext xmlns:c16="http://schemas.microsoft.com/office/drawing/2014/chart" uri="{C3380CC4-5D6E-409C-BE32-E72D297353CC}">
              <c16:uniqueId val="{00000006-4FB7-4C38-9709-210DABD7E325}"/>
            </c:ext>
          </c:extLst>
        </c:ser>
        <c:dLbls>
          <c:showLegendKey val="0"/>
          <c:showVal val="0"/>
          <c:showCatName val="0"/>
          <c:showSerName val="0"/>
          <c:showPercent val="0"/>
          <c:showBubbleSize val="0"/>
        </c:dLbls>
        <c:gapWidth val="150"/>
        <c:shape val="box"/>
        <c:axId val="242107504"/>
        <c:axId val="242111312"/>
        <c:axId val="0"/>
      </c:bar3DChart>
      <c:catAx>
        <c:axId val="24210750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42111312"/>
        <c:crosses val="autoZero"/>
        <c:auto val="1"/>
        <c:lblAlgn val="ctr"/>
        <c:lblOffset val="100"/>
        <c:noMultiLvlLbl val="0"/>
      </c:catAx>
      <c:valAx>
        <c:axId val="242111312"/>
        <c:scaling>
          <c:orientation val="minMax"/>
        </c:scaling>
        <c:delete val="0"/>
        <c:axPos val="l"/>
        <c:majorGridlines>
          <c:spPr>
            <a:ln w="9525" cap="flat" cmpd="sng" algn="ctr">
              <a:solidFill>
                <a:schemeClr val="tx2">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242107504"/>
        <c:crosses val="autoZero"/>
        <c:crossBetween val="between"/>
      </c:valAx>
      <c:spPr>
        <a:solidFill>
          <a:schemeClr val="bg1"/>
        </a:solidFill>
        <a:ln>
          <a:noFill/>
        </a:ln>
        <a:effectLst/>
      </c:spPr>
    </c:plotArea>
    <c:plotVisOnly val="1"/>
    <c:dispBlanksAs val="gap"/>
    <c:showDLblsOverMax val="0"/>
  </c:chart>
  <c:spPr>
    <a:solidFill>
      <a:schemeClr val="tx2">
        <a:lumMod val="40000"/>
        <a:lumOff val="60000"/>
      </a:schemeClr>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298729325500978"/>
          <c:y val="7.495523518743831E-2"/>
          <c:w val="0.79070457933927085"/>
          <c:h val="0.87698269138147433"/>
        </c:manualLayout>
      </c:layout>
      <c:barChart>
        <c:barDir val="bar"/>
        <c:grouping val="clustered"/>
        <c:varyColors val="0"/>
        <c:ser>
          <c:idx val="0"/>
          <c:order val="0"/>
          <c:spPr>
            <a:solidFill>
              <a:srgbClr val="963836"/>
            </a:solidFill>
          </c:spPr>
          <c:invertIfNegative val="0"/>
          <c:dPt>
            <c:idx val="5"/>
            <c:invertIfNegative val="0"/>
            <c:bubble3D val="0"/>
            <c:spPr>
              <a:solidFill>
                <a:srgbClr val="C0504D"/>
              </a:solidFill>
            </c:spPr>
            <c:extLst xmlns:c16r2="http://schemas.microsoft.com/office/drawing/2015/06/chart">
              <c:ext xmlns:c16="http://schemas.microsoft.com/office/drawing/2014/chart" uri="{C3380CC4-5D6E-409C-BE32-E72D297353CC}">
                <c16:uniqueId val="{00000001-CAE5-4E9F-BB77-732E2D1F5A01}"/>
              </c:ext>
            </c:extLst>
          </c:dPt>
          <c:dPt>
            <c:idx val="6"/>
            <c:invertIfNegative val="0"/>
            <c:bubble3D val="0"/>
            <c:spPr>
              <a:solidFill>
                <a:srgbClr val="1F497D"/>
              </a:solidFill>
            </c:spPr>
            <c:extLst xmlns:c16r2="http://schemas.microsoft.com/office/drawing/2015/06/chart">
              <c:ext xmlns:c16="http://schemas.microsoft.com/office/drawing/2014/chart" uri="{C3380CC4-5D6E-409C-BE32-E72D297353CC}">
                <c16:uniqueId val="{00000003-CAE5-4E9F-BB77-732E2D1F5A01}"/>
              </c:ext>
            </c:extLst>
          </c:dPt>
          <c:dPt>
            <c:idx val="7"/>
            <c:invertIfNegative val="0"/>
            <c:bubble3D val="0"/>
            <c:spPr>
              <a:solidFill>
                <a:srgbClr val="1F497D"/>
              </a:solidFill>
            </c:spPr>
            <c:extLst xmlns:c16r2="http://schemas.microsoft.com/office/drawing/2015/06/chart">
              <c:ext xmlns:c16="http://schemas.microsoft.com/office/drawing/2014/chart" uri="{C3380CC4-5D6E-409C-BE32-E72D297353CC}">
                <c16:uniqueId val="{00000005-CAE5-4E9F-BB77-732E2D1F5A01}"/>
              </c:ext>
            </c:extLst>
          </c:dPt>
          <c:dPt>
            <c:idx val="8"/>
            <c:invertIfNegative val="0"/>
            <c:bubble3D val="0"/>
            <c:spPr>
              <a:solidFill>
                <a:srgbClr val="1F497D"/>
              </a:solidFill>
            </c:spPr>
            <c:extLst xmlns:c16r2="http://schemas.microsoft.com/office/drawing/2015/06/chart">
              <c:ext xmlns:c16="http://schemas.microsoft.com/office/drawing/2014/chart" uri="{C3380CC4-5D6E-409C-BE32-E72D297353CC}">
                <c16:uniqueId val="{00000007-CAE5-4E9F-BB77-732E2D1F5A01}"/>
              </c:ext>
            </c:extLst>
          </c:dPt>
          <c:dPt>
            <c:idx val="9"/>
            <c:invertIfNegative val="0"/>
            <c:bubble3D val="0"/>
            <c:spPr>
              <a:solidFill>
                <a:srgbClr val="1F497D"/>
              </a:solidFill>
            </c:spPr>
            <c:extLst xmlns:c16r2="http://schemas.microsoft.com/office/drawing/2015/06/chart">
              <c:ext xmlns:c16="http://schemas.microsoft.com/office/drawing/2014/chart" uri="{C3380CC4-5D6E-409C-BE32-E72D297353CC}">
                <c16:uniqueId val="{00000009-CAE5-4E9F-BB77-732E2D1F5A01}"/>
              </c:ext>
            </c:extLst>
          </c:dPt>
          <c:dPt>
            <c:idx val="10"/>
            <c:invertIfNegative val="0"/>
            <c:bubble3D val="0"/>
            <c:spPr>
              <a:solidFill>
                <a:srgbClr val="1F497D"/>
              </a:solidFill>
            </c:spPr>
            <c:extLst xmlns:c16r2="http://schemas.microsoft.com/office/drawing/2015/06/chart">
              <c:ext xmlns:c16="http://schemas.microsoft.com/office/drawing/2014/chart" uri="{C3380CC4-5D6E-409C-BE32-E72D297353CC}">
                <c16:uniqueId val="{0000000B-CAE5-4E9F-BB77-732E2D1F5A01}"/>
              </c:ext>
            </c:extLst>
          </c:dPt>
          <c:dPt>
            <c:idx val="11"/>
            <c:invertIfNegative val="0"/>
            <c:bubble3D val="0"/>
            <c:spPr>
              <a:solidFill>
                <a:srgbClr val="1F497D"/>
              </a:solidFill>
            </c:spPr>
            <c:extLst xmlns:c16r2="http://schemas.microsoft.com/office/drawing/2015/06/chart">
              <c:ext xmlns:c16="http://schemas.microsoft.com/office/drawing/2014/chart" uri="{C3380CC4-5D6E-409C-BE32-E72D297353CC}">
                <c16:uniqueId val="{0000000D-CAE5-4E9F-BB77-732E2D1F5A01}"/>
              </c:ext>
            </c:extLst>
          </c:dPt>
          <c:dPt>
            <c:idx val="12"/>
            <c:invertIfNegative val="0"/>
            <c:bubble3D val="0"/>
            <c:spPr>
              <a:solidFill>
                <a:srgbClr val="1F497D"/>
              </a:solidFill>
            </c:spPr>
            <c:extLst xmlns:c16r2="http://schemas.microsoft.com/office/drawing/2015/06/chart">
              <c:ext xmlns:c16="http://schemas.microsoft.com/office/drawing/2014/chart" uri="{C3380CC4-5D6E-409C-BE32-E72D297353CC}">
                <c16:uniqueId val="{0000000F-CAE5-4E9F-BB77-732E2D1F5A01}"/>
              </c:ext>
            </c:extLst>
          </c:dPt>
          <c:dLbls>
            <c:dLbl>
              <c:idx val="0"/>
              <c:layout>
                <c:manualLayout>
                  <c:x val="-5.0181243468564354E-2"/>
                  <c:y val="-2.7727403215223097E-2"/>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4-CAE5-4E9F-BB77-732E2D1F5A01}"/>
                </c:ext>
                <c:ext xmlns:c15="http://schemas.microsoft.com/office/drawing/2012/chart" uri="{CE6537A1-D6FC-4f65-9D91-7224C49458BB}"/>
              </c:extLst>
            </c:dLbl>
            <c:dLbl>
              <c:idx val="1"/>
              <c:layout>
                <c:manualLayout>
                  <c:x val="1.2772126111973229E-7"/>
                  <c:y val="2.3191179317120203E-3"/>
                </c:manualLayout>
              </c:layout>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CAE5-4E9F-BB77-732E2D1F5A01}"/>
                </c:ext>
                <c:ext xmlns:c15="http://schemas.microsoft.com/office/drawing/2012/chart" uri="{CE6537A1-D6FC-4f65-9D91-7224C49458BB}"/>
              </c:extLst>
            </c:dLbl>
            <c:dLbl>
              <c:idx val="2"/>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3"/>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4"/>
              <c:spPr>
                <a:noFill/>
              </c:spPr>
              <c:txPr>
                <a:bodyPr/>
                <a:lstStyle/>
                <a:p>
                  <a:pPr>
                    <a:defRPr sz="800" b="1" i="1">
                      <a:solidFill>
                        <a:schemeClr val="accent2">
                          <a:lumMod val="75000"/>
                        </a:schemeClr>
                      </a:solidFill>
                    </a:defRPr>
                  </a:pPr>
                  <a:endParaRPr lang="en-US"/>
                </a:p>
              </c:txPr>
              <c:showLegendKey val="0"/>
              <c:showVal val="1"/>
              <c:showCatName val="0"/>
              <c:showSerName val="0"/>
              <c:showPercent val="0"/>
              <c:showBubbleSize val="0"/>
            </c:dLbl>
            <c:dLbl>
              <c:idx val="5"/>
              <c:spPr>
                <a:noFill/>
              </c:spPr>
              <c:txPr>
                <a:bodyPr/>
                <a:lstStyle/>
                <a:p>
                  <a:pPr>
                    <a:defRPr sz="800" b="1" i="1">
                      <a:solidFill>
                        <a:srgbClr val="B64340"/>
                      </a:solidFill>
                    </a:defRPr>
                  </a:pPr>
                  <a:endParaRPr lang="en-US"/>
                </a:p>
              </c:txPr>
              <c:showLegendKey val="0"/>
              <c:showVal val="1"/>
              <c:showCatName val="0"/>
              <c:showSerName val="0"/>
              <c:showPercent val="0"/>
              <c:showBubbleSize val="0"/>
            </c:dLbl>
            <c:dLbl>
              <c:idx val="14"/>
              <c:layout>
                <c:manualLayout>
                  <c:x val="-2.1178985548533247E-3"/>
                  <c:y val="-6.472960505623212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AE5-4E9F-BB77-732E2D1F5A01}"/>
                </c:ext>
                <c:ext xmlns:c15="http://schemas.microsoft.com/office/drawing/2012/chart" uri="{CE6537A1-D6FC-4f65-9D91-7224C49458BB}"/>
              </c:extLst>
            </c:dLbl>
            <c:spPr>
              <a:noFill/>
            </c:spPr>
            <c:txPr>
              <a:bodyPr/>
              <a:lstStyle/>
              <a:p>
                <a:pPr>
                  <a:defRPr sz="800" b="1" i="1">
                    <a:solidFill>
                      <a:schemeClr val="tx2"/>
                    </a:solidFill>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'Kontribuesit Kryesore (TR)'!$G$4:$G$16</c:f>
              <c:strCache>
                <c:ptCount val="13"/>
                <c:pt idx="0">
                  <c:v>Karburante Import </c:v>
                </c:pt>
                <c:pt idx="1">
                  <c:v>Pleheruesit </c:v>
                </c:pt>
                <c:pt idx="2">
                  <c:v>Automjeteve te perdorura </c:v>
                </c:pt>
                <c:pt idx="3">
                  <c:v>Mielli dhe Gruri</c:v>
                </c:pt>
                <c:pt idx="4">
                  <c:v>Rente Minerare Nafte Bruto </c:v>
                </c:pt>
                <c:pt idx="5">
                  <c:v>Plastika dhe artikujt </c:v>
                </c:pt>
                <c:pt idx="6">
                  <c:v>Kompjuter dhe pjese informatike</c:v>
                </c:pt>
                <c:pt idx="7">
                  <c:v>Veshjet e Kembes dhe Kokes </c:v>
                </c:pt>
                <c:pt idx="8">
                  <c:v>detergjentet; parfumeri</c:v>
                </c:pt>
                <c:pt idx="9">
                  <c:v>Veshje, Tekstile </c:v>
                </c:pt>
                <c:pt idx="10">
                  <c:v>Cigare </c:v>
                </c:pt>
                <c:pt idx="11">
                  <c:v>Karburante Prodhim Vendi </c:v>
                </c:pt>
                <c:pt idx="12">
                  <c:v>Energji Elektrike </c:v>
                </c:pt>
              </c:strCache>
            </c:strRef>
          </c:cat>
          <c:val>
            <c:numRef>
              <c:f>'Kontribuesit Kryesore (TR)'!$H$4:$H$16</c:f>
              <c:numCache>
                <c:formatCode>_(* #,##0_);_(* \(#,##0\);_(* "-"??_);_(@_)</c:formatCode>
                <c:ptCount val="13"/>
                <c:pt idx="0">
                  <c:v>-1129.4079999999999</c:v>
                </c:pt>
                <c:pt idx="1">
                  <c:v>-355.41500000000002</c:v>
                </c:pt>
                <c:pt idx="2">
                  <c:v>-260.416</c:v>
                </c:pt>
                <c:pt idx="3">
                  <c:v>-158.858</c:v>
                </c:pt>
                <c:pt idx="4">
                  <c:v>-155.59700000000001</c:v>
                </c:pt>
                <c:pt idx="5">
                  <c:v>-137.16300000000001</c:v>
                </c:pt>
                <c:pt idx="6">
                  <c:v>77.465000000000003</c:v>
                </c:pt>
                <c:pt idx="7">
                  <c:v>83.218999999999994</c:v>
                </c:pt>
                <c:pt idx="8">
                  <c:v>94.186000000000007</c:v>
                </c:pt>
                <c:pt idx="9">
                  <c:v>185.19399999999999</c:v>
                </c:pt>
                <c:pt idx="10">
                  <c:v>268.85199999999998</c:v>
                </c:pt>
                <c:pt idx="11">
                  <c:v>1356.825</c:v>
                </c:pt>
                <c:pt idx="12">
                  <c:v>1655.557</c:v>
                </c:pt>
              </c:numCache>
            </c:numRef>
          </c:val>
          <c:extLst xmlns:c16r2="http://schemas.microsoft.com/office/drawing/2015/06/chart">
            <c:ext xmlns:c16="http://schemas.microsoft.com/office/drawing/2014/chart" uri="{C3380CC4-5D6E-409C-BE32-E72D297353CC}">
              <c16:uniqueId val="{00000019-CAE5-4E9F-BB77-732E2D1F5A01}"/>
            </c:ext>
          </c:extLst>
        </c:ser>
        <c:dLbls>
          <c:showLegendKey val="0"/>
          <c:showVal val="1"/>
          <c:showCatName val="0"/>
          <c:showSerName val="0"/>
          <c:showPercent val="0"/>
          <c:showBubbleSize val="0"/>
        </c:dLbls>
        <c:gapWidth val="150"/>
        <c:overlap val="-25"/>
        <c:axId val="25512944"/>
        <c:axId val="25498800"/>
      </c:barChart>
      <c:catAx>
        <c:axId val="25512944"/>
        <c:scaling>
          <c:orientation val="minMax"/>
        </c:scaling>
        <c:delete val="0"/>
        <c:axPos val="l"/>
        <c:numFmt formatCode="General" sourceLinked="0"/>
        <c:majorTickMark val="none"/>
        <c:minorTickMark val="none"/>
        <c:tickLblPos val="low"/>
        <c:txPr>
          <a:bodyPr/>
          <a:lstStyle/>
          <a:p>
            <a:pPr>
              <a:defRPr sz="800" i="1"/>
            </a:pPr>
            <a:endParaRPr lang="en-US"/>
          </a:p>
        </c:txPr>
        <c:crossAx val="25498800"/>
        <c:crosses val="autoZero"/>
        <c:auto val="1"/>
        <c:lblAlgn val="ctr"/>
        <c:lblOffset val="100"/>
        <c:noMultiLvlLbl val="0"/>
      </c:catAx>
      <c:valAx>
        <c:axId val="25498800"/>
        <c:scaling>
          <c:orientation val="minMax"/>
        </c:scaling>
        <c:delete val="1"/>
        <c:axPos val="b"/>
        <c:numFmt formatCode="_(* #,##0_);_(* \(#,##0\);_(* &quot;-&quot;??_);_(@_)" sourceLinked="1"/>
        <c:majorTickMark val="none"/>
        <c:minorTickMark val="none"/>
        <c:tickLblPos val="nextTo"/>
        <c:crossAx val="25512944"/>
        <c:crosses val="autoZero"/>
        <c:crossBetween val="between"/>
      </c:valAx>
      <c:spPr>
        <a:noFill/>
        <a:ln>
          <a:noFill/>
        </a:ln>
      </c:spPr>
    </c:plotArea>
    <c:plotVisOnly val="1"/>
    <c:dispBlanksAs val="gap"/>
    <c:showDLblsOverMax val="0"/>
  </c:chart>
  <c:spPr>
    <a:noFill/>
    <a:ln>
      <a:solidFill>
        <a:sysClr val="window" lastClr="FFFFFF">
          <a:lumMod val="75000"/>
        </a:sysClr>
      </a:solid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3110665528579293"/>
          <c:y val="8.1771374322890486E-2"/>
          <c:w val="0.85607841354660685"/>
          <c:h val="0.73744234098397277"/>
        </c:manualLayout>
      </c:layout>
      <c:lineChart>
        <c:grouping val="standard"/>
        <c:varyColors val="0"/>
        <c:ser>
          <c:idx val="0"/>
          <c:order val="0"/>
          <c:tx>
            <c:strRef>
              <c:f>Sheet1!$B$1</c:f>
              <c:strCache>
                <c:ptCount val="1"/>
                <c:pt idx="0">
                  <c:v>Realizimi 2018</c:v>
                </c:pt>
              </c:strCache>
            </c:strRef>
          </c:tx>
          <c:spPr>
            <a:ln w="28575" cap="rnd" cmpd="sng" algn="ctr">
              <a:solidFill>
                <a:schemeClr val="accent1">
                  <a:shade val="65000"/>
                  <a:shade val="95000"/>
                  <a:satMod val="105000"/>
                </a:schemeClr>
              </a:solidFill>
              <a:prstDash val="solid"/>
              <a:round/>
            </a:ln>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Sheet1!$B$2:$B$13</c:f>
              <c:numCache>
                <c:formatCode>_(* #,##0_);_(* \(#,##0\);_(* "-"??_);_(@_)</c:formatCode>
                <c:ptCount val="12"/>
                <c:pt idx="0">
                  <c:v>19875</c:v>
                </c:pt>
                <c:pt idx="1">
                  <c:v>17569.976000000002</c:v>
                </c:pt>
                <c:pt idx="2">
                  <c:v>20294.224754999996</c:v>
                </c:pt>
                <c:pt idx="3">
                  <c:v>19679.170528000002</c:v>
                </c:pt>
                <c:pt idx="4">
                  <c:v>17886.378916000001</c:v>
                </c:pt>
                <c:pt idx="5">
                  <c:v>16625</c:v>
                </c:pt>
                <c:pt idx="6">
                  <c:v>18928</c:v>
                </c:pt>
                <c:pt idx="7">
                  <c:v>17045</c:v>
                </c:pt>
                <c:pt idx="8">
                  <c:v>18218</c:v>
                </c:pt>
                <c:pt idx="9">
                  <c:v>18333</c:v>
                </c:pt>
                <c:pt idx="10">
                  <c:v>16477.560999999987</c:v>
                </c:pt>
                <c:pt idx="11">
                  <c:v>19154.439000000013</c:v>
                </c:pt>
              </c:numCache>
            </c:numRef>
          </c:val>
          <c:smooth val="0"/>
          <c:extLst xmlns:c16r2="http://schemas.microsoft.com/office/drawing/2015/06/chart">
            <c:ext xmlns:c16="http://schemas.microsoft.com/office/drawing/2014/chart" uri="{C3380CC4-5D6E-409C-BE32-E72D297353CC}">
              <c16:uniqueId val="{00000000-19C2-496E-9B0F-70C36933A902}"/>
            </c:ext>
          </c:extLst>
        </c:ser>
        <c:ser>
          <c:idx val="1"/>
          <c:order val="1"/>
          <c:tx>
            <c:strRef>
              <c:f>Sheet1!$C$1</c:f>
              <c:strCache>
                <c:ptCount val="1"/>
                <c:pt idx="0">
                  <c:v>Realizimi 2019</c:v>
                </c:pt>
              </c:strCache>
            </c:strRef>
          </c:tx>
          <c:spPr>
            <a:ln w="28575" cap="rnd" cmpd="sng" algn="ctr">
              <a:solidFill>
                <a:schemeClr val="accent1">
                  <a:shade val="95000"/>
                  <a:satMod val="105000"/>
                </a:schemeClr>
              </a:solidFill>
              <a:prstDash val="solid"/>
              <a:round/>
            </a:ln>
            <a:effectLst>
              <a:outerShdw blurRad="50800" dist="38100" dir="2700000" algn="tl" rotWithShape="0">
                <a:prstClr val="black">
                  <a:alpha val="40000"/>
                </a:prstClr>
              </a:outerShdw>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Sheet1!$C$2:$C$13</c:f>
              <c:numCache>
                <c:formatCode>_(* #,##0_);_(* \(#,##0\);_(* "-"??_);_(@_)</c:formatCode>
                <c:ptCount val="12"/>
                <c:pt idx="0">
                  <c:v>20835.616000000002</c:v>
                </c:pt>
                <c:pt idx="1">
                  <c:v>17808.771999999997</c:v>
                </c:pt>
                <c:pt idx="2">
                  <c:v>21639.531000000003</c:v>
                </c:pt>
                <c:pt idx="3">
                  <c:v>20353.996999999996</c:v>
                </c:pt>
                <c:pt idx="4">
                  <c:v>20325.002999999997</c:v>
                </c:pt>
              </c:numCache>
            </c:numRef>
          </c:val>
          <c:smooth val="0"/>
          <c:extLst xmlns:c16r2="http://schemas.microsoft.com/office/drawing/2015/06/chart">
            <c:ext xmlns:c16="http://schemas.microsoft.com/office/drawing/2014/chart" uri="{C3380CC4-5D6E-409C-BE32-E72D297353CC}">
              <c16:uniqueId val="{0000000C-19C2-496E-9B0F-70C36933A902}"/>
            </c:ext>
          </c:extLst>
        </c:ser>
        <c:ser>
          <c:idx val="2"/>
          <c:order val="2"/>
          <c:tx>
            <c:strRef>
              <c:f>Sheet1!$D$1</c:f>
              <c:strCache>
                <c:ptCount val="1"/>
                <c:pt idx="0">
                  <c:v>Plan 2019</c:v>
                </c:pt>
              </c:strCache>
            </c:strRef>
          </c:tx>
          <c:spPr>
            <a:ln w="28575" cap="rnd" cmpd="sng" algn="ctr">
              <a:solidFill>
                <a:schemeClr val="accent1">
                  <a:tint val="65000"/>
                  <a:shade val="95000"/>
                  <a:satMod val="105000"/>
                </a:schemeClr>
              </a:solidFill>
              <a:prstDash val="solid"/>
              <a:round/>
            </a:ln>
            <a:effectLst/>
          </c:spPr>
          <c:marker>
            <c:symbol val="none"/>
          </c:marker>
          <c:cat>
            <c:strRef>
              <c:f>Sheet1!$A$2:$A$13</c:f>
              <c:strCache>
                <c:ptCount val="12"/>
                <c:pt idx="0">
                  <c:v>Janar</c:v>
                </c:pt>
                <c:pt idx="1">
                  <c:v>Shkurt</c:v>
                </c:pt>
                <c:pt idx="2">
                  <c:v>Mars </c:v>
                </c:pt>
                <c:pt idx="3">
                  <c:v>Prill</c:v>
                </c:pt>
                <c:pt idx="4">
                  <c:v>Maj </c:v>
                </c:pt>
                <c:pt idx="5">
                  <c:v>Qershor </c:v>
                </c:pt>
                <c:pt idx="6">
                  <c:v>Korrik</c:v>
                </c:pt>
                <c:pt idx="7">
                  <c:v>Gusht</c:v>
                </c:pt>
                <c:pt idx="8">
                  <c:v>Shtator</c:v>
                </c:pt>
                <c:pt idx="9">
                  <c:v>Tetor</c:v>
                </c:pt>
                <c:pt idx="10">
                  <c:v>Nentor</c:v>
                </c:pt>
                <c:pt idx="11">
                  <c:v>Dhjetor</c:v>
                </c:pt>
              </c:strCache>
            </c:strRef>
          </c:cat>
          <c:val>
            <c:numRef>
              <c:f>Sheet1!$D$2:$D$13</c:f>
              <c:numCache>
                <c:formatCode>_(* #,##0_);_(* \(#,##0\);_(* "-"??_);_(@_)</c:formatCode>
                <c:ptCount val="12"/>
                <c:pt idx="0">
                  <c:v>20527.183105705109</c:v>
                </c:pt>
                <c:pt idx="1">
                  <c:v>17929.11841484953</c:v>
                </c:pt>
                <c:pt idx="2">
                  <c:v>23193.315257606453</c:v>
                </c:pt>
                <c:pt idx="3">
                  <c:v>20715.977896558958</c:v>
                </c:pt>
                <c:pt idx="4">
                  <c:v>19424.651446888034</c:v>
                </c:pt>
                <c:pt idx="5">
                  <c:v>17690</c:v>
                </c:pt>
                <c:pt idx="6">
                  <c:v>20040</c:v>
                </c:pt>
                <c:pt idx="7">
                  <c:v>18090</c:v>
                </c:pt>
                <c:pt idx="8">
                  <c:v>18420</c:v>
                </c:pt>
                <c:pt idx="9">
                  <c:v>20410</c:v>
                </c:pt>
                <c:pt idx="10">
                  <c:v>18390</c:v>
                </c:pt>
                <c:pt idx="11">
                  <c:v>19477</c:v>
                </c:pt>
              </c:numCache>
            </c:numRef>
          </c:val>
          <c:smooth val="0"/>
          <c:extLst xmlns:c16r2="http://schemas.microsoft.com/office/drawing/2015/06/chart">
            <c:ext xmlns:c16="http://schemas.microsoft.com/office/drawing/2014/chart" uri="{C3380CC4-5D6E-409C-BE32-E72D297353CC}">
              <c16:uniqueId val="{0000000D-19C2-496E-9B0F-70C36933A902}"/>
            </c:ext>
          </c:extLst>
        </c:ser>
        <c:dLbls>
          <c:showLegendKey val="0"/>
          <c:showVal val="0"/>
          <c:showCatName val="0"/>
          <c:showSerName val="0"/>
          <c:showPercent val="0"/>
          <c:showBubbleSize val="0"/>
        </c:dLbls>
        <c:smooth val="0"/>
        <c:axId val="240123520"/>
        <c:axId val="410880032"/>
      </c:lineChart>
      <c:catAx>
        <c:axId val="240123520"/>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en-US"/>
          </a:p>
        </c:txPr>
        <c:crossAx val="410880032"/>
        <c:crosses val="autoZero"/>
        <c:auto val="1"/>
        <c:lblAlgn val="ctr"/>
        <c:lblOffset val="100"/>
        <c:noMultiLvlLbl val="0"/>
      </c:catAx>
      <c:valAx>
        <c:axId val="410880032"/>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prstDash val="solid"/>
              <a:round/>
            </a:ln>
            <a:effectLst/>
          </c:spPr>
        </c:majorGridlines>
        <c:numFmt formatCode="_(* #,##0_);_(* \(#,##0\);_(* &quot;-&quot;??_);_(@_)"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n-US"/>
          </a:p>
        </c:txPr>
        <c:crossAx val="240123520"/>
        <c:crosses val="autoZero"/>
        <c:crossBetween val="between"/>
      </c:valAx>
      <c:spPr>
        <a:solidFill>
          <a:schemeClr val="bg1"/>
        </a:solidFill>
        <a:ln>
          <a:noFill/>
        </a:ln>
        <a:effectLst/>
      </c:spPr>
    </c:plotArea>
    <c:legend>
      <c:legendPos val="b"/>
      <c:layout>
        <c:manualLayout>
          <c:xMode val="edge"/>
          <c:yMode val="edge"/>
          <c:x val="0.13542532648460637"/>
          <c:y val="0.62581895348187855"/>
          <c:w val="0.85854954468087241"/>
          <c:h val="0.20396828056067459"/>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tx2">
        <a:lumMod val="40000"/>
        <a:lumOff val="60000"/>
      </a:schemeClr>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depthPercent val="10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sideWall>
    <c:backWall>
      <c:thickness val="0"/>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a:sp3d/>
      </c:spPr>
    </c:backWall>
    <c:plotArea>
      <c:layout>
        <c:manualLayout>
          <c:layoutTarget val="inner"/>
          <c:xMode val="edge"/>
          <c:yMode val="edge"/>
          <c:x val="0"/>
          <c:y val="3.2270463679477147E-3"/>
          <c:w val="1"/>
          <c:h val="0.85135520120286456"/>
        </c:manualLayout>
      </c:layout>
      <c:bar3DChart>
        <c:barDir val="col"/>
        <c:grouping val="clustered"/>
        <c:varyColors val="0"/>
        <c:ser>
          <c:idx val="0"/>
          <c:order val="0"/>
          <c:spPr>
            <a:solidFill>
              <a:schemeClr val="tx2"/>
            </a:solidFill>
            <a:ln>
              <a:noFill/>
            </a:ln>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1-4B55-4529-9C5A-D9C7BDE487C0}"/>
              </c:ext>
            </c:extLst>
          </c:dPt>
          <c:dPt>
            <c:idx val="1"/>
            <c:invertIfNegative val="0"/>
            <c:bubble3D val="0"/>
            <c:extLst xmlns:c16r2="http://schemas.microsoft.com/office/drawing/2015/06/chart">
              <c:ext xmlns:c16="http://schemas.microsoft.com/office/drawing/2014/chart" uri="{C3380CC4-5D6E-409C-BE32-E72D297353CC}">
                <c16:uniqueId val="{00000003-4B55-4529-9C5A-D9C7BDE487C0}"/>
              </c:ext>
            </c:extLst>
          </c:dPt>
          <c:dPt>
            <c:idx val="2"/>
            <c:invertIfNegative val="0"/>
            <c:bubble3D val="0"/>
            <c:extLst xmlns:c16r2="http://schemas.microsoft.com/office/drawing/2015/06/chart">
              <c:ext xmlns:c16="http://schemas.microsoft.com/office/drawing/2014/chart" uri="{C3380CC4-5D6E-409C-BE32-E72D297353CC}">
                <c16:uniqueId val="{00000005-4B55-4529-9C5A-D9C7BDE487C0}"/>
              </c:ext>
            </c:extLst>
          </c:dPt>
          <c:cat>
            <c:strRef>
              <c:f>Sheet1!$A$216:$A$218</c:f>
              <c:strCache>
                <c:ptCount val="3"/>
                <c:pt idx="0">
                  <c:v>Fakt 5-M 2018</c:v>
                </c:pt>
                <c:pt idx="1">
                  <c:v>Fakt 5-M 2019</c:v>
                </c:pt>
                <c:pt idx="2">
                  <c:v>Plan 5-M 2019</c:v>
                </c:pt>
              </c:strCache>
            </c:strRef>
          </c:cat>
          <c:val>
            <c:numRef>
              <c:f>Sheet1!$B$216:$B$218</c:f>
              <c:numCache>
                <c:formatCode>_(* #,##0_);_(* \(#,##0\);_(* "-"??_);_(@_)</c:formatCode>
                <c:ptCount val="3"/>
                <c:pt idx="0">
                  <c:v>95253</c:v>
                </c:pt>
                <c:pt idx="1">
                  <c:v>100963</c:v>
                </c:pt>
                <c:pt idx="2">
                  <c:v>101790</c:v>
                </c:pt>
              </c:numCache>
            </c:numRef>
          </c:val>
          <c:extLst xmlns:c16r2="http://schemas.microsoft.com/office/drawing/2015/06/chart">
            <c:ext xmlns:c16="http://schemas.microsoft.com/office/drawing/2014/chart" uri="{C3380CC4-5D6E-409C-BE32-E72D297353CC}">
              <c16:uniqueId val="{00000006-4B55-4529-9C5A-D9C7BDE487C0}"/>
            </c:ext>
          </c:extLst>
        </c:ser>
        <c:dLbls>
          <c:showLegendKey val="0"/>
          <c:showVal val="0"/>
          <c:showCatName val="0"/>
          <c:showSerName val="0"/>
          <c:showPercent val="0"/>
          <c:showBubbleSize val="0"/>
        </c:dLbls>
        <c:gapWidth val="75"/>
        <c:shape val="box"/>
        <c:axId val="410877312"/>
        <c:axId val="410880576"/>
        <c:axId val="0"/>
      </c:bar3DChart>
      <c:catAx>
        <c:axId val="410877312"/>
        <c:scaling>
          <c:orientation val="minMax"/>
        </c:scaling>
        <c:delete val="0"/>
        <c:axPos val="b"/>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n-US"/>
          </a:p>
        </c:txPr>
        <c:crossAx val="410880576"/>
        <c:crosses val="autoZero"/>
        <c:auto val="1"/>
        <c:lblAlgn val="ctr"/>
        <c:lblOffset val="100"/>
        <c:noMultiLvlLbl val="0"/>
      </c:catAx>
      <c:valAx>
        <c:axId val="410880576"/>
        <c:scaling>
          <c:orientation val="minMax"/>
        </c:scaling>
        <c:delete val="0"/>
        <c:axPos val="l"/>
        <c:numFmt formatCode="_(* #,##0_);_(* \(#,##0\);_(* &quot;-&quot;??_);_(@_)"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700" b="0" i="0" u="none" strike="noStrike" kern="1200" baseline="0">
                <a:solidFill>
                  <a:schemeClr val="tx1"/>
                </a:solidFill>
                <a:latin typeface="+mn-lt"/>
                <a:ea typeface="+mn-ea"/>
                <a:cs typeface="+mn-cs"/>
              </a:defRPr>
            </a:pPr>
            <a:endParaRPr lang="en-US"/>
          </a:p>
        </c:txPr>
        <c:crossAx val="410877312"/>
        <c:crosses val="autoZero"/>
        <c:crossBetween val="between"/>
      </c:valAx>
      <c:spPr>
        <a:noFill/>
        <a:ln w="25400">
          <a:noFill/>
        </a:ln>
        <a:effectLst/>
      </c:spPr>
    </c:plotArea>
    <c:plotVisOnly val="1"/>
    <c:dispBlanksAs val="gap"/>
    <c:showDLblsOverMax val="0"/>
  </c:chart>
  <c:spPr>
    <a:solidFill>
      <a:schemeClr val="bg1">
        <a:lumMod val="85000"/>
      </a:schemeClr>
    </a:solidFill>
    <a:ln w="9525" cap="flat" cmpd="sng" algn="ctr">
      <a:solidFill>
        <a:schemeClr val="bg1">
          <a:lumMod val="65000"/>
        </a:schemeClr>
      </a:solidFill>
      <a:prstDash val="solid"/>
      <a:round/>
    </a:ln>
    <a:effectLst/>
  </c:spPr>
  <c:txPr>
    <a:bodyPr/>
    <a:lstStyle/>
    <a:p>
      <a:pPr>
        <a:defRPr>
          <a:solidFill>
            <a:schemeClr val="tx1"/>
          </a:solidFill>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3.0555555555555555E-2"/>
          <c:y val="6.0185185185185182E-2"/>
          <c:w val="0.93888888888888888"/>
          <c:h val="0.65938265529308837"/>
        </c:manualLayout>
      </c:layout>
      <c:barChart>
        <c:barDir val="col"/>
        <c:grouping val="clustered"/>
        <c:varyColors val="0"/>
        <c:ser>
          <c:idx val="2"/>
          <c:order val="2"/>
          <c:tx>
            <c:strRef>
              <c:f>'[Chart in Microsoft Word]Sheet1'!$E$32</c:f>
              <c:strCache>
                <c:ptCount val="1"/>
                <c:pt idx="0">
                  <c:v>Rimbursimet</c:v>
                </c:pt>
              </c:strCache>
            </c:strRef>
          </c:tx>
          <c:spPr>
            <a:solidFill>
              <a:schemeClr val="accent1">
                <a:tint val="6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Word]Sheet1'!$B$33:$B$39</c:f>
              <c:numCache>
                <c:formatCode>General</c:formatCode>
                <c:ptCount val="7"/>
                <c:pt idx="0">
                  <c:v>2012</c:v>
                </c:pt>
                <c:pt idx="1">
                  <c:v>2013</c:v>
                </c:pt>
                <c:pt idx="2">
                  <c:v>2014</c:v>
                </c:pt>
                <c:pt idx="3">
                  <c:v>2015</c:v>
                </c:pt>
                <c:pt idx="4">
                  <c:v>2016</c:v>
                </c:pt>
                <c:pt idx="5">
                  <c:v>2017</c:v>
                </c:pt>
                <c:pt idx="6">
                  <c:v>2018</c:v>
                </c:pt>
              </c:numCache>
            </c:numRef>
          </c:cat>
          <c:val>
            <c:numRef>
              <c:f>'[Chart in Microsoft Word]Sheet1'!$E$33:$E$40</c:f>
              <c:numCache>
                <c:formatCode>_(* #,##0.0_);_(* \(#,##0.0\);_(* "-"??_);_(@_)</c:formatCode>
                <c:ptCount val="8"/>
                <c:pt idx="0">
                  <c:v>2.597</c:v>
                </c:pt>
                <c:pt idx="1">
                  <c:v>3.5129999999999999</c:v>
                </c:pt>
                <c:pt idx="2">
                  <c:v>2.2120000000000002</c:v>
                </c:pt>
                <c:pt idx="3">
                  <c:v>2.87</c:v>
                </c:pt>
                <c:pt idx="4">
                  <c:v>3.004</c:v>
                </c:pt>
                <c:pt idx="5">
                  <c:v>4.8819999999999997</c:v>
                </c:pt>
                <c:pt idx="6">
                  <c:v>5.4666846290000004</c:v>
                </c:pt>
                <c:pt idx="7">
                  <c:v>6.9539999999999997</c:v>
                </c:pt>
              </c:numCache>
            </c:numRef>
          </c:val>
          <c:extLst xmlns:c16r2="http://schemas.microsoft.com/office/drawing/2015/06/chart">
            <c:ext xmlns:c16="http://schemas.microsoft.com/office/drawing/2014/chart" uri="{C3380CC4-5D6E-409C-BE32-E72D297353CC}">
              <c16:uniqueId val="{00000002-5339-4FF4-9BDD-6684D34E4EE2}"/>
            </c:ext>
          </c:extLst>
        </c:ser>
        <c:dLbls>
          <c:showLegendKey val="0"/>
          <c:showVal val="0"/>
          <c:showCatName val="0"/>
          <c:showSerName val="0"/>
          <c:showPercent val="0"/>
          <c:showBubbleSize val="0"/>
        </c:dLbls>
        <c:gapWidth val="150"/>
        <c:axId val="410884384"/>
        <c:axId val="410884928"/>
      </c:barChart>
      <c:lineChart>
        <c:grouping val="standard"/>
        <c:varyColors val="0"/>
        <c:ser>
          <c:idx val="0"/>
          <c:order val="0"/>
          <c:tx>
            <c:strRef>
              <c:f>'[Chart in Microsoft Word]Sheet1'!$C$32</c:f>
              <c:strCache>
                <c:ptCount val="1"/>
                <c:pt idx="0">
                  <c:v>TVSH Bruto</c:v>
                </c:pt>
              </c:strCache>
            </c:strRef>
          </c:tx>
          <c:spPr>
            <a:ln w="28575" cap="rnd">
              <a:solidFill>
                <a:schemeClr val="accent1">
                  <a:shade val="65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Word]Sheet1'!$B$33:$B$40</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Word]Sheet1'!$C$33:$C$40</c:f>
              <c:numCache>
                <c:formatCode>_(* #,##0.0_);_(* \(#,##0.0\);_(* "-"??_);_(@_)</c:formatCode>
                <c:ptCount val="8"/>
                <c:pt idx="0">
                  <c:v>12.635</c:v>
                </c:pt>
                <c:pt idx="1">
                  <c:v>12.991</c:v>
                </c:pt>
                <c:pt idx="2">
                  <c:v>14.388999999999999</c:v>
                </c:pt>
                <c:pt idx="3">
                  <c:v>14.738</c:v>
                </c:pt>
                <c:pt idx="4">
                  <c:v>17.29</c:v>
                </c:pt>
                <c:pt idx="5">
                  <c:v>19.602</c:v>
                </c:pt>
                <c:pt idx="6">
                  <c:v>19.851813589000002</c:v>
                </c:pt>
                <c:pt idx="7">
                  <c:v>19.672000000000001</c:v>
                </c:pt>
              </c:numCache>
            </c:numRef>
          </c:val>
          <c:smooth val="0"/>
          <c:extLst xmlns:c16r2="http://schemas.microsoft.com/office/drawing/2015/06/chart">
            <c:ext xmlns:c16="http://schemas.microsoft.com/office/drawing/2014/chart" uri="{C3380CC4-5D6E-409C-BE32-E72D297353CC}">
              <c16:uniqueId val="{00000000-5339-4FF4-9BDD-6684D34E4EE2}"/>
            </c:ext>
          </c:extLst>
        </c:ser>
        <c:ser>
          <c:idx val="1"/>
          <c:order val="1"/>
          <c:tx>
            <c:strRef>
              <c:f>'[Chart in Microsoft Word]Sheet1'!$D$32</c:f>
              <c:strCache>
                <c:ptCount val="1"/>
                <c:pt idx="0">
                  <c:v>TVSH Neto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Word]Sheet1'!$B$33:$B$40</c:f>
              <c:numCache>
                <c:formatCode>General</c:formatCode>
                <c:ptCount val="8"/>
                <c:pt idx="0">
                  <c:v>2012</c:v>
                </c:pt>
                <c:pt idx="1">
                  <c:v>2013</c:v>
                </c:pt>
                <c:pt idx="2">
                  <c:v>2014</c:v>
                </c:pt>
                <c:pt idx="3">
                  <c:v>2015</c:v>
                </c:pt>
                <c:pt idx="4">
                  <c:v>2016</c:v>
                </c:pt>
                <c:pt idx="5">
                  <c:v>2017</c:v>
                </c:pt>
                <c:pt idx="6">
                  <c:v>2018</c:v>
                </c:pt>
                <c:pt idx="7">
                  <c:v>2019</c:v>
                </c:pt>
              </c:numCache>
            </c:numRef>
          </c:cat>
          <c:val>
            <c:numRef>
              <c:f>'[Chart in Microsoft Word]Sheet1'!$D$33:$D$40</c:f>
              <c:numCache>
                <c:formatCode>_(* #,##0.0_);_(* \(#,##0.0\);_(* "-"??_);_(@_)</c:formatCode>
                <c:ptCount val="8"/>
                <c:pt idx="0">
                  <c:v>10.038</c:v>
                </c:pt>
                <c:pt idx="1">
                  <c:v>9.4779999999999998</c:v>
                </c:pt>
                <c:pt idx="2">
                  <c:v>12.177</c:v>
                </c:pt>
                <c:pt idx="3">
                  <c:v>11.868</c:v>
                </c:pt>
                <c:pt idx="4">
                  <c:v>14.286</c:v>
                </c:pt>
                <c:pt idx="5">
                  <c:v>14.72</c:v>
                </c:pt>
                <c:pt idx="6">
                  <c:v>14.385128959999999</c:v>
                </c:pt>
                <c:pt idx="7">
                  <c:v>12.718</c:v>
                </c:pt>
              </c:numCache>
            </c:numRef>
          </c:val>
          <c:smooth val="0"/>
          <c:extLst xmlns:c16r2="http://schemas.microsoft.com/office/drawing/2015/06/chart">
            <c:ext xmlns:c16="http://schemas.microsoft.com/office/drawing/2014/chart" uri="{C3380CC4-5D6E-409C-BE32-E72D297353CC}">
              <c16:uniqueId val="{00000001-5339-4FF4-9BDD-6684D34E4EE2}"/>
            </c:ext>
          </c:extLst>
        </c:ser>
        <c:dLbls>
          <c:showLegendKey val="0"/>
          <c:showVal val="0"/>
          <c:showCatName val="0"/>
          <c:showSerName val="0"/>
          <c:showPercent val="0"/>
          <c:showBubbleSize val="0"/>
        </c:dLbls>
        <c:marker val="1"/>
        <c:smooth val="0"/>
        <c:axId val="410884384"/>
        <c:axId val="410884928"/>
      </c:lineChart>
      <c:catAx>
        <c:axId val="410884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84928"/>
        <c:crosses val="autoZero"/>
        <c:auto val="1"/>
        <c:lblAlgn val="ctr"/>
        <c:lblOffset val="100"/>
        <c:noMultiLvlLbl val="0"/>
      </c:catAx>
      <c:valAx>
        <c:axId val="410884928"/>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0884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Sheet1!$D$42</c:f>
              <c:strCache>
                <c:ptCount val="1"/>
                <c:pt idx="0">
                  <c:v>Plan</c:v>
                </c:pt>
              </c:strCache>
            </c:strRef>
          </c:tx>
          <c:spPr>
            <a:solidFill>
              <a:schemeClr val="tx2">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Sheet1!$B$43:$B$50</c:f>
              <c:numCache>
                <c:formatCode>General</c:formatCode>
                <c:ptCount val="8"/>
                <c:pt idx="0">
                  <c:v>2012</c:v>
                </c:pt>
                <c:pt idx="1">
                  <c:v>2013</c:v>
                </c:pt>
                <c:pt idx="2">
                  <c:v>2014</c:v>
                </c:pt>
                <c:pt idx="3">
                  <c:v>2015</c:v>
                </c:pt>
                <c:pt idx="4">
                  <c:v>2016</c:v>
                </c:pt>
                <c:pt idx="5">
                  <c:v>2017</c:v>
                </c:pt>
                <c:pt idx="6">
                  <c:v>2018</c:v>
                </c:pt>
                <c:pt idx="7">
                  <c:v>2019</c:v>
                </c:pt>
              </c:numCache>
            </c:numRef>
          </c:cat>
          <c:val>
            <c:numRef>
              <c:f>Sheet1!$D$43:$D$50</c:f>
              <c:numCache>
                <c:formatCode>_(* #,##0.0_);_(* \(#,##0.0\);_(* "-"??_);_(@_)</c:formatCode>
                <c:ptCount val="8"/>
                <c:pt idx="0">
                  <c:v>10.56</c:v>
                </c:pt>
                <c:pt idx="1">
                  <c:v>6.5</c:v>
                </c:pt>
                <c:pt idx="2">
                  <c:v>10</c:v>
                </c:pt>
                <c:pt idx="3">
                  <c:v>10.568</c:v>
                </c:pt>
                <c:pt idx="4">
                  <c:v>11.55</c:v>
                </c:pt>
                <c:pt idx="5">
                  <c:v>11.702</c:v>
                </c:pt>
                <c:pt idx="6">
                  <c:v>16.649999999999999</c:v>
                </c:pt>
                <c:pt idx="7">
                  <c:v>15.7</c:v>
                </c:pt>
              </c:numCache>
            </c:numRef>
          </c:val>
          <c:extLst xmlns:c16r2="http://schemas.microsoft.com/office/drawing/2015/06/chart">
            <c:ext xmlns:c16="http://schemas.microsoft.com/office/drawing/2014/chart" uri="{C3380CC4-5D6E-409C-BE32-E72D297353CC}">
              <c16:uniqueId val="{00000001-ED35-450A-9608-22BC2D9A69C1}"/>
            </c:ext>
          </c:extLst>
        </c:ser>
        <c:dLbls>
          <c:showLegendKey val="0"/>
          <c:showVal val="0"/>
          <c:showCatName val="0"/>
          <c:showSerName val="0"/>
          <c:showPercent val="0"/>
          <c:showBubbleSize val="0"/>
        </c:dLbls>
        <c:gapWidth val="150"/>
        <c:axId val="410885472"/>
        <c:axId val="410881664"/>
      </c:barChart>
      <c:lineChart>
        <c:grouping val="standard"/>
        <c:varyColors val="0"/>
        <c:ser>
          <c:idx val="0"/>
          <c:order val="0"/>
          <c:tx>
            <c:strRef>
              <c:f>Sheet1!$C$42</c:f>
              <c:strCache>
                <c:ptCount val="1"/>
                <c:pt idx="0">
                  <c:v>Fakt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Sheet1!$B$43:$B$50</c:f>
              <c:numCache>
                <c:formatCode>General</c:formatCode>
                <c:ptCount val="8"/>
                <c:pt idx="0">
                  <c:v>2012</c:v>
                </c:pt>
                <c:pt idx="1">
                  <c:v>2013</c:v>
                </c:pt>
                <c:pt idx="2">
                  <c:v>2014</c:v>
                </c:pt>
                <c:pt idx="3">
                  <c:v>2015</c:v>
                </c:pt>
                <c:pt idx="4">
                  <c:v>2016</c:v>
                </c:pt>
                <c:pt idx="5">
                  <c:v>2017</c:v>
                </c:pt>
                <c:pt idx="6">
                  <c:v>2018</c:v>
                </c:pt>
                <c:pt idx="7">
                  <c:v>2019</c:v>
                </c:pt>
              </c:numCache>
            </c:numRef>
          </c:cat>
          <c:val>
            <c:numRef>
              <c:f>Sheet1!$C$43:$C$50</c:f>
              <c:numCache>
                <c:formatCode>_(* #,##0.0_);_(* \(#,##0.0\);_(* "-"??_);_(@_)</c:formatCode>
                <c:ptCount val="8"/>
                <c:pt idx="0">
                  <c:v>7.6879999999999997</c:v>
                </c:pt>
                <c:pt idx="1">
                  <c:v>7.5789999999999997</c:v>
                </c:pt>
                <c:pt idx="2">
                  <c:v>9.4770000000000003</c:v>
                </c:pt>
                <c:pt idx="3">
                  <c:v>11.736000000000001</c:v>
                </c:pt>
                <c:pt idx="4">
                  <c:v>14.551</c:v>
                </c:pt>
                <c:pt idx="5">
                  <c:v>15.326000000000001</c:v>
                </c:pt>
                <c:pt idx="6">
                  <c:v>15.58849</c:v>
                </c:pt>
                <c:pt idx="7">
                  <c:v>17.7</c:v>
                </c:pt>
              </c:numCache>
            </c:numRef>
          </c:val>
          <c:smooth val="0"/>
          <c:extLst xmlns:c16r2="http://schemas.microsoft.com/office/drawing/2015/06/chart">
            <c:ext xmlns:c16="http://schemas.microsoft.com/office/drawing/2014/chart" uri="{C3380CC4-5D6E-409C-BE32-E72D297353CC}">
              <c16:uniqueId val="{00000000-ED35-450A-9608-22BC2D9A69C1}"/>
            </c:ext>
          </c:extLst>
        </c:ser>
        <c:dLbls>
          <c:showLegendKey val="0"/>
          <c:showVal val="0"/>
          <c:showCatName val="0"/>
          <c:showSerName val="0"/>
          <c:showPercent val="0"/>
          <c:showBubbleSize val="0"/>
        </c:dLbls>
        <c:marker val="1"/>
        <c:smooth val="0"/>
        <c:axId val="410885472"/>
        <c:axId val="410881664"/>
      </c:lineChart>
      <c:catAx>
        <c:axId val="410885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81664"/>
        <c:crosses val="autoZero"/>
        <c:auto val="1"/>
        <c:lblAlgn val="ctr"/>
        <c:lblOffset val="100"/>
        <c:noMultiLvlLbl val="0"/>
      </c:catAx>
      <c:valAx>
        <c:axId val="410881664"/>
        <c:scaling>
          <c:orientation val="minMax"/>
        </c:scaling>
        <c:delete val="0"/>
        <c:axPos val="l"/>
        <c:majorGridlines>
          <c:spPr>
            <a:ln w="9525" cap="flat" cmpd="sng" algn="ctr">
              <a:solidFill>
                <a:schemeClr val="tx1">
                  <a:lumMod val="15000"/>
                  <a:lumOff val="85000"/>
                </a:schemeClr>
              </a:solidFill>
              <a:round/>
            </a:ln>
            <a:effectLst/>
          </c:spPr>
        </c:majorGridlines>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108854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B001FA-FD67-4BC0-8C6F-5C8221F65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3906</TotalTime>
  <Pages>67</Pages>
  <Words>24415</Words>
  <Characters>139168</Characters>
  <Application>Microsoft Office Word</Application>
  <DocSecurity>0</DocSecurity>
  <Lines>1159</Lines>
  <Paragraphs>326</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163257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Xhoana Agolli</cp:lastModifiedBy>
  <cp:revision>149</cp:revision>
  <cp:lastPrinted>2019-06-27T12:55:00Z</cp:lastPrinted>
  <dcterms:created xsi:type="dcterms:W3CDTF">2019-06-24T12:13:00Z</dcterms:created>
  <dcterms:modified xsi:type="dcterms:W3CDTF">2019-10-11T07:55:00Z</dcterms:modified>
</cp:coreProperties>
</file>