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F5B29" w14:textId="77777777" w:rsidR="00E62293" w:rsidRPr="000F5C13" w:rsidRDefault="009D308A" w:rsidP="009B24CE">
      <w:pPr>
        <w:keepNext/>
        <w:keepLines/>
        <w:spacing w:before="240" w:after="0"/>
        <w:jc w:val="center"/>
        <w:outlineLvl w:val="0"/>
        <w:rPr>
          <w:rFonts w:ascii="Cambria" w:eastAsia="Times New Roman" w:hAnsi="Cambria" w:cstheme="majorBidi"/>
          <w:b/>
          <w:noProof/>
          <w:color w:val="C00000"/>
          <w:sz w:val="24"/>
          <w:szCs w:val="32"/>
          <w:lang w:val="sq-AL"/>
        </w:rPr>
      </w:pPr>
      <w:bookmarkStart w:id="0" w:name="_Toc491954293"/>
      <w:r w:rsidRPr="00420C06">
        <w:rPr>
          <w:noProof/>
        </w:rPr>
        <w:drawing>
          <wp:anchor distT="0" distB="0" distL="114300" distR="114300" simplePos="0" relativeHeight="251851776" behindDoc="1" locked="0" layoutInCell="1" allowOverlap="1" wp14:anchorId="71DF5F5D" wp14:editId="71DF5F5E">
            <wp:simplePos x="0" y="0"/>
            <wp:positionH relativeFrom="margin">
              <wp:posOffset>-469265</wp:posOffset>
            </wp:positionH>
            <wp:positionV relativeFrom="paragraph">
              <wp:posOffset>0</wp:posOffset>
            </wp:positionV>
            <wp:extent cx="6677025" cy="1518285"/>
            <wp:effectExtent l="0" t="0" r="9525" b="5715"/>
            <wp:wrapSquare wrapText="bothSides"/>
            <wp:docPr id="15" name="Picture 15" descr="cid:image001.jpg@01D4C9C9.A12AE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C9C9.A12AE7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77025" cy="1518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DF5B2A" w14:textId="77777777" w:rsidR="00E62293" w:rsidRPr="000F5C13" w:rsidRDefault="00E62293" w:rsidP="00E62293">
      <w:pPr>
        <w:autoSpaceDE w:val="0"/>
        <w:autoSpaceDN w:val="0"/>
        <w:adjustRightInd w:val="0"/>
        <w:spacing w:after="0" w:line="360" w:lineRule="auto"/>
        <w:ind w:left="284" w:right="237"/>
        <w:rPr>
          <w:rFonts w:ascii="Times New Roman" w:eastAsia="Batang" w:hAnsi="Times New Roman" w:cs="Times New Roman"/>
          <w:noProof/>
          <w:sz w:val="48"/>
          <w:szCs w:val="48"/>
          <w:lang w:val="sq-AL" w:eastAsia="ko-KR"/>
        </w:rPr>
      </w:pPr>
    </w:p>
    <w:p w14:paraId="71DF5B2B" w14:textId="77777777" w:rsidR="00D80E0B" w:rsidRPr="000F5C13" w:rsidRDefault="00D80E0B" w:rsidP="00E62293">
      <w:pPr>
        <w:autoSpaceDE w:val="0"/>
        <w:autoSpaceDN w:val="0"/>
        <w:adjustRightInd w:val="0"/>
        <w:spacing w:after="0" w:line="360" w:lineRule="auto"/>
        <w:ind w:left="284" w:right="237"/>
        <w:rPr>
          <w:rFonts w:ascii="Times New Roman" w:eastAsia="Batang" w:hAnsi="Times New Roman" w:cs="Times New Roman"/>
          <w:noProof/>
          <w:sz w:val="48"/>
          <w:szCs w:val="48"/>
          <w:lang w:val="sq-AL" w:eastAsia="ko-KR"/>
        </w:rPr>
      </w:pPr>
    </w:p>
    <w:p w14:paraId="71DF5B2C" w14:textId="77777777" w:rsidR="00D80E0B" w:rsidRPr="000F5C13" w:rsidRDefault="00D80E0B" w:rsidP="00E62293">
      <w:pPr>
        <w:autoSpaceDE w:val="0"/>
        <w:autoSpaceDN w:val="0"/>
        <w:adjustRightInd w:val="0"/>
        <w:spacing w:after="0" w:line="360" w:lineRule="auto"/>
        <w:ind w:left="284" w:right="237"/>
        <w:rPr>
          <w:rFonts w:ascii="Times New Roman" w:eastAsia="Batang" w:hAnsi="Times New Roman" w:cs="Times New Roman"/>
          <w:noProof/>
          <w:sz w:val="48"/>
          <w:szCs w:val="48"/>
          <w:lang w:val="sq-AL" w:eastAsia="ko-KR"/>
        </w:rPr>
      </w:pPr>
    </w:p>
    <w:p w14:paraId="71DF5B2D" w14:textId="77777777" w:rsidR="00E62293" w:rsidRPr="000F5C13" w:rsidRDefault="00E62293" w:rsidP="00E62293">
      <w:pPr>
        <w:autoSpaceDE w:val="0"/>
        <w:autoSpaceDN w:val="0"/>
        <w:adjustRightInd w:val="0"/>
        <w:spacing w:after="0" w:line="240" w:lineRule="auto"/>
        <w:ind w:left="284" w:right="237"/>
        <w:jc w:val="center"/>
        <w:rPr>
          <w:rFonts w:ascii="Times New Roman" w:eastAsia="Batang" w:hAnsi="Times New Roman" w:cs="Times New Roman"/>
          <w:b/>
          <w:noProof/>
          <w:color w:val="800000"/>
          <w:sz w:val="48"/>
          <w:szCs w:val="48"/>
          <w:lang w:val="sq-AL" w:eastAsia="ko-KR"/>
        </w:rPr>
      </w:pPr>
      <w:r w:rsidRPr="000F5C13">
        <w:rPr>
          <w:rFonts w:ascii="Times New Roman" w:eastAsia="Batang" w:hAnsi="Times New Roman" w:cs="Times New Roman"/>
          <w:b/>
          <w:noProof/>
          <w:color w:val="800000"/>
          <w:sz w:val="48"/>
          <w:szCs w:val="48"/>
          <w:lang w:val="sq-AL" w:eastAsia="ko-KR"/>
        </w:rPr>
        <w:t>______________________________</w:t>
      </w:r>
    </w:p>
    <w:p w14:paraId="71DF5B2E" w14:textId="77777777" w:rsidR="00E62293" w:rsidRPr="000F5C13" w:rsidRDefault="00E62293" w:rsidP="00E62293">
      <w:pPr>
        <w:autoSpaceDE w:val="0"/>
        <w:autoSpaceDN w:val="0"/>
        <w:adjustRightInd w:val="0"/>
        <w:spacing w:after="0" w:line="240" w:lineRule="auto"/>
        <w:ind w:left="284" w:right="237"/>
        <w:jc w:val="center"/>
        <w:rPr>
          <w:rFonts w:ascii="Cambria" w:eastAsia="Batang" w:hAnsi="Cambria" w:cs="Times New Roman"/>
          <w:b/>
          <w:noProof/>
          <w:sz w:val="40"/>
          <w:szCs w:val="40"/>
          <w:lang w:val="sq-AL" w:eastAsia="ko-KR"/>
        </w:rPr>
      </w:pPr>
    </w:p>
    <w:p w14:paraId="71DF5B2F" w14:textId="77777777" w:rsidR="00E62293" w:rsidRPr="000F5C13" w:rsidRDefault="00E62293" w:rsidP="00E62293">
      <w:pPr>
        <w:autoSpaceDE w:val="0"/>
        <w:autoSpaceDN w:val="0"/>
        <w:adjustRightInd w:val="0"/>
        <w:spacing w:after="0" w:line="240" w:lineRule="auto"/>
        <w:ind w:left="284" w:right="237"/>
        <w:jc w:val="center"/>
        <w:rPr>
          <w:rFonts w:ascii="Cambria" w:eastAsia="Batang" w:hAnsi="Cambria" w:cs="Times New Roman"/>
          <w:b/>
          <w:noProof/>
          <w:sz w:val="40"/>
          <w:szCs w:val="40"/>
          <w:lang w:val="sq-AL" w:eastAsia="ko-KR"/>
        </w:rPr>
      </w:pPr>
      <w:r w:rsidRPr="000F5C13">
        <w:rPr>
          <w:rFonts w:ascii="Cambria" w:eastAsia="Batang" w:hAnsi="Cambria" w:cs="Times New Roman"/>
          <w:b/>
          <w:noProof/>
          <w:sz w:val="40"/>
          <w:szCs w:val="40"/>
          <w:lang w:val="sq-AL" w:eastAsia="ko-KR"/>
        </w:rPr>
        <w:t xml:space="preserve">STRATEGJIA AFATMESME </w:t>
      </w:r>
    </w:p>
    <w:p w14:paraId="71DF5B30" w14:textId="77777777" w:rsidR="00E62293" w:rsidRPr="000F5C13" w:rsidRDefault="00E62293" w:rsidP="00E62293">
      <w:pPr>
        <w:autoSpaceDE w:val="0"/>
        <w:autoSpaceDN w:val="0"/>
        <w:adjustRightInd w:val="0"/>
        <w:spacing w:after="0" w:line="240" w:lineRule="auto"/>
        <w:ind w:left="284" w:right="237"/>
        <w:jc w:val="center"/>
        <w:rPr>
          <w:rFonts w:ascii="Cambria" w:eastAsia="Batang" w:hAnsi="Cambria" w:cs="Times New Roman"/>
          <w:b/>
          <w:noProof/>
          <w:sz w:val="40"/>
          <w:szCs w:val="40"/>
          <w:lang w:val="sq-AL" w:eastAsia="ko-KR"/>
        </w:rPr>
      </w:pPr>
      <w:r w:rsidRPr="000F5C13">
        <w:rPr>
          <w:rFonts w:ascii="Cambria" w:eastAsia="Batang" w:hAnsi="Cambria" w:cs="Times New Roman"/>
          <w:b/>
          <w:noProof/>
          <w:sz w:val="40"/>
          <w:szCs w:val="40"/>
          <w:lang w:val="sq-AL" w:eastAsia="ko-KR"/>
        </w:rPr>
        <w:t xml:space="preserve">E </w:t>
      </w:r>
    </w:p>
    <w:p w14:paraId="71DF5B31" w14:textId="77777777" w:rsidR="00E62293" w:rsidRPr="000F5C13" w:rsidRDefault="00E62293" w:rsidP="00E62293">
      <w:pPr>
        <w:autoSpaceDE w:val="0"/>
        <w:autoSpaceDN w:val="0"/>
        <w:adjustRightInd w:val="0"/>
        <w:spacing w:after="0" w:line="240" w:lineRule="auto"/>
        <w:ind w:left="284" w:right="237"/>
        <w:jc w:val="center"/>
        <w:rPr>
          <w:rFonts w:ascii="Cambria" w:eastAsia="Batang" w:hAnsi="Cambria" w:cs="Times New Roman"/>
          <w:b/>
          <w:noProof/>
          <w:sz w:val="40"/>
          <w:szCs w:val="40"/>
          <w:lang w:val="sq-AL" w:eastAsia="ko-KR"/>
        </w:rPr>
      </w:pPr>
      <w:r w:rsidRPr="000F5C13">
        <w:rPr>
          <w:rFonts w:ascii="Cambria" w:eastAsia="Batang" w:hAnsi="Cambria" w:cs="Times New Roman"/>
          <w:b/>
          <w:noProof/>
          <w:sz w:val="40"/>
          <w:szCs w:val="40"/>
          <w:lang w:val="sq-AL" w:eastAsia="ko-KR"/>
        </w:rPr>
        <w:t>MENAXHIMIT TË BORXHIT</w:t>
      </w:r>
    </w:p>
    <w:p w14:paraId="71DF5B32" w14:textId="77777777" w:rsidR="00E62293" w:rsidRPr="000F5C13" w:rsidRDefault="00E62293" w:rsidP="00E62293">
      <w:pPr>
        <w:autoSpaceDE w:val="0"/>
        <w:autoSpaceDN w:val="0"/>
        <w:adjustRightInd w:val="0"/>
        <w:spacing w:after="0" w:line="240" w:lineRule="auto"/>
        <w:ind w:left="284" w:right="237"/>
        <w:jc w:val="center"/>
        <w:rPr>
          <w:rFonts w:ascii="Cambria" w:eastAsia="Batang" w:hAnsi="Cambria" w:cs="Times New Roman"/>
          <w:b/>
          <w:noProof/>
          <w:sz w:val="40"/>
          <w:szCs w:val="40"/>
          <w:lang w:val="sq-AL" w:eastAsia="ko-KR"/>
        </w:rPr>
      </w:pPr>
      <w:r w:rsidRPr="000F5C13">
        <w:rPr>
          <w:rFonts w:ascii="Times New Roman" w:eastAsia="Batang" w:hAnsi="Times New Roman" w:cs="Times New Roman"/>
          <w:b/>
          <w:noProof/>
          <w:color w:val="800000"/>
          <w:sz w:val="48"/>
          <w:szCs w:val="48"/>
          <w:lang w:val="sq-AL" w:eastAsia="ko-KR"/>
        </w:rPr>
        <w:t>______________________________</w:t>
      </w:r>
    </w:p>
    <w:p w14:paraId="71DF5B33" w14:textId="77777777" w:rsidR="00E62293" w:rsidRPr="000F5C13" w:rsidRDefault="00AA38F6" w:rsidP="00E62293">
      <w:pPr>
        <w:autoSpaceDE w:val="0"/>
        <w:autoSpaceDN w:val="0"/>
        <w:adjustRightInd w:val="0"/>
        <w:spacing w:after="0" w:line="360" w:lineRule="auto"/>
        <w:ind w:left="284" w:right="237"/>
        <w:jc w:val="center"/>
        <w:rPr>
          <w:rFonts w:ascii="Cambria" w:eastAsia="Batang" w:hAnsi="Cambria" w:cs="Times New Roman"/>
          <w:b/>
          <w:noProof/>
          <w:sz w:val="40"/>
          <w:szCs w:val="40"/>
          <w:lang w:val="sq-AL" w:eastAsia="ko-KR"/>
        </w:rPr>
      </w:pPr>
      <w:r>
        <w:rPr>
          <w:rFonts w:ascii="Cambria" w:eastAsia="Batang" w:hAnsi="Cambria" w:cs="Times New Roman"/>
          <w:b/>
          <w:noProof/>
          <w:sz w:val="40"/>
          <w:szCs w:val="40"/>
          <w:lang w:val="sq-AL" w:eastAsia="ko-KR"/>
        </w:rPr>
        <w:t>2020-2022</w:t>
      </w:r>
    </w:p>
    <w:p w14:paraId="71DF5B34" w14:textId="77777777" w:rsidR="00E62293" w:rsidRPr="000F5C13" w:rsidRDefault="00E62293" w:rsidP="00E62293">
      <w:pPr>
        <w:ind w:left="284" w:right="237"/>
        <w:jc w:val="both"/>
        <w:rPr>
          <w:rFonts w:ascii="Times New Roman" w:eastAsia="Batang" w:hAnsi="Times New Roman" w:cs="Times New Roman"/>
          <w:b/>
          <w:bCs/>
          <w:noProof/>
          <w:sz w:val="24"/>
          <w:szCs w:val="24"/>
          <w:lang w:val="sq-AL"/>
        </w:rPr>
      </w:pPr>
    </w:p>
    <w:p w14:paraId="71DF5B35" w14:textId="77777777" w:rsidR="00E62293" w:rsidRPr="000F5C13" w:rsidRDefault="00E62293" w:rsidP="00E62293">
      <w:pPr>
        <w:ind w:left="284" w:right="237"/>
        <w:jc w:val="both"/>
        <w:rPr>
          <w:rFonts w:ascii="Times New Roman" w:eastAsia="Batang" w:hAnsi="Times New Roman" w:cs="Times New Roman"/>
          <w:b/>
          <w:bCs/>
          <w:noProof/>
          <w:sz w:val="24"/>
          <w:szCs w:val="24"/>
          <w:lang w:val="sq-AL"/>
        </w:rPr>
      </w:pPr>
    </w:p>
    <w:p w14:paraId="71DF5B36" w14:textId="77777777" w:rsidR="00E62293" w:rsidRPr="000F5C13" w:rsidRDefault="00E62293" w:rsidP="00E62293">
      <w:pPr>
        <w:ind w:left="284" w:right="237"/>
        <w:jc w:val="both"/>
        <w:rPr>
          <w:rFonts w:ascii="Times New Roman" w:eastAsia="Batang" w:hAnsi="Times New Roman" w:cs="Times New Roman"/>
          <w:b/>
          <w:bCs/>
          <w:noProof/>
          <w:sz w:val="24"/>
          <w:szCs w:val="24"/>
          <w:lang w:val="sq-AL"/>
        </w:rPr>
      </w:pPr>
    </w:p>
    <w:p w14:paraId="71DF5B37" w14:textId="77777777" w:rsidR="00E62293" w:rsidRPr="000F5C13" w:rsidRDefault="00E62293" w:rsidP="00E62293">
      <w:pPr>
        <w:ind w:left="284" w:right="237"/>
        <w:jc w:val="both"/>
        <w:rPr>
          <w:rFonts w:ascii="Times New Roman" w:eastAsia="Batang" w:hAnsi="Times New Roman" w:cs="Times New Roman"/>
          <w:b/>
          <w:bCs/>
          <w:noProof/>
          <w:sz w:val="24"/>
          <w:szCs w:val="24"/>
          <w:lang w:val="sq-AL"/>
        </w:rPr>
      </w:pPr>
    </w:p>
    <w:p w14:paraId="71DF5B38" w14:textId="77777777" w:rsidR="00E62293" w:rsidRPr="000F5C13" w:rsidRDefault="00E62293" w:rsidP="00D80E0B">
      <w:pPr>
        <w:ind w:right="237"/>
        <w:jc w:val="both"/>
        <w:rPr>
          <w:rFonts w:ascii="Times New Roman" w:eastAsia="Batang" w:hAnsi="Times New Roman" w:cs="Times New Roman"/>
          <w:b/>
          <w:bCs/>
          <w:noProof/>
          <w:sz w:val="24"/>
          <w:szCs w:val="24"/>
          <w:lang w:val="sq-AL"/>
        </w:rPr>
      </w:pPr>
    </w:p>
    <w:p w14:paraId="71DF5B39" w14:textId="77777777" w:rsidR="00D80E0B" w:rsidRPr="000F5C13" w:rsidRDefault="00D80E0B" w:rsidP="00D80E0B">
      <w:pPr>
        <w:ind w:right="237"/>
        <w:jc w:val="both"/>
        <w:rPr>
          <w:rFonts w:ascii="Times New Roman" w:eastAsia="Batang" w:hAnsi="Times New Roman" w:cs="Times New Roman"/>
          <w:b/>
          <w:bCs/>
          <w:noProof/>
          <w:sz w:val="24"/>
          <w:szCs w:val="24"/>
          <w:lang w:val="sq-AL"/>
        </w:rPr>
      </w:pPr>
    </w:p>
    <w:p w14:paraId="71DF5B3A" w14:textId="77777777" w:rsidR="00D80E0B" w:rsidRPr="000F5C13" w:rsidRDefault="00D80E0B" w:rsidP="00D80E0B">
      <w:pPr>
        <w:ind w:right="237"/>
        <w:jc w:val="both"/>
        <w:rPr>
          <w:rFonts w:ascii="Times New Roman" w:eastAsia="Batang" w:hAnsi="Times New Roman" w:cs="Times New Roman"/>
          <w:b/>
          <w:bCs/>
          <w:noProof/>
          <w:sz w:val="24"/>
          <w:szCs w:val="24"/>
          <w:lang w:val="sq-AL"/>
        </w:rPr>
      </w:pPr>
    </w:p>
    <w:p w14:paraId="71DF5B3B" w14:textId="77777777" w:rsidR="00D80E0B" w:rsidRPr="000F5C13" w:rsidRDefault="00D80E0B" w:rsidP="00D80E0B">
      <w:pPr>
        <w:ind w:right="237"/>
        <w:jc w:val="both"/>
        <w:rPr>
          <w:rFonts w:ascii="Times New Roman" w:eastAsia="Batang" w:hAnsi="Times New Roman" w:cs="Times New Roman"/>
          <w:b/>
          <w:bCs/>
          <w:noProof/>
          <w:sz w:val="24"/>
          <w:szCs w:val="24"/>
          <w:lang w:val="sq-AL"/>
        </w:rPr>
      </w:pPr>
    </w:p>
    <w:p w14:paraId="71DF5B3C" w14:textId="77777777" w:rsidR="00E62293" w:rsidRPr="000F5C13" w:rsidRDefault="00E62293" w:rsidP="00E62293">
      <w:pPr>
        <w:ind w:left="284" w:right="237"/>
        <w:jc w:val="both"/>
        <w:rPr>
          <w:rFonts w:ascii="Times New Roman" w:eastAsia="Batang" w:hAnsi="Times New Roman" w:cs="Times New Roman"/>
          <w:b/>
          <w:bCs/>
          <w:noProof/>
          <w:sz w:val="24"/>
          <w:szCs w:val="24"/>
          <w:lang w:val="sq-AL"/>
        </w:rPr>
      </w:pPr>
    </w:p>
    <w:p w14:paraId="71DF5B3D" w14:textId="77777777" w:rsidR="00C64434" w:rsidRPr="000F5C13" w:rsidRDefault="00D83FB2" w:rsidP="009D308A">
      <w:pPr>
        <w:ind w:left="284" w:right="237"/>
        <w:jc w:val="center"/>
        <w:rPr>
          <w:rFonts w:ascii="Cambria" w:eastAsia="Batang" w:hAnsi="Cambria" w:cs="Times New Roman"/>
          <w:bCs/>
          <w:noProof/>
          <w:sz w:val="24"/>
          <w:szCs w:val="24"/>
          <w:lang w:val="sq-AL"/>
        </w:rPr>
      </w:pPr>
      <w:r w:rsidRPr="000F5C13">
        <w:rPr>
          <w:rFonts w:ascii="Cambria" w:eastAsia="Batang" w:hAnsi="Cambria" w:cs="Times New Roman"/>
          <w:bCs/>
          <w:noProof/>
          <w:sz w:val="24"/>
          <w:szCs w:val="24"/>
          <w:lang w:val="sq-AL"/>
        </w:rPr>
        <w:t xml:space="preserve"> </w:t>
      </w:r>
      <w:r w:rsidR="003B23B9">
        <w:rPr>
          <w:rFonts w:ascii="Cambria" w:eastAsia="Batang" w:hAnsi="Cambria" w:cs="Times New Roman"/>
          <w:bCs/>
          <w:noProof/>
          <w:sz w:val="24"/>
          <w:szCs w:val="24"/>
          <w:lang w:val="sq-AL"/>
        </w:rPr>
        <w:t>Dhjetor</w:t>
      </w:r>
      <w:r w:rsidRPr="005C71DC">
        <w:rPr>
          <w:rFonts w:ascii="Cambria" w:eastAsia="Batang" w:hAnsi="Cambria" w:cs="Times New Roman"/>
          <w:bCs/>
          <w:noProof/>
          <w:sz w:val="24"/>
          <w:szCs w:val="24"/>
          <w:lang w:val="sq-AL"/>
        </w:rPr>
        <w:t xml:space="preserve"> </w:t>
      </w:r>
      <w:r w:rsidR="00AA38F6" w:rsidRPr="005C71DC">
        <w:rPr>
          <w:rFonts w:ascii="Cambria" w:eastAsia="Batang" w:hAnsi="Cambria" w:cs="Times New Roman"/>
          <w:bCs/>
          <w:noProof/>
          <w:sz w:val="24"/>
          <w:szCs w:val="24"/>
          <w:lang w:val="sq-AL"/>
        </w:rPr>
        <w:t>2019</w:t>
      </w:r>
    </w:p>
    <w:p w14:paraId="71DF5B3E" w14:textId="77777777" w:rsidR="00E62293" w:rsidRPr="000F5C13" w:rsidRDefault="00A442CD" w:rsidP="00A442CD">
      <w:pPr>
        <w:tabs>
          <w:tab w:val="center" w:pos="4537"/>
          <w:tab w:val="right" w:pos="8790"/>
        </w:tabs>
        <w:ind w:left="284" w:right="237"/>
        <w:rPr>
          <w:rFonts w:ascii="Cambria" w:eastAsia="Times New Roman" w:hAnsi="Cambria" w:cs="Times New Roman"/>
          <w:b/>
          <w:noProof/>
          <w:color w:val="C00000"/>
          <w:sz w:val="24"/>
          <w:szCs w:val="24"/>
          <w:lang w:val="sq-AL"/>
        </w:rPr>
      </w:pPr>
      <w:r w:rsidRPr="005C71DC">
        <w:rPr>
          <w:rFonts w:ascii="Cambria" w:eastAsia="Times New Roman" w:hAnsi="Cambria" w:cs="Times New Roman"/>
          <w:b/>
          <w:noProof/>
          <w:color w:val="C00000"/>
          <w:sz w:val="24"/>
          <w:szCs w:val="24"/>
          <w:lang w:val="sq-AL"/>
        </w:rPr>
        <w:lastRenderedPageBreak/>
        <w:tab/>
      </w:r>
      <w:r w:rsidR="00E62293" w:rsidRPr="005C71DC">
        <w:rPr>
          <w:rFonts w:ascii="Cambria" w:eastAsia="Times New Roman" w:hAnsi="Cambria" w:cs="Times New Roman"/>
          <w:b/>
          <w:noProof/>
          <w:color w:val="C00000"/>
          <w:sz w:val="24"/>
          <w:szCs w:val="24"/>
          <w:lang w:val="sq-AL"/>
        </w:rPr>
        <w:t>PËRMBAJTJA</w:t>
      </w:r>
      <w:r w:rsidRPr="005C71DC">
        <w:rPr>
          <w:rFonts w:ascii="Cambria" w:eastAsia="Times New Roman" w:hAnsi="Cambria" w:cs="Times New Roman"/>
          <w:b/>
          <w:noProof/>
          <w:color w:val="C00000"/>
          <w:sz w:val="24"/>
          <w:szCs w:val="24"/>
          <w:lang w:val="sq-AL"/>
        </w:rPr>
        <w:tab/>
      </w:r>
    </w:p>
    <w:p w14:paraId="71DF5B3F" w14:textId="77777777" w:rsidR="00C64434" w:rsidRPr="000F5C13" w:rsidRDefault="00A442CD" w:rsidP="00A442CD">
      <w:pPr>
        <w:tabs>
          <w:tab w:val="left" w:pos="1223"/>
        </w:tabs>
        <w:ind w:right="237"/>
        <w:rPr>
          <w:rFonts w:ascii="Cambria" w:eastAsia="Times New Roman" w:hAnsi="Cambria" w:cs="Times New Roman"/>
          <w:b/>
          <w:noProof/>
          <w:color w:val="C00000"/>
          <w:sz w:val="24"/>
          <w:szCs w:val="24"/>
          <w:lang w:val="sq-AL"/>
        </w:rPr>
      </w:pPr>
      <w:r>
        <w:rPr>
          <w:rFonts w:ascii="Cambria" w:eastAsia="Times New Roman" w:hAnsi="Cambria" w:cs="Times New Roman"/>
          <w:b/>
          <w:noProof/>
          <w:color w:val="C00000"/>
          <w:sz w:val="24"/>
          <w:szCs w:val="24"/>
          <w:lang w:val="sq-AL"/>
        </w:rPr>
        <w:tab/>
      </w:r>
    </w:p>
    <w:sdt>
      <w:sdtPr>
        <w:rPr>
          <w:noProof/>
          <w:lang w:val="sq-AL"/>
        </w:rPr>
        <w:id w:val="-1064023403"/>
        <w:docPartObj>
          <w:docPartGallery w:val="Table of Contents"/>
          <w:docPartUnique/>
        </w:docPartObj>
      </w:sdtPr>
      <w:sdtEndPr>
        <w:rPr>
          <w:b/>
          <w:bCs/>
        </w:rPr>
      </w:sdtEndPr>
      <w:sdtContent>
        <w:p w14:paraId="71DF5B40" w14:textId="77777777" w:rsidR="00720AC5" w:rsidRPr="000F5C13" w:rsidRDefault="00C64434">
          <w:pPr>
            <w:pStyle w:val="TOC1"/>
            <w:tabs>
              <w:tab w:val="right" w:leader="dot" w:pos="9017"/>
            </w:tabs>
            <w:rPr>
              <w:rFonts w:ascii="Cambria" w:eastAsiaTheme="minorEastAsia" w:hAnsi="Cambria"/>
              <w:noProof/>
              <w:lang w:val="sq-AL"/>
            </w:rPr>
          </w:pPr>
          <w:r w:rsidRPr="000F5C13">
            <w:rPr>
              <w:noProof/>
              <w:sz w:val="24"/>
              <w:szCs w:val="24"/>
              <w:lang w:val="sq-AL"/>
            </w:rPr>
            <w:fldChar w:fldCharType="begin"/>
          </w:r>
          <w:r w:rsidRPr="000F5C13">
            <w:rPr>
              <w:noProof/>
              <w:sz w:val="24"/>
              <w:szCs w:val="24"/>
              <w:lang w:val="sq-AL"/>
            </w:rPr>
            <w:instrText xml:space="preserve"> TOC \o "1-3" \h \z \u </w:instrText>
          </w:r>
          <w:r w:rsidRPr="000F5C13">
            <w:rPr>
              <w:noProof/>
              <w:sz w:val="24"/>
              <w:szCs w:val="24"/>
              <w:lang w:val="sq-AL"/>
            </w:rPr>
            <w:fldChar w:fldCharType="separate"/>
          </w:r>
        </w:p>
        <w:p w14:paraId="71DF5B41" w14:textId="77777777" w:rsidR="00720AC5" w:rsidRPr="000F5C13" w:rsidRDefault="003F4DBF">
          <w:pPr>
            <w:pStyle w:val="TOC1"/>
            <w:tabs>
              <w:tab w:val="right" w:leader="dot" w:pos="9017"/>
            </w:tabs>
            <w:rPr>
              <w:rFonts w:ascii="Cambria" w:eastAsiaTheme="minorEastAsia" w:hAnsi="Cambria"/>
              <w:noProof/>
              <w:lang w:val="sq-AL"/>
            </w:rPr>
          </w:pPr>
          <w:hyperlink w:anchor="_Toc524506525" w:history="1">
            <w:r w:rsidR="00720AC5" w:rsidRPr="000F5C13">
              <w:rPr>
                <w:rStyle w:val="Hyperlink"/>
                <w:rFonts w:ascii="Cambria" w:eastAsia="Times New Roman" w:hAnsi="Cambria" w:cstheme="majorBidi"/>
                <w:b/>
                <w:noProof/>
                <w:lang w:val="sq-AL"/>
              </w:rPr>
              <w:t>PËRMBLEDHJE</w:t>
            </w:r>
            <w:r w:rsidR="00720AC5" w:rsidRPr="000F5C13">
              <w:rPr>
                <w:rFonts w:ascii="Cambria" w:hAnsi="Cambria"/>
                <w:noProof/>
                <w:webHidden/>
                <w:lang w:val="sq-AL"/>
              </w:rPr>
              <w:tab/>
            </w:r>
            <w:r w:rsidR="00720AC5" w:rsidRPr="000F5C13">
              <w:rPr>
                <w:rFonts w:ascii="Cambria" w:hAnsi="Cambria"/>
                <w:noProof/>
                <w:webHidden/>
                <w:lang w:val="sq-AL"/>
              </w:rPr>
              <w:fldChar w:fldCharType="begin"/>
            </w:r>
            <w:r w:rsidR="00720AC5" w:rsidRPr="000F5C13">
              <w:rPr>
                <w:rFonts w:ascii="Cambria" w:hAnsi="Cambria"/>
                <w:noProof/>
                <w:webHidden/>
                <w:lang w:val="sq-AL"/>
              </w:rPr>
              <w:instrText xml:space="preserve"> PAGEREF _Toc524506525 \h </w:instrText>
            </w:r>
            <w:r w:rsidR="00720AC5" w:rsidRPr="000F5C13">
              <w:rPr>
                <w:rFonts w:ascii="Cambria" w:hAnsi="Cambria"/>
                <w:noProof/>
                <w:webHidden/>
                <w:lang w:val="sq-AL"/>
              </w:rPr>
            </w:r>
            <w:r w:rsidR="00720AC5" w:rsidRPr="000F5C13">
              <w:rPr>
                <w:rFonts w:ascii="Cambria" w:hAnsi="Cambria"/>
                <w:noProof/>
                <w:webHidden/>
                <w:lang w:val="sq-AL"/>
              </w:rPr>
              <w:fldChar w:fldCharType="separate"/>
            </w:r>
            <w:r w:rsidR="009C0ED2">
              <w:rPr>
                <w:rFonts w:ascii="Cambria" w:hAnsi="Cambria"/>
                <w:noProof/>
                <w:webHidden/>
                <w:lang w:val="sq-AL"/>
              </w:rPr>
              <w:t>4</w:t>
            </w:r>
            <w:r w:rsidR="00720AC5" w:rsidRPr="000F5C13">
              <w:rPr>
                <w:rFonts w:ascii="Cambria" w:hAnsi="Cambria"/>
                <w:noProof/>
                <w:webHidden/>
                <w:lang w:val="sq-AL"/>
              </w:rPr>
              <w:fldChar w:fldCharType="end"/>
            </w:r>
          </w:hyperlink>
        </w:p>
        <w:p w14:paraId="71DF5B42" w14:textId="77777777" w:rsidR="00720AC5" w:rsidRPr="000F5C13" w:rsidRDefault="003F4DBF">
          <w:pPr>
            <w:pStyle w:val="TOC1"/>
            <w:tabs>
              <w:tab w:val="right" w:leader="dot" w:pos="9017"/>
            </w:tabs>
            <w:rPr>
              <w:rFonts w:ascii="Cambria" w:eastAsiaTheme="minorEastAsia" w:hAnsi="Cambria"/>
              <w:noProof/>
              <w:lang w:val="sq-AL"/>
            </w:rPr>
          </w:pPr>
          <w:hyperlink w:anchor="_Toc524506526" w:history="1">
            <w:r w:rsidR="00720AC5" w:rsidRPr="000F5C13">
              <w:rPr>
                <w:rStyle w:val="Hyperlink"/>
                <w:rFonts w:ascii="Cambria" w:eastAsiaTheme="majorEastAsia" w:hAnsi="Cambria" w:cstheme="majorBidi"/>
                <w:b/>
                <w:noProof/>
                <w:lang w:val="sq-AL"/>
              </w:rPr>
              <w:t>ME</w:t>
            </w:r>
            <w:r w:rsidR="001354B8">
              <w:rPr>
                <w:rStyle w:val="Hyperlink"/>
                <w:rFonts w:ascii="Cambria" w:eastAsiaTheme="majorEastAsia" w:hAnsi="Cambria" w:cstheme="majorBidi"/>
                <w:b/>
                <w:noProof/>
                <w:lang w:val="sq-AL"/>
              </w:rPr>
              <w:t>NAXHIMI I BORXHIT</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_Toc524506526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6</w:t>
            </w:r>
            <w:r w:rsidR="00720AC5" w:rsidRPr="000F5C13">
              <w:rPr>
                <w:rFonts w:ascii="Cambria" w:hAnsi="Cambria"/>
                <w:b/>
                <w:noProof/>
                <w:webHidden/>
                <w:lang w:val="sq-AL"/>
              </w:rPr>
              <w:fldChar w:fldCharType="end"/>
            </w:r>
          </w:hyperlink>
        </w:p>
        <w:p w14:paraId="71DF5B43"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27" w:history="1">
            <w:r w:rsidR="00720AC5" w:rsidRPr="000F5C13">
              <w:rPr>
                <w:rStyle w:val="Hyperlink"/>
                <w:rFonts w:ascii="Cambria" w:eastAsia="Times New Roman" w:hAnsi="Cambria"/>
                <w:noProof/>
                <w:lang w:val="sq-AL"/>
              </w:rPr>
              <w:t>I.</w:t>
            </w:r>
            <w:r w:rsidR="00720AC5" w:rsidRPr="000F5C13">
              <w:rPr>
                <w:rFonts w:ascii="Cambria" w:eastAsiaTheme="minorEastAsia" w:hAnsi="Cambria"/>
                <w:noProof/>
                <w:lang w:val="sq-AL"/>
              </w:rPr>
              <w:tab/>
            </w:r>
            <w:r w:rsidR="00720AC5" w:rsidRPr="000F5C13">
              <w:rPr>
                <w:rStyle w:val="Hyperlink"/>
                <w:rFonts w:ascii="Cambria" w:eastAsia="Times New Roman" w:hAnsi="Cambria"/>
                <w:b/>
                <w:noProof/>
                <w:lang w:val="sq-AL"/>
              </w:rPr>
              <w:t>SITUATA AKTUALE E BORXHIT TË QEVERISJES QENDRORE</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_Toc524506527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8</w:t>
            </w:r>
            <w:r w:rsidR="00720AC5" w:rsidRPr="000F5C13">
              <w:rPr>
                <w:rFonts w:ascii="Cambria" w:hAnsi="Cambria"/>
                <w:b/>
                <w:noProof/>
                <w:webHidden/>
                <w:lang w:val="sq-AL"/>
              </w:rPr>
              <w:fldChar w:fldCharType="end"/>
            </w:r>
          </w:hyperlink>
        </w:p>
        <w:p w14:paraId="71DF5B44"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28" w:history="1">
            <w:r w:rsidR="00720AC5" w:rsidRPr="000F5C13">
              <w:rPr>
                <w:rStyle w:val="Hyperlink"/>
                <w:rFonts w:ascii="Cambria" w:hAnsi="Cambria"/>
                <w:noProof/>
                <w:lang w:val="sq-AL"/>
              </w:rPr>
              <w:t>1.</w:t>
            </w:r>
            <w:r w:rsidR="00720AC5" w:rsidRPr="000F5C13">
              <w:rPr>
                <w:rFonts w:ascii="Cambria" w:eastAsiaTheme="minorEastAsia" w:hAnsi="Cambria"/>
                <w:noProof/>
                <w:lang w:val="sq-AL"/>
              </w:rPr>
              <w:tab/>
            </w:r>
            <w:r w:rsidR="00720AC5" w:rsidRPr="000F5C13">
              <w:rPr>
                <w:rStyle w:val="Hyperlink"/>
                <w:rFonts w:ascii="Cambria" w:hAnsi="Cambria"/>
                <w:b/>
                <w:noProof/>
                <w:lang w:val="sq-AL"/>
              </w:rPr>
              <w:t>Ecuria e Borxhit të Qeverisjes Qendrore</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_Toc524506528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8</w:t>
            </w:r>
            <w:r w:rsidR="00720AC5" w:rsidRPr="000F5C13">
              <w:rPr>
                <w:rFonts w:ascii="Cambria" w:hAnsi="Cambria"/>
                <w:b/>
                <w:noProof/>
                <w:webHidden/>
                <w:lang w:val="sq-AL"/>
              </w:rPr>
              <w:fldChar w:fldCharType="end"/>
            </w:r>
          </w:hyperlink>
        </w:p>
        <w:p w14:paraId="71DF5B45"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29" w:history="1">
            <w:r w:rsidR="00720AC5" w:rsidRPr="000F5C13">
              <w:rPr>
                <w:rStyle w:val="Hyperlink"/>
                <w:rFonts w:ascii="Cambria" w:hAnsi="Cambria"/>
                <w:noProof/>
                <w:lang w:val="sq-AL"/>
              </w:rPr>
              <w:t>2.</w:t>
            </w:r>
            <w:r w:rsidR="00720AC5" w:rsidRPr="000F5C13">
              <w:rPr>
                <w:rFonts w:ascii="Cambria" w:eastAsiaTheme="minorEastAsia" w:hAnsi="Cambria"/>
                <w:noProof/>
                <w:lang w:val="sq-AL"/>
              </w:rPr>
              <w:tab/>
            </w:r>
            <w:r w:rsidR="00720AC5" w:rsidRPr="000F5C13">
              <w:rPr>
                <w:rStyle w:val="Hyperlink"/>
                <w:rFonts w:ascii="Cambria" w:hAnsi="Cambria"/>
                <w:b/>
                <w:noProof/>
                <w:lang w:val="sq-AL"/>
              </w:rPr>
              <w:t>Realizimi i Huamarrjes</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_Toc524506529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9</w:t>
            </w:r>
            <w:r w:rsidR="00720AC5" w:rsidRPr="000F5C13">
              <w:rPr>
                <w:rFonts w:ascii="Cambria" w:hAnsi="Cambria"/>
                <w:b/>
                <w:noProof/>
                <w:webHidden/>
                <w:lang w:val="sq-AL"/>
              </w:rPr>
              <w:fldChar w:fldCharType="end"/>
            </w:r>
          </w:hyperlink>
        </w:p>
        <w:p w14:paraId="71DF5B46" w14:textId="77777777" w:rsidR="00720AC5" w:rsidRPr="000F5C13" w:rsidRDefault="003F4DBF" w:rsidP="005C0FF1">
          <w:pPr>
            <w:pStyle w:val="TOC2"/>
            <w:rPr>
              <w:rFonts w:eastAsiaTheme="minorEastAsia"/>
              <w:noProof/>
              <w:lang w:val="sq-AL"/>
            </w:rPr>
          </w:pPr>
          <w:hyperlink w:anchor="_Toc524506530" w:history="1">
            <w:r w:rsidR="00720AC5" w:rsidRPr="000F5C13">
              <w:rPr>
                <w:rStyle w:val="Hyperlink"/>
                <w:rFonts w:ascii="Cambria" w:hAnsi="Cambria"/>
                <w:noProof/>
                <w:lang w:val="sq-AL"/>
              </w:rPr>
              <w:t>2.1.</w:t>
            </w:r>
            <w:r w:rsidR="00720AC5" w:rsidRPr="000F5C13">
              <w:rPr>
                <w:rFonts w:eastAsiaTheme="minorEastAsia"/>
                <w:noProof/>
                <w:lang w:val="sq-AL"/>
              </w:rPr>
              <w:tab/>
            </w:r>
            <w:r w:rsidR="00720AC5" w:rsidRPr="000F5C13">
              <w:rPr>
                <w:rStyle w:val="Hyperlink"/>
                <w:rFonts w:ascii="Cambria" w:hAnsi="Cambria"/>
                <w:noProof/>
                <w:lang w:val="sq-AL"/>
              </w:rPr>
              <w:t>Huamarrja e Brendshme</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_Toc524506530 \h </w:instrText>
            </w:r>
            <w:r w:rsidR="00720AC5" w:rsidRPr="000F5C13">
              <w:rPr>
                <w:noProof/>
                <w:webHidden/>
                <w:lang w:val="sq-AL"/>
              </w:rPr>
            </w:r>
            <w:r w:rsidR="00720AC5" w:rsidRPr="000F5C13">
              <w:rPr>
                <w:noProof/>
                <w:webHidden/>
                <w:lang w:val="sq-AL"/>
              </w:rPr>
              <w:fldChar w:fldCharType="separate"/>
            </w:r>
            <w:r w:rsidR="009C0ED2">
              <w:rPr>
                <w:noProof/>
                <w:webHidden/>
                <w:lang w:val="sq-AL"/>
              </w:rPr>
              <w:t>9</w:t>
            </w:r>
            <w:r w:rsidR="00720AC5" w:rsidRPr="000F5C13">
              <w:rPr>
                <w:noProof/>
                <w:webHidden/>
                <w:lang w:val="sq-AL"/>
              </w:rPr>
              <w:fldChar w:fldCharType="end"/>
            </w:r>
          </w:hyperlink>
        </w:p>
        <w:p w14:paraId="71DF5B47" w14:textId="77777777" w:rsidR="00720AC5" w:rsidRPr="000F5C13" w:rsidRDefault="003F4DBF" w:rsidP="005C0FF1">
          <w:pPr>
            <w:pStyle w:val="TOC2"/>
            <w:rPr>
              <w:rFonts w:eastAsiaTheme="minorEastAsia"/>
              <w:noProof/>
              <w:lang w:val="sq-AL"/>
            </w:rPr>
          </w:pPr>
          <w:hyperlink w:anchor="_Toc524506531" w:history="1">
            <w:r w:rsidR="00720AC5" w:rsidRPr="000F5C13">
              <w:rPr>
                <w:rStyle w:val="Hyperlink"/>
                <w:rFonts w:ascii="Cambria" w:hAnsi="Cambria"/>
                <w:noProof/>
                <w:lang w:val="sq-AL"/>
              </w:rPr>
              <w:t>2.2.</w:t>
            </w:r>
            <w:r w:rsidR="00720AC5" w:rsidRPr="000F5C13">
              <w:rPr>
                <w:rFonts w:eastAsiaTheme="minorEastAsia"/>
                <w:noProof/>
                <w:lang w:val="sq-AL"/>
              </w:rPr>
              <w:tab/>
            </w:r>
            <w:r w:rsidR="00720AC5" w:rsidRPr="000F5C13">
              <w:rPr>
                <w:rStyle w:val="Hyperlink"/>
                <w:rFonts w:ascii="Cambria" w:hAnsi="Cambria"/>
                <w:noProof/>
                <w:lang w:val="sq-AL"/>
              </w:rPr>
              <w:t>Huamarrja e Huaj</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_Toc524506531 \h </w:instrText>
            </w:r>
            <w:r w:rsidR="00720AC5" w:rsidRPr="000F5C13">
              <w:rPr>
                <w:noProof/>
                <w:webHidden/>
                <w:lang w:val="sq-AL"/>
              </w:rPr>
            </w:r>
            <w:r w:rsidR="00720AC5" w:rsidRPr="000F5C13">
              <w:rPr>
                <w:noProof/>
                <w:webHidden/>
                <w:lang w:val="sq-AL"/>
              </w:rPr>
              <w:fldChar w:fldCharType="separate"/>
            </w:r>
            <w:r w:rsidR="009C0ED2">
              <w:rPr>
                <w:noProof/>
                <w:webHidden/>
                <w:lang w:val="sq-AL"/>
              </w:rPr>
              <w:t>10</w:t>
            </w:r>
            <w:r w:rsidR="00720AC5" w:rsidRPr="000F5C13">
              <w:rPr>
                <w:noProof/>
                <w:webHidden/>
                <w:lang w:val="sq-AL"/>
              </w:rPr>
              <w:fldChar w:fldCharType="end"/>
            </w:r>
          </w:hyperlink>
        </w:p>
        <w:p w14:paraId="71DF5B48"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32" w:history="1">
            <w:r w:rsidR="00720AC5" w:rsidRPr="000F5C13">
              <w:rPr>
                <w:rStyle w:val="Hyperlink"/>
                <w:rFonts w:ascii="Cambria" w:hAnsi="Cambria"/>
                <w:noProof/>
                <w:lang w:val="sq-AL"/>
              </w:rPr>
              <w:t>3.</w:t>
            </w:r>
            <w:r w:rsidR="00720AC5" w:rsidRPr="000F5C13">
              <w:rPr>
                <w:rFonts w:ascii="Cambria" w:eastAsiaTheme="minorEastAsia" w:hAnsi="Cambria"/>
                <w:noProof/>
                <w:lang w:val="sq-AL"/>
              </w:rPr>
              <w:tab/>
            </w:r>
            <w:r w:rsidR="00720AC5" w:rsidRPr="000F5C13">
              <w:rPr>
                <w:rStyle w:val="Hyperlink"/>
                <w:rFonts w:ascii="Cambria" w:hAnsi="Cambria"/>
                <w:b/>
                <w:noProof/>
                <w:lang w:val="sq-AL"/>
              </w:rPr>
              <w:t>Portofoli i Borxhit Shtetëror</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_Toc524506532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11</w:t>
            </w:r>
            <w:r w:rsidR="00720AC5" w:rsidRPr="000F5C13">
              <w:rPr>
                <w:rFonts w:ascii="Cambria" w:hAnsi="Cambria"/>
                <w:b/>
                <w:noProof/>
                <w:webHidden/>
                <w:lang w:val="sq-AL"/>
              </w:rPr>
              <w:fldChar w:fldCharType="end"/>
            </w:r>
          </w:hyperlink>
        </w:p>
        <w:p w14:paraId="71DF5B49"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35" w:history="1">
            <w:r w:rsidR="00720AC5" w:rsidRPr="000F5C13">
              <w:rPr>
                <w:rStyle w:val="Hyperlink"/>
                <w:rFonts w:ascii="Cambria" w:hAnsi="Cambria"/>
                <w:noProof/>
                <w:lang w:val="sq-AL"/>
              </w:rPr>
              <w:t>4.</w:t>
            </w:r>
            <w:r w:rsidR="00720AC5" w:rsidRPr="000F5C13">
              <w:rPr>
                <w:rFonts w:ascii="Cambria" w:eastAsiaTheme="minorEastAsia" w:hAnsi="Cambria"/>
                <w:noProof/>
                <w:lang w:val="sq-AL"/>
              </w:rPr>
              <w:tab/>
            </w:r>
            <w:r w:rsidR="00720AC5" w:rsidRPr="000F5C13">
              <w:rPr>
                <w:rStyle w:val="Hyperlink"/>
                <w:rFonts w:ascii="Cambria" w:hAnsi="Cambria"/>
                <w:b/>
                <w:noProof/>
                <w:lang w:val="sq-AL"/>
              </w:rPr>
              <w:t>Portofoli i Borxhit të Garantuar</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_Toc524506535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13</w:t>
            </w:r>
            <w:r w:rsidR="00720AC5" w:rsidRPr="000F5C13">
              <w:rPr>
                <w:rFonts w:ascii="Cambria" w:hAnsi="Cambria"/>
                <w:b/>
                <w:noProof/>
                <w:webHidden/>
                <w:lang w:val="sq-AL"/>
              </w:rPr>
              <w:fldChar w:fldCharType="end"/>
            </w:r>
          </w:hyperlink>
        </w:p>
        <w:p w14:paraId="71DF5B4A"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36" w:history="1">
            <w:r w:rsidR="00720AC5" w:rsidRPr="000F5C13">
              <w:rPr>
                <w:rStyle w:val="Hyperlink"/>
                <w:rFonts w:ascii="Cambria" w:hAnsi="Cambria"/>
                <w:noProof/>
                <w:lang w:val="sq-AL"/>
              </w:rPr>
              <w:t>5.</w:t>
            </w:r>
            <w:r w:rsidR="00720AC5" w:rsidRPr="000F5C13">
              <w:rPr>
                <w:rFonts w:ascii="Cambria" w:eastAsiaTheme="minorEastAsia" w:hAnsi="Cambria"/>
                <w:noProof/>
                <w:lang w:val="sq-AL"/>
              </w:rPr>
              <w:tab/>
            </w:r>
            <w:r w:rsidR="00F55A3D" w:rsidRPr="000F5C13">
              <w:rPr>
                <w:rStyle w:val="Hyperlink"/>
                <w:rFonts w:ascii="Cambria" w:hAnsi="Cambria"/>
                <w:b/>
                <w:noProof/>
                <w:lang w:val="sq-AL"/>
              </w:rPr>
              <w:t>Menaxhimi i Kostove dhe Ris</w:t>
            </w:r>
            <w:r w:rsidR="00720AC5" w:rsidRPr="000F5C13">
              <w:rPr>
                <w:rStyle w:val="Hyperlink"/>
                <w:rFonts w:ascii="Cambria" w:hAnsi="Cambria"/>
                <w:b/>
                <w:noProof/>
                <w:lang w:val="sq-AL"/>
              </w:rPr>
              <w:t>qeve</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_Toc524506536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14</w:t>
            </w:r>
            <w:r w:rsidR="00720AC5" w:rsidRPr="000F5C13">
              <w:rPr>
                <w:rFonts w:ascii="Cambria" w:hAnsi="Cambria"/>
                <w:b/>
                <w:noProof/>
                <w:webHidden/>
                <w:lang w:val="sq-AL"/>
              </w:rPr>
              <w:fldChar w:fldCharType="end"/>
            </w:r>
          </w:hyperlink>
        </w:p>
        <w:p w14:paraId="71DF5B4B" w14:textId="77777777" w:rsidR="00720AC5" w:rsidRPr="000F5C13" w:rsidRDefault="003F4DBF" w:rsidP="005C0FF1">
          <w:pPr>
            <w:pStyle w:val="TOC2"/>
            <w:rPr>
              <w:rFonts w:eastAsiaTheme="minorEastAsia"/>
              <w:noProof/>
              <w:lang w:val="sq-AL"/>
            </w:rPr>
          </w:pPr>
          <w:hyperlink w:anchor="_Toc524506537" w:history="1">
            <w:r w:rsidR="00720AC5" w:rsidRPr="000F5C13">
              <w:rPr>
                <w:rStyle w:val="Hyperlink"/>
                <w:rFonts w:ascii="Cambria" w:hAnsi="Cambria"/>
                <w:noProof/>
                <w:lang w:val="sq-AL"/>
              </w:rPr>
              <w:t>5.1.</w:t>
            </w:r>
            <w:r w:rsidR="00720AC5" w:rsidRPr="000F5C13">
              <w:rPr>
                <w:rFonts w:eastAsiaTheme="minorEastAsia"/>
                <w:noProof/>
                <w:lang w:val="sq-AL"/>
              </w:rPr>
              <w:tab/>
            </w:r>
            <w:r w:rsidR="00720AC5" w:rsidRPr="000F5C13">
              <w:rPr>
                <w:rStyle w:val="Hyperlink"/>
                <w:rFonts w:ascii="Cambria" w:hAnsi="Cambria"/>
                <w:noProof/>
                <w:lang w:val="sq-AL"/>
              </w:rPr>
              <w:t>Kostot</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_Toc524506537 \h </w:instrText>
            </w:r>
            <w:r w:rsidR="00720AC5" w:rsidRPr="000F5C13">
              <w:rPr>
                <w:noProof/>
                <w:webHidden/>
                <w:lang w:val="sq-AL"/>
              </w:rPr>
            </w:r>
            <w:r w:rsidR="00720AC5" w:rsidRPr="000F5C13">
              <w:rPr>
                <w:noProof/>
                <w:webHidden/>
                <w:lang w:val="sq-AL"/>
              </w:rPr>
              <w:fldChar w:fldCharType="separate"/>
            </w:r>
            <w:r w:rsidR="009C0ED2">
              <w:rPr>
                <w:noProof/>
                <w:webHidden/>
                <w:lang w:val="sq-AL"/>
              </w:rPr>
              <w:t>1</w:t>
            </w:r>
            <w:r w:rsidR="00720AC5" w:rsidRPr="000F5C13">
              <w:rPr>
                <w:noProof/>
                <w:webHidden/>
                <w:lang w:val="sq-AL"/>
              </w:rPr>
              <w:fldChar w:fldCharType="end"/>
            </w:r>
          </w:hyperlink>
          <w:r w:rsidR="0007530E">
            <w:rPr>
              <w:noProof/>
              <w:lang w:val="sq-AL"/>
            </w:rPr>
            <w:t>5</w:t>
          </w:r>
        </w:p>
        <w:p w14:paraId="71DF5B4C" w14:textId="77777777" w:rsidR="00720AC5" w:rsidRPr="000F5C13" w:rsidRDefault="003F4DBF" w:rsidP="005C0FF1">
          <w:pPr>
            <w:pStyle w:val="TOC2"/>
            <w:rPr>
              <w:rFonts w:eastAsiaTheme="minorEastAsia"/>
              <w:noProof/>
              <w:lang w:val="sq-AL"/>
            </w:rPr>
          </w:pPr>
          <w:hyperlink w:anchor="_Toc524506539" w:history="1">
            <w:r w:rsidR="00720AC5" w:rsidRPr="000F5C13">
              <w:rPr>
                <w:rStyle w:val="Hyperlink"/>
                <w:rFonts w:ascii="Cambria" w:hAnsi="Cambria"/>
                <w:noProof/>
                <w:lang w:val="sq-AL"/>
              </w:rPr>
              <w:t>5.2.</w:t>
            </w:r>
            <w:r w:rsidR="00720AC5" w:rsidRPr="000F5C13">
              <w:rPr>
                <w:rFonts w:eastAsiaTheme="minorEastAsia"/>
                <w:noProof/>
                <w:lang w:val="sq-AL"/>
              </w:rPr>
              <w:tab/>
            </w:r>
            <w:r w:rsidR="00F55A3D" w:rsidRPr="000F5C13">
              <w:rPr>
                <w:rStyle w:val="Hyperlink"/>
                <w:rFonts w:ascii="Cambria" w:hAnsi="Cambria"/>
                <w:noProof/>
                <w:lang w:val="sq-AL"/>
              </w:rPr>
              <w:t>Ris</w:t>
            </w:r>
            <w:r w:rsidR="00720AC5" w:rsidRPr="000F5C13">
              <w:rPr>
                <w:rStyle w:val="Hyperlink"/>
                <w:rFonts w:ascii="Cambria" w:hAnsi="Cambria"/>
                <w:noProof/>
                <w:lang w:val="sq-AL"/>
              </w:rPr>
              <w:t>qet</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_Toc524506539 \h </w:instrText>
            </w:r>
            <w:r w:rsidR="00720AC5" w:rsidRPr="000F5C13">
              <w:rPr>
                <w:noProof/>
                <w:webHidden/>
                <w:lang w:val="sq-AL"/>
              </w:rPr>
            </w:r>
            <w:r w:rsidR="00720AC5" w:rsidRPr="000F5C13">
              <w:rPr>
                <w:noProof/>
                <w:webHidden/>
                <w:lang w:val="sq-AL"/>
              </w:rPr>
              <w:fldChar w:fldCharType="separate"/>
            </w:r>
            <w:r w:rsidR="009C0ED2">
              <w:rPr>
                <w:noProof/>
                <w:webHidden/>
                <w:lang w:val="sq-AL"/>
              </w:rPr>
              <w:t>16</w:t>
            </w:r>
            <w:r w:rsidR="00720AC5" w:rsidRPr="000F5C13">
              <w:rPr>
                <w:noProof/>
                <w:webHidden/>
                <w:lang w:val="sq-AL"/>
              </w:rPr>
              <w:fldChar w:fldCharType="end"/>
            </w:r>
          </w:hyperlink>
        </w:p>
        <w:p w14:paraId="71DF5B4D"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40" w:history="1">
            <w:r w:rsidR="00720AC5" w:rsidRPr="000F5C13">
              <w:rPr>
                <w:rStyle w:val="Hyperlink"/>
                <w:rFonts w:ascii="Cambria" w:hAnsi="Cambria"/>
                <w:noProof/>
                <w:lang w:val="sq-AL"/>
              </w:rPr>
              <w:t>6.</w:t>
            </w:r>
            <w:r w:rsidR="00720AC5" w:rsidRPr="000F5C13">
              <w:rPr>
                <w:rFonts w:ascii="Cambria" w:eastAsiaTheme="minorEastAsia" w:hAnsi="Cambria"/>
                <w:noProof/>
                <w:lang w:val="sq-AL"/>
              </w:rPr>
              <w:tab/>
            </w:r>
            <w:r w:rsidR="00720AC5" w:rsidRPr="000F5C13">
              <w:rPr>
                <w:rStyle w:val="Hyperlink"/>
                <w:rFonts w:ascii="Cambria" w:hAnsi="Cambria"/>
                <w:b/>
                <w:noProof/>
                <w:lang w:val="sq-AL"/>
              </w:rPr>
              <w:t>Zhvillimet e Tregut Primar të Titujve Shtetërorë</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_Toc524506540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19</w:t>
            </w:r>
            <w:r w:rsidR="00720AC5" w:rsidRPr="000F5C13">
              <w:rPr>
                <w:rFonts w:ascii="Cambria" w:hAnsi="Cambria"/>
                <w:b/>
                <w:noProof/>
                <w:webHidden/>
                <w:lang w:val="sq-AL"/>
              </w:rPr>
              <w:fldChar w:fldCharType="end"/>
            </w:r>
          </w:hyperlink>
        </w:p>
        <w:p w14:paraId="71DF5B4E" w14:textId="77777777" w:rsidR="00720AC5" w:rsidRPr="000F5C13" w:rsidRDefault="003F4DBF" w:rsidP="005C0FF1">
          <w:pPr>
            <w:pStyle w:val="TOC2"/>
            <w:rPr>
              <w:rFonts w:eastAsiaTheme="minorEastAsia"/>
              <w:noProof/>
              <w:lang w:val="sq-AL"/>
            </w:rPr>
          </w:pPr>
          <w:hyperlink w:anchor="_Toc524506541" w:history="1">
            <w:r w:rsidR="00720AC5" w:rsidRPr="000F5C13">
              <w:rPr>
                <w:rStyle w:val="Hyperlink"/>
                <w:rFonts w:ascii="Cambria" w:hAnsi="Cambria"/>
                <w:noProof/>
                <w:lang w:val="sq-AL"/>
              </w:rPr>
              <w:t>6.1.</w:t>
            </w:r>
            <w:r w:rsidR="00720AC5" w:rsidRPr="000F5C13">
              <w:rPr>
                <w:rFonts w:eastAsiaTheme="minorEastAsia"/>
                <w:noProof/>
                <w:lang w:val="sq-AL"/>
              </w:rPr>
              <w:tab/>
            </w:r>
            <w:r w:rsidR="00720AC5" w:rsidRPr="000F5C13">
              <w:rPr>
                <w:rStyle w:val="Hyperlink"/>
                <w:rFonts w:ascii="Cambria" w:hAnsi="Cambria"/>
                <w:noProof/>
                <w:lang w:val="sq-AL"/>
              </w:rPr>
              <w:t>Ecuria e ankandeve dhe kërkesa për titujt shtetërorë</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_Toc524506541 \h </w:instrText>
            </w:r>
            <w:r w:rsidR="00720AC5" w:rsidRPr="000F5C13">
              <w:rPr>
                <w:noProof/>
                <w:webHidden/>
                <w:lang w:val="sq-AL"/>
              </w:rPr>
            </w:r>
            <w:r w:rsidR="00720AC5" w:rsidRPr="000F5C13">
              <w:rPr>
                <w:noProof/>
                <w:webHidden/>
                <w:lang w:val="sq-AL"/>
              </w:rPr>
              <w:fldChar w:fldCharType="separate"/>
            </w:r>
            <w:r w:rsidR="009C0ED2">
              <w:rPr>
                <w:noProof/>
                <w:webHidden/>
                <w:lang w:val="sq-AL"/>
              </w:rPr>
              <w:t>19</w:t>
            </w:r>
            <w:r w:rsidR="00720AC5" w:rsidRPr="000F5C13">
              <w:rPr>
                <w:noProof/>
                <w:webHidden/>
                <w:lang w:val="sq-AL"/>
              </w:rPr>
              <w:fldChar w:fldCharType="end"/>
            </w:r>
          </w:hyperlink>
        </w:p>
        <w:p w14:paraId="71DF5B4F" w14:textId="77777777" w:rsidR="00720AC5" w:rsidRPr="000F5C13" w:rsidRDefault="003F4DBF" w:rsidP="005C0FF1">
          <w:pPr>
            <w:pStyle w:val="TOC2"/>
            <w:rPr>
              <w:rFonts w:eastAsiaTheme="minorEastAsia"/>
              <w:noProof/>
              <w:lang w:val="sq-AL"/>
            </w:rPr>
          </w:pPr>
          <w:hyperlink w:anchor="_Toc524506542" w:history="1">
            <w:r w:rsidR="00720AC5" w:rsidRPr="000F5C13">
              <w:rPr>
                <w:rStyle w:val="Hyperlink"/>
                <w:rFonts w:ascii="Cambria" w:hAnsi="Cambria"/>
                <w:noProof/>
                <w:lang w:val="sq-AL"/>
              </w:rPr>
              <w:t>6.2.</w:t>
            </w:r>
            <w:r w:rsidR="00720AC5" w:rsidRPr="000F5C13">
              <w:rPr>
                <w:rFonts w:eastAsiaTheme="minorEastAsia"/>
                <w:noProof/>
                <w:lang w:val="sq-AL"/>
              </w:rPr>
              <w:tab/>
            </w:r>
            <w:r w:rsidR="00720AC5" w:rsidRPr="000F5C13">
              <w:rPr>
                <w:rStyle w:val="Hyperlink"/>
                <w:rFonts w:ascii="Cambria" w:hAnsi="Cambria"/>
                <w:noProof/>
                <w:lang w:val="sq-AL"/>
              </w:rPr>
              <w:t>Ecuria e normave të interesit</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_Toc524506542 \h </w:instrText>
            </w:r>
            <w:r w:rsidR="00720AC5" w:rsidRPr="000F5C13">
              <w:rPr>
                <w:noProof/>
                <w:webHidden/>
                <w:lang w:val="sq-AL"/>
              </w:rPr>
            </w:r>
            <w:r w:rsidR="00720AC5" w:rsidRPr="000F5C13">
              <w:rPr>
                <w:noProof/>
                <w:webHidden/>
                <w:lang w:val="sq-AL"/>
              </w:rPr>
              <w:fldChar w:fldCharType="separate"/>
            </w:r>
            <w:r w:rsidR="009C0ED2">
              <w:rPr>
                <w:noProof/>
                <w:webHidden/>
                <w:lang w:val="sq-AL"/>
              </w:rPr>
              <w:t>2</w:t>
            </w:r>
            <w:r w:rsidR="00720AC5" w:rsidRPr="000F5C13">
              <w:rPr>
                <w:noProof/>
                <w:webHidden/>
                <w:lang w:val="sq-AL"/>
              </w:rPr>
              <w:fldChar w:fldCharType="end"/>
            </w:r>
          </w:hyperlink>
          <w:r w:rsidR="0007530E">
            <w:rPr>
              <w:noProof/>
              <w:lang w:val="sq-AL"/>
            </w:rPr>
            <w:t>1</w:t>
          </w:r>
        </w:p>
        <w:p w14:paraId="71DF5B50"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43" w:history="1">
            <w:r w:rsidR="00720AC5" w:rsidRPr="000F5C13">
              <w:rPr>
                <w:rStyle w:val="Hyperlink"/>
                <w:rFonts w:ascii="Cambria" w:eastAsia="Times New Roman" w:hAnsi="Cambria"/>
                <w:noProof/>
                <w:lang w:val="sq-AL"/>
              </w:rPr>
              <w:t>II.</w:t>
            </w:r>
            <w:r w:rsidR="00720AC5" w:rsidRPr="000F5C13">
              <w:rPr>
                <w:rFonts w:ascii="Cambria" w:eastAsiaTheme="minorEastAsia" w:hAnsi="Cambria"/>
                <w:noProof/>
                <w:lang w:val="sq-AL"/>
              </w:rPr>
              <w:tab/>
            </w:r>
            <w:r w:rsidR="00720AC5" w:rsidRPr="000F5C13">
              <w:rPr>
                <w:rStyle w:val="Hyperlink"/>
                <w:rFonts w:ascii="Cambria" w:eastAsia="Times New Roman" w:hAnsi="Cambria"/>
                <w:b/>
                <w:noProof/>
                <w:lang w:val="sq-AL"/>
              </w:rPr>
              <w:t>STRATEGJIA E MENAXHIMIT TË BORXHIT</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_Toc524506543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2</w:t>
            </w:r>
            <w:r w:rsidR="00720AC5" w:rsidRPr="000F5C13">
              <w:rPr>
                <w:rFonts w:ascii="Cambria" w:hAnsi="Cambria"/>
                <w:b/>
                <w:noProof/>
                <w:webHidden/>
                <w:lang w:val="sq-AL"/>
              </w:rPr>
              <w:fldChar w:fldCharType="end"/>
            </w:r>
          </w:hyperlink>
          <w:r w:rsidR="0007530E">
            <w:rPr>
              <w:rFonts w:ascii="Cambria" w:hAnsi="Cambria"/>
              <w:b/>
              <w:noProof/>
              <w:lang w:val="sq-AL"/>
            </w:rPr>
            <w:t>2</w:t>
          </w:r>
        </w:p>
        <w:p w14:paraId="71DF5B51"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44" w:history="1">
            <w:r w:rsidR="00720AC5" w:rsidRPr="000F5C13">
              <w:rPr>
                <w:rStyle w:val="Hyperlink"/>
                <w:rFonts w:ascii="Cambria" w:hAnsi="Cambria"/>
                <w:noProof/>
                <w:lang w:val="sq-AL"/>
              </w:rPr>
              <w:t>1.</w:t>
            </w:r>
            <w:r w:rsidR="00720AC5" w:rsidRPr="000F5C13">
              <w:rPr>
                <w:rFonts w:ascii="Cambria" w:eastAsiaTheme="minorEastAsia" w:hAnsi="Cambria"/>
                <w:noProof/>
                <w:lang w:val="sq-AL"/>
              </w:rPr>
              <w:tab/>
            </w:r>
            <w:r w:rsidR="00720AC5" w:rsidRPr="000F5C13">
              <w:rPr>
                <w:rStyle w:val="Hyperlink"/>
                <w:rFonts w:ascii="Cambria" w:hAnsi="Cambria"/>
                <w:b/>
                <w:noProof/>
                <w:lang w:val="sq-AL"/>
              </w:rPr>
              <w:t>Supozimet Bazë</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_Toc524506544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2</w:t>
            </w:r>
            <w:r w:rsidR="00720AC5" w:rsidRPr="000F5C13">
              <w:rPr>
                <w:rFonts w:ascii="Cambria" w:hAnsi="Cambria"/>
                <w:b/>
                <w:noProof/>
                <w:webHidden/>
                <w:lang w:val="sq-AL"/>
              </w:rPr>
              <w:fldChar w:fldCharType="end"/>
            </w:r>
          </w:hyperlink>
          <w:r w:rsidR="0007530E">
            <w:rPr>
              <w:rFonts w:ascii="Cambria" w:hAnsi="Cambria"/>
              <w:b/>
              <w:noProof/>
              <w:lang w:val="sq-AL"/>
            </w:rPr>
            <w:t>2</w:t>
          </w:r>
        </w:p>
        <w:p w14:paraId="71DF5B52" w14:textId="77777777" w:rsidR="00720AC5" w:rsidRPr="000F5C13" w:rsidRDefault="003F4DBF" w:rsidP="005C0FF1">
          <w:pPr>
            <w:pStyle w:val="TOC2"/>
            <w:rPr>
              <w:rFonts w:eastAsiaTheme="minorEastAsia"/>
              <w:noProof/>
              <w:lang w:val="sq-AL"/>
            </w:rPr>
          </w:pPr>
          <w:hyperlink w:anchor="_Toc524506545" w:history="1">
            <w:r w:rsidR="00720AC5" w:rsidRPr="000F5C13">
              <w:rPr>
                <w:rStyle w:val="Hyperlink"/>
                <w:rFonts w:ascii="Cambria" w:eastAsia="Times New Roman" w:hAnsi="Cambria"/>
                <w:noProof/>
                <w:lang w:val="sq-AL"/>
              </w:rPr>
              <w:t>1.1.</w:t>
            </w:r>
            <w:r w:rsidR="00720AC5" w:rsidRPr="000F5C13">
              <w:rPr>
                <w:rFonts w:eastAsiaTheme="minorEastAsia"/>
                <w:noProof/>
                <w:lang w:val="sq-AL"/>
              </w:rPr>
              <w:tab/>
            </w:r>
            <w:r w:rsidR="0007530E">
              <w:rPr>
                <w:rStyle w:val="Hyperlink"/>
                <w:rFonts w:ascii="Cambria" w:hAnsi="Cambria"/>
                <w:noProof/>
                <w:lang w:val="sq-AL"/>
              </w:rPr>
              <w:t>Zhvillimet</w:t>
            </w:r>
            <w:r w:rsidR="00BF766B">
              <w:rPr>
                <w:rStyle w:val="Hyperlink"/>
                <w:rFonts w:ascii="Cambria" w:hAnsi="Cambria"/>
                <w:noProof/>
                <w:lang w:val="sq-AL"/>
              </w:rPr>
              <w:t xml:space="preserve"> aktuale dhe pritshmëritë në sektorin real, sektorin e jashtëm, atë financiar dhe sektorin fiskal</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_Toc524506545 \h </w:instrText>
            </w:r>
            <w:r w:rsidR="00720AC5" w:rsidRPr="000F5C13">
              <w:rPr>
                <w:noProof/>
                <w:webHidden/>
                <w:lang w:val="sq-AL"/>
              </w:rPr>
            </w:r>
            <w:r w:rsidR="00720AC5" w:rsidRPr="000F5C13">
              <w:rPr>
                <w:noProof/>
                <w:webHidden/>
                <w:lang w:val="sq-AL"/>
              </w:rPr>
              <w:fldChar w:fldCharType="separate"/>
            </w:r>
            <w:r w:rsidR="009C0ED2">
              <w:rPr>
                <w:noProof/>
                <w:webHidden/>
                <w:lang w:val="sq-AL"/>
              </w:rPr>
              <w:t>2</w:t>
            </w:r>
            <w:r w:rsidR="00720AC5" w:rsidRPr="000F5C13">
              <w:rPr>
                <w:noProof/>
                <w:webHidden/>
                <w:lang w:val="sq-AL"/>
              </w:rPr>
              <w:fldChar w:fldCharType="end"/>
            </w:r>
          </w:hyperlink>
          <w:r w:rsidR="00BF766B">
            <w:rPr>
              <w:noProof/>
              <w:lang w:val="sq-AL"/>
            </w:rPr>
            <w:t>2</w:t>
          </w:r>
        </w:p>
        <w:p w14:paraId="71DF5B53" w14:textId="77777777" w:rsidR="00720AC5" w:rsidRPr="000F5C13" w:rsidRDefault="003F4DBF" w:rsidP="005C0FF1">
          <w:pPr>
            <w:pStyle w:val="TOC2"/>
            <w:rPr>
              <w:rFonts w:eastAsiaTheme="minorEastAsia"/>
              <w:noProof/>
              <w:lang w:val="sq-AL"/>
            </w:rPr>
          </w:pPr>
          <w:hyperlink w:anchor="_Toc524506546" w:history="1">
            <w:r w:rsidR="00720AC5" w:rsidRPr="000F5C13">
              <w:rPr>
                <w:rStyle w:val="Hyperlink"/>
                <w:rFonts w:ascii="Cambria" w:eastAsia="Times New Roman" w:hAnsi="Cambria"/>
                <w:noProof/>
                <w:lang w:val="sq-AL"/>
              </w:rPr>
              <w:t>1.2.</w:t>
            </w:r>
            <w:r w:rsidR="00720AC5" w:rsidRPr="000F5C13">
              <w:rPr>
                <w:rFonts w:eastAsiaTheme="minorEastAsia"/>
                <w:noProof/>
                <w:lang w:val="sq-AL"/>
              </w:rPr>
              <w:tab/>
            </w:r>
            <w:r w:rsidR="00720AC5" w:rsidRPr="000F5C13">
              <w:rPr>
                <w:rStyle w:val="Hyperlink"/>
                <w:rFonts w:ascii="Cambria" w:eastAsia="Times New Roman" w:hAnsi="Cambria"/>
                <w:noProof/>
                <w:lang w:val="sq-AL"/>
              </w:rPr>
              <w:t>Vlerësime referuar borxhit ekzistues, tregjeve të instrumenteve financiare dhe faktorëve makroekonomik</w:t>
            </w:r>
            <w:r w:rsidR="00F55A3D" w:rsidRPr="000F5C13">
              <w:rPr>
                <w:rStyle w:val="Hyperlink"/>
                <w:rFonts w:ascii="Cambria" w:eastAsia="Times New Roman" w:hAnsi="Cambria"/>
                <w:noProof/>
                <w:lang w:val="sq-AL"/>
              </w:rPr>
              <w:t>ë</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_Toc524506546 \h </w:instrText>
            </w:r>
            <w:r w:rsidR="00720AC5" w:rsidRPr="000F5C13">
              <w:rPr>
                <w:noProof/>
                <w:webHidden/>
                <w:lang w:val="sq-AL"/>
              </w:rPr>
            </w:r>
            <w:r w:rsidR="00720AC5" w:rsidRPr="000F5C13">
              <w:rPr>
                <w:noProof/>
                <w:webHidden/>
                <w:lang w:val="sq-AL"/>
              </w:rPr>
              <w:fldChar w:fldCharType="separate"/>
            </w:r>
            <w:r w:rsidR="009C0ED2">
              <w:rPr>
                <w:noProof/>
                <w:webHidden/>
                <w:lang w:val="sq-AL"/>
              </w:rPr>
              <w:t>2</w:t>
            </w:r>
            <w:r w:rsidR="00720AC5" w:rsidRPr="000F5C13">
              <w:rPr>
                <w:noProof/>
                <w:webHidden/>
                <w:lang w:val="sq-AL"/>
              </w:rPr>
              <w:fldChar w:fldCharType="end"/>
            </w:r>
          </w:hyperlink>
          <w:r w:rsidR="00BF766B">
            <w:rPr>
              <w:noProof/>
              <w:lang w:val="sq-AL"/>
            </w:rPr>
            <w:t>4</w:t>
          </w:r>
        </w:p>
        <w:p w14:paraId="71DF5B54" w14:textId="77777777" w:rsidR="00720AC5" w:rsidRPr="000F5C13" w:rsidRDefault="003F4DBF" w:rsidP="005C0FF1">
          <w:pPr>
            <w:pStyle w:val="TOC2"/>
            <w:rPr>
              <w:rFonts w:eastAsiaTheme="minorEastAsia"/>
              <w:noProof/>
              <w:lang w:val="sq-AL"/>
            </w:rPr>
          </w:pPr>
          <w:hyperlink w:anchor="_Toc524506547" w:history="1">
            <w:r w:rsidR="00720AC5" w:rsidRPr="000F5C13">
              <w:rPr>
                <w:rStyle w:val="Hyperlink"/>
                <w:rFonts w:ascii="Cambria" w:eastAsia="Times New Roman" w:hAnsi="Cambria"/>
                <w:noProof/>
                <w:lang w:val="sq-AL"/>
              </w:rPr>
              <w:t>1.3.</w:t>
            </w:r>
            <w:r w:rsidR="00720AC5" w:rsidRPr="000F5C13">
              <w:rPr>
                <w:rFonts w:eastAsiaTheme="minorEastAsia"/>
                <w:noProof/>
                <w:lang w:val="sq-AL"/>
              </w:rPr>
              <w:tab/>
            </w:r>
            <w:r w:rsidR="00720AC5" w:rsidRPr="000F5C13">
              <w:rPr>
                <w:rStyle w:val="Hyperlink"/>
                <w:rFonts w:ascii="Cambria" w:eastAsia="Times New Roman" w:hAnsi="Cambria"/>
                <w:noProof/>
                <w:lang w:val="sq-AL"/>
              </w:rPr>
              <w:t>Burimet e financimit</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_Toc524506547 \h </w:instrText>
            </w:r>
            <w:r w:rsidR="00720AC5" w:rsidRPr="000F5C13">
              <w:rPr>
                <w:noProof/>
                <w:webHidden/>
                <w:lang w:val="sq-AL"/>
              </w:rPr>
            </w:r>
            <w:r w:rsidR="00720AC5" w:rsidRPr="000F5C13">
              <w:rPr>
                <w:noProof/>
                <w:webHidden/>
                <w:lang w:val="sq-AL"/>
              </w:rPr>
              <w:fldChar w:fldCharType="separate"/>
            </w:r>
            <w:r w:rsidR="009C0ED2">
              <w:rPr>
                <w:noProof/>
                <w:webHidden/>
                <w:lang w:val="sq-AL"/>
              </w:rPr>
              <w:t>2</w:t>
            </w:r>
            <w:r w:rsidR="00720AC5" w:rsidRPr="000F5C13">
              <w:rPr>
                <w:noProof/>
                <w:webHidden/>
                <w:lang w:val="sq-AL"/>
              </w:rPr>
              <w:fldChar w:fldCharType="end"/>
            </w:r>
          </w:hyperlink>
          <w:r w:rsidR="00BF766B">
            <w:rPr>
              <w:noProof/>
              <w:lang w:val="sq-AL"/>
            </w:rPr>
            <w:t>5</w:t>
          </w:r>
        </w:p>
        <w:p w14:paraId="71DF5B55"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48" w:history="1">
            <w:r w:rsidRPr="000F5C13">
              <w:rPr>
                <w:rStyle w:val="Hyperlink"/>
                <w:rFonts w:ascii="Cambria" w:eastAsia="Times New Roman" w:hAnsi="Cambria"/>
                <w:noProof/>
                <w:lang w:val="sq-AL"/>
              </w:rPr>
              <w:t>1.3.1.</w:t>
            </w:r>
            <w:r w:rsidRPr="000F5C13">
              <w:rPr>
                <w:rFonts w:ascii="Cambria" w:eastAsiaTheme="minorEastAsia" w:hAnsi="Cambria"/>
                <w:noProof/>
                <w:lang w:val="sq-AL"/>
              </w:rPr>
              <w:t xml:space="preserve">  </w:t>
            </w:r>
            <w:r w:rsidRPr="000F5C13">
              <w:rPr>
                <w:rStyle w:val="Hyperlink"/>
                <w:rFonts w:ascii="Cambria" w:eastAsia="Times New Roman" w:hAnsi="Cambria"/>
                <w:noProof/>
                <w:lang w:val="sq-AL"/>
              </w:rPr>
              <w:t>Burimet e brendshme</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_Toc524506548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2</w:t>
            </w:r>
            <w:r w:rsidRPr="000F5C13">
              <w:rPr>
                <w:rFonts w:ascii="Cambria" w:hAnsi="Cambria"/>
                <w:noProof/>
                <w:webHidden/>
                <w:lang w:val="sq-AL"/>
              </w:rPr>
              <w:fldChar w:fldCharType="end"/>
            </w:r>
          </w:hyperlink>
          <w:r w:rsidR="00BF766B">
            <w:rPr>
              <w:rFonts w:ascii="Cambria" w:hAnsi="Cambria"/>
              <w:noProof/>
              <w:lang w:val="sq-AL"/>
            </w:rPr>
            <w:t>6</w:t>
          </w:r>
        </w:p>
        <w:p w14:paraId="71DF5B56"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49" w:history="1">
            <w:r w:rsidRPr="000F5C13">
              <w:rPr>
                <w:rStyle w:val="Hyperlink"/>
                <w:rFonts w:ascii="Cambria" w:eastAsia="Times New Roman" w:hAnsi="Cambria"/>
                <w:noProof/>
                <w:lang w:val="sq-AL"/>
              </w:rPr>
              <w:t>1.3.2.</w:t>
            </w:r>
            <w:r w:rsidRPr="000F5C13">
              <w:rPr>
                <w:rFonts w:ascii="Cambria" w:eastAsiaTheme="minorEastAsia" w:hAnsi="Cambria"/>
                <w:noProof/>
                <w:lang w:val="sq-AL"/>
              </w:rPr>
              <w:t xml:space="preserve">  </w:t>
            </w:r>
            <w:r w:rsidRPr="000F5C13">
              <w:rPr>
                <w:rStyle w:val="Hyperlink"/>
                <w:rFonts w:ascii="Cambria" w:eastAsia="Times New Roman" w:hAnsi="Cambria"/>
                <w:noProof/>
                <w:lang w:val="sq-AL"/>
              </w:rPr>
              <w:t>Burimet e huaja</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_Toc524506549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2</w:t>
            </w:r>
            <w:r w:rsidRPr="000F5C13">
              <w:rPr>
                <w:rFonts w:ascii="Cambria" w:hAnsi="Cambria"/>
                <w:noProof/>
                <w:webHidden/>
                <w:lang w:val="sq-AL"/>
              </w:rPr>
              <w:fldChar w:fldCharType="end"/>
            </w:r>
          </w:hyperlink>
          <w:r w:rsidR="00BF766B">
            <w:rPr>
              <w:rFonts w:ascii="Cambria" w:hAnsi="Cambria"/>
              <w:noProof/>
              <w:lang w:val="sq-AL"/>
            </w:rPr>
            <w:t>6</w:t>
          </w:r>
        </w:p>
        <w:p w14:paraId="71DF5B57" w14:textId="77777777" w:rsidR="00720AC5" w:rsidRPr="000F5C13" w:rsidRDefault="003F4DBF">
          <w:pPr>
            <w:pStyle w:val="TOC1"/>
            <w:tabs>
              <w:tab w:val="left" w:pos="450"/>
              <w:tab w:val="right" w:leader="dot" w:pos="9017"/>
            </w:tabs>
            <w:rPr>
              <w:rFonts w:ascii="Cambria" w:eastAsiaTheme="minorEastAsia" w:hAnsi="Cambria"/>
              <w:noProof/>
              <w:lang w:val="sq-AL"/>
            </w:rPr>
          </w:pPr>
          <w:hyperlink w:anchor="_Toc524506550" w:history="1">
            <w:r w:rsidR="00720AC5" w:rsidRPr="000F5C13">
              <w:rPr>
                <w:rStyle w:val="Hyperlink"/>
                <w:rFonts w:ascii="Cambria" w:eastAsia="Times New Roman" w:hAnsi="Cambria"/>
                <w:noProof/>
                <w:lang w:val="sq-AL"/>
              </w:rPr>
              <w:t>2.</w:t>
            </w:r>
            <w:r w:rsidR="00720AC5" w:rsidRPr="000F5C13">
              <w:rPr>
                <w:rFonts w:ascii="Cambria" w:eastAsiaTheme="minorEastAsia" w:hAnsi="Cambria"/>
                <w:noProof/>
                <w:lang w:val="sq-AL"/>
              </w:rPr>
              <w:tab/>
            </w:r>
            <w:r w:rsidR="00720AC5" w:rsidRPr="000F5C13">
              <w:rPr>
                <w:rStyle w:val="Hyperlink"/>
                <w:rFonts w:ascii="Cambria" w:eastAsia="Times New Roman" w:hAnsi="Cambria"/>
                <w:b/>
                <w:noProof/>
                <w:lang w:val="sq-AL"/>
              </w:rPr>
              <w:t xml:space="preserve">Strategjia </w:t>
            </w:r>
            <w:r w:rsidR="00720AC5" w:rsidRPr="000F5C13">
              <w:rPr>
                <w:rStyle w:val="Hyperlink"/>
                <w:rFonts w:ascii="Cambria" w:hAnsi="Cambria"/>
                <w:b/>
                <w:noProof/>
                <w:lang w:val="sq-AL"/>
              </w:rPr>
              <w:t>Afatmesme</w:t>
            </w:r>
            <w:r w:rsidR="00720AC5" w:rsidRPr="000F5C13">
              <w:rPr>
                <w:rFonts w:ascii="Cambria" w:hAnsi="Cambria"/>
                <w:b/>
                <w:noProof/>
                <w:webHidden/>
                <w:lang w:val="sq-AL"/>
              </w:rPr>
              <w:tab/>
            </w:r>
            <w:r w:rsidR="00720AC5" w:rsidRPr="000F5C13">
              <w:rPr>
                <w:rFonts w:ascii="Cambria" w:hAnsi="Cambria"/>
                <w:b/>
                <w:noProof/>
                <w:webHidden/>
                <w:lang w:val="sq-AL"/>
              </w:rPr>
              <w:fldChar w:fldCharType="begin"/>
            </w:r>
            <w:r w:rsidR="00720AC5" w:rsidRPr="000F5C13">
              <w:rPr>
                <w:rFonts w:ascii="Cambria" w:hAnsi="Cambria"/>
                <w:b/>
                <w:noProof/>
                <w:webHidden/>
                <w:lang w:val="sq-AL"/>
              </w:rPr>
              <w:instrText xml:space="preserve"> PAGEREF _Toc524506550 \h </w:instrText>
            </w:r>
            <w:r w:rsidR="00720AC5" w:rsidRPr="000F5C13">
              <w:rPr>
                <w:rFonts w:ascii="Cambria" w:hAnsi="Cambria"/>
                <w:b/>
                <w:noProof/>
                <w:webHidden/>
                <w:lang w:val="sq-AL"/>
              </w:rPr>
            </w:r>
            <w:r w:rsidR="00720AC5" w:rsidRPr="000F5C13">
              <w:rPr>
                <w:rFonts w:ascii="Cambria" w:hAnsi="Cambria"/>
                <w:b/>
                <w:noProof/>
                <w:webHidden/>
                <w:lang w:val="sq-AL"/>
              </w:rPr>
              <w:fldChar w:fldCharType="separate"/>
            </w:r>
            <w:r w:rsidR="009C0ED2">
              <w:rPr>
                <w:rFonts w:ascii="Cambria" w:hAnsi="Cambria"/>
                <w:b/>
                <w:noProof/>
                <w:webHidden/>
                <w:lang w:val="sq-AL"/>
              </w:rPr>
              <w:t>2</w:t>
            </w:r>
            <w:r w:rsidR="00720AC5" w:rsidRPr="000F5C13">
              <w:rPr>
                <w:rFonts w:ascii="Cambria" w:hAnsi="Cambria"/>
                <w:b/>
                <w:noProof/>
                <w:webHidden/>
                <w:lang w:val="sq-AL"/>
              </w:rPr>
              <w:fldChar w:fldCharType="end"/>
            </w:r>
          </w:hyperlink>
          <w:r w:rsidR="00BF766B">
            <w:rPr>
              <w:rFonts w:ascii="Cambria" w:hAnsi="Cambria"/>
              <w:b/>
              <w:noProof/>
              <w:lang w:val="sq-AL"/>
            </w:rPr>
            <w:t>6</w:t>
          </w:r>
        </w:p>
        <w:p w14:paraId="71DF5B58" w14:textId="77777777" w:rsidR="00720AC5" w:rsidRPr="000F5C13" w:rsidRDefault="003F4DBF" w:rsidP="005C0FF1">
          <w:pPr>
            <w:pStyle w:val="TOC2"/>
            <w:rPr>
              <w:rFonts w:eastAsiaTheme="minorEastAsia"/>
              <w:noProof/>
              <w:lang w:val="sq-AL"/>
            </w:rPr>
          </w:pPr>
          <w:hyperlink w:anchor="_Toc524506551" w:history="1">
            <w:r w:rsidR="00720AC5" w:rsidRPr="000F5C13">
              <w:rPr>
                <w:rStyle w:val="Hyperlink"/>
                <w:rFonts w:ascii="Cambria" w:eastAsia="Times New Roman" w:hAnsi="Cambria"/>
                <w:noProof/>
                <w:lang w:val="sq-AL"/>
              </w:rPr>
              <w:t>2.1.</w:t>
            </w:r>
            <w:r w:rsidR="00720AC5" w:rsidRPr="000F5C13">
              <w:rPr>
                <w:rFonts w:eastAsiaTheme="minorEastAsia"/>
                <w:noProof/>
                <w:lang w:val="sq-AL"/>
              </w:rPr>
              <w:tab/>
            </w:r>
            <w:r w:rsidR="00BF766B" w:rsidRPr="00BF766B">
              <w:rPr>
                <w:rFonts w:ascii="Cambria" w:eastAsiaTheme="minorEastAsia" w:hAnsi="Cambria"/>
                <w:noProof/>
                <w:lang w:val="sq-AL"/>
              </w:rPr>
              <w:t>Menaxhimi/</w:t>
            </w:r>
            <w:r w:rsidR="00BF766B">
              <w:rPr>
                <w:rFonts w:ascii="Cambria" w:eastAsiaTheme="minorEastAsia" w:hAnsi="Cambria"/>
                <w:noProof/>
                <w:lang w:val="sq-AL"/>
              </w:rPr>
              <w:t>k</w:t>
            </w:r>
            <w:r w:rsidR="00BF766B" w:rsidRPr="00BF766B">
              <w:rPr>
                <w:rFonts w:ascii="Cambria" w:eastAsiaTheme="minorEastAsia" w:hAnsi="Cambria"/>
                <w:noProof/>
                <w:lang w:val="sq-AL"/>
              </w:rPr>
              <w:t>ontrolli i k</w:t>
            </w:r>
            <w:r w:rsidR="00720AC5" w:rsidRPr="00BF766B">
              <w:rPr>
                <w:rStyle w:val="Hyperlink"/>
                <w:rFonts w:ascii="Cambria" w:eastAsia="Times New Roman" w:hAnsi="Cambria"/>
                <w:noProof/>
                <w:lang w:val="sq-AL"/>
              </w:rPr>
              <w:t>osto</w:t>
            </w:r>
            <w:r w:rsidR="00BF766B" w:rsidRPr="00BF766B">
              <w:rPr>
                <w:rStyle w:val="Hyperlink"/>
                <w:rFonts w:ascii="Cambria" w:eastAsia="Times New Roman" w:hAnsi="Cambria"/>
                <w:noProof/>
                <w:lang w:val="sq-AL"/>
              </w:rPr>
              <w:t>ve</w:t>
            </w:r>
            <w:r w:rsidR="00720AC5" w:rsidRPr="00BF766B">
              <w:rPr>
                <w:rStyle w:val="Hyperlink"/>
                <w:rFonts w:ascii="Cambria" w:eastAsia="Times New Roman" w:hAnsi="Cambria"/>
                <w:noProof/>
                <w:lang w:val="sq-AL"/>
              </w:rPr>
              <w:t xml:space="preserve"> dhe r</w:t>
            </w:r>
            <w:r w:rsidR="00F55A3D" w:rsidRPr="00BF766B">
              <w:rPr>
                <w:rStyle w:val="Hyperlink"/>
                <w:rFonts w:ascii="Cambria" w:eastAsia="Times New Roman" w:hAnsi="Cambria"/>
                <w:noProof/>
                <w:lang w:val="sq-AL"/>
              </w:rPr>
              <w:t>is</w:t>
            </w:r>
            <w:r w:rsidR="00720AC5" w:rsidRPr="00BF766B">
              <w:rPr>
                <w:rStyle w:val="Hyperlink"/>
                <w:rFonts w:ascii="Cambria" w:eastAsia="Times New Roman" w:hAnsi="Cambria"/>
                <w:noProof/>
                <w:lang w:val="sq-AL"/>
              </w:rPr>
              <w:t>qe</w:t>
            </w:r>
            <w:r w:rsidR="00BF766B" w:rsidRPr="00BF766B">
              <w:rPr>
                <w:rStyle w:val="Hyperlink"/>
                <w:rFonts w:ascii="Cambria" w:eastAsia="Times New Roman" w:hAnsi="Cambria"/>
                <w:noProof/>
                <w:lang w:val="sq-AL"/>
              </w:rPr>
              <w:t>ve</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_Toc524506551 \h </w:instrText>
            </w:r>
            <w:r w:rsidR="00720AC5" w:rsidRPr="000F5C13">
              <w:rPr>
                <w:noProof/>
                <w:webHidden/>
                <w:lang w:val="sq-AL"/>
              </w:rPr>
            </w:r>
            <w:r w:rsidR="00720AC5" w:rsidRPr="000F5C13">
              <w:rPr>
                <w:noProof/>
                <w:webHidden/>
                <w:lang w:val="sq-AL"/>
              </w:rPr>
              <w:fldChar w:fldCharType="separate"/>
            </w:r>
            <w:r w:rsidR="009C0ED2">
              <w:rPr>
                <w:noProof/>
                <w:webHidden/>
                <w:lang w:val="sq-AL"/>
              </w:rPr>
              <w:t>2</w:t>
            </w:r>
            <w:r w:rsidR="00720AC5" w:rsidRPr="000F5C13">
              <w:rPr>
                <w:noProof/>
                <w:webHidden/>
                <w:lang w:val="sq-AL"/>
              </w:rPr>
              <w:fldChar w:fldCharType="end"/>
            </w:r>
          </w:hyperlink>
          <w:r w:rsidR="00BF766B">
            <w:rPr>
              <w:noProof/>
              <w:lang w:val="sq-AL"/>
            </w:rPr>
            <w:t>8</w:t>
          </w:r>
        </w:p>
        <w:p w14:paraId="71DF5B59"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52" w:history="1">
            <w:r w:rsidRPr="000F5C13">
              <w:rPr>
                <w:rStyle w:val="Hyperlink"/>
                <w:rFonts w:ascii="Cambria" w:eastAsia="Times New Roman" w:hAnsi="Cambria"/>
                <w:noProof/>
                <w:lang w:val="sq-AL"/>
              </w:rPr>
              <w:t>2.1.1.</w:t>
            </w:r>
            <w:r w:rsidRPr="000F5C13">
              <w:rPr>
                <w:rFonts w:ascii="Cambria" w:eastAsiaTheme="minorEastAsia" w:hAnsi="Cambria"/>
                <w:noProof/>
                <w:lang w:val="sq-AL"/>
              </w:rPr>
              <w:t xml:space="preserve">   </w:t>
            </w:r>
            <w:r w:rsidRPr="000F5C13">
              <w:rPr>
                <w:rStyle w:val="Hyperlink"/>
                <w:rFonts w:ascii="Cambria" w:hAnsi="Cambria"/>
                <w:noProof/>
                <w:lang w:val="sq-AL"/>
              </w:rPr>
              <w:t>Kosto</w:t>
            </w:r>
            <w:r w:rsidR="00F55A3D" w:rsidRPr="000F5C13">
              <w:rPr>
                <w:rStyle w:val="Hyperlink"/>
                <w:rFonts w:ascii="Cambria" w:hAnsi="Cambria"/>
                <w:noProof/>
                <w:lang w:val="sq-AL"/>
              </w:rPr>
              <w:t>t</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_Toc524506552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2</w:t>
            </w:r>
            <w:r w:rsidRPr="000F5C13">
              <w:rPr>
                <w:rFonts w:ascii="Cambria" w:hAnsi="Cambria"/>
                <w:noProof/>
                <w:webHidden/>
                <w:lang w:val="sq-AL"/>
              </w:rPr>
              <w:fldChar w:fldCharType="end"/>
            </w:r>
          </w:hyperlink>
          <w:r w:rsidR="00BF766B">
            <w:rPr>
              <w:rFonts w:ascii="Cambria" w:hAnsi="Cambria"/>
              <w:noProof/>
              <w:lang w:val="sq-AL"/>
            </w:rPr>
            <w:t>8</w:t>
          </w:r>
        </w:p>
        <w:p w14:paraId="71DF5B5A"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53" w:history="1">
            <w:r w:rsidRPr="000F5C13">
              <w:rPr>
                <w:rStyle w:val="Hyperlink"/>
                <w:rFonts w:ascii="Cambria" w:eastAsia="Times New Roman" w:hAnsi="Cambria"/>
                <w:noProof/>
                <w:lang w:val="sq-AL"/>
              </w:rPr>
              <w:t>2.1.2.</w:t>
            </w:r>
            <w:r w:rsidRPr="000F5C13">
              <w:rPr>
                <w:rFonts w:ascii="Cambria" w:eastAsiaTheme="minorEastAsia" w:hAnsi="Cambria"/>
                <w:noProof/>
                <w:lang w:val="sq-AL"/>
              </w:rPr>
              <w:t xml:space="preserve">   </w:t>
            </w:r>
            <w:r w:rsidRPr="000F5C13">
              <w:rPr>
                <w:rStyle w:val="Hyperlink"/>
                <w:rFonts w:ascii="Cambria" w:hAnsi="Cambria"/>
                <w:noProof/>
                <w:lang w:val="sq-AL"/>
              </w:rPr>
              <w:t>Menaxhimi i R</w:t>
            </w:r>
            <w:r w:rsidR="00F55A3D" w:rsidRPr="000F5C13">
              <w:rPr>
                <w:rStyle w:val="Hyperlink"/>
                <w:rFonts w:ascii="Cambria" w:hAnsi="Cambria"/>
                <w:noProof/>
                <w:lang w:val="sq-AL"/>
              </w:rPr>
              <w:t>is</w:t>
            </w:r>
            <w:r w:rsidRPr="000F5C13">
              <w:rPr>
                <w:rStyle w:val="Hyperlink"/>
                <w:rFonts w:ascii="Cambria" w:hAnsi="Cambria"/>
                <w:noProof/>
                <w:lang w:val="sq-AL"/>
              </w:rPr>
              <w:t>qeve</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_Toc524506553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2</w:t>
            </w:r>
            <w:r w:rsidRPr="000F5C13">
              <w:rPr>
                <w:rFonts w:ascii="Cambria" w:hAnsi="Cambria"/>
                <w:noProof/>
                <w:webHidden/>
                <w:lang w:val="sq-AL"/>
              </w:rPr>
              <w:fldChar w:fldCharType="end"/>
            </w:r>
          </w:hyperlink>
          <w:r w:rsidR="00BF766B">
            <w:rPr>
              <w:rFonts w:ascii="Cambria" w:hAnsi="Cambria"/>
              <w:noProof/>
              <w:lang w:val="sq-AL"/>
            </w:rPr>
            <w:t>8</w:t>
          </w:r>
        </w:p>
        <w:p w14:paraId="71DF5B5B" w14:textId="77777777" w:rsidR="00720AC5" w:rsidRPr="000F5C13" w:rsidRDefault="003F4DBF" w:rsidP="005C0FF1">
          <w:pPr>
            <w:pStyle w:val="TOC2"/>
            <w:rPr>
              <w:rFonts w:eastAsiaTheme="minorEastAsia"/>
              <w:noProof/>
              <w:lang w:val="sq-AL"/>
            </w:rPr>
          </w:pPr>
          <w:hyperlink w:anchor="_Toc524506554" w:history="1">
            <w:r w:rsidR="00720AC5" w:rsidRPr="000F5C13">
              <w:rPr>
                <w:rStyle w:val="Hyperlink"/>
                <w:rFonts w:ascii="Cambria" w:eastAsia="Times New Roman" w:hAnsi="Cambria"/>
                <w:noProof/>
                <w:lang w:val="sq-AL"/>
              </w:rPr>
              <w:t>2.2.</w:t>
            </w:r>
            <w:r w:rsidR="00720AC5" w:rsidRPr="000F5C13">
              <w:rPr>
                <w:rFonts w:eastAsiaTheme="minorEastAsia"/>
                <w:noProof/>
                <w:lang w:val="sq-AL"/>
              </w:rPr>
              <w:tab/>
            </w:r>
            <w:r w:rsidR="00720AC5" w:rsidRPr="000F5C13">
              <w:rPr>
                <w:rStyle w:val="Hyperlink"/>
                <w:rFonts w:ascii="Cambria" w:eastAsia="Times New Roman" w:hAnsi="Cambria"/>
                <w:noProof/>
                <w:lang w:val="sq-AL"/>
              </w:rPr>
              <w:t>Zhvillimi i tregut të titujve shtetërorë</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_Toc524506554 \h </w:instrText>
            </w:r>
            <w:r w:rsidR="00720AC5" w:rsidRPr="000F5C13">
              <w:rPr>
                <w:noProof/>
                <w:webHidden/>
                <w:lang w:val="sq-AL"/>
              </w:rPr>
            </w:r>
            <w:r w:rsidR="00720AC5" w:rsidRPr="000F5C13">
              <w:rPr>
                <w:noProof/>
                <w:webHidden/>
                <w:lang w:val="sq-AL"/>
              </w:rPr>
              <w:fldChar w:fldCharType="separate"/>
            </w:r>
            <w:r w:rsidR="009C0ED2">
              <w:rPr>
                <w:noProof/>
                <w:webHidden/>
                <w:lang w:val="sq-AL"/>
              </w:rPr>
              <w:t>3</w:t>
            </w:r>
            <w:r w:rsidR="00720AC5" w:rsidRPr="000F5C13">
              <w:rPr>
                <w:noProof/>
                <w:webHidden/>
                <w:lang w:val="sq-AL"/>
              </w:rPr>
              <w:fldChar w:fldCharType="end"/>
            </w:r>
          </w:hyperlink>
          <w:r w:rsidR="00BF766B">
            <w:rPr>
              <w:noProof/>
              <w:lang w:val="sq-AL"/>
            </w:rPr>
            <w:t>0</w:t>
          </w:r>
        </w:p>
        <w:p w14:paraId="71DF5B5C"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55" w:history="1">
            <w:r w:rsidRPr="000F5C13">
              <w:rPr>
                <w:rStyle w:val="Hyperlink"/>
                <w:rFonts w:ascii="Cambria" w:eastAsia="Times New Roman" w:hAnsi="Cambria"/>
                <w:noProof/>
                <w:lang w:val="sq-AL"/>
              </w:rPr>
              <w:t>2.2.1.</w:t>
            </w:r>
            <w:r w:rsidRPr="000F5C13">
              <w:rPr>
                <w:rFonts w:ascii="Cambria" w:eastAsiaTheme="minorEastAsia" w:hAnsi="Cambria"/>
                <w:noProof/>
                <w:lang w:val="sq-AL"/>
              </w:rPr>
              <w:t xml:space="preserve">   </w:t>
            </w:r>
            <w:r w:rsidRPr="000F5C13">
              <w:rPr>
                <w:rStyle w:val="Hyperlink"/>
                <w:rFonts w:ascii="Cambria" w:hAnsi="Cambria"/>
                <w:noProof/>
                <w:lang w:val="sq-AL"/>
              </w:rPr>
              <w:t>Rritja e likuiditetit</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_Toc524506555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0</w:t>
          </w:r>
        </w:p>
        <w:p w14:paraId="71DF5B5D"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56" w:history="1">
            <w:r w:rsidRPr="000F5C13">
              <w:rPr>
                <w:rStyle w:val="Hyperlink"/>
                <w:rFonts w:ascii="Cambria" w:eastAsia="Times New Roman" w:hAnsi="Cambria"/>
                <w:noProof/>
                <w:lang w:val="sq-AL"/>
              </w:rPr>
              <w:t>2.2.2.</w:t>
            </w:r>
            <w:r w:rsidRPr="000F5C13">
              <w:rPr>
                <w:rFonts w:ascii="Cambria" w:eastAsiaTheme="minorEastAsia" w:hAnsi="Cambria"/>
                <w:noProof/>
                <w:lang w:val="sq-AL"/>
              </w:rPr>
              <w:t xml:space="preserve">   </w:t>
            </w:r>
            <w:r w:rsidRPr="000F5C13">
              <w:rPr>
                <w:rStyle w:val="Hyperlink"/>
                <w:rFonts w:ascii="Cambria" w:eastAsia="Times New Roman" w:hAnsi="Cambria"/>
                <w:noProof/>
                <w:lang w:val="sq-AL"/>
              </w:rPr>
              <w:t>Rritja e efiçencës</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_Toc524506556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1</w:t>
          </w:r>
        </w:p>
        <w:p w14:paraId="71DF5B5E"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57" w:history="1">
            <w:r w:rsidRPr="000F5C13">
              <w:rPr>
                <w:rStyle w:val="Hyperlink"/>
                <w:rFonts w:ascii="Cambria" w:eastAsia="Times New Roman" w:hAnsi="Cambria"/>
                <w:noProof/>
                <w:lang w:val="sq-AL"/>
              </w:rPr>
              <w:t>2.2.3.</w:t>
            </w:r>
            <w:r w:rsidRPr="000F5C13">
              <w:rPr>
                <w:rFonts w:ascii="Cambria" w:eastAsiaTheme="minorEastAsia" w:hAnsi="Cambria"/>
                <w:noProof/>
                <w:lang w:val="sq-AL"/>
              </w:rPr>
              <w:t xml:space="preserve">   </w:t>
            </w:r>
            <w:r w:rsidRPr="000F5C13">
              <w:rPr>
                <w:rStyle w:val="Hyperlink"/>
                <w:rFonts w:ascii="Cambria" w:eastAsia="Times New Roman" w:hAnsi="Cambria"/>
                <w:noProof/>
                <w:lang w:val="sq-AL"/>
              </w:rPr>
              <w:t>Rritja e transparencës</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_Toc524506557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1</w:t>
          </w:r>
        </w:p>
        <w:p w14:paraId="71DF5B5F" w14:textId="77777777" w:rsidR="00720AC5" w:rsidRDefault="003F4DBF" w:rsidP="005C0FF1">
          <w:pPr>
            <w:pStyle w:val="TOC2"/>
            <w:rPr>
              <w:noProof/>
              <w:lang w:val="sq-AL"/>
            </w:rPr>
          </w:pPr>
          <w:hyperlink w:anchor="_Toc524506558" w:history="1">
            <w:r w:rsidR="00720AC5" w:rsidRPr="000F5C13">
              <w:rPr>
                <w:rStyle w:val="Hyperlink"/>
                <w:rFonts w:ascii="Cambria" w:eastAsia="Times New Roman" w:hAnsi="Cambria"/>
                <w:noProof/>
                <w:lang w:val="sq-AL"/>
              </w:rPr>
              <w:t>2.3.</w:t>
            </w:r>
            <w:r w:rsidR="00720AC5" w:rsidRPr="000F5C13">
              <w:rPr>
                <w:rFonts w:eastAsiaTheme="minorEastAsia"/>
                <w:noProof/>
                <w:lang w:val="sq-AL"/>
              </w:rPr>
              <w:tab/>
            </w:r>
            <w:r w:rsidR="00720AC5" w:rsidRPr="000F5C13">
              <w:rPr>
                <w:rStyle w:val="Hyperlink"/>
                <w:rFonts w:ascii="Cambria" w:eastAsia="Times New Roman" w:hAnsi="Cambria"/>
                <w:noProof/>
                <w:lang w:val="sq-AL"/>
              </w:rPr>
              <w:t>Menaxhimi i borxhit shtetëror të garantuar</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_Toc524506558 \h </w:instrText>
            </w:r>
            <w:r w:rsidR="00720AC5" w:rsidRPr="000F5C13">
              <w:rPr>
                <w:noProof/>
                <w:webHidden/>
                <w:lang w:val="sq-AL"/>
              </w:rPr>
            </w:r>
            <w:r w:rsidR="00720AC5" w:rsidRPr="000F5C13">
              <w:rPr>
                <w:noProof/>
                <w:webHidden/>
                <w:lang w:val="sq-AL"/>
              </w:rPr>
              <w:fldChar w:fldCharType="separate"/>
            </w:r>
            <w:r w:rsidR="009C0ED2">
              <w:rPr>
                <w:noProof/>
                <w:webHidden/>
                <w:lang w:val="sq-AL"/>
              </w:rPr>
              <w:t>3</w:t>
            </w:r>
            <w:r w:rsidR="00720AC5" w:rsidRPr="000F5C13">
              <w:rPr>
                <w:noProof/>
                <w:webHidden/>
                <w:lang w:val="sq-AL"/>
              </w:rPr>
              <w:fldChar w:fldCharType="end"/>
            </w:r>
          </w:hyperlink>
          <w:r w:rsidR="00BF766B">
            <w:rPr>
              <w:noProof/>
              <w:lang w:val="sq-AL"/>
            </w:rPr>
            <w:t>1</w:t>
          </w:r>
        </w:p>
        <w:p w14:paraId="71DF5B60" w14:textId="77777777" w:rsidR="00BF766B" w:rsidRPr="00BF766B" w:rsidRDefault="00BF766B" w:rsidP="00BF766B">
          <w:pPr>
            <w:rPr>
              <w:lang w:val="sq-AL"/>
            </w:rPr>
          </w:pPr>
        </w:p>
        <w:p w14:paraId="71DF5B61"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59" w:history="1">
            <w:r w:rsidRPr="000F5C13">
              <w:rPr>
                <w:rStyle w:val="Hyperlink"/>
                <w:rFonts w:ascii="Cambria" w:eastAsia="Times New Roman" w:hAnsi="Cambria"/>
                <w:noProof/>
                <w:lang w:val="sq-AL"/>
              </w:rPr>
              <w:t>2.3.1.</w:t>
            </w:r>
            <w:r w:rsidR="00937F4E">
              <w:rPr>
                <w:rFonts w:ascii="Cambria" w:eastAsiaTheme="minorEastAsia" w:hAnsi="Cambria"/>
                <w:noProof/>
                <w:lang w:val="sq-AL"/>
              </w:rPr>
              <w:t xml:space="preserve">   </w:t>
            </w:r>
            <w:r w:rsidRPr="000F5C13">
              <w:rPr>
                <w:rStyle w:val="Hyperlink"/>
                <w:rFonts w:ascii="Cambria" w:eastAsia="Times New Roman" w:hAnsi="Cambria"/>
                <w:noProof/>
                <w:lang w:val="sq-AL"/>
              </w:rPr>
              <w:t>Kriteret bazë për emetimin e garancive shtetërore</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_Toc524506559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1</w:t>
          </w:r>
        </w:p>
        <w:p w14:paraId="71DF5B62"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60" w:history="1">
            <w:r w:rsidRPr="000F5C13">
              <w:rPr>
                <w:rStyle w:val="Hyperlink"/>
                <w:rFonts w:ascii="Cambria" w:eastAsia="Times New Roman" w:hAnsi="Cambria"/>
                <w:noProof/>
                <w:lang w:val="sq-AL"/>
              </w:rPr>
              <w:t>2.3.2.</w:t>
            </w:r>
            <w:r w:rsidRPr="000F5C13">
              <w:rPr>
                <w:rFonts w:ascii="Cambria" w:eastAsiaTheme="minorEastAsia" w:hAnsi="Cambria"/>
                <w:noProof/>
                <w:lang w:val="sq-AL"/>
              </w:rPr>
              <w:tab/>
            </w:r>
            <w:r w:rsidRPr="000F5C13">
              <w:rPr>
                <w:rStyle w:val="Hyperlink"/>
                <w:rFonts w:ascii="Cambria" w:eastAsia="Times New Roman" w:hAnsi="Cambria"/>
                <w:noProof/>
                <w:lang w:val="sq-AL"/>
              </w:rPr>
              <w:t>Niveli i garancive shtetërore</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_Toc524506560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2</w:t>
          </w:r>
        </w:p>
        <w:p w14:paraId="71DF5B63" w14:textId="77777777" w:rsidR="00720AC5" w:rsidRPr="000F5C13" w:rsidRDefault="003F4DBF" w:rsidP="005C0FF1">
          <w:pPr>
            <w:pStyle w:val="TOC2"/>
            <w:rPr>
              <w:rFonts w:eastAsiaTheme="minorEastAsia"/>
              <w:noProof/>
              <w:lang w:val="sq-AL"/>
            </w:rPr>
          </w:pPr>
          <w:hyperlink w:anchor="_Toc524506561" w:history="1">
            <w:r w:rsidR="00720AC5" w:rsidRPr="000F5C13">
              <w:rPr>
                <w:rStyle w:val="Hyperlink"/>
                <w:rFonts w:ascii="Cambria" w:eastAsia="Times New Roman" w:hAnsi="Cambria"/>
                <w:noProof/>
                <w:lang w:val="sq-AL"/>
              </w:rPr>
              <w:t>2.4.</w:t>
            </w:r>
            <w:r w:rsidR="00720AC5" w:rsidRPr="000F5C13">
              <w:rPr>
                <w:rFonts w:eastAsiaTheme="minorEastAsia"/>
                <w:noProof/>
                <w:lang w:val="sq-AL"/>
              </w:rPr>
              <w:tab/>
            </w:r>
            <w:r w:rsidR="00720AC5" w:rsidRPr="000F5C13">
              <w:rPr>
                <w:rStyle w:val="Hyperlink"/>
                <w:rFonts w:ascii="Cambria" w:eastAsia="Times New Roman" w:hAnsi="Cambria"/>
                <w:noProof/>
                <w:lang w:val="sq-AL"/>
              </w:rPr>
              <w:t>P</w:t>
            </w:r>
            <w:r w:rsidR="00BF766B">
              <w:rPr>
                <w:rStyle w:val="Hyperlink"/>
                <w:rFonts w:ascii="Cambria" w:eastAsia="Times New Roman" w:hAnsi="Cambria"/>
                <w:noProof/>
                <w:lang w:val="sq-AL"/>
              </w:rPr>
              <w:t>ritjet</w:t>
            </w:r>
            <w:r w:rsidR="00720AC5" w:rsidRPr="000F5C13">
              <w:rPr>
                <w:rStyle w:val="Hyperlink"/>
                <w:rFonts w:ascii="Cambria" w:eastAsia="Times New Roman" w:hAnsi="Cambria"/>
                <w:noProof/>
                <w:lang w:val="sq-AL"/>
              </w:rPr>
              <w:t xml:space="preserve"> </w:t>
            </w:r>
            <w:r w:rsidR="00BF766B">
              <w:rPr>
                <w:rStyle w:val="Hyperlink"/>
                <w:rFonts w:ascii="Cambria" w:eastAsia="Times New Roman" w:hAnsi="Cambria"/>
                <w:noProof/>
                <w:lang w:val="sq-AL"/>
              </w:rPr>
              <w:t>e</w:t>
            </w:r>
            <w:r w:rsidR="00720AC5" w:rsidRPr="000F5C13">
              <w:rPr>
                <w:rStyle w:val="Hyperlink"/>
                <w:rFonts w:ascii="Cambria" w:eastAsia="Times New Roman" w:hAnsi="Cambria"/>
                <w:noProof/>
                <w:lang w:val="sq-AL"/>
              </w:rPr>
              <w:t xml:space="preserve"> treguesve bazë dhe analiza e ndjeshmërisë</w:t>
            </w:r>
            <w:r w:rsidR="00720AC5" w:rsidRPr="000F5C13">
              <w:rPr>
                <w:noProof/>
                <w:webHidden/>
                <w:lang w:val="sq-AL"/>
              </w:rPr>
              <w:tab/>
            </w:r>
            <w:r w:rsidR="00720AC5" w:rsidRPr="000F5C13">
              <w:rPr>
                <w:noProof/>
                <w:webHidden/>
                <w:lang w:val="sq-AL"/>
              </w:rPr>
              <w:fldChar w:fldCharType="begin"/>
            </w:r>
            <w:r w:rsidR="00720AC5" w:rsidRPr="000F5C13">
              <w:rPr>
                <w:noProof/>
                <w:webHidden/>
                <w:lang w:val="sq-AL"/>
              </w:rPr>
              <w:instrText xml:space="preserve"> PAGEREF _Toc524506561 \h </w:instrText>
            </w:r>
            <w:r w:rsidR="00720AC5" w:rsidRPr="000F5C13">
              <w:rPr>
                <w:noProof/>
                <w:webHidden/>
                <w:lang w:val="sq-AL"/>
              </w:rPr>
            </w:r>
            <w:r w:rsidR="00720AC5" w:rsidRPr="000F5C13">
              <w:rPr>
                <w:noProof/>
                <w:webHidden/>
                <w:lang w:val="sq-AL"/>
              </w:rPr>
              <w:fldChar w:fldCharType="separate"/>
            </w:r>
            <w:r w:rsidR="009C0ED2">
              <w:rPr>
                <w:noProof/>
                <w:webHidden/>
                <w:lang w:val="sq-AL"/>
              </w:rPr>
              <w:t>3</w:t>
            </w:r>
            <w:r w:rsidR="00720AC5" w:rsidRPr="000F5C13">
              <w:rPr>
                <w:noProof/>
                <w:webHidden/>
                <w:lang w:val="sq-AL"/>
              </w:rPr>
              <w:fldChar w:fldCharType="end"/>
            </w:r>
          </w:hyperlink>
          <w:r w:rsidR="00BF766B">
            <w:rPr>
              <w:noProof/>
              <w:lang w:val="sq-AL"/>
            </w:rPr>
            <w:t>2</w:t>
          </w:r>
        </w:p>
        <w:p w14:paraId="71DF5B64"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62" w:history="1">
            <w:r w:rsidRPr="000F5C13">
              <w:rPr>
                <w:rStyle w:val="Hyperlink"/>
                <w:rFonts w:ascii="Cambria" w:eastAsia="Times New Roman" w:hAnsi="Cambria"/>
                <w:noProof/>
                <w:lang w:val="sq-AL"/>
              </w:rPr>
              <w:t>2.4.1.</w:t>
            </w:r>
            <w:r w:rsidRPr="000F5C13">
              <w:rPr>
                <w:rFonts w:ascii="Cambria" w:eastAsiaTheme="minorEastAsia" w:hAnsi="Cambria"/>
                <w:noProof/>
                <w:lang w:val="sq-AL"/>
              </w:rPr>
              <w:tab/>
            </w:r>
            <w:r w:rsidRPr="000F5C13">
              <w:rPr>
                <w:rStyle w:val="Hyperlink"/>
                <w:rFonts w:ascii="Cambria" w:eastAsia="Times New Roman" w:hAnsi="Cambria"/>
                <w:noProof/>
                <w:lang w:val="sq-AL"/>
              </w:rPr>
              <w:t>Niveli i borxhit të Qeverisjes Qendrore</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_Toc524506562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2</w:t>
          </w:r>
        </w:p>
        <w:p w14:paraId="71DF5B65" w14:textId="77777777" w:rsidR="00720AC5" w:rsidRPr="000F5C13" w:rsidRDefault="00720AC5" w:rsidP="00720AC5">
          <w:pPr>
            <w:pStyle w:val="TOC3"/>
            <w:rPr>
              <w:rFonts w:ascii="Cambria" w:eastAsiaTheme="minorEastAsia" w:hAnsi="Cambria"/>
              <w:noProof/>
              <w:lang w:val="sq-AL"/>
            </w:rPr>
          </w:pPr>
          <w:r w:rsidRPr="000F5C13">
            <w:rPr>
              <w:rStyle w:val="Hyperlink"/>
              <w:rFonts w:ascii="Cambria" w:hAnsi="Cambria"/>
              <w:noProof/>
              <w:color w:val="FFFFFF" w:themeColor="background1"/>
              <w:lang w:val="sq-AL"/>
            </w:rPr>
            <w:t xml:space="preserve">          </w:t>
          </w:r>
          <w:hyperlink w:anchor="_Toc524506563" w:history="1">
            <w:r w:rsidRPr="000F5C13">
              <w:rPr>
                <w:rStyle w:val="Hyperlink"/>
                <w:rFonts w:ascii="Cambria" w:eastAsia="Times New Roman" w:hAnsi="Cambria"/>
                <w:noProof/>
                <w:lang w:val="sq-AL"/>
              </w:rPr>
              <w:t>2.4.2.</w:t>
            </w:r>
            <w:r w:rsidRPr="000F5C13">
              <w:rPr>
                <w:rFonts w:ascii="Cambria" w:eastAsiaTheme="minorEastAsia" w:hAnsi="Cambria"/>
                <w:noProof/>
                <w:lang w:val="sq-AL"/>
              </w:rPr>
              <w:tab/>
            </w:r>
            <w:r w:rsidRPr="000F5C13">
              <w:rPr>
                <w:rStyle w:val="Hyperlink"/>
                <w:rFonts w:ascii="Cambria" w:eastAsia="Times New Roman" w:hAnsi="Cambria"/>
                <w:noProof/>
                <w:lang w:val="sq-AL"/>
              </w:rPr>
              <w:t>Shërbimi i borxhit shtetëror</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_Toc524506563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2</w:t>
          </w:r>
        </w:p>
        <w:p w14:paraId="71DF5B66" w14:textId="77777777" w:rsidR="00720AC5" w:rsidRPr="000F5C13" w:rsidRDefault="00720AC5" w:rsidP="00720AC5">
          <w:pPr>
            <w:pStyle w:val="TOC3"/>
            <w:rPr>
              <w:rStyle w:val="Hyperlink"/>
              <w:rFonts w:ascii="Cambria" w:hAnsi="Cambria"/>
              <w:noProof/>
              <w:lang w:val="sq-AL"/>
            </w:rPr>
          </w:pPr>
          <w:r w:rsidRPr="000F5C13">
            <w:rPr>
              <w:rStyle w:val="Hyperlink"/>
              <w:rFonts w:ascii="Cambria" w:hAnsi="Cambria"/>
              <w:noProof/>
              <w:color w:val="FFFFFF" w:themeColor="background1"/>
              <w:lang w:val="sq-AL"/>
            </w:rPr>
            <w:t xml:space="preserve">          </w:t>
          </w:r>
          <w:hyperlink w:anchor="_Toc524506564" w:history="1">
            <w:r w:rsidRPr="000F5C13">
              <w:rPr>
                <w:rStyle w:val="Hyperlink"/>
                <w:rFonts w:ascii="Cambria" w:eastAsia="Times New Roman" w:hAnsi="Cambria"/>
                <w:noProof/>
                <w:lang w:val="sq-AL"/>
              </w:rPr>
              <w:t>2.4.3.</w:t>
            </w:r>
            <w:r w:rsidRPr="000F5C13">
              <w:rPr>
                <w:rFonts w:ascii="Cambria" w:eastAsiaTheme="minorEastAsia" w:hAnsi="Cambria"/>
                <w:noProof/>
                <w:lang w:val="sq-AL"/>
              </w:rPr>
              <w:tab/>
            </w:r>
            <w:r w:rsidRPr="000F5C13">
              <w:rPr>
                <w:rStyle w:val="Hyperlink"/>
                <w:rFonts w:ascii="Cambria" w:eastAsia="Times New Roman" w:hAnsi="Cambria"/>
                <w:noProof/>
                <w:lang w:val="sq-AL"/>
              </w:rPr>
              <w:t>Analiza e ndjeshmërisë</w:t>
            </w:r>
            <w:r w:rsidRPr="000F5C13">
              <w:rPr>
                <w:rFonts w:ascii="Cambria" w:hAnsi="Cambria"/>
                <w:noProof/>
                <w:webHidden/>
                <w:lang w:val="sq-AL"/>
              </w:rPr>
              <w:tab/>
            </w:r>
            <w:r w:rsidRPr="000F5C13">
              <w:rPr>
                <w:rFonts w:ascii="Cambria" w:hAnsi="Cambria"/>
                <w:noProof/>
                <w:webHidden/>
                <w:lang w:val="sq-AL"/>
              </w:rPr>
              <w:fldChar w:fldCharType="begin"/>
            </w:r>
            <w:r w:rsidRPr="000F5C13">
              <w:rPr>
                <w:rFonts w:ascii="Cambria" w:hAnsi="Cambria"/>
                <w:noProof/>
                <w:webHidden/>
                <w:lang w:val="sq-AL"/>
              </w:rPr>
              <w:instrText xml:space="preserve"> PAGEREF _Toc524506564 \h </w:instrText>
            </w:r>
            <w:r w:rsidRPr="000F5C13">
              <w:rPr>
                <w:rFonts w:ascii="Cambria" w:hAnsi="Cambria"/>
                <w:noProof/>
                <w:webHidden/>
                <w:lang w:val="sq-AL"/>
              </w:rPr>
            </w:r>
            <w:r w:rsidRPr="000F5C13">
              <w:rPr>
                <w:rFonts w:ascii="Cambria" w:hAnsi="Cambria"/>
                <w:noProof/>
                <w:webHidden/>
                <w:lang w:val="sq-AL"/>
              </w:rPr>
              <w:fldChar w:fldCharType="separate"/>
            </w:r>
            <w:r w:rsidR="009C0ED2">
              <w:rPr>
                <w:rFonts w:ascii="Cambria" w:hAnsi="Cambria"/>
                <w:noProof/>
                <w:webHidden/>
                <w:lang w:val="sq-AL"/>
              </w:rPr>
              <w:t>3</w:t>
            </w:r>
            <w:r w:rsidRPr="000F5C13">
              <w:rPr>
                <w:rFonts w:ascii="Cambria" w:hAnsi="Cambria"/>
                <w:noProof/>
                <w:webHidden/>
                <w:lang w:val="sq-AL"/>
              </w:rPr>
              <w:fldChar w:fldCharType="end"/>
            </w:r>
          </w:hyperlink>
          <w:r w:rsidR="00BF766B">
            <w:rPr>
              <w:rFonts w:ascii="Cambria" w:hAnsi="Cambria"/>
              <w:noProof/>
              <w:lang w:val="sq-AL"/>
            </w:rPr>
            <w:t>3</w:t>
          </w:r>
        </w:p>
        <w:p w14:paraId="71DF5B67" w14:textId="77777777" w:rsidR="00DE2D01" w:rsidRPr="00C922D1" w:rsidRDefault="00DE2D01" w:rsidP="00DE2D01">
          <w:pPr>
            <w:tabs>
              <w:tab w:val="right" w:leader="dot" w:pos="9350"/>
            </w:tabs>
            <w:spacing w:after="100"/>
            <w:rPr>
              <w:rFonts w:ascii="Cambria" w:eastAsiaTheme="minorEastAsia" w:hAnsi="Cambria"/>
              <w:b/>
              <w:noProof/>
              <w:szCs w:val="24"/>
              <w:lang w:val="sq-AL"/>
            </w:rPr>
          </w:pPr>
          <w:r w:rsidRPr="000F5C13">
            <w:rPr>
              <w:rFonts w:ascii="Cambria" w:eastAsia="Times New Roman" w:hAnsi="Cambria"/>
              <w:b/>
              <w:noProof/>
              <w:sz w:val="24"/>
              <w:szCs w:val="24"/>
              <w:lang w:val="sq-AL"/>
            </w:rPr>
            <w:t xml:space="preserve"> </w:t>
          </w:r>
          <w:r w:rsidR="00952967">
            <w:rPr>
              <w:rFonts w:ascii="Cambria" w:eastAsia="Times New Roman" w:hAnsi="Cambria"/>
              <w:b/>
              <w:noProof/>
              <w:szCs w:val="24"/>
              <w:lang w:val="sq-AL"/>
            </w:rPr>
            <w:t xml:space="preserve">   </w:t>
          </w:r>
          <w:r w:rsidRPr="00C922D1">
            <w:rPr>
              <w:rFonts w:ascii="Cambria" w:eastAsia="Times New Roman" w:hAnsi="Cambria"/>
              <w:b/>
              <w:noProof/>
              <w:szCs w:val="24"/>
              <w:lang w:val="sq-AL"/>
            </w:rPr>
            <w:t>ANEKS I       Analiza e Strategjive Alternative të Financimit</w:t>
          </w:r>
          <w:r w:rsidRPr="00C922D1">
            <w:rPr>
              <w:rFonts w:ascii="Cambria" w:eastAsia="Batang" w:hAnsi="Cambria"/>
              <w:b/>
              <w:noProof/>
              <w:szCs w:val="24"/>
              <w:lang w:val="sq-AL"/>
            </w:rPr>
            <w:tab/>
          </w:r>
          <w:r w:rsidRPr="00C922D1">
            <w:rPr>
              <w:rFonts w:ascii="Cambria" w:eastAsia="Batang" w:hAnsi="Cambria"/>
              <w:b/>
              <w:noProof/>
              <w:szCs w:val="24"/>
              <w:lang w:val="sq-AL"/>
            </w:rPr>
            <w:fldChar w:fldCharType="begin"/>
          </w:r>
          <w:r w:rsidRPr="00C922D1">
            <w:rPr>
              <w:rFonts w:ascii="Cambria" w:eastAsia="Batang" w:hAnsi="Cambria"/>
              <w:b/>
              <w:noProof/>
              <w:szCs w:val="24"/>
              <w:lang w:val="sq-AL"/>
            </w:rPr>
            <w:instrText xml:space="preserve"> PAGEREF _Toc491954339 \h </w:instrText>
          </w:r>
          <w:r w:rsidRPr="00C922D1">
            <w:rPr>
              <w:rFonts w:ascii="Cambria" w:eastAsia="Batang" w:hAnsi="Cambria"/>
              <w:b/>
              <w:noProof/>
              <w:szCs w:val="24"/>
              <w:lang w:val="sq-AL"/>
            </w:rPr>
          </w:r>
          <w:r w:rsidRPr="00C922D1">
            <w:rPr>
              <w:rFonts w:ascii="Cambria" w:eastAsia="Batang" w:hAnsi="Cambria"/>
              <w:b/>
              <w:noProof/>
              <w:szCs w:val="24"/>
              <w:lang w:val="sq-AL"/>
            </w:rPr>
            <w:fldChar w:fldCharType="separate"/>
          </w:r>
          <w:r w:rsidR="009C0ED2" w:rsidRPr="00C922D1">
            <w:rPr>
              <w:rFonts w:ascii="Cambria" w:eastAsia="Batang" w:hAnsi="Cambria"/>
              <w:b/>
              <w:noProof/>
              <w:szCs w:val="24"/>
              <w:lang w:val="sq-AL"/>
            </w:rPr>
            <w:t>36</w:t>
          </w:r>
          <w:r w:rsidRPr="00C922D1">
            <w:rPr>
              <w:rFonts w:ascii="Cambria" w:eastAsia="Batang" w:hAnsi="Cambria"/>
              <w:b/>
              <w:noProof/>
              <w:szCs w:val="24"/>
              <w:lang w:val="sq-AL"/>
            </w:rPr>
            <w:fldChar w:fldCharType="end"/>
          </w:r>
        </w:p>
        <w:p w14:paraId="71DF5B68" w14:textId="77777777" w:rsidR="00DE2D01" w:rsidRPr="00C922D1" w:rsidRDefault="00952967" w:rsidP="00DE2D01">
          <w:pPr>
            <w:tabs>
              <w:tab w:val="right" w:leader="dot" w:pos="9350"/>
            </w:tabs>
            <w:spacing w:after="100"/>
            <w:rPr>
              <w:rFonts w:ascii="Cambria" w:eastAsiaTheme="minorEastAsia" w:hAnsi="Cambria"/>
              <w:b/>
              <w:noProof/>
              <w:szCs w:val="24"/>
              <w:lang w:val="sq-AL"/>
            </w:rPr>
          </w:pPr>
          <w:r>
            <w:rPr>
              <w:rFonts w:ascii="Cambria" w:eastAsia="Batang" w:hAnsi="Cambria"/>
              <w:b/>
              <w:noProof/>
              <w:szCs w:val="24"/>
              <w:lang w:val="sq-AL"/>
            </w:rPr>
            <w:t xml:space="preserve">    </w:t>
          </w:r>
          <w:r w:rsidR="00DE2D01" w:rsidRPr="00C922D1">
            <w:rPr>
              <w:rFonts w:ascii="Cambria" w:eastAsia="Batang" w:hAnsi="Cambria"/>
              <w:b/>
              <w:noProof/>
              <w:szCs w:val="24"/>
              <w:lang w:val="sq-AL"/>
            </w:rPr>
            <w:t>ANEKS II      Akronime dhe Fjalor Teknik</w:t>
          </w:r>
          <w:r w:rsidR="00DE2D01" w:rsidRPr="00C922D1">
            <w:rPr>
              <w:rFonts w:ascii="Cambria" w:eastAsia="Batang" w:hAnsi="Cambria"/>
              <w:b/>
              <w:noProof/>
              <w:szCs w:val="24"/>
              <w:lang w:val="sq-AL"/>
            </w:rPr>
            <w:tab/>
          </w:r>
          <w:r w:rsidR="00DE2D01" w:rsidRPr="00C922D1">
            <w:rPr>
              <w:rFonts w:ascii="Cambria" w:eastAsia="Batang" w:hAnsi="Cambria"/>
              <w:b/>
              <w:noProof/>
              <w:szCs w:val="24"/>
              <w:lang w:val="sq-AL"/>
            </w:rPr>
            <w:fldChar w:fldCharType="begin"/>
          </w:r>
          <w:r w:rsidR="00DE2D01" w:rsidRPr="00C922D1">
            <w:rPr>
              <w:rFonts w:ascii="Cambria" w:eastAsia="Batang" w:hAnsi="Cambria"/>
              <w:b/>
              <w:noProof/>
              <w:szCs w:val="24"/>
              <w:lang w:val="sq-AL"/>
            </w:rPr>
            <w:instrText xml:space="preserve"> PAGEREF _Toc491954340 \h </w:instrText>
          </w:r>
          <w:r w:rsidR="00DE2D01" w:rsidRPr="00C922D1">
            <w:rPr>
              <w:rFonts w:ascii="Cambria" w:eastAsia="Batang" w:hAnsi="Cambria"/>
              <w:b/>
              <w:noProof/>
              <w:szCs w:val="24"/>
              <w:lang w:val="sq-AL"/>
            </w:rPr>
          </w:r>
          <w:r w:rsidR="00DE2D01" w:rsidRPr="00C922D1">
            <w:rPr>
              <w:rFonts w:ascii="Cambria" w:eastAsia="Batang" w:hAnsi="Cambria"/>
              <w:b/>
              <w:noProof/>
              <w:szCs w:val="24"/>
              <w:lang w:val="sq-AL"/>
            </w:rPr>
            <w:fldChar w:fldCharType="separate"/>
          </w:r>
          <w:r w:rsidR="009C0ED2" w:rsidRPr="00C922D1">
            <w:rPr>
              <w:rFonts w:ascii="Cambria" w:eastAsia="Batang" w:hAnsi="Cambria"/>
              <w:b/>
              <w:noProof/>
              <w:szCs w:val="24"/>
              <w:lang w:val="sq-AL"/>
            </w:rPr>
            <w:t>42</w:t>
          </w:r>
          <w:r w:rsidR="00DE2D01" w:rsidRPr="00C922D1">
            <w:rPr>
              <w:rFonts w:ascii="Cambria" w:eastAsia="Batang" w:hAnsi="Cambria"/>
              <w:b/>
              <w:noProof/>
              <w:szCs w:val="24"/>
              <w:lang w:val="sq-AL"/>
            </w:rPr>
            <w:fldChar w:fldCharType="end"/>
          </w:r>
        </w:p>
        <w:p w14:paraId="71DF5B69" w14:textId="77777777" w:rsidR="00DE2D01" w:rsidRPr="00C922D1" w:rsidRDefault="00DE2D01" w:rsidP="00DE2D01">
          <w:pPr>
            <w:tabs>
              <w:tab w:val="right" w:leader="dot" w:pos="9350"/>
            </w:tabs>
            <w:spacing w:after="100"/>
            <w:rPr>
              <w:rFonts w:ascii="Cambria" w:eastAsiaTheme="minorEastAsia" w:hAnsi="Cambria"/>
              <w:b/>
              <w:noProof/>
              <w:szCs w:val="24"/>
              <w:lang w:val="sq-AL"/>
            </w:rPr>
          </w:pPr>
          <w:r w:rsidRPr="00C922D1">
            <w:rPr>
              <w:rFonts w:ascii="Cambria" w:eastAsia="Batang" w:hAnsi="Cambria"/>
              <w:b/>
              <w:noProof/>
              <w:szCs w:val="24"/>
              <w:lang w:val="sq-AL"/>
            </w:rPr>
            <w:t xml:space="preserve">    ANEKS III     Informacione Shtesë</w:t>
          </w:r>
          <w:r w:rsidRPr="00C922D1">
            <w:rPr>
              <w:rFonts w:ascii="Cambria" w:eastAsia="Batang" w:hAnsi="Cambria"/>
              <w:b/>
              <w:noProof/>
              <w:szCs w:val="24"/>
              <w:lang w:val="sq-AL"/>
            </w:rPr>
            <w:tab/>
            <w:t>4</w:t>
          </w:r>
          <w:r w:rsidR="00BF766B">
            <w:rPr>
              <w:rFonts w:ascii="Cambria" w:eastAsia="Batang" w:hAnsi="Cambria"/>
              <w:b/>
              <w:noProof/>
              <w:szCs w:val="24"/>
              <w:lang w:val="sq-AL"/>
            </w:rPr>
            <w:t>6</w:t>
          </w:r>
        </w:p>
        <w:p w14:paraId="71DF5B6A" w14:textId="77777777" w:rsidR="00DE2D01" w:rsidRPr="000F5C13" w:rsidRDefault="00DE2D01" w:rsidP="00DE2D01">
          <w:pPr>
            <w:rPr>
              <w:noProof/>
              <w:lang w:val="sq-AL"/>
            </w:rPr>
          </w:pPr>
        </w:p>
        <w:p w14:paraId="71DF5B6B" w14:textId="77777777" w:rsidR="00C64434" w:rsidRPr="000F5C13" w:rsidRDefault="00C64434">
          <w:pPr>
            <w:rPr>
              <w:rFonts w:asciiTheme="majorHAnsi" w:hAnsiTheme="majorHAnsi"/>
              <w:noProof/>
              <w:lang w:val="sq-AL"/>
            </w:rPr>
          </w:pPr>
          <w:r w:rsidRPr="000F5C13">
            <w:rPr>
              <w:b/>
              <w:bCs/>
              <w:noProof/>
              <w:sz w:val="24"/>
              <w:szCs w:val="24"/>
              <w:lang w:val="sq-AL"/>
            </w:rPr>
            <w:fldChar w:fldCharType="end"/>
          </w:r>
        </w:p>
      </w:sdtContent>
    </w:sdt>
    <w:p w14:paraId="71DF5B6C" w14:textId="77777777" w:rsidR="00C64434" w:rsidRPr="000F5C13" w:rsidRDefault="00C64434" w:rsidP="00E62293">
      <w:pPr>
        <w:ind w:left="284" w:right="237"/>
        <w:jc w:val="center"/>
        <w:rPr>
          <w:rFonts w:asciiTheme="majorHAnsi" w:eastAsia="Times New Roman" w:hAnsiTheme="majorHAnsi" w:cs="Times New Roman"/>
          <w:b/>
          <w:noProof/>
          <w:color w:val="C00000"/>
          <w:sz w:val="24"/>
          <w:szCs w:val="24"/>
          <w:lang w:val="sq-AL"/>
        </w:rPr>
      </w:pPr>
    </w:p>
    <w:p w14:paraId="71DF5B6D" w14:textId="77777777" w:rsidR="00C64434" w:rsidRPr="000F5C13" w:rsidRDefault="00C64434" w:rsidP="00E62293">
      <w:pPr>
        <w:ind w:left="284" w:right="237"/>
        <w:jc w:val="center"/>
        <w:rPr>
          <w:rFonts w:ascii="Cambria" w:eastAsia="Times New Roman" w:hAnsi="Cambria" w:cs="Times New Roman"/>
          <w:b/>
          <w:noProof/>
          <w:color w:val="C00000"/>
          <w:sz w:val="24"/>
          <w:szCs w:val="24"/>
          <w:lang w:val="sq-AL"/>
        </w:rPr>
      </w:pPr>
    </w:p>
    <w:p w14:paraId="71DF5B6E" w14:textId="77777777" w:rsidR="00C64434" w:rsidRPr="000F5C13" w:rsidRDefault="00C64434" w:rsidP="00E62293">
      <w:pPr>
        <w:ind w:left="284" w:right="237"/>
        <w:jc w:val="center"/>
        <w:rPr>
          <w:rFonts w:ascii="Cambria" w:eastAsia="Times New Roman" w:hAnsi="Cambria" w:cs="Times New Roman"/>
          <w:b/>
          <w:noProof/>
          <w:color w:val="C00000"/>
          <w:sz w:val="24"/>
          <w:szCs w:val="24"/>
          <w:lang w:val="sq-AL"/>
        </w:rPr>
      </w:pPr>
    </w:p>
    <w:p w14:paraId="71DF5B6F" w14:textId="77777777" w:rsidR="00C64434" w:rsidRPr="000F5C13" w:rsidRDefault="00C64434" w:rsidP="00E62293">
      <w:pPr>
        <w:ind w:left="284" w:right="237"/>
        <w:jc w:val="center"/>
        <w:rPr>
          <w:rFonts w:ascii="Cambria" w:eastAsia="Times New Roman" w:hAnsi="Cambria" w:cs="Times New Roman"/>
          <w:b/>
          <w:noProof/>
          <w:color w:val="C00000"/>
          <w:sz w:val="24"/>
          <w:szCs w:val="24"/>
          <w:lang w:val="sq-AL"/>
        </w:rPr>
      </w:pPr>
    </w:p>
    <w:p w14:paraId="71DF5B70" w14:textId="77777777" w:rsidR="00C64434" w:rsidRPr="000F5C13" w:rsidRDefault="00C64434" w:rsidP="00E62293">
      <w:pPr>
        <w:ind w:left="284" w:right="237"/>
        <w:jc w:val="center"/>
        <w:rPr>
          <w:rFonts w:ascii="Cambria" w:eastAsia="Times New Roman" w:hAnsi="Cambria" w:cs="Times New Roman"/>
          <w:b/>
          <w:noProof/>
          <w:color w:val="C00000"/>
          <w:sz w:val="24"/>
          <w:szCs w:val="24"/>
          <w:lang w:val="sq-AL"/>
        </w:rPr>
      </w:pPr>
    </w:p>
    <w:bookmarkEnd w:id="0"/>
    <w:p w14:paraId="71DF5B71" w14:textId="77777777" w:rsidR="00E62293" w:rsidRPr="000F5C13" w:rsidRDefault="00E62293"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2"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3"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4"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5"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6"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7"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8"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9"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A"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B" w14:textId="77777777" w:rsidR="00720AC5" w:rsidRPr="000F5C13" w:rsidRDefault="00720AC5" w:rsidP="009B24CE">
      <w:pPr>
        <w:spacing w:before="240" w:after="0" w:line="276" w:lineRule="auto"/>
        <w:ind w:right="237"/>
        <w:jc w:val="both"/>
        <w:rPr>
          <w:rFonts w:ascii="Cambria" w:eastAsia="Times New Roman" w:hAnsi="Cambria" w:cs="Times New Roman"/>
          <w:b/>
          <w:noProof/>
          <w:color w:val="C00000"/>
          <w:sz w:val="24"/>
          <w:szCs w:val="24"/>
          <w:lang w:val="sq-AL"/>
        </w:rPr>
      </w:pPr>
    </w:p>
    <w:p w14:paraId="71DF5B7C" w14:textId="77777777" w:rsidR="002D0027" w:rsidRPr="000F5C13" w:rsidRDefault="002D0027" w:rsidP="009B24CE">
      <w:pPr>
        <w:spacing w:before="240" w:after="0" w:line="276" w:lineRule="auto"/>
        <w:ind w:right="237"/>
        <w:jc w:val="both"/>
        <w:rPr>
          <w:rFonts w:ascii="Times New Roman" w:eastAsia="Batang" w:hAnsi="Times New Roman" w:cs="Times New Roman"/>
          <w:bCs/>
          <w:noProof/>
          <w:sz w:val="12"/>
          <w:szCs w:val="12"/>
          <w:lang w:val="sq-AL"/>
        </w:rPr>
      </w:pPr>
    </w:p>
    <w:p w14:paraId="71DF5B7D" w14:textId="77777777" w:rsidR="00291349" w:rsidRPr="00937F4E" w:rsidRDefault="00291349" w:rsidP="00291349">
      <w:pPr>
        <w:keepNext/>
        <w:keepLines/>
        <w:spacing w:after="0" w:line="276" w:lineRule="auto"/>
        <w:outlineLvl w:val="0"/>
        <w:rPr>
          <w:rFonts w:ascii="Cambria" w:eastAsia="Times New Roman" w:hAnsi="Cambria" w:cstheme="majorBidi"/>
          <w:b/>
          <w:noProof/>
          <w:color w:val="C00000"/>
          <w:sz w:val="16"/>
          <w:szCs w:val="32"/>
          <w:lang w:val="sq-AL"/>
        </w:rPr>
      </w:pPr>
      <w:bookmarkStart w:id="1" w:name="_Toc524506525"/>
    </w:p>
    <w:p w14:paraId="71DF5B7E" w14:textId="77777777" w:rsidR="00E62293" w:rsidRPr="0070449B" w:rsidRDefault="00E62293" w:rsidP="00291349">
      <w:pPr>
        <w:keepNext/>
        <w:keepLines/>
        <w:spacing w:after="0" w:line="276" w:lineRule="auto"/>
        <w:jc w:val="center"/>
        <w:outlineLvl w:val="0"/>
        <w:rPr>
          <w:rFonts w:ascii="Cambria" w:eastAsia="Times New Roman" w:hAnsi="Cambria" w:cstheme="majorBidi"/>
          <w:b/>
          <w:noProof/>
          <w:color w:val="C00000"/>
          <w:sz w:val="24"/>
          <w:szCs w:val="32"/>
          <w:lang w:val="sq-AL"/>
        </w:rPr>
      </w:pPr>
      <w:r w:rsidRPr="0070449B">
        <w:rPr>
          <w:rFonts w:ascii="Cambria" w:eastAsia="Times New Roman" w:hAnsi="Cambria" w:cstheme="majorBidi"/>
          <w:b/>
          <w:noProof/>
          <w:color w:val="C00000"/>
          <w:sz w:val="24"/>
          <w:szCs w:val="32"/>
          <w:lang w:val="sq-AL"/>
        </w:rPr>
        <w:t>PËRMBLEDHJE</w:t>
      </w:r>
      <w:bookmarkEnd w:id="1"/>
    </w:p>
    <w:p w14:paraId="71DF5B7F" w14:textId="77777777" w:rsidR="002D0027" w:rsidRPr="0070449B" w:rsidRDefault="005C71DC" w:rsidP="00291349">
      <w:pPr>
        <w:tabs>
          <w:tab w:val="left" w:pos="8002"/>
        </w:tabs>
        <w:spacing w:after="0" w:line="276" w:lineRule="auto"/>
        <w:ind w:left="284" w:right="237"/>
        <w:jc w:val="both"/>
        <w:rPr>
          <w:rFonts w:ascii="Cambria" w:eastAsia="Batang" w:hAnsi="Cambria" w:cs="Times New Roman"/>
          <w:b/>
          <w:bCs/>
          <w:noProof/>
          <w:sz w:val="24"/>
          <w:szCs w:val="24"/>
          <w:lang w:val="sq-AL"/>
        </w:rPr>
      </w:pPr>
      <w:r w:rsidRPr="0070449B">
        <w:rPr>
          <w:rFonts w:ascii="Cambria" w:eastAsia="Batang" w:hAnsi="Cambria" w:cs="Times New Roman"/>
          <w:b/>
          <w:bCs/>
          <w:noProof/>
          <w:sz w:val="24"/>
          <w:szCs w:val="24"/>
          <w:lang w:val="sq-AL"/>
        </w:rPr>
        <w:tab/>
      </w:r>
    </w:p>
    <w:p w14:paraId="71DF5B80" w14:textId="77777777" w:rsidR="009B24CE" w:rsidRPr="0070449B" w:rsidRDefault="009B24CE" w:rsidP="00291349">
      <w:pPr>
        <w:spacing w:after="0" w:line="276" w:lineRule="auto"/>
        <w:ind w:right="237"/>
        <w:jc w:val="both"/>
        <w:rPr>
          <w:rFonts w:ascii="Cambria" w:eastAsia="Batang" w:hAnsi="Cambria" w:cs="Times New Roman"/>
          <w:b/>
          <w:bCs/>
          <w:noProof/>
          <w:sz w:val="24"/>
          <w:szCs w:val="24"/>
          <w:lang w:val="sq-AL"/>
        </w:rPr>
      </w:pPr>
      <w:r w:rsidRPr="0070449B">
        <w:rPr>
          <w:rFonts w:ascii="Cambria" w:eastAsia="Batang" w:hAnsi="Cambria" w:cs="Times New Roman"/>
          <w:b/>
          <w:bCs/>
          <w:noProof/>
          <w:sz w:val="24"/>
          <w:szCs w:val="24"/>
          <w:lang w:val="sq-AL"/>
        </w:rPr>
        <w:t xml:space="preserve">Objektivat dhe Qëllimi </w:t>
      </w:r>
    </w:p>
    <w:p w14:paraId="71DF5B81" w14:textId="77777777" w:rsidR="00801275" w:rsidRPr="0070449B" w:rsidRDefault="00801275" w:rsidP="00291349">
      <w:pPr>
        <w:spacing w:after="0" w:line="276" w:lineRule="auto"/>
        <w:ind w:left="284" w:right="237"/>
        <w:jc w:val="both"/>
        <w:rPr>
          <w:rFonts w:ascii="Cambria" w:eastAsia="Batang" w:hAnsi="Cambria" w:cs="Times New Roman"/>
          <w:b/>
          <w:bCs/>
          <w:noProof/>
          <w:sz w:val="20"/>
          <w:szCs w:val="24"/>
          <w:lang w:val="sq-AL"/>
        </w:rPr>
      </w:pPr>
    </w:p>
    <w:p w14:paraId="71DF5B82" w14:textId="77777777" w:rsidR="009B24CE" w:rsidRPr="0070449B" w:rsidRDefault="009B24CE" w:rsidP="00291349">
      <w:pPr>
        <w:spacing w:after="0" w:line="276" w:lineRule="auto"/>
        <w:ind w:right="237"/>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 xml:space="preserve">Strategjia Afatmesme e Menaxhimit të Borxhit (SAMB) është një plan afatmesëm, të cilin Ministria e Financave dhe Ekonomisë synon ta </w:t>
      </w:r>
      <w:r w:rsidR="00C15BD5" w:rsidRPr="0070449B">
        <w:rPr>
          <w:rFonts w:ascii="Times New Roman" w:eastAsia="Batang" w:hAnsi="Times New Roman" w:cs="Times New Roman"/>
          <w:noProof/>
          <w:sz w:val="24"/>
          <w:szCs w:val="24"/>
          <w:lang w:val="sq-AL"/>
        </w:rPr>
        <w:t>zbatoj</w:t>
      </w:r>
      <w:r w:rsidR="00FE1AC2"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duke pasur si objektiva parësore:</w:t>
      </w:r>
    </w:p>
    <w:p w14:paraId="71DF5B83" w14:textId="77777777" w:rsidR="009B24CE" w:rsidRPr="0070449B" w:rsidRDefault="009B24CE" w:rsidP="00291349">
      <w:pPr>
        <w:spacing w:after="0" w:line="276" w:lineRule="auto"/>
        <w:ind w:left="284" w:right="237"/>
        <w:jc w:val="both"/>
        <w:rPr>
          <w:rFonts w:ascii="Times New Roman" w:eastAsia="Batang" w:hAnsi="Times New Roman" w:cs="Times New Roman"/>
          <w:noProof/>
          <w:sz w:val="16"/>
          <w:szCs w:val="12"/>
          <w:lang w:val="sq-AL"/>
        </w:rPr>
      </w:pPr>
    </w:p>
    <w:p w14:paraId="71DF5B84" w14:textId="77777777" w:rsidR="00754CBC" w:rsidRPr="0070449B" w:rsidRDefault="009D308A" w:rsidP="007C5DFA">
      <w:pPr>
        <w:numPr>
          <w:ilvl w:val="0"/>
          <w:numId w:val="31"/>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Plot</w:t>
      </w:r>
      <w:r w:rsidR="00546402"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simin</w:t>
      </w:r>
      <w:r w:rsidR="009B24CE" w:rsidRPr="0070449B">
        <w:rPr>
          <w:rFonts w:ascii="Times New Roman" w:eastAsia="Batang" w:hAnsi="Times New Roman" w:cs="Times New Roman"/>
          <w:noProof/>
          <w:sz w:val="24"/>
          <w:szCs w:val="24"/>
          <w:lang w:val="sq-AL"/>
        </w:rPr>
        <w:t xml:space="preserve"> e nevojave të </w:t>
      </w:r>
      <w:r w:rsidR="00D73D9A" w:rsidRPr="0070449B">
        <w:rPr>
          <w:rFonts w:ascii="Times New Roman" w:eastAsia="Batang" w:hAnsi="Times New Roman" w:cs="Times New Roman"/>
          <w:noProof/>
          <w:sz w:val="24"/>
          <w:szCs w:val="24"/>
          <w:lang w:val="sq-AL"/>
        </w:rPr>
        <w:t>q</w:t>
      </w:r>
      <w:r w:rsidR="009B24CE" w:rsidRPr="0070449B">
        <w:rPr>
          <w:rFonts w:ascii="Times New Roman" w:eastAsia="Batang" w:hAnsi="Times New Roman" w:cs="Times New Roman"/>
          <w:noProof/>
          <w:sz w:val="24"/>
          <w:szCs w:val="24"/>
          <w:lang w:val="sq-AL"/>
        </w:rPr>
        <w:t>everisë për financim, si edhe nevojave për të shërbyer borxhin aktual me kosto sa më të ulët dhe duke mbajtur nivele të pranueshme të ekspozimit ndaj r</w:t>
      </w:r>
      <w:r w:rsidR="00F55A3D" w:rsidRPr="0070449B">
        <w:rPr>
          <w:rFonts w:ascii="Times New Roman" w:eastAsia="Batang" w:hAnsi="Times New Roman" w:cs="Times New Roman"/>
          <w:noProof/>
          <w:sz w:val="24"/>
          <w:szCs w:val="24"/>
          <w:lang w:val="sq-AL"/>
        </w:rPr>
        <w:t>is</w:t>
      </w:r>
      <w:r w:rsidR="00754CBC" w:rsidRPr="0070449B">
        <w:rPr>
          <w:rFonts w:ascii="Times New Roman" w:eastAsia="Batang" w:hAnsi="Times New Roman" w:cs="Times New Roman"/>
          <w:noProof/>
          <w:sz w:val="24"/>
          <w:szCs w:val="24"/>
          <w:lang w:val="sq-AL"/>
        </w:rPr>
        <w:t>qeve</w:t>
      </w:r>
      <w:r w:rsidR="009B24CE" w:rsidRPr="0070449B">
        <w:rPr>
          <w:rFonts w:ascii="Times New Roman" w:eastAsia="Batang" w:hAnsi="Times New Roman" w:cs="Times New Roman"/>
          <w:noProof/>
          <w:sz w:val="24"/>
          <w:szCs w:val="24"/>
          <w:lang w:val="sq-AL"/>
        </w:rPr>
        <w:t xml:space="preserve">; </w:t>
      </w:r>
    </w:p>
    <w:p w14:paraId="71DF5B85" w14:textId="77777777" w:rsidR="009B24CE" w:rsidRPr="0070449B" w:rsidRDefault="00CA5F86" w:rsidP="007C5DFA">
      <w:pPr>
        <w:numPr>
          <w:ilvl w:val="0"/>
          <w:numId w:val="31"/>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lang w:val="sq-AL"/>
        </w:rPr>
      </w:pPr>
      <w:r w:rsidRPr="00CA5F86">
        <w:rPr>
          <w:rFonts w:ascii="Times New Roman" w:eastAsia="Batang" w:hAnsi="Times New Roman" w:cs="Times New Roman"/>
          <w:noProof/>
          <w:sz w:val="24"/>
          <w:szCs w:val="24"/>
          <w:lang w:val="sq-AL"/>
        </w:rPr>
        <w:t>Përmirësimin dhe ruajtjen e eficensës së tregut primar, mbështetur nga zhvillimi i mëtejshëm i tregut sekondar të titujve shtetërorë</w:t>
      </w:r>
      <w:r w:rsidR="009B24CE" w:rsidRPr="0070449B">
        <w:rPr>
          <w:rFonts w:ascii="Times New Roman" w:eastAsia="Batang" w:hAnsi="Times New Roman" w:cs="Times New Roman"/>
          <w:noProof/>
          <w:sz w:val="24"/>
          <w:szCs w:val="24"/>
          <w:lang w:val="sq-AL"/>
        </w:rPr>
        <w:t xml:space="preserve"> vendas. </w:t>
      </w:r>
    </w:p>
    <w:p w14:paraId="71DF5B86" w14:textId="77777777" w:rsidR="009B24CE" w:rsidRPr="0070449B" w:rsidRDefault="009B24CE" w:rsidP="00291349">
      <w:pPr>
        <w:autoSpaceDE w:val="0"/>
        <w:autoSpaceDN w:val="0"/>
        <w:adjustRightInd w:val="0"/>
        <w:spacing w:after="0" w:line="276" w:lineRule="auto"/>
        <w:ind w:left="284" w:right="237"/>
        <w:contextualSpacing/>
        <w:jc w:val="both"/>
        <w:rPr>
          <w:rFonts w:ascii="Times New Roman" w:eastAsia="Batang" w:hAnsi="Times New Roman" w:cs="Times New Roman"/>
          <w:noProof/>
          <w:sz w:val="16"/>
          <w:szCs w:val="12"/>
          <w:lang w:val="sq-AL"/>
        </w:rPr>
      </w:pPr>
    </w:p>
    <w:p w14:paraId="71DF5B87" w14:textId="77777777" w:rsidR="009B24CE" w:rsidRPr="0070449B" w:rsidRDefault="009B24CE"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Në funksion të realizimit të objektivave të sipërpërmendura dhe në përputhje me bazën ligjore në fuqi</w:t>
      </w:r>
      <w:r w:rsidRPr="0070449B">
        <w:rPr>
          <w:rFonts w:ascii="Times New Roman" w:eastAsia="Batang" w:hAnsi="Times New Roman" w:cs="Times New Roman"/>
          <w:noProof/>
          <w:sz w:val="24"/>
          <w:szCs w:val="24"/>
          <w:vertAlign w:val="superscript"/>
          <w:lang w:val="sq-AL"/>
        </w:rPr>
        <w:footnoteReference w:id="1"/>
      </w:r>
      <w:r w:rsidRPr="0070449B">
        <w:rPr>
          <w:rFonts w:ascii="Times New Roman" w:eastAsia="Batang" w:hAnsi="Times New Roman" w:cs="Times New Roman"/>
          <w:noProof/>
          <w:sz w:val="24"/>
          <w:szCs w:val="24"/>
          <w:lang w:val="sq-AL"/>
        </w:rPr>
        <w:t xml:space="preserve">, Ministria e Financave dhe Ekonomisë përgatit dhe përditëson në bazë vjetore dokumentin e </w:t>
      </w:r>
      <w:r w:rsidR="00937F4E" w:rsidRPr="0070449B">
        <w:rPr>
          <w:rFonts w:ascii="Times New Roman" w:eastAsia="Batang" w:hAnsi="Times New Roman" w:cs="Times New Roman"/>
          <w:noProof/>
          <w:sz w:val="24"/>
          <w:szCs w:val="24"/>
          <w:lang w:val="sq-AL"/>
        </w:rPr>
        <w:t>SAMB</w:t>
      </w:r>
      <w:r w:rsidRPr="0070449B">
        <w:rPr>
          <w:rFonts w:ascii="Times New Roman" w:eastAsia="Batang" w:hAnsi="Times New Roman" w:cs="Times New Roman"/>
          <w:noProof/>
          <w:sz w:val="24"/>
          <w:szCs w:val="24"/>
          <w:lang w:val="sq-AL"/>
        </w:rPr>
        <w:t xml:space="preserve">, duke parashtruar planet e financimit me borxh dhe aktivitetet që do të ndërmerren në periudhën afatmesme. </w:t>
      </w:r>
    </w:p>
    <w:p w14:paraId="71DF5B88" w14:textId="77777777" w:rsidR="009B24CE" w:rsidRPr="0070449B" w:rsidRDefault="009B24CE"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 xml:space="preserve">SAMB hartohet dhe përditësohet në linjë me Ligjin Vjetor të Buxhetit, </w:t>
      </w:r>
      <w:r w:rsidR="00C15BD5" w:rsidRPr="0070449B">
        <w:rPr>
          <w:rFonts w:ascii="Times New Roman" w:eastAsia="Batang" w:hAnsi="Times New Roman" w:cs="Times New Roman"/>
          <w:noProof/>
          <w:sz w:val="24"/>
          <w:szCs w:val="24"/>
          <w:lang w:val="sq-AL"/>
        </w:rPr>
        <w:t>K</w:t>
      </w:r>
      <w:r w:rsidRPr="0070449B">
        <w:rPr>
          <w:rFonts w:ascii="Times New Roman" w:eastAsia="Batang" w:hAnsi="Times New Roman" w:cs="Times New Roman"/>
          <w:noProof/>
          <w:sz w:val="24"/>
          <w:szCs w:val="24"/>
          <w:lang w:val="sq-AL"/>
        </w:rPr>
        <w:t>uadrin Makro</w:t>
      </w:r>
      <w:r w:rsidR="00E820CD" w:rsidRPr="0070449B">
        <w:rPr>
          <w:rFonts w:ascii="Times New Roman" w:eastAsia="Batang" w:hAnsi="Times New Roman" w:cs="Times New Roman"/>
          <w:noProof/>
          <w:sz w:val="24"/>
          <w:szCs w:val="24"/>
          <w:lang w:val="sq-AL"/>
        </w:rPr>
        <w:t xml:space="preserve">ekonomik dhe </w:t>
      </w:r>
      <w:r w:rsidRPr="0070449B">
        <w:rPr>
          <w:rFonts w:ascii="Times New Roman" w:eastAsia="Batang" w:hAnsi="Times New Roman" w:cs="Times New Roman"/>
          <w:noProof/>
          <w:sz w:val="24"/>
          <w:szCs w:val="24"/>
          <w:lang w:val="sq-AL"/>
        </w:rPr>
        <w:t xml:space="preserve">Fiskal të </w:t>
      </w:r>
      <w:r w:rsidR="00C15BD5" w:rsidRPr="0070449B">
        <w:rPr>
          <w:rFonts w:ascii="Times New Roman" w:eastAsia="Batang" w:hAnsi="Times New Roman" w:cs="Times New Roman"/>
          <w:noProof/>
          <w:sz w:val="24"/>
          <w:szCs w:val="24"/>
          <w:lang w:val="sq-AL"/>
        </w:rPr>
        <w:t>q</w:t>
      </w:r>
      <w:r w:rsidRPr="0070449B">
        <w:rPr>
          <w:rFonts w:ascii="Times New Roman" w:eastAsia="Batang" w:hAnsi="Times New Roman" w:cs="Times New Roman"/>
          <w:noProof/>
          <w:sz w:val="24"/>
          <w:szCs w:val="24"/>
          <w:lang w:val="sq-AL"/>
        </w:rPr>
        <w:t xml:space="preserve">everisë, si edhe me politikat monetare që Banka e Shqipërisë </w:t>
      </w:r>
      <w:r w:rsidR="00E820CD" w:rsidRPr="0070449B">
        <w:rPr>
          <w:rFonts w:ascii="Times New Roman" w:eastAsia="Batang" w:hAnsi="Times New Roman" w:cs="Times New Roman"/>
          <w:noProof/>
          <w:sz w:val="24"/>
          <w:szCs w:val="24"/>
          <w:lang w:val="sq-AL"/>
        </w:rPr>
        <w:t>planifikon</w:t>
      </w:r>
      <w:r w:rsidRPr="0070449B">
        <w:rPr>
          <w:rFonts w:ascii="Times New Roman" w:eastAsia="Batang" w:hAnsi="Times New Roman" w:cs="Times New Roman"/>
          <w:noProof/>
          <w:sz w:val="24"/>
          <w:szCs w:val="24"/>
          <w:lang w:val="sq-AL"/>
        </w:rPr>
        <w:t xml:space="preserve"> të </w:t>
      </w:r>
      <w:r w:rsidR="00C15BD5" w:rsidRPr="0070449B">
        <w:rPr>
          <w:rFonts w:ascii="Times New Roman" w:eastAsia="Batang" w:hAnsi="Times New Roman" w:cs="Times New Roman"/>
          <w:noProof/>
          <w:sz w:val="24"/>
          <w:szCs w:val="24"/>
          <w:lang w:val="sq-AL"/>
        </w:rPr>
        <w:t>zbatoj</w:t>
      </w:r>
      <w:r w:rsidR="006F6B74" w:rsidRPr="0070449B">
        <w:rPr>
          <w:rFonts w:ascii="Times New Roman" w:eastAsia="Batang" w:hAnsi="Times New Roman" w:cs="Times New Roman"/>
          <w:noProof/>
          <w:sz w:val="24"/>
          <w:szCs w:val="24"/>
          <w:lang w:val="sq-AL"/>
        </w:rPr>
        <w:t>ë</w:t>
      </w:r>
      <w:r w:rsidR="00606283" w:rsidRPr="0070449B">
        <w:rPr>
          <w:rFonts w:ascii="Times New Roman" w:eastAsia="Batang" w:hAnsi="Times New Roman" w:cs="Times New Roman"/>
          <w:noProof/>
          <w:sz w:val="24"/>
          <w:szCs w:val="24"/>
          <w:lang w:val="sq-AL"/>
        </w:rPr>
        <w:t xml:space="preserve"> në periudhën afatmesme 20</w:t>
      </w:r>
      <w:r w:rsidR="00F01C3D" w:rsidRPr="0070449B">
        <w:rPr>
          <w:rFonts w:ascii="Times New Roman" w:eastAsia="Batang" w:hAnsi="Times New Roman" w:cs="Times New Roman"/>
          <w:noProof/>
          <w:sz w:val="24"/>
          <w:szCs w:val="24"/>
          <w:lang w:val="sq-AL"/>
        </w:rPr>
        <w:t>20-2022</w:t>
      </w:r>
      <w:r w:rsidRPr="0070449B">
        <w:rPr>
          <w:rFonts w:ascii="Times New Roman" w:eastAsia="Batang" w:hAnsi="Times New Roman" w:cs="Times New Roman"/>
          <w:noProof/>
          <w:sz w:val="24"/>
          <w:szCs w:val="24"/>
          <w:lang w:val="sq-AL"/>
        </w:rPr>
        <w:t>.</w:t>
      </w:r>
    </w:p>
    <w:p w14:paraId="71DF5B89" w14:textId="77777777" w:rsidR="009B24CE" w:rsidRPr="0070449B" w:rsidRDefault="009B24CE" w:rsidP="00291349">
      <w:pPr>
        <w:autoSpaceDE w:val="0"/>
        <w:autoSpaceDN w:val="0"/>
        <w:adjustRightInd w:val="0"/>
        <w:spacing w:after="0" w:line="276" w:lineRule="auto"/>
        <w:ind w:left="284" w:right="237"/>
        <w:contextualSpacing/>
        <w:jc w:val="both"/>
        <w:rPr>
          <w:rFonts w:ascii="Times New Roman" w:eastAsia="Batang" w:hAnsi="Times New Roman" w:cs="Times New Roman"/>
          <w:noProof/>
          <w:sz w:val="16"/>
          <w:szCs w:val="12"/>
          <w:lang w:val="sq-AL"/>
        </w:rPr>
      </w:pPr>
    </w:p>
    <w:p w14:paraId="71DF5B8A" w14:textId="77777777" w:rsidR="009B24CE" w:rsidRPr="0070449B" w:rsidRDefault="009B24CE"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 xml:space="preserve">Qëllimi i SAMB është: </w:t>
      </w:r>
    </w:p>
    <w:p w14:paraId="71DF5B8B" w14:textId="77777777" w:rsidR="009B24CE" w:rsidRPr="0070449B" w:rsidRDefault="009B24CE" w:rsidP="00291349">
      <w:pPr>
        <w:autoSpaceDE w:val="0"/>
        <w:autoSpaceDN w:val="0"/>
        <w:adjustRightInd w:val="0"/>
        <w:spacing w:after="0" w:line="276" w:lineRule="auto"/>
        <w:ind w:left="284" w:right="237"/>
        <w:contextualSpacing/>
        <w:jc w:val="both"/>
        <w:rPr>
          <w:rFonts w:ascii="Times New Roman" w:eastAsia="Batang" w:hAnsi="Times New Roman" w:cs="Times New Roman"/>
          <w:noProof/>
          <w:sz w:val="16"/>
          <w:szCs w:val="12"/>
          <w:lang w:val="sq-AL"/>
        </w:rPr>
      </w:pPr>
    </w:p>
    <w:p w14:paraId="71DF5B8C" w14:textId="77777777" w:rsidR="00304AA6" w:rsidRPr="0070449B" w:rsidRDefault="00304AA6"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rPr>
      </w:pPr>
      <w:r w:rsidRPr="0070449B">
        <w:rPr>
          <w:rFonts w:ascii="Times New Roman" w:eastAsia="Batang" w:hAnsi="Times New Roman" w:cs="Times New Roman"/>
          <w:noProof/>
          <w:sz w:val="24"/>
          <w:szCs w:val="24"/>
        </w:rPr>
        <w:t xml:space="preserve">Të menaxhojë </w:t>
      </w:r>
      <w:r w:rsidR="002D0027" w:rsidRPr="0070449B">
        <w:rPr>
          <w:rFonts w:ascii="Times New Roman" w:eastAsia="Batang" w:hAnsi="Times New Roman" w:cs="Times New Roman"/>
          <w:noProof/>
          <w:sz w:val="24"/>
          <w:szCs w:val="24"/>
        </w:rPr>
        <w:t xml:space="preserve">me </w:t>
      </w:r>
      <w:r w:rsidRPr="0070449B">
        <w:rPr>
          <w:rFonts w:ascii="Times New Roman" w:eastAsia="Batang" w:hAnsi="Times New Roman" w:cs="Times New Roman"/>
          <w:noProof/>
          <w:sz w:val="24"/>
          <w:szCs w:val="24"/>
        </w:rPr>
        <w:t>efikas</w:t>
      </w:r>
      <w:r w:rsidR="002D0027" w:rsidRPr="0070449B">
        <w:rPr>
          <w:rFonts w:ascii="Times New Roman" w:eastAsia="Batang" w:hAnsi="Times New Roman" w:cs="Times New Roman"/>
          <w:noProof/>
          <w:sz w:val="24"/>
          <w:szCs w:val="24"/>
        </w:rPr>
        <w:t>itet</w:t>
      </w:r>
      <w:r w:rsidRPr="0070449B">
        <w:rPr>
          <w:rFonts w:ascii="Times New Roman" w:eastAsia="Batang" w:hAnsi="Times New Roman" w:cs="Times New Roman"/>
          <w:noProof/>
          <w:sz w:val="24"/>
          <w:szCs w:val="24"/>
        </w:rPr>
        <w:t xml:space="preserve"> portofolin e borxhit të qeverisjes qendrore, në të cilin përfshihet borxhi shtetëror dhe </w:t>
      </w:r>
      <w:r w:rsidR="00754CBC" w:rsidRPr="0070449B">
        <w:rPr>
          <w:rFonts w:ascii="Times New Roman" w:eastAsia="Batang" w:hAnsi="Times New Roman" w:cs="Times New Roman"/>
          <w:noProof/>
          <w:sz w:val="24"/>
          <w:szCs w:val="24"/>
        </w:rPr>
        <w:t>garancit</w:t>
      </w:r>
      <w:r w:rsidR="00756850" w:rsidRPr="0070449B">
        <w:rPr>
          <w:rFonts w:ascii="Times New Roman" w:eastAsia="Batang" w:hAnsi="Times New Roman" w:cs="Times New Roman"/>
          <w:noProof/>
          <w:sz w:val="24"/>
          <w:szCs w:val="24"/>
        </w:rPr>
        <w:t>ë</w:t>
      </w:r>
      <w:r w:rsidR="00754CBC" w:rsidRPr="0070449B">
        <w:rPr>
          <w:rFonts w:ascii="Times New Roman" w:eastAsia="Batang" w:hAnsi="Times New Roman" w:cs="Times New Roman"/>
          <w:noProof/>
          <w:sz w:val="24"/>
          <w:szCs w:val="24"/>
        </w:rPr>
        <w:t xml:space="preserve"> shtet</w:t>
      </w:r>
      <w:r w:rsidR="00756850" w:rsidRPr="0070449B">
        <w:rPr>
          <w:rFonts w:ascii="Times New Roman" w:eastAsia="Batang" w:hAnsi="Times New Roman" w:cs="Times New Roman"/>
          <w:noProof/>
          <w:sz w:val="24"/>
          <w:szCs w:val="24"/>
        </w:rPr>
        <w:t>ë</w:t>
      </w:r>
      <w:r w:rsidR="00754CBC" w:rsidRPr="0070449B">
        <w:rPr>
          <w:rFonts w:ascii="Times New Roman" w:eastAsia="Batang" w:hAnsi="Times New Roman" w:cs="Times New Roman"/>
          <w:noProof/>
          <w:sz w:val="24"/>
          <w:szCs w:val="24"/>
        </w:rPr>
        <w:t>rore t</w:t>
      </w:r>
      <w:r w:rsidR="00756850" w:rsidRPr="0070449B">
        <w:rPr>
          <w:rFonts w:ascii="Times New Roman" w:eastAsia="Batang" w:hAnsi="Times New Roman" w:cs="Times New Roman"/>
          <w:noProof/>
          <w:sz w:val="24"/>
          <w:szCs w:val="24"/>
        </w:rPr>
        <w:t>ë</w:t>
      </w:r>
      <w:r w:rsidR="00754CBC" w:rsidRPr="0070449B">
        <w:rPr>
          <w:rFonts w:ascii="Times New Roman" w:eastAsia="Batang" w:hAnsi="Times New Roman" w:cs="Times New Roman"/>
          <w:noProof/>
          <w:sz w:val="24"/>
          <w:szCs w:val="24"/>
        </w:rPr>
        <w:t xml:space="preserve"> huas</w:t>
      </w:r>
      <w:r w:rsidR="00756850" w:rsidRPr="0070449B">
        <w:rPr>
          <w:rFonts w:ascii="Times New Roman" w:eastAsia="Batang" w:hAnsi="Times New Roman" w:cs="Times New Roman"/>
          <w:noProof/>
          <w:sz w:val="24"/>
          <w:szCs w:val="24"/>
        </w:rPr>
        <w:t>ë</w:t>
      </w:r>
      <w:r w:rsidRPr="0070449B">
        <w:rPr>
          <w:rFonts w:ascii="Times New Roman" w:eastAsia="Batang" w:hAnsi="Times New Roman" w:cs="Times New Roman"/>
          <w:noProof/>
          <w:sz w:val="24"/>
          <w:szCs w:val="24"/>
        </w:rPr>
        <w:t>;</w:t>
      </w:r>
    </w:p>
    <w:p w14:paraId="71DF5B8D" w14:textId="77777777" w:rsidR="009B24CE" w:rsidRPr="0070449B" w:rsidRDefault="009B24CE"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 xml:space="preserve">Të rrisë transparencën ndaj investitorëve </w:t>
      </w:r>
      <w:r w:rsidR="003C20A8" w:rsidRPr="0070449B">
        <w:rPr>
          <w:rFonts w:ascii="Times New Roman" w:eastAsia="Batang" w:hAnsi="Times New Roman" w:cs="Times New Roman"/>
          <w:noProof/>
          <w:sz w:val="24"/>
          <w:szCs w:val="24"/>
          <w:lang w:val="sq-AL"/>
        </w:rPr>
        <w:t>dhe pal</w:t>
      </w:r>
      <w:r w:rsidR="00FA56D8" w:rsidRPr="0070449B">
        <w:rPr>
          <w:rFonts w:ascii="Times New Roman" w:eastAsia="Batang" w:hAnsi="Times New Roman" w:cs="Times New Roman"/>
          <w:noProof/>
          <w:sz w:val="24"/>
          <w:szCs w:val="24"/>
          <w:lang w:val="sq-AL"/>
        </w:rPr>
        <w:t>ë</w:t>
      </w:r>
      <w:r w:rsidR="003C20A8" w:rsidRPr="0070449B">
        <w:rPr>
          <w:rFonts w:ascii="Times New Roman" w:eastAsia="Batang" w:hAnsi="Times New Roman" w:cs="Times New Roman"/>
          <w:noProof/>
          <w:sz w:val="24"/>
          <w:szCs w:val="24"/>
          <w:lang w:val="sq-AL"/>
        </w:rPr>
        <w:t>ve t</w:t>
      </w:r>
      <w:r w:rsidR="00FA56D8" w:rsidRPr="0070449B">
        <w:rPr>
          <w:rFonts w:ascii="Times New Roman" w:eastAsia="Batang" w:hAnsi="Times New Roman" w:cs="Times New Roman"/>
          <w:noProof/>
          <w:sz w:val="24"/>
          <w:szCs w:val="24"/>
          <w:lang w:val="sq-AL"/>
        </w:rPr>
        <w:t>ë</w:t>
      </w:r>
      <w:r w:rsidR="003C20A8" w:rsidRPr="0070449B">
        <w:rPr>
          <w:rFonts w:ascii="Times New Roman" w:eastAsia="Batang" w:hAnsi="Times New Roman" w:cs="Times New Roman"/>
          <w:noProof/>
          <w:sz w:val="24"/>
          <w:szCs w:val="24"/>
          <w:lang w:val="sq-AL"/>
        </w:rPr>
        <w:t xml:space="preserve"> interesuara </w:t>
      </w:r>
      <w:r w:rsidRPr="0070449B">
        <w:rPr>
          <w:rFonts w:ascii="Times New Roman" w:eastAsia="Batang" w:hAnsi="Times New Roman" w:cs="Times New Roman"/>
          <w:noProof/>
          <w:sz w:val="24"/>
          <w:szCs w:val="24"/>
          <w:lang w:val="sq-AL"/>
        </w:rPr>
        <w:t xml:space="preserve">në lidhje me planet e huamarrjes së </w:t>
      </w:r>
      <w:r w:rsidR="00D73D9A" w:rsidRPr="0070449B">
        <w:rPr>
          <w:rFonts w:ascii="Times New Roman" w:eastAsia="Batang" w:hAnsi="Times New Roman" w:cs="Times New Roman"/>
          <w:noProof/>
          <w:sz w:val="24"/>
          <w:szCs w:val="24"/>
          <w:lang w:val="sq-AL"/>
        </w:rPr>
        <w:t>q</w:t>
      </w:r>
      <w:r w:rsidRPr="0070449B">
        <w:rPr>
          <w:rFonts w:ascii="Times New Roman" w:eastAsia="Batang" w:hAnsi="Times New Roman" w:cs="Times New Roman"/>
          <w:noProof/>
          <w:sz w:val="24"/>
          <w:szCs w:val="24"/>
          <w:lang w:val="sq-AL"/>
        </w:rPr>
        <w:t>everisë; si edhe</w:t>
      </w:r>
    </w:p>
    <w:p w14:paraId="71DF5B8E" w14:textId="77777777" w:rsidR="009B24CE" w:rsidRPr="0070449B" w:rsidRDefault="009B24CE"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 xml:space="preserve">Të qartësojë dhe kuantifikojë objektivat në periudhën afatshkurtër dhe afatmesme. </w:t>
      </w:r>
    </w:p>
    <w:p w14:paraId="71DF5B8F" w14:textId="77777777" w:rsidR="009B24CE" w:rsidRPr="0070449B" w:rsidRDefault="009B24CE" w:rsidP="00291349">
      <w:pPr>
        <w:autoSpaceDE w:val="0"/>
        <w:autoSpaceDN w:val="0"/>
        <w:adjustRightInd w:val="0"/>
        <w:spacing w:after="0" w:line="276" w:lineRule="auto"/>
        <w:ind w:right="237"/>
        <w:jc w:val="both"/>
        <w:rPr>
          <w:rFonts w:ascii="Times New Roman" w:eastAsia="Batang" w:hAnsi="Times New Roman" w:cs="Times New Roman"/>
          <w:noProof/>
          <w:sz w:val="20"/>
          <w:szCs w:val="12"/>
          <w:lang w:val="sq-AL"/>
        </w:rPr>
      </w:pPr>
    </w:p>
    <w:p w14:paraId="71DF5B90" w14:textId="77777777" w:rsidR="009B24CE" w:rsidRPr="0070449B" w:rsidRDefault="00754CBC" w:rsidP="00291349">
      <w:pPr>
        <w:autoSpaceDE w:val="0"/>
        <w:autoSpaceDN w:val="0"/>
        <w:adjustRightInd w:val="0"/>
        <w:spacing w:after="0" w:line="276" w:lineRule="auto"/>
        <w:ind w:right="237"/>
        <w:jc w:val="both"/>
        <w:rPr>
          <w:rFonts w:ascii="Cambria" w:eastAsia="Batang" w:hAnsi="Cambria" w:cs="Times New Roman"/>
          <w:b/>
          <w:noProof/>
          <w:sz w:val="24"/>
          <w:szCs w:val="24"/>
          <w:lang w:val="sq-AL"/>
        </w:rPr>
      </w:pPr>
      <w:r w:rsidRPr="0070449B">
        <w:rPr>
          <w:rFonts w:ascii="Cambria" w:eastAsia="Batang" w:hAnsi="Cambria" w:cs="Times New Roman"/>
          <w:b/>
          <w:noProof/>
          <w:sz w:val="24"/>
          <w:szCs w:val="24"/>
          <w:lang w:val="sq-AL"/>
        </w:rPr>
        <w:t>Perspektiva</w:t>
      </w:r>
      <w:r w:rsidR="009B24CE" w:rsidRPr="0070449B">
        <w:rPr>
          <w:rFonts w:ascii="Cambria" w:eastAsia="Batang" w:hAnsi="Cambria" w:cs="Times New Roman"/>
          <w:b/>
          <w:noProof/>
          <w:sz w:val="24"/>
          <w:szCs w:val="24"/>
          <w:lang w:val="sq-AL"/>
        </w:rPr>
        <w:t xml:space="preserve"> Afatmesme</w:t>
      </w:r>
    </w:p>
    <w:p w14:paraId="71DF5B91" w14:textId="77777777" w:rsidR="009B24CE" w:rsidRPr="0070449B" w:rsidRDefault="009B24CE" w:rsidP="00291349">
      <w:pPr>
        <w:autoSpaceDE w:val="0"/>
        <w:autoSpaceDN w:val="0"/>
        <w:adjustRightInd w:val="0"/>
        <w:spacing w:after="0" w:line="276" w:lineRule="auto"/>
        <w:ind w:left="284" w:right="237"/>
        <w:contextualSpacing/>
        <w:jc w:val="both"/>
        <w:rPr>
          <w:rFonts w:ascii="Times New Roman" w:eastAsia="Batang" w:hAnsi="Times New Roman" w:cs="Times New Roman"/>
          <w:noProof/>
          <w:sz w:val="20"/>
          <w:szCs w:val="12"/>
          <w:lang w:val="sq-AL"/>
        </w:rPr>
      </w:pPr>
    </w:p>
    <w:p w14:paraId="71DF5B92" w14:textId="77777777" w:rsidR="009B24CE" w:rsidRPr="0070449B" w:rsidRDefault="002D0027"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P</w:t>
      </w:r>
      <w:r w:rsidR="009B24CE" w:rsidRPr="0070449B">
        <w:rPr>
          <w:rFonts w:ascii="Times New Roman" w:eastAsia="Batang" w:hAnsi="Times New Roman" w:cs="Times New Roman"/>
          <w:noProof/>
          <w:sz w:val="24"/>
          <w:szCs w:val="24"/>
          <w:lang w:val="sq-AL"/>
        </w:rPr>
        <w:t xml:space="preserve">avarësisht </w:t>
      </w:r>
      <w:r w:rsidRPr="0070449B">
        <w:rPr>
          <w:rFonts w:ascii="Times New Roman" w:eastAsia="Batang" w:hAnsi="Times New Roman" w:cs="Times New Roman"/>
          <w:noProof/>
          <w:sz w:val="24"/>
          <w:szCs w:val="24"/>
          <w:lang w:val="sq-AL"/>
        </w:rPr>
        <w:t>progresit n</w:t>
      </w:r>
      <w:r w:rsidR="00982338"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drejtim t</w:t>
      </w:r>
      <w:r w:rsidR="00982338"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w:t>
      </w:r>
      <w:r w:rsidR="009B24CE" w:rsidRPr="0070449B">
        <w:rPr>
          <w:rFonts w:ascii="Times New Roman" w:eastAsia="Batang" w:hAnsi="Times New Roman" w:cs="Times New Roman"/>
          <w:noProof/>
          <w:sz w:val="24"/>
          <w:szCs w:val="24"/>
          <w:lang w:val="sq-AL"/>
        </w:rPr>
        <w:t>uljes së ekspozimit ndaj r</w:t>
      </w:r>
      <w:r w:rsidR="00F55A3D" w:rsidRPr="0070449B">
        <w:rPr>
          <w:rFonts w:ascii="Times New Roman" w:eastAsia="Batang" w:hAnsi="Times New Roman" w:cs="Times New Roman"/>
          <w:noProof/>
          <w:sz w:val="24"/>
          <w:szCs w:val="24"/>
          <w:lang w:val="sq-AL"/>
        </w:rPr>
        <w:t>isqeve</w:t>
      </w:r>
      <w:r w:rsidR="009B24CE" w:rsidRPr="0070449B">
        <w:rPr>
          <w:rFonts w:ascii="Times New Roman" w:eastAsia="Batang" w:hAnsi="Times New Roman" w:cs="Times New Roman"/>
          <w:noProof/>
          <w:sz w:val="24"/>
          <w:szCs w:val="24"/>
          <w:lang w:val="sq-AL"/>
        </w:rPr>
        <w:t xml:space="preserve"> gjatë viteve të fundit, </w:t>
      </w:r>
      <w:r w:rsidRPr="0070449B">
        <w:rPr>
          <w:rFonts w:ascii="Times New Roman" w:eastAsia="Batang" w:hAnsi="Times New Roman" w:cs="Times New Roman"/>
          <w:noProof/>
          <w:sz w:val="24"/>
          <w:szCs w:val="24"/>
          <w:lang w:val="sq-AL"/>
        </w:rPr>
        <w:t xml:space="preserve">SAMB 2020-2022, ashtu si edhe strategjia paraardhëse, </w:t>
      </w:r>
      <w:r w:rsidR="009B24CE" w:rsidRPr="0070449B">
        <w:rPr>
          <w:rFonts w:ascii="Times New Roman" w:eastAsia="Batang" w:hAnsi="Times New Roman" w:cs="Times New Roman"/>
          <w:noProof/>
          <w:sz w:val="24"/>
          <w:szCs w:val="24"/>
          <w:lang w:val="sq-AL"/>
        </w:rPr>
        <w:t xml:space="preserve">do të vijojë të ketë në fokus </w:t>
      </w:r>
      <w:r w:rsidR="002E4AE8" w:rsidRPr="0070449B">
        <w:rPr>
          <w:rFonts w:ascii="Times New Roman" w:eastAsia="Batang" w:hAnsi="Times New Roman" w:cs="Times New Roman"/>
          <w:noProof/>
          <w:sz w:val="24"/>
          <w:szCs w:val="24"/>
          <w:lang w:val="sq-AL"/>
        </w:rPr>
        <w:t>reduktimin</w:t>
      </w:r>
      <w:r w:rsidR="009B24CE" w:rsidRPr="0070449B">
        <w:rPr>
          <w:rFonts w:ascii="Times New Roman" w:eastAsia="Batang" w:hAnsi="Times New Roman" w:cs="Times New Roman"/>
          <w:noProof/>
          <w:sz w:val="24"/>
          <w:szCs w:val="24"/>
          <w:lang w:val="sq-AL"/>
        </w:rPr>
        <w:t xml:space="preserve"> e </w:t>
      </w:r>
      <w:r w:rsidR="002E4AE8" w:rsidRPr="0070449B">
        <w:rPr>
          <w:rFonts w:ascii="Times New Roman" w:eastAsia="Batang" w:hAnsi="Times New Roman" w:cs="Times New Roman"/>
          <w:noProof/>
          <w:sz w:val="24"/>
          <w:szCs w:val="24"/>
          <w:lang w:val="sq-AL"/>
        </w:rPr>
        <w:t>m</w:t>
      </w:r>
      <w:r w:rsidR="00DC648E" w:rsidRPr="0070449B">
        <w:rPr>
          <w:rFonts w:ascii="Times New Roman" w:eastAsia="Batang" w:hAnsi="Times New Roman" w:cs="Times New Roman"/>
          <w:noProof/>
          <w:sz w:val="24"/>
          <w:szCs w:val="24"/>
          <w:lang w:val="sq-AL"/>
        </w:rPr>
        <w:t>ë</w:t>
      </w:r>
      <w:r w:rsidR="002E4AE8" w:rsidRPr="0070449B">
        <w:rPr>
          <w:rFonts w:ascii="Times New Roman" w:eastAsia="Batang" w:hAnsi="Times New Roman" w:cs="Times New Roman"/>
          <w:noProof/>
          <w:sz w:val="24"/>
          <w:szCs w:val="24"/>
          <w:lang w:val="sq-AL"/>
        </w:rPr>
        <w:t>tejsh</w:t>
      </w:r>
      <w:r w:rsidR="00DC648E" w:rsidRPr="0070449B">
        <w:rPr>
          <w:rFonts w:ascii="Times New Roman" w:eastAsia="Batang" w:hAnsi="Times New Roman" w:cs="Times New Roman"/>
          <w:noProof/>
          <w:sz w:val="24"/>
          <w:szCs w:val="24"/>
          <w:lang w:val="sq-AL"/>
        </w:rPr>
        <w:t>ë</w:t>
      </w:r>
      <w:r w:rsidR="00CC1915" w:rsidRPr="0070449B">
        <w:rPr>
          <w:rFonts w:ascii="Times New Roman" w:eastAsia="Batang" w:hAnsi="Times New Roman" w:cs="Times New Roman"/>
          <w:noProof/>
          <w:sz w:val="24"/>
          <w:szCs w:val="24"/>
          <w:lang w:val="sq-AL"/>
        </w:rPr>
        <w:t>m</w:t>
      </w:r>
      <w:r w:rsidR="002E4AE8" w:rsidRPr="0070449B">
        <w:rPr>
          <w:rFonts w:ascii="Times New Roman" w:eastAsia="Batang" w:hAnsi="Times New Roman" w:cs="Times New Roman"/>
          <w:noProof/>
          <w:sz w:val="24"/>
          <w:szCs w:val="24"/>
          <w:lang w:val="sq-AL"/>
        </w:rPr>
        <w:t xml:space="preserve"> t</w:t>
      </w:r>
      <w:r w:rsidR="00DC648E" w:rsidRPr="0070449B">
        <w:rPr>
          <w:rFonts w:ascii="Times New Roman" w:eastAsia="Batang" w:hAnsi="Times New Roman" w:cs="Times New Roman"/>
          <w:noProof/>
          <w:sz w:val="24"/>
          <w:szCs w:val="24"/>
          <w:lang w:val="sq-AL"/>
        </w:rPr>
        <w:t>ë</w:t>
      </w:r>
      <w:r w:rsidR="002E4AE8" w:rsidRPr="0070449B">
        <w:rPr>
          <w:rFonts w:ascii="Times New Roman" w:eastAsia="Batang" w:hAnsi="Times New Roman" w:cs="Times New Roman"/>
          <w:noProof/>
          <w:sz w:val="24"/>
          <w:szCs w:val="24"/>
          <w:lang w:val="sq-AL"/>
        </w:rPr>
        <w:t xml:space="preserve"> </w:t>
      </w:r>
      <w:r w:rsidR="009B24CE" w:rsidRPr="0070449B">
        <w:rPr>
          <w:rFonts w:ascii="Times New Roman" w:eastAsia="Batang" w:hAnsi="Times New Roman" w:cs="Times New Roman"/>
          <w:noProof/>
          <w:sz w:val="24"/>
          <w:szCs w:val="24"/>
          <w:lang w:val="sq-AL"/>
        </w:rPr>
        <w:t>r</w:t>
      </w:r>
      <w:r w:rsidR="00F55A3D" w:rsidRPr="0070449B">
        <w:rPr>
          <w:rFonts w:ascii="Times New Roman" w:eastAsia="Batang" w:hAnsi="Times New Roman" w:cs="Times New Roman"/>
          <w:noProof/>
          <w:sz w:val="24"/>
          <w:szCs w:val="24"/>
          <w:lang w:val="sq-AL"/>
        </w:rPr>
        <w:t>iskut</w:t>
      </w:r>
      <w:r w:rsidR="009B24CE" w:rsidRPr="0070449B">
        <w:rPr>
          <w:rFonts w:ascii="Times New Roman" w:eastAsia="Batang" w:hAnsi="Times New Roman" w:cs="Times New Roman"/>
          <w:noProof/>
          <w:sz w:val="24"/>
          <w:szCs w:val="24"/>
          <w:lang w:val="sq-AL"/>
        </w:rPr>
        <w:t xml:space="preserve"> të rifinancimit dhe atij të normave të interesit të borxhit të brendshëm. Në këtë drejtim, prioritet do të </w:t>
      </w:r>
      <w:r w:rsidR="00A1186C" w:rsidRPr="0070449B">
        <w:rPr>
          <w:rFonts w:ascii="Times New Roman" w:eastAsia="Batang" w:hAnsi="Times New Roman" w:cs="Times New Roman"/>
          <w:noProof/>
          <w:sz w:val="24"/>
          <w:szCs w:val="24"/>
          <w:lang w:val="sq-AL"/>
        </w:rPr>
        <w:t>mbetet</w:t>
      </w:r>
      <w:r w:rsidR="009B24CE" w:rsidRPr="0070449B">
        <w:rPr>
          <w:rFonts w:ascii="Times New Roman" w:eastAsia="Batang" w:hAnsi="Times New Roman" w:cs="Times New Roman"/>
          <w:noProof/>
          <w:sz w:val="24"/>
          <w:szCs w:val="24"/>
          <w:lang w:val="sq-AL"/>
        </w:rPr>
        <w:t xml:space="preserve"> zgjatja e jetëgjatësisë së borxhit nëpërmjet uljes së mëtejshme të </w:t>
      </w:r>
      <w:r w:rsidR="00304AA6" w:rsidRPr="0070449B">
        <w:rPr>
          <w:rFonts w:ascii="Times New Roman" w:eastAsia="Batang" w:hAnsi="Times New Roman" w:cs="Times New Roman"/>
          <w:noProof/>
          <w:sz w:val="24"/>
          <w:szCs w:val="24"/>
          <w:lang w:val="sq-AL"/>
        </w:rPr>
        <w:t>p</w:t>
      </w:r>
      <w:r w:rsidR="00754CBC" w:rsidRPr="0070449B">
        <w:rPr>
          <w:rFonts w:ascii="Times New Roman" w:eastAsia="Batang" w:hAnsi="Times New Roman" w:cs="Times New Roman"/>
          <w:noProof/>
          <w:sz w:val="24"/>
          <w:szCs w:val="24"/>
          <w:lang w:val="sq-AL"/>
        </w:rPr>
        <w:t>ë</w:t>
      </w:r>
      <w:r w:rsidR="00304AA6" w:rsidRPr="0070449B">
        <w:rPr>
          <w:rFonts w:ascii="Times New Roman" w:eastAsia="Batang" w:hAnsi="Times New Roman" w:cs="Times New Roman"/>
          <w:noProof/>
          <w:sz w:val="24"/>
          <w:szCs w:val="24"/>
          <w:lang w:val="sq-AL"/>
        </w:rPr>
        <w:t>rqendrimit t</w:t>
      </w:r>
      <w:r w:rsidR="00754CBC" w:rsidRPr="0070449B">
        <w:rPr>
          <w:rFonts w:ascii="Times New Roman" w:eastAsia="Batang" w:hAnsi="Times New Roman" w:cs="Times New Roman"/>
          <w:noProof/>
          <w:sz w:val="24"/>
          <w:szCs w:val="24"/>
          <w:lang w:val="sq-AL"/>
        </w:rPr>
        <w:t>ë</w:t>
      </w:r>
      <w:r w:rsidR="009B24CE" w:rsidRPr="0070449B">
        <w:rPr>
          <w:rFonts w:ascii="Times New Roman" w:eastAsia="Batang" w:hAnsi="Times New Roman" w:cs="Times New Roman"/>
          <w:noProof/>
          <w:sz w:val="24"/>
          <w:szCs w:val="24"/>
          <w:lang w:val="sq-AL"/>
        </w:rPr>
        <w:t xml:space="preserve"> titujve afatshkurtër në portofol. </w:t>
      </w:r>
    </w:p>
    <w:p w14:paraId="71DF5B93" w14:textId="77777777" w:rsidR="009B24CE" w:rsidRPr="0070449B" w:rsidRDefault="009B24CE" w:rsidP="00291349">
      <w:pPr>
        <w:autoSpaceDE w:val="0"/>
        <w:autoSpaceDN w:val="0"/>
        <w:adjustRightInd w:val="0"/>
        <w:spacing w:after="0" w:line="276" w:lineRule="auto"/>
        <w:ind w:left="284" w:right="237"/>
        <w:contextualSpacing/>
        <w:jc w:val="both"/>
        <w:rPr>
          <w:rFonts w:ascii="Times New Roman" w:eastAsia="Batang" w:hAnsi="Times New Roman" w:cs="Times New Roman"/>
          <w:noProof/>
          <w:sz w:val="16"/>
          <w:szCs w:val="12"/>
          <w:lang w:val="sq-AL"/>
        </w:rPr>
      </w:pPr>
    </w:p>
    <w:p w14:paraId="71DF5B94" w14:textId="77777777" w:rsidR="005803D3" w:rsidRPr="0070449B" w:rsidRDefault="00F26267" w:rsidP="00291349">
      <w:pPr>
        <w:autoSpaceDE w:val="0"/>
        <w:autoSpaceDN w:val="0"/>
        <w:adjustRightInd w:val="0"/>
        <w:spacing w:after="0" w:line="276" w:lineRule="auto"/>
        <w:ind w:right="238"/>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Niveli i f</w:t>
      </w:r>
      <w:r w:rsidR="009B24CE" w:rsidRPr="0070449B">
        <w:rPr>
          <w:rFonts w:ascii="Times New Roman" w:eastAsia="Batang" w:hAnsi="Times New Roman" w:cs="Times New Roman"/>
          <w:noProof/>
          <w:sz w:val="24"/>
          <w:szCs w:val="24"/>
          <w:lang w:val="sq-AL"/>
        </w:rPr>
        <w:t>inancimi</w:t>
      </w:r>
      <w:r w:rsidRPr="0070449B">
        <w:rPr>
          <w:rFonts w:ascii="Times New Roman" w:eastAsia="Batang" w:hAnsi="Times New Roman" w:cs="Times New Roman"/>
          <w:noProof/>
          <w:sz w:val="24"/>
          <w:szCs w:val="24"/>
          <w:lang w:val="sq-AL"/>
        </w:rPr>
        <w:t>t</w:t>
      </w:r>
      <w:r w:rsidR="009B24CE" w:rsidRPr="0070449B">
        <w:rPr>
          <w:rFonts w:ascii="Times New Roman" w:eastAsia="Batang" w:hAnsi="Times New Roman" w:cs="Times New Roman"/>
          <w:noProof/>
          <w:sz w:val="24"/>
          <w:szCs w:val="24"/>
          <w:lang w:val="sq-AL"/>
        </w:rPr>
        <w:t xml:space="preserve"> </w:t>
      </w:r>
      <w:r w:rsidRPr="0070449B">
        <w:rPr>
          <w:rFonts w:ascii="Times New Roman" w:eastAsia="Batang" w:hAnsi="Times New Roman" w:cs="Times New Roman"/>
          <w:noProof/>
          <w:sz w:val="24"/>
          <w:szCs w:val="24"/>
          <w:lang w:val="sq-AL"/>
        </w:rPr>
        <w:t>t</w:t>
      </w:r>
      <w:r w:rsidR="00FA56D8"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brendshëm do t</w:t>
      </w:r>
      <w:r w:rsidR="00FA56D8"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syno</w:t>
      </w:r>
      <w:r w:rsidR="00981AF2" w:rsidRPr="0070449B">
        <w:rPr>
          <w:rFonts w:ascii="Times New Roman" w:eastAsia="Batang" w:hAnsi="Times New Roman" w:cs="Times New Roman"/>
          <w:noProof/>
          <w:sz w:val="24"/>
          <w:szCs w:val="24"/>
          <w:lang w:val="sq-AL"/>
        </w:rPr>
        <w:t>het t</w:t>
      </w:r>
      <w:r w:rsidR="00FA56D8" w:rsidRPr="0070449B">
        <w:rPr>
          <w:rFonts w:ascii="Times New Roman" w:eastAsia="Batang" w:hAnsi="Times New Roman" w:cs="Times New Roman"/>
          <w:noProof/>
          <w:sz w:val="24"/>
          <w:szCs w:val="24"/>
          <w:lang w:val="sq-AL"/>
        </w:rPr>
        <w:t>ë</w:t>
      </w:r>
      <w:r w:rsidR="00981AF2" w:rsidRPr="0070449B">
        <w:rPr>
          <w:rFonts w:ascii="Times New Roman" w:eastAsia="Batang" w:hAnsi="Times New Roman" w:cs="Times New Roman"/>
          <w:noProof/>
          <w:sz w:val="24"/>
          <w:szCs w:val="24"/>
          <w:lang w:val="sq-AL"/>
        </w:rPr>
        <w:t xml:space="preserve"> mbahet i q</w:t>
      </w:r>
      <w:r w:rsidR="00FA56D8" w:rsidRPr="0070449B">
        <w:rPr>
          <w:rFonts w:ascii="Times New Roman" w:eastAsia="Batang" w:hAnsi="Times New Roman" w:cs="Times New Roman"/>
          <w:noProof/>
          <w:sz w:val="24"/>
          <w:szCs w:val="24"/>
          <w:lang w:val="sq-AL"/>
        </w:rPr>
        <w:t>ë</w:t>
      </w:r>
      <w:r w:rsidR="00981AF2" w:rsidRPr="0070449B">
        <w:rPr>
          <w:rFonts w:ascii="Times New Roman" w:eastAsia="Batang" w:hAnsi="Times New Roman" w:cs="Times New Roman"/>
          <w:noProof/>
          <w:sz w:val="24"/>
          <w:szCs w:val="24"/>
          <w:lang w:val="sq-AL"/>
        </w:rPr>
        <w:t>ndruesh</w:t>
      </w:r>
      <w:r w:rsidR="00FA56D8" w:rsidRPr="0070449B">
        <w:rPr>
          <w:rFonts w:ascii="Times New Roman" w:eastAsia="Batang" w:hAnsi="Times New Roman" w:cs="Times New Roman"/>
          <w:noProof/>
          <w:sz w:val="24"/>
          <w:szCs w:val="24"/>
          <w:lang w:val="sq-AL"/>
        </w:rPr>
        <w:t>ë</w:t>
      </w:r>
      <w:r w:rsidR="00981AF2" w:rsidRPr="0070449B">
        <w:rPr>
          <w:rFonts w:ascii="Times New Roman" w:eastAsia="Batang" w:hAnsi="Times New Roman" w:cs="Times New Roman"/>
          <w:noProof/>
          <w:sz w:val="24"/>
          <w:szCs w:val="24"/>
          <w:lang w:val="sq-AL"/>
        </w:rPr>
        <w:t>m duke mos tejkaluar kapacitet</w:t>
      </w:r>
      <w:r w:rsidR="00754CBC" w:rsidRPr="0070449B">
        <w:rPr>
          <w:rFonts w:ascii="Times New Roman" w:eastAsia="Batang" w:hAnsi="Times New Roman" w:cs="Times New Roman"/>
          <w:noProof/>
          <w:sz w:val="24"/>
          <w:szCs w:val="24"/>
          <w:lang w:val="sq-AL"/>
        </w:rPr>
        <w:t>et</w:t>
      </w:r>
      <w:r w:rsidR="00981AF2" w:rsidRPr="0070449B">
        <w:rPr>
          <w:rFonts w:ascii="Times New Roman" w:eastAsia="Batang" w:hAnsi="Times New Roman" w:cs="Times New Roman"/>
          <w:noProof/>
          <w:sz w:val="24"/>
          <w:szCs w:val="24"/>
          <w:lang w:val="sq-AL"/>
        </w:rPr>
        <w:t xml:space="preserve"> optimale t</w:t>
      </w:r>
      <w:r w:rsidR="00FA56D8" w:rsidRPr="0070449B">
        <w:rPr>
          <w:rFonts w:ascii="Times New Roman" w:eastAsia="Batang" w:hAnsi="Times New Roman" w:cs="Times New Roman"/>
          <w:noProof/>
          <w:sz w:val="24"/>
          <w:szCs w:val="24"/>
          <w:lang w:val="sq-AL"/>
        </w:rPr>
        <w:t>ë</w:t>
      </w:r>
      <w:r w:rsidR="00B65A66">
        <w:rPr>
          <w:rFonts w:ascii="Times New Roman" w:eastAsia="Batang" w:hAnsi="Times New Roman" w:cs="Times New Roman"/>
          <w:noProof/>
          <w:sz w:val="24"/>
          <w:szCs w:val="24"/>
          <w:lang w:val="sq-AL"/>
        </w:rPr>
        <w:t xml:space="preserve"> tregut. </w:t>
      </w:r>
      <w:r w:rsidR="005803D3" w:rsidRPr="0070449B">
        <w:rPr>
          <w:rFonts w:ascii="Times New Roman" w:eastAsia="Batang" w:hAnsi="Times New Roman" w:cs="Times New Roman"/>
          <w:noProof/>
          <w:sz w:val="24"/>
          <w:szCs w:val="24"/>
        </w:rPr>
        <w:t>Nëpërmjet titujve afatshkurtër kryesisht do të synohet rifinancimi i titujve ekzistues që maturohen, menaxhimi aktiv i nevojave për likuiditet</w:t>
      </w:r>
      <w:r w:rsidR="005A4890" w:rsidRPr="0070449B">
        <w:rPr>
          <w:rFonts w:ascii="Times New Roman" w:eastAsia="Batang" w:hAnsi="Times New Roman" w:cs="Times New Roman"/>
          <w:noProof/>
          <w:sz w:val="24"/>
          <w:szCs w:val="24"/>
        </w:rPr>
        <w:t>, si edhe p</w:t>
      </w:r>
      <w:r w:rsidR="00982338" w:rsidRPr="0070449B">
        <w:rPr>
          <w:rFonts w:ascii="Times New Roman" w:eastAsia="Batang" w:hAnsi="Times New Roman" w:cs="Times New Roman"/>
          <w:noProof/>
          <w:sz w:val="24"/>
          <w:szCs w:val="24"/>
        </w:rPr>
        <w:t>ë</w:t>
      </w:r>
      <w:r w:rsidR="005A4890" w:rsidRPr="0070449B">
        <w:rPr>
          <w:rFonts w:ascii="Times New Roman" w:eastAsia="Batang" w:hAnsi="Times New Roman" w:cs="Times New Roman"/>
          <w:noProof/>
          <w:sz w:val="24"/>
          <w:szCs w:val="24"/>
        </w:rPr>
        <w:t>rmir</w:t>
      </w:r>
      <w:r w:rsidR="00982338" w:rsidRPr="0070449B">
        <w:rPr>
          <w:rFonts w:ascii="Times New Roman" w:eastAsia="Batang" w:hAnsi="Times New Roman" w:cs="Times New Roman"/>
          <w:noProof/>
          <w:sz w:val="24"/>
          <w:szCs w:val="24"/>
        </w:rPr>
        <w:t>ë</w:t>
      </w:r>
      <w:r w:rsidR="005A4890" w:rsidRPr="0070449B">
        <w:rPr>
          <w:rFonts w:ascii="Times New Roman" w:eastAsia="Batang" w:hAnsi="Times New Roman" w:cs="Times New Roman"/>
          <w:noProof/>
          <w:sz w:val="24"/>
          <w:szCs w:val="24"/>
        </w:rPr>
        <w:t>simi profilit vjetor t</w:t>
      </w:r>
      <w:r w:rsidR="00982338" w:rsidRPr="0070449B">
        <w:rPr>
          <w:rFonts w:ascii="Times New Roman" w:eastAsia="Batang" w:hAnsi="Times New Roman" w:cs="Times New Roman"/>
          <w:noProof/>
          <w:sz w:val="24"/>
          <w:szCs w:val="24"/>
        </w:rPr>
        <w:t>ë</w:t>
      </w:r>
      <w:r w:rsidR="005A4890" w:rsidRPr="0070449B">
        <w:rPr>
          <w:rFonts w:ascii="Times New Roman" w:eastAsia="Batang" w:hAnsi="Times New Roman" w:cs="Times New Roman"/>
          <w:noProof/>
          <w:sz w:val="24"/>
          <w:szCs w:val="24"/>
        </w:rPr>
        <w:t xml:space="preserve"> maturimeve</w:t>
      </w:r>
      <w:r w:rsidR="005803D3" w:rsidRPr="0070449B">
        <w:rPr>
          <w:rFonts w:ascii="Times New Roman" w:eastAsia="Batang" w:hAnsi="Times New Roman" w:cs="Times New Roman"/>
          <w:noProof/>
          <w:sz w:val="24"/>
          <w:szCs w:val="24"/>
        </w:rPr>
        <w:t>. Ndërkohë, nëpërmjet titujve afatgjatë do të synohet të mbulohet financimi i deficitit.</w:t>
      </w:r>
    </w:p>
    <w:p w14:paraId="71DF5B95" w14:textId="77777777" w:rsidR="00390A4E" w:rsidRPr="0070449B" w:rsidRDefault="00390A4E" w:rsidP="00291349">
      <w:pPr>
        <w:autoSpaceDE w:val="0"/>
        <w:autoSpaceDN w:val="0"/>
        <w:adjustRightInd w:val="0"/>
        <w:spacing w:after="0" w:line="276" w:lineRule="auto"/>
        <w:ind w:right="238"/>
        <w:contextualSpacing/>
        <w:jc w:val="both"/>
        <w:rPr>
          <w:rFonts w:ascii="Times New Roman" w:eastAsia="Batang" w:hAnsi="Times New Roman" w:cs="Times New Roman"/>
          <w:noProof/>
          <w:sz w:val="16"/>
          <w:szCs w:val="12"/>
          <w:lang w:val="sq-AL"/>
        </w:rPr>
      </w:pPr>
    </w:p>
    <w:p w14:paraId="71DF5B96" w14:textId="77777777" w:rsidR="009B24CE" w:rsidRPr="0070449B" w:rsidRDefault="001E68BA"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lastRenderedPageBreak/>
        <w:t>N</w:t>
      </w:r>
      <w:r w:rsidR="004C3856"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periudh</w:t>
      </w:r>
      <w:r w:rsidR="004C3856"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n afatmesme h</w:t>
      </w:r>
      <w:r w:rsidR="001318F2" w:rsidRPr="0070449B">
        <w:rPr>
          <w:rFonts w:ascii="Times New Roman" w:eastAsia="Batang" w:hAnsi="Times New Roman" w:cs="Times New Roman"/>
          <w:noProof/>
          <w:sz w:val="24"/>
          <w:szCs w:val="24"/>
          <w:lang w:val="sq-AL"/>
        </w:rPr>
        <w:t>uamarrja</w:t>
      </w:r>
      <w:r w:rsidR="009B24CE" w:rsidRPr="0070449B">
        <w:rPr>
          <w:rFonts w:ascii="Times New Roman" w:eastAsia="Batang" w:hAnsi="Times New Roman" w:cs="Times New Roman"/>
          <w:noProof/>
          <w:sz w:val="24"/>
          <w:szCs w:val="24"/>
          <w:lang w:val="sq-AL"/>
        </w:rPr>
        <w:t xml:space="preserve"> </w:t>
      </w:r>
      <w:r w:rsidR="001318F2" w:rsidRPr="0070449B">
        <w:rPr>
          <w:rFonts w:ascii="Times New Roman" w:eastAsia="Batang" w:hAnsi="Times New Roman" w:cs="Times New Roman"/>
          <w:noProof/>
          <w:sz w:val="24"/>
          <w:szCs w:val="24"/>
          <w:lang w:val="sq-AL"/>
        </w:rPr>
        <w:t xml:space="preserve">e huaj </w:t>
      </w:r>
      <w:r w:rsidR="000B1BC5" w:rsidRPr="0070449B">
        <w:rPr>
          <w:rFonts w:ascii="Times New Roman" w:eastAsia="Batang" w:hAnsi="Times New Roman" w:cs="Times New Roman"/>
          <w:noProof/>
          <w:sz w:val="24"/>
          <w:szCs w:val="24"/>
          <w:lang w:val="sq-AL"/>
        </w:rPr>
        <w:t>planifikohet t</w:t>
      </w:r>
      <w:r w:rsidR="00982338" w:rsidRPr="0070449B">
        <w:rPr>
          <w:rFonts w:ascii="Times New Roman" w:eastAsia="Batang" w:hAnsi="Times New Roman" w:cs="Times New Roman"/>
          <w:noProof/>
          <w:sz w:val="24"/>
          <w:szCs w:val="24"/>
          <w:lang w:val="sq-AL"/>
        </w:rPr>
        <w:t>ë</w:t>
      </w:r>
      <w:r w:rsidR="000B1BC5" w:rsidRPr="0070449B">
        <w:rPr>
          <w:rFonts w:ascii="Times New Roman" w:eastAsia="Batang" w:hAnsi="Times New Roman" w:cs="Times New Roman"/>
          <w:noProof/>
          <w:sz w:val="24"/>
          <w:szCs w:val="24"/>
          <w:lang w:val="sq-AL"/>
        </w:rPr>
        <w:t xml:space="preserve"> mbuloj</w:t>
      </w:r>
      <w:r w:rsidR="00982338" w:rsidRPr="0070449B">
        <w:rPr>
          <w:rFonts w:ascii="Times New Roman" w:eastAsia="Batang" w:hAnsi="Times New Roman" w:cs="Times New Roman"/>
          <w:noProof/>
          <w:sz w:val="24"/>
          <w:szCs w:val="24"/>
          <w:lang w:val="sq-AL"/>
        </w:rPr>
        <w:t>ë</w:t>
      </w:r>
      <w:r w:rsidR="000B1BC5" w:rsidRPr="0070449B">
        <w:rPr>
          <w:rFonts w:ascii="Times New Roman" w:eastAsia="Batang" w:hAnsi="Times New Roman" w:cs="Times New Roman"/>
          <w:noProof/>
          <w:sz w:val="24"/>
          <w:szCs w:val="24"/>
          <w:lang w:val="sq-AL"/>
        </w:rPr>
        <w:t xml:space="preserve"> </w:t>
      </w:r>
      <w:r w:rsidR="00FE615F" w:rsidRPr="0070449B">
        <w:rPr>
          <w:rFonts w:ascii="Times New Roman" w:eastAsia="Batang" w:hAnsi="Times New Roman" w:cs="Times New Roman"/>
          <w:noProof/>
          <w:sz w:val="24"/>
          <w:szCs w:val="24"/>
          <w:lang w:val="sq-AL"/>
        </w:rPr>
        <w:t xml:space="preserve">mesatarisht </w:t>
      </w:r>
      <w:r w:rsidR="00937F4E" w:rsidRPr="0070449B">
        <w:rPr>
          <w:rFonts w:ascii="Times New Roman" w:eastAsia="Batang" w:hAnsi="Times New Roman" w:cs="Times New Roman"/>
          <w:noProof/>
          <w:sz w:val="24"/>
          <w:szCs w:val="24"/>
          <w:lang w:val="sq-AL"/>
        </w:rPr>
        <w:t>deri në</w:t>
      </w:r>
      <w:r w:rsidR="00FE615F" w:rsidRPr="0070449B">
        <w:rPr>
          <w:rFonts w:ascii="Times New Roman" w:eastAsia="Batang" w:hAnsi="Times New Roman" w:cs="Times New Roman"/>
          <w:noProof/>
          <w:sz w:val="24"/>
          <w:szCs w:val="24"/>
          <w:lang w:val="sq-AL"/>
        </w:rPr>
        <w:t xml:space="preserve"> </w:t>
      </w:r>
      <w:r w:rsidR="001318F2" w:rsidRPr="0070449B">
        <w:rPr>
          <w:rFonts w:ascii="Times New Roman" w:eastAsia="Batang" w:hAnsi="Times New Roman" w:cs="Times New Roman"/>
          <w:noProof/>
          <w:sz w:val="24"/>
          <w:szCs w:val="24"/>
          <w:lang w:val="sq-AL"/>
        </w:rPr>
        <w:t>20</w:t>
      </w:r>
      <w:r w:rsidR="00FE615F" w:rsidRPr="0070449B">
        <w:rPr>
          <w:rFonts w:ascii="Times New Roman" w:eastAsia="Batang" w:hAnsi="Times New Roman" w:cs="Times New Roman"/>
          <w:noProof/>
          <w:sz w:val="24"/>
          <w:szCs w:val="24"/>
          <w:lang w:val="sq-AL"/>
        </w:rPr>
        <w:t>%</w:t>
      </w:r>
      <w:r w:rsidR="00937F4E" w:rsidRPr="0070449B">
        <w:rPr>
          <w:rFonts w:ascii="Times New Roman" w:eastAsia="Batang" w:hAnsi="Times New Roman" w:cs="Times New Roman"/>
          <w:noProof/>
          <w:sz w:val="24"/>
          <w:szCs w:val="24"/>
          <w:lang w:val="sq-AL"/>
        </w:rPr>
        <w:t xml:space="preserve"> </w:t>
      </w:r>
      <w:r w:rsidR="00FE615F" w:rsidRPr="0070449B">
        <w:rPr>
          <w:rFonts w:ascii="Times New Roman" w:eastAsia="Batang" w:hAnsi="Times New Roman" w:cs="Times New Roman"/>
          <w:noProof/>
          <w:sz w:val="24"/>
          <w:szCs w:val="24"/>
          <w:lang w:val="sq-AL"/>
        </w:rPr>
        <w:t>t</w:t>
      </w:r>
      <w:r w:rsidR="004C3856" w:rsidRPr="0070449B">
        <w:rPr>
          <w:rFonts w:ascii="Times New Roman" w:eastAsia="Batang" w:hAnsi="Times New Roman" w:cs="Times New Roman"/>
          <w:noProof/>
          <w:sz w:val="24"/>
          <w:szCs w:val="24"/>
          <w:lang w:val="sq-AL"/>
        </w:rPr>
        <w:t>ë</w:t>
      </w:r>
      <w:r w:rsidR="00FE615F" w:rsidRPr="0070449B">
        <w:rPr>
          <w:rFonts w:ascii="Times New Roman" w:eastAsia="Batang" w:hAnsi="Times New Roman" w:cs="Times New Roman"/>
          <w:noProof/>
          <w:sz w:val="24"/>
          <w:szCs w:val="24"/>
          <w:lang w:val="sq-AL"/>
        </w:rPr>
        <w:t xml:space="preserve"> nevojave t</w:t>
      </w:r>
      <w:r w:rsidR="004C3856" w:rsidRPr="0070449B">
        <w:rPr>
          <w:rFonts w:ascii="Times New Roman" w:eastAsia="Batang" w:hAnsi="Times New Roman" w:cs="Times New Roman"/>
          <w:noProof/>
          <w:sz w:val="24"/>
          <w:szCs w:val="24"/>
          <w:lang w:val="sq-AL"/>
        </w:rPr>
        <w:t>ë</w:t>
      </w:r>
      <w:r w:rsidR="00FE615F" w:rsidRPr="0070449B">
        <w:rPr>
          <w:rFonts w:ascii="Times New Roman" w:eastAsia="Batang" w:hAnsi="Times New Roman" w:cs="Times New Roman"/>
          <w:noProof/>
          <w:sz w:val="24"/>
          <w:szCs w:val="24"/>
          <w:lang w:val="sq-AL"/>
        </w:rPr>
        <w:t xml:space="preserve"> </w:t>
      </w:r>
      <w:r w:rsidR="009B24CE" w:rsidRPr="0070449B">
        <w:rPr>
          <w:rFonts w:ascii="Times New Roman" w:eastAsia="Batang" w:hAnsi="Times New Roman" w:cs="Times New Roman"/>
          <w:noProof/>
          <w:sz w:val="24"/>
          <w:szCs w:val="24"/>
          <w:lang w:val="sq-AL"/>
        </w:rPr>
        <w:t xml:space="preserve"> </w:t>
      </w:r>
      <w:r w:rsidR="001318F2" w:rsidRPr="0070449B">
        <w:rPr>
          <w:rFonts w:ascii="Times New Roman" w:eastAsia="Batang" w:hAnsi="Times New Roman" w:cs="Times New Roman"/>
          <w:noProof/>
          <w:sz w:val="24"/>
          <w:szCs w:val="24"/>
          <w:lang w:val="sq-AL"/>
        </w:rPr>
        <w:t>p</w:t>
      </w:r>
      <w:r w:rsidR="004C3856" w:rsidRPr="0070449B">
        <w:rPr>
          <w:rFonts w:ascii="Times New Roman" w:eastAsia="Batang" w:hAnsi="Times New Roman" w:cs="Times New Roman"/>
          <w:noProof/>
          <w:sz w:val="24"/>
          <w:szCs w:val="24"/>
          <w:lang w:val="sq-AL"/>
        </w:rPr>
        <w:t>ë</w:t>
      </w:r>
      <w:r w:rsidR="001318F2" w:rsidRPr="0070449B">
        <w:rPr>
          <w:rFonts w:ascii="Times New Roman" w:eastAsia="Batang" w:hAnsi="Times New Roman" w:cs="Times New Roman"/>
          <w:noProof/>
          <w:sz w:val="24"/>
          <w:szCs w:val="24"/>
          <w:lang w:val="sq-AL"/>
        </w:rPr>
        <w:t>rgjithshme p</w:t>
      </w:r>
      <w:r w:rsidR="004C3856" w:rsidRPr="0070449B">
        <w:rPr>
          <w:rFonts w:ascii="Times New Roman" w:eastAsia="Batang" w:hAnsi="Times New Roman" w:cs="Times New Roman"/>
          <w:noProof/>
          <w:sz w:val="24"/>
          <w:szCs w:val="24"/>
          <w:lang w:val="sq-AL"/>
        </w:rPr>
        <w:t>ë</w:t>
      </w:r>
      <w:r w:rsidR="001318F2" w:rsidRPr="0070449B">
        <w:rPr>
          <w:rFonts w:ascii="Times New Roman" w:eastAsia="Batang" w:hAnsi="Times New Roman" w:cs="Times New Roman"/>
          <w:noProof/>
          <w:sz w:val="24"/>
          <w:szCs w:val="24"/>
          <w:lang w:val="sq-AL"/>
        </w:rPr>
        <w:t>r hua t</w:t>
      </w:r>
      <w:r w:rsidR="004C3856" w:rsidRPr="0070449B">
        <w:rPr>
          <w:rFonts w:ascii="Times New Roman" w:eastAsia="Batang" w:hAnsi="Times New Roman" w:cs="Times New Roman"/>
          <w:noProof/>
          <w:sz w:val="24"/>
          <w:szCs w:val="24"/>
          <w:lang w:val="sq-AL"/>
        </w:rPr>
        <w:t>ë</w:t>
      </w:r>
      <w:r w:rsidR="001318F2" w:rsidRPr="0070449B">
        <w:rPr>
          <w:rFonts w:ascii="Times New Roman" w:eastAsia="Batang" w:hAnsi="Times New Roman" w:cs="Times New Roman"/>
          <w:noProof/>
          <w:sz w:val="24"/>
          <w:szCs w:val="24"/>
          <w:lang w:val="sq-AL"/>
        </w:rPr>
        <w:t xml:space="preserve"> qeveris</w:t>
      </w:r>
      <w:r w:rsidR="004C3856" w:rsidRPr="0070449B">
        <w:rPr>
          <w:rFonts w:ascii="Times New Roman" w:eastAsia="Batang" w:hAnsi="Times New Roman" w:cs="Times New Roman"/>
          <w:noProof/>
          <w:sz w:val="24"/>
          <w:szCs w:val="24"/>
          <w:lang w:val="sq-AL"/>
        </w:rPr>
        <w:t>ë</w:t>
      </w:r>
      <w:r w:rsidR="001318F2" w:rsidRPr="0070449B">
        <w:rPr>
          <w:rFonts w:ascii="Times New Roman" w:eastAsia="Batang" w:hAnsi="Times New Roman" w:cs="Times New Roman"/>
          <w:noProof/>
          <w:sz w:val="24"/>
          <w:szCs w:val="24"/>
          <w:lang w:val="sq-AL"/>
        </w:rPr>
        <w:t xml:space="preserve"> dhe do t</w:t>
      </w:r>
      <w:r w:rsidR="004C3856" w:rsidRPr="0070449B">
        <w:rPr>
          <w:rFonts w:ascii="Times New Roman" w:eastAsia="Batang" w:hAnsi="Times New Roman" w:cs="Times New Roman"/>
          <w:noProof/>
          <w:sz w:val="24"/>
          <w:szCs w:val="24"/>
          <w:lang w:val="sq-AL"/>
        </w:rPr>
        <w:t>ë</w:t>
      </w:r>
      <w:r w:rsidR="001318F2" w:rsidRPr="0070449B">
        <w:rPr>
          <w:rFonts w:ascii="Times New Roman" w:eastAsia="Batang" w:hAnsi="Times New Roman" w:cs="Times New Roman"/>
          <w:noProof/>
          <w:sz w:val="24"/>
          <w:szCs w:val="24"/>
          <w:lang w:val="sq-AL"/>
        </w:rPr>
        <w:t xml:space="preserve"> </w:t>
      </w:r>
      <w:r w:rsidR="009B24CE" w:rsidRPr="0070449B">
        <w:rPr>
          <w:rFonts w:ascii="Times New Roman" w:eastAsia="Batang" w:hAnsi="Times New Roman" w:cs="Times New Roman"/>
          <w:noProof/>
          <w:sz w:val="24"/>
          <w:szCs w:val="24"/>
          <w:lang w:val="sq-AL"/>
        </w:rPr>
        <w:t>mbështetet</w:t>
      </w:r>
      <w:r w:rsidR="00412025" w:rsidRPr="0070449B">
        <w:rPr>
          <w:rFonts w:ascii="Times New Roman" w:eastAsia="Batang" w:hAnsi="Times New Roman" w:cs="Times New Roman"/>
          <w:noProof/>
          <w:sz w:val="24"/>
          <w:szCs w:val="24"/>
          <w:lang w:val="sq-AL"/>
        </w:rPr>
        <w:t xml:space="preserve"> </w:t>
      </w:r>
      <w:r w:rsidR="000B1BC5" w:rsidRPr="0070449B">
        <w:rPr>
          <w:rFonts w:ascii="Times New Roman" w:eastAsia="Batang" w:hAnsi="Times New Roman" w:cs="Times New Roman"/>
          <w:noProof/>
          <w:sz w:val="24"/>
          <w:szCs w:val="24"/>
          <w:lang w:val="sq-AL"/>
        </w:rPr>
        <w:t xml:space="preserve">kryesisht </w:t>
      </w:r>
      <w:r w:rsidR="00412025" w:rsidRPr="0070449B">
        <w:rPr>
          <w:rFonts w:ascii="Times New Roman" w:eastAsia="Batang" w:hAnsi="Times New Roman" w:cs="Times New Roman"/>
          <w:noProof/>
          <w:sz w:val="24"/>
          <w:szCs w:val="24"/>
          <w:lang w:val="sq-AL"/>
        </w:rPr>
        <w:t>n</w:t>
      </w:r>
      <w:r w:rsidR="00DC648E" w:rsidRPr="0070449B">
        <w:rPr>
          <w:rFonts w:ascii="Times New Roman" w:eastAsia="Batang" w:hAnsi="Times New Roman" w:cs="Times New Roman"/>
          <w:noProof/>
          <w:sz w:val="24"/>
          <w:szCs w:val="24"/>
          <w:lang w:val="sq-AL"/>
        </w:rPr>
        <w:t>ë</w:t>
      </w:r>
      <w:r w:rsidR="00F32418" w:rsidRPr="0070449B">
        <w:rPr>
          <w:rFonts w:ascii="Times New Roman" w:eastAsia="Batang" w:hAnsi="Times New Roman" w:cs="Times New Roman"/>
          <w:noProof/>
          <w:sz w:val="24"/>
          <w:szCs w:val="24"/>
          <w:lang w:val="sq-AL"/>
        </w:rPr>
        <w:t>: i)</w:t>
      </w:r>
      <w:r w:rsidR="009B24CE" w:rsidRPr="0070449B">
        <w:rPr>
          <w:rFonts w:ascii="Times New Roman" w:eastAsia="Batang" w:hAnsi="Times New Roman" w:cs="Times New Roman"/>
          <w:noProof/>
          <w:sz w:val="24"/>
          <w:szCs w:val="24"/>
          <w:lang w:val="sq-AL"/>
        </w:rPr>
        <w:t xml:space="preserve"> </w:t>
      </w:r>
      <w:r w:rsidR="00F32418" w:rsidRPr="0070449B">
        <w:rPr>
          <w:rFonts w:ascii="Times New Roman" w:eastAsia="Batang" w:hAnsi="Times New Roman" w:cs="Times New Roman"/>
          <w:noProof/>
          <w:sz w:val="24"/>
          <w:szCs w:val="24"/>
          <w:lang w:val="sq-AL"/>
        </w:rPr>
        <w:t>huat</w:t>
      </w:r>
      <w:r w:rsidR="00B52EE6" w:rsidRPr="0070449B">
        <w:rPr>
          <w:rFonts w:ascii="Times New Roman" w:eastAsia="Batang" w:hAnsi="Times New Roman" w:cs="Times New Roman"/>
          <w:noProof/>
          <w:sz w:val="24"/>
          <w:szCs w:val="24"/>
          <w:lang w:val="sq-AL"/>
        </w:rPr>
        <w:t>ë</w:t>
      </w:r>
      <w:r w:rsidR="009B24CE" w:rsidRPr="0070449B">
        <w:rPr>
          <w:rFonts w:ascii="Times New Roman" w:eastAsia="Batang" w:hAnsi="Times New Roman" w:cs="Times New Roman"/>
          <w:noProof/>
          <w:sz w:val="24"/>
          <w:szCs w:val="24"/>
          <w:lang w:val="sq-AL"/>
        </w:rPr>
        <w:t xml:space="preserve"> me terma pjesërisht të buta</w:t>
      </w:r>
      <w:r w:rsidR="001318F2" w:rsidRPr="0070449B">
        <w:rPr>
          <w:rFonts w:ascii="Times New Roman" w:eastAsia="Batang" w:hAnsi="Times New Roman" w:cs="Times New Roman"/>
          <w:noProof/>
          <w:sz w:val="24"/>
          <w:szCs w:val="24"/>
          <w:lang w:val="sq-AL"/>
        </w:rPr>
        <w:t xml:space="preserve">, </w:t>
      </w:r>
      <w:r w:rsidR="009B24CE" w:rsidRPr="0070449B">
        <w:rPr>
          <w:rFonts w:ascii="Times New Roman" w:eastAsia="Batang" w:hAnsi="Times New Roman" w:cs="Times New Roman"/>
          <w:noProof/>
          <w:sz w:val="24"/>
          <w:szCs w:val="24"/>
          <w:lang w:val="sq-AL"/>
        </w:rPr>
        <w:t xml:space="preserve">të </w:t>
      </w:r>
      <w:r w:rsidR="00F32418" w:rsidRPr="0070449B">
        <w:rPr>
          <w:rFonts w:ascii="Times New Roman" w:eastAsia="Batang" w:hAnsi="Times New Roman" w:cs="Times New Roman"/>
          <w:noProof/>
          <w:sz w:val="24"/>
          <w:szCs w:val="24"/>
          <w:lang w:val="sq-AL"/>
        </w:rPr>
        <w:t>cilat do t</w:t>
      </w:r>
      <w:r w:rsidR="00B52EE6" w:rsidRPr="0070449B">
        <w:rPr>
          <w:rFonts w:ascii="Times New Roman" w:eastAsia="Batang" w:hAnsi="Times New Roman" w:cs="Times New Roman"/>
          <w:noProof/>
          <w:sz w:val="24"/>
          <w:szCs w:val="24"/>
          <w:lang w:val="sq-AL"/>
        </w:rPr>
        <w:t>ë</w:t>
      </w:r>
      <w:r w:rsidR="00F32418" w:rsidRPr="0070449B">
        <w:rPr>
          <w:rFonts w:ascii="Times New Roman" w:eastAsia="Batang" w:hAnsi="Times New Roman" w:cs="Times New Roman"/>
          <w:noProof/>
          <w:sz w:val="24"/>
          <w:szCs w:val="24"/>
          <w:lang w:val="sq-AL"/>
        </w:rPr>
        <w:t xml:space="preserve"> financojn</w:t>
      </w:r>
      <w:r w:rsidR="00B52EE6" w:rsidRPr="0070449B">
        <w:rPr>
          <w:rFonts w:ascii="Times New Roman" w:eastAsia="Batang" w:hAnsi="Times New Roman" w:cs="Times New Roman"/>
          <w:noProof/>
          <w:sz w:val="24"/>
          <w:szCs w:val="24"/>
          <w:lang w:val="sq-AL"/>
        </w:rPr>
        <w:t>ë</w:t>
      </w:r>
      <w:r w:rsidR="00F32418" w:rsidRPr="0070449B">
        <w:rPr>
          <w:rFonts w:ascii="Times New Roman" w:eastAsia="Batang" w:hAnsi="Times New Roman" w:cs="Times New Roman"/>
          <w:noProof/>
          <w:sz w:val="24"/>
          <w:szCs w:val="24"/>
          <w:lang w:val="sq-AL"/>
        </w:rPr>
        <w:t xml:space="preserve"> projektet ekzistuese dhe </w:t>
      </w:r>
      <w:r w:rsidR="009B24CE" w:rsidRPr="0070449B">
        <w:rPr>
          <w:rFonts w:ascii="Times New Roman" w:eastAsia="Batang" w:hAnsi="Times New Roman" w:cs="Times New Roman"/>
          <w:noProof/>
          <w:sz w:val="24"/>
          <w:szCs w:val="24"/>
          <w:lang w:val="sq-AL"/>
        </w:rPr>
        <w:t>projekte</w:t>
      </w:r>
      <w:r w:rsidR="00F32418" w:rsidRPr="0070449B">
        <w:rPr>
          <w:rFonts w:ascii="Times New Roman" w:eastAsia="Batang" w:hAnsi="Times New Roman" w:cs="Times New Roman"/>
          <w:noProof/>
          <w:sz w:val="24"/>
          <w:szCs w:val="24"/>
          <w:lang w:val="sq-AL"/>
        </w:rPr>
        <w:t>t</w:t>
      </w:r>
      <w:r w:rsidR="009B24CE" w:rsidRPr="0070449B">
        <w:rPr>
          <w:rFonts w:ascii="Times New Roman" w:eastAsia="Batang" w:hAnsi="Times New Roman" w:cs="Times New Roman"/>
          <w:noProof/>
          <w:sz w:val="24"/>
          <w:szCs w:val="24"/>
          <w:lang w:val="sq-AL"/>
        </w:rPr>
        <w:t xml:space="preserve"> </w:t>
      </w:r>
      <w:r w:rsidR="00F32418" w:rsidRPr="0070449B">
        <w:rPr>
          <w:rFonts w:ascii="Times New Roman" w:eastAsia="Batang" w:hAnsi="Times New Roman" w:cs="Times New Roman"/>
          <w:noProof/>
          <w:sz w:val="24"/>
          <w:szCs w:val="24"/>
          <w:lang w:val="sq-AL"/>
        </w:rPr>
        <w:t xml:space="preserve">e </w:t>
      </w:r>
      <w:r w:rsidR="009B24CE" w:rsidRPr="0070449B">
        <w:rPr>
          <w:rFonts w:ascii="Times New Roman" w:eastAsia="Batang" w:hAnsi="Times New Roman" w:cs="Times New Roman"/>
          <w:noProof/>
          <w:sz w:val="24"/>
          <w:szCs w:val="24"/>
          <w:lang w:val="sq-AL"/>
        </w:rPr>
        <w:t xml:space="preserve">reja të konsideruara si prioritare nga </w:t>
      </w:r>
      <w:r w:rsidR="001318F2" w:rsidRPr="0070449B">
        <w:rPr>
          <w:rFonts w:ascii="Times New Roman" w:eastAsia="Batang" w:hAnsi="Times New Roman" w:cs="Times New Roman"/>
          <w:noProof/>
          <w:sz w:val="24"/>
          <w:szCs w:val="24"/>
          <w:lang w:val="sq-AL"/>
        </w:rPr>
        <w:t>q</w:t>
      </w:r>
      <w:r w:rsidR="00327DDA" w:rsidRPr="0070449B">
        <w:rPr>
          <w:rFonts w:ascii="Times New Roman" w:eastAsia="Batang" w:hAnsi="Times New Roman" w:cs="Times New Roman"/>
          <w:noProof/>
          <w:sz w:val="24"/>
          <w:szCs w:val="24"/>
          <w:lang w:val="sq-AL"/>
        </w:rPr>
        <w:t>everia për zhvillimin e vendit;</w:t>
      </w:r>
      <w:r w:rsidR="00F32418" w:rsidRPr="0070449B">
        <w:rPr>
          <w:rFonts w:ascii="Times New Roman" w:eastAsia="Batang" w:hAnsi="Times New Roman" w:cs="Times New Roman"/>
          <w:noProof/>
          <w:sz w:val="24"/>
          <w:szCs w:val="24"/>
          <w:lang w:val="sq-AL"/>
        </w:rPr>
        <w:t xml:space="preserve"> ii)</w:t>
      </w:r>
      <w:r w:rsidR="009B24CE" w:rsidRPr="0070449B">
        <w:rPr>
          <w:rFonts w:ascii="Times New Roman" w:eastAsia="Batang" w:hAnsi="Times New Roman" w:cs="Times New Roman"/>
          <w:noProof/>
          <w:sz w:val="24"/>
          <w:szCs w:val="24"/>
          <w:lang w:val="sq-AL"/>
        </w:rPr>
        <w:t xml:space="preserve"> </w:t>
      </w:r>
      <w:r w:rsidR="00F32418" w:rsidRPr="0070449B">
        <w:rPr>
          <w:rFonts w:ascii="Times New Roman" w:eastAsia="Batang" w:hAnsi="Times New Roman" w:cs="Times New Roman"/>
          <w:noProof/>
          <w:sz w:val="24"/>
          <w:szCs w:val="24"/>
          <w:lang w:val="sq-AL"/>
        </w:rPr>
        <w:t>huat</w:t>
      </w:r>
      <w:r w:rsidR="00B52EE6" w:rsidRPr="0070449B">
        <w:rPr>
          <w:rFonts w:ascii="Times New Roman" w:eastAsia="Batang" w:hAnsi="Times New Roman" w:cs="Times New Roman"/>
          <w:noProof/>
          <w:sz w:val="24"/>
          <w:szCs w:val="24"/>
          <w:lang w:val="sq-AL"/>
        </w:rPr>
        <w:t>ë</w:t>
      </w:r>
      <w:r w:rsidR="00F32418" w:rsidRPr="0070449B">
        <w:rPr>
          <w:rFonts w:ascii="Times New Roman" w:eastAsia="Batang" w:hAnsi="Times New Roman" w:cs="Times New Roman"/>
          <w:noProof/>
          <w:sz w:val="24"/>
          <w:szCs w:val="24"/>
          <w:lang w:val="sq-AL"/>
        </w:rPr>
        <w:t xml:space="preserve"> me terma t</w:t>
      </w:r>
      <w:r w:rsidR="00B52EE6" w:rsidRPr="0070449B">
        <w:rPr>
          <w:rFonts w:ascii="Times New Roman" w:eastAsia="Batang" w:hAnsi="Times New Roman" w:cs="Times New Roman"/>
          <w:noProof/>
          <w:sz w:val="24"/>
          <w:szCs w:val="24"/>
          <w:lang w:val="sq-AL"/>
        </w:rPr>
        <w:t>ë</w:t>
      </w:r>
      <w:r w:rsidR="00F32418" w:rsidRPr="0070449B">
        <w:rPr>
          <w:rFonts w:ascii="Times New Roman" w:eastAsia="Batang" w:hAnsi="Times New Roman" w:cs="Times New Roman"/>
          <w:noProof/>
          <w:sz w:val="24"/>
          <w:szCs w:val="24"/>
          <w:lang w:val="sq-AL"/>
        </w:rPr>
        <w:t xml:space="preserve"> buta t</w:t>
      </w:r>
      <w:r w:rsidR="00B52EE6" w:rsidRPr="0070449B">
        <w:rPr>
          <w:rFonts w:ascii="Times New Roman" w:eastAsia="Batang" w:hAnsi="Times New Roman" w:cs="Times New Roman"/>
          <w:noProof/>
          <w:sz w:val="24"/>
          <w:szCs w:val="24"/>
          <w:lang w:val="sq-AL"/>
        </w:rPr>
        <w:t>ë</w:t>
      </w:r>
      <w:r w:rsidR="009B24CE" w:rsidRPr="0070449B">
        <w:rPr>
          <w:rFonts w:ascii="Times New Roman" w:eastAsia="Batang" w:hAnsi="Times New Roman" w:cs="Times New Roman"/>
          <w:noProof/>
          <w:sz w:val="24"/>
          <w:szCs w:val="24"/>
          <w:lang w:val="sq-AL"/>
        </w:rPr>
        <w:t xml:space="preserve"> akorduara nga institucionet ndërkombëtare financiare për të mbështetur </w:t>
      </w:r>
      <w:r w:rsidR="00F32418" w:rsidRPr="0070449B">
        <w:rPr>
          <w:rFonts w:ascii="Times New Roman" w:eastAsia="Batang" w:hAnsi="Times New Roman" w:cs="Times New Roman"/>
          <w:noProof/>
          <w:sz w:val="24"/>
          <w:szCs w:val="24"/>
          <w:lang w:val="sq-AL"/>
        </w:rPr>
        <w:t>politikat zhvillimore</w:t>
      </w:r>
      <w:r w:rsidR="002E4AE8" w:rsidRPr="0070449B">
        <w:rPr>
          <w:rFonts w:ascii="Times New Roman" w:eastAsia="Batang" w:hAnsi="Times New Roman" w:cs="Times New Roman"/>
          <w:noProof/>
          <w:sz w:val="24"/>
          <w:szCs w:val="24"/>
          <w:lang w:val="sq-AL"/>
        </w:rPr>
        <w:t xml:space="preserve"> dhe reformat e</w:t>
      </w:r>
      <w:r w:rsidR="00F32418" w:rsidRPr="0070449B">
        <w:rPr>
          <w:rFonts w:ascii="Times New Roman" w:eastAsia="Batang" w:hAnsi="Times New Roman" w:cs="Times New Roman"/>
          <w:noProof/>
          <w:sz w:val="24"/>
          <w:szCs w:val="24"/>
          <w:lang w:val="sq-AL"/>
        </w:rPr>
        <w:t xml:space="preserve"> </w:t>
      </w:r>
      <w:r w:rsidR="002E4AE8" w:rsidRPr="0070449B">
        <w:rPr>
          <w:rFonts w:ascii="Times New Roman" w:eastAsia="Batang" w:hAnsi="Times New Roman" w:cs="Times New Roman"/>
          <w:noProof/>
          <w:sz w:val="24"/>
          <w:szCs w:val="24"/>
          <w:lang w:val="sq-AL"/>
        </w:rPr>
        <w:t>nd</w:t>
      </w:r>
      <w:r w:rsidR="00DC648E" w:rsidRPr="0070449B">
        <w:rPr>
          <w:rFonts w:ascii="Times New Roman" w:eastAsia="Batang" w:hAnsi="Times New Roman" w:cs="Times New Roman"/>
          <w:noProof/>
          <w:sz w:val="24"/>
          <w:szCs w:val="24"/>
          <w:lang w:val="sq-AL"/>
        </w:rPr>
        <w:t>ë</w:t>
      </w:r>
      <w:r w:rsidR="002E4AE8" w:rsidRPr="0070449B">
        <w:rPr>
          <w:rFonts w:ascii="Times New Roman" w:eastAsia="Batang" w:hAnsi="Times New Roman" w:cs="Times New Roman"/>
          <w:noProof/>
          <w:sz w:val="24"/>
          <w:szCs w:val="24"/>
          <w:lang w:val="sq-AL"/>
        </w:rPr>
        <w:t>rmarra nga qeveria</w:t>
      </w:r>
      <w:r w:rsidR="00327DDA" w:rsidRPr="0070449B">
        <w:rPr>
          <w:rFonts w:ascii="Times New Roman" w:eastAsia="Batang" w:hAnsi="Times New Roman" w:cs="Times New Roman"/>
          <w:noProof/>
          <w:sz w:val="24"/>
          <w:szCs w:val="24"/>
          <w:lang w:val="sq-AL"/>
        </w:rPr>
        <w:t>;</w:t>
      </w:r>
      <w:r w:rsidR="002E4AE8" w:rsidRPr="0070449B">
        <w:rPr>
          <w:rFonts w:ascii="Times New Roman" w:eastAsia="Batang" w:hAnsi="Times New Roman" w:cs="Times New Roman"/>
          <w:noProof/>
          <w:sz w:val="24"/>
          <w:szCs w:val="24"/>
          <w:lang w:val="sq-AL"/>
        </w:rPr>
        <w:t xml:space="preserve"> si</w:t>
      </w:r>
      <w:r w:rsidR="00327DDA" w:rsidRPr="0070449B">
        <w:rPr>
          <w:rFonts w:ascii="Times New Roman" w:eastAsia="Batang" w:hAnsi="Times New Roman" w:cs="Times New Roman"/>
          <w:noProof/>
          <w:sz w:val="24"/>
          <w:szCs w:val="24"/>
          <w:lang w:val="sq-AL"/>
        </w:rPr>
        <w:t xml:space="preserve"> </w:t>
      </w:r>
      <w:r w:rsidR="002E4AE8" w:rsidRPr="0070449B">
        <w:rPr>
          <w:rFonts w:ascii="Times New Roman" w:eastAsia="Batang" w:hAnsi="Times New Roman" w:cs="Times New Roman"/>
          <w:noProof/>
          <w:sz w:val="24"/>
          <w:szCs w:val="24"/>
          <w:lang w:val="sq-AL"/>
        </w:rPr>
        <w:t>e</w:t>
      </w:r>
      <w:r w:rsidR="00327DDA" w:rsidRPr="0070449B">
        <w:rPr>
          <w:rFonts w:ascii="Times New Roman" w:eastAsia="Batang" w:hAnsi="Times New Roman" w:cs="Times New Roman"/>
          <w:noProof/>
          <w:sz w:val="24"/>
          <w:szCs w:val="24"/>
          <w:lang w:val="sq-AL"/>
        </w:rPr>
        <w:t>dhe</w:t>
      </w:r>
      <w:r w:rsidR="00F32418" w:rsidRPr="0070449B">
        <w:rPr>
          <w:rFonts w:ascii="Times New Roman" w:eastAsia="Batang" w:hAnsi="Times New Roman" w:cs="Times New Roman"/>
          <w:noProof/>
          <w:sz w:val="24"/>
          <w:szCs w:val="24"/>
          <w:lang w:val="sq-AL"/>
        </w:rPr>
        <w:t xml:space="preserve"> iii) instrumentet financiare </w:t>
      </w:r>
      <w:r w:rsidR="00327DDA" w:rsidRPr="0070449B">
        <w:rPr>
          <w:rFonts w:ascii="Times New Roman" w:eastAsia="Batang" w:hAnsi="Times New Roman" w:cs="Times New Roman"/>
          <w:noProof/>
          <w:sz w:val="24"/>
          <w:szCs w:val="24"/>
          <w:lang w:val="sq-AL"/>
        </w:rPr>
        <w:t>t</w:t>
      </w:r>
      <w:r w:rsidR="00B52EE6" w:rsidRPr="0070449B">
        <w:rPr>
          <w:rFonts w:ascii="Times New Roman" w:eastAsia="Batang" w:hAnsi="Times New Roman" w:cs="Times New Roman"/>
          <w:noProof/>
          <w:sz w:val="24"/>
          <w:szCs w:val="24"/>
          <w:lang w:val="sq-AL"/>
        </w:rPr>
        <w:t>ë</w:t>
      </w:r>
      <w:r w:rsidR="00327DDA" w:rsidRPr="0070449B">
        <w:rPr>
          <w:rFonts w:ascii="Times New Roman" w:eastAsia="Batang" w:hAnsi="Times New Roman" w:cs="Times New Roman"/>
          <w:noProof/>
          <w:sz w:val="24"/>
          <w:szCs w:val="24"/>
          <w:lang w:val="sq-AL"/>
        </w:rPr>
        <w:t xml:space="preserve"> tregjeve t</w:t>
      </w:r>
      <w:r w:rsidR="00B52EE6" w:rsidRPr="0070449B">
        <w:rPr>
          <w:rFonts w:ascii="Times New Roman" w:eastAsia="Batang" w:hAnsi="Times New Roman" w:cs="Times New Roman"/>
          <w:noProof/>
          <w:sz w:val="24"/>
          <w:szCs w:val="24"/>
          <w:lang w:val="sq-AL"/>
        </w:rPr>
        <w:t>ë</w:t>
      </w:r>
      <w:r w:rsidR="00327DDA" w:rsidRPr="0070449B">
        <w:rPr>
          <w:rFonts w:ascii="Times New Roman" w:eastAsia="Batang" w:hAnsi="Times New Roman" w:cs="Times New Roman"/>
          <w:noProof/>
          <w:sz w:val="24"/>
          <w:szCs w:val="24"/>
          <w:lang w:val="sq-AL"/>
        </w:rPr>
        <w:t xml:space="preserve"> kapitalit </w:t>
      </w:r>
      <w:r w:rsidR="00474073" w:rsidRPr="0070449B">
        <w:rPr>
          <w:rFonts w:ascii="Times New Roman" w:eastAsia="Batang" w:hAnsi="Times New Roman" w:cs="Times New Roman"/>
          <w:noProof/>
          <w:sz w:val="24"/>
          <w:szCs w:val="24"/>
          <w:lang w:val="sq-AL"/>
        </w:rPr>
        <w:t>mbi baza oportuniste</w:t>
      </w:r>
      <w:r w:rsidR="002E4AE8" w:rsidRPr="0070449B">
        <w:rPr>
          <w:rFonts w:ascii="Times New Roman" w:eastAsia="Batang" w:hAnsi="Times New Roman" w:cs="Times New Roman"/>
          <w:noProof/>
          <w:sz w:val="24"/>
          <w:szCs w:val="24"/>
          <w:lang w:val="sq-AL"/>
        </w:rPr>
        <w:t xml:space="preserve">, </w:t>
      </w:r>
      <w:r w:rsidR="00474073" w:rsidRPr="0070449B">
        <w:rPr>
          <w:rFonts w:ascii="Times New Roman" w:eastAsia="Batang" w:hAnsi="Times New Roman" w:cs="Times New Roman"/>
          <w:noProof/>
          <w:sz w:val="24"/>
          <w:szCs w:val="24"/>
          <w:lang w:val="sq-AL"/>
        </w:rPr>
        <w:t>kryesisht p</w:t>
      </w:r>
      <w:r w:rsidR="00B52EE6" w:rsidRPr="0070449B">
        <w:rPr>
          <w:rFonts w:ascii="Times New Roman" w:eastAsia="Batang" w:hAnsi="Times New Roman" w:cs="Times New Roman"/>
          <w:noProof/>
          <w:sz w:val="24"/>
          <w:szCs w:val="24"/>
          <w:lang w:val="sq-AL"/>
        </w:rPr>
        <w:t>ë</w:t>
      </w:r>
      <w:r w:rsidR="00474073" w:rsidRPr="0070449B">
        <w:rPr>
          <w:rFonts w:ascii="Times New Roman" w:eastAsia="Batang" w:hAnsi="Times New Roman" w:cs="Times New Roman"/>
          <w:noProof/>
          <w:sz w:val="24"/>
          <w:szCs w:val="24"/>
          <w:lang w:val="sq-AL"/>
        </w:rPr>
        <w:t>r t</w:t>
      </w:r>
      <w:r w:rsidR="00B52EE6" w:rsidRPr="0070449B">
        <w:rPr>
          <w:rFonts w:ascii="Times New Roman" w:eastAsia="Batang" w:hAnsi="Times New Roman" w:cs="Times New Roman"/>
          <w:noProof/>
          <w:sz w:val="24"/>
          <w:szCs w:val="24"/>
          <w:lang w:val="sq-AL"/>
        </w:rPr>
        <w:t>ë</w:t>
      </w:r>
      <w:r w:rsidR="00474073" w:rsidRPr="0070449B">
        <w:rPr>
          <w:rFonts w:ascii="Times New Roman" w:eastAsia="Batang" w:hAnsi="Times New Roman" w:cs="Times New Roman"/>
          <w:noProof/>
          <w:sz w:val="24"/>
          <w:szCs w:val="24"/>
          <w:lang w:val="sq-AL"/>
        </w:rPr>
        <w:t xml:space="preserve"> mund</w:t>
      </w:r>
      <w:r w:rsidR="00B52EE6" w:rsidRPr="0070449B">
        <w:rPr>
          <w:rFonts w:ascii="Times New Roman" w:eastAsia="Batang" w:hAnsi="Times New Roman" w:cs="Times New Roman"/>
          <w:noProof/>
          <w:sz w:val="24"/>
          <w:szCs w:val="24"/>
          <w:lang w:val="sq-AL"/>
        </w:rPr>
        <w:t>ë</w:t>
      </w:r>
      <w:r w:rsidR="00474073" w:rsidRPr="0070449B">
        <w:rPr>
          <w:rFonts w:ascii="Times New Roman" w:eastAsia="Batang" w:hAnsi="Times New Roman" w:cs="Times New Roman"/>
          <w:noProof/>
          <w:sz w:val="24"/>
          <w:szCs w:val="24"/>
          <w:lang w:val="sq-AL"/>
        </w:rPr>
        <w:t>suar menaxhim</w:t>
      </w:r>
      <w:r w:rsidR="00304AA6" w:rsidRPr="0070449B">
        <w:rPr>
          <w:rFonts w:ascii="Times New Roman" w:eastAsia="Batang" w:hAnsi="Times New Roman" w:cs="Times New Roman"/>
          <w:noProof/>
          <w:sz w:val="24"/>
          <w:szCs w:val="24"/>
          <w:lang w:val="sq-AL"/>
        </w:rPr>
        <w:t>in</w:t>
      </w:r>
      <w:r w:rsidR="00474073" w:rsidRPr="0070449B">
        <w:rPr>
          <w:rFonts w:ascii="Times New Roman" w:eastAsia="Batang" w:hAnsi="Times New Roman" w:cs="Times New Roman"/>
          <w:noProof/>
          <w:sz w:val="24"/>
          <w:szCs w:val="24"/>
          <w:lang w:val="sq-AL"/>
        </w:rPr>
        <w:t xml:space="preserve"> </w:t>
      </w:r>
      <w:r w:rsidR="00304AA6" w:rsidRPr="0070449B">
        <w:rPr>
          <w:rFonts w:ascii="Times New Roman" w:eastAsia="Batang" w:hAnsi="Times New Roman" w:cs="Times New Roman"/>
          <w:noProof/>
          <w:sz w:val="24"/>
          <w:szCs w:val="24"/>
          <w:lang w:val="sq-AL"/>
        </w:rPr>
        <w:t xml:space="preserve">e </w:t>
      </w:r>
      <w:r w:rsidR="00474073" w:rsidRPr="0070449B">
        <w:rPr>
          <w:rFonts w:ascii="Times New Roman" w:eastAsia="Batang" w:hAnsi="Times New Roman" w:cs="Times New Roman"/>
          <w:noProof/>
          <w:sz w:val="24"/>
          <w:szCs w:val="24"/>
          <w:lang w:val="sq-AL"/>
        </w:rPr>
        <w:t>detyrimeve t</w:t>
      </w:r>
      <w:r w:rsidR="00B52EE6" w:rsidRPr="0070449B">
        <w:rPr>
          <w:rFonts w:ascii="Times New Roman" w:eastAsia="Batang" w:hAnsi="Times New Roman" w:cs="Times New Roman"/>
          <w:noProof/>
          <w:sz w:val="24"/>
          <w:szCs w:val="24"/>
          <w:lang w:val="sq-AL"/>
        </w:rPr>
        <w:t>ë</w:t>
      </w:r>
      <w:r w:rsidR="00304AA6" w:rsidRPr="0070449B">
        <w:rPr>
          <w:rFonts w:ascii="Times New Roman" w:eastAsia="Batang" w:hAnsi="Times New Roman" w:cs="Times New Roman"/>
          <w:noProof/>
          <w:sz w:val="24"/>
          <w:szCs w:val="24"/>
          <w:lang w:val="sq-AL"/>
        </w:rPr>
        <w:t xml:space="preserve"> borxhit </w:t>
      </w:r>
      <w:r w:rsidR="000B1BC5" w:rsidRPr="0070449B">
        <w:rPr>
          <w:rFonts w:ascii="Times New Roman" w:eastAsia="Batang" w:hAnsi="Times New Roman" w:cs="Times New Roman"/>
          <w:noProof/>
          <w:sz w:val="24"/>
          <w:szCs w:val="24"/>
          <w:lang w:val="sq-AL"/>
        </w:rPr>
        <w:t>n</w:t>
      </w:r>
      <w:r w:rsidR="00982338" w:rsidRPr="0070449B">
        <w:rPr>
          <w:rFonts w:ascii="Times New Roman" w:eastAsia="Batang" w:hAnsi="Times New Roman" w:cs="Times New Roman"/>
          <w:noProof/>
          <w:sz w:val="24"/>
          <w:szCs w:val="24"/>
          <w:lang w:val="sq-AL"/>
        </w:rPr>
        <w:t>ë</w:t>
      </w:r>
      <w:r w:rsidR="000B1BC5" w:rsidRPr="0070449B">
        <w:rPr>
          <w:rFonts w:ascii="Times New Roman" w:eastAsia="Batang" w:hAnsi="Times New Roman" w:cs="Times New Roman"/>
          <w:noProof/>
          <w:sz w:val="24"/>
          <w:szCs w:val="24"/>
          <w:lang w:val="sq-AL"/>
        </w:rPr>
        <w:t xml:space="preserve"> valut</w:t>
      </w:r>
      <w:r w:rsidR="00982338" w:rsidRPr="0070449B">
        <w:rPr>
          <w:rFonts w:ascii="Times New Roman" w:eastAsia="Batang" w:hAnsi="Times New Roman" w:cs="Times New Roman"/>
          <w:noProof/>
          <w:sz w:val="24"/>
          <w:szCs w:val="24"/>
          <w:lang w:val="sq-AL"/>
        </w:rPr>
        <w:t>ë</w:t>
      </w:r>
      <w:r w:rsidR="000B1BC5" w:rsidRPr="0070449B">
        <w:rPr>
          <w:rFonts w:ascii="Times New Roman" w:eastAsia="Batang" w:hAnsi="Times New Roman" w:cs="Times New Roman"/>
          <w:noProof/>
          <w:sz w:val="24"/>
          <w:szCs w:val="24"/>
          <w:lang w:val="sq-AL"/>
        </w:rPr>
        <w:t xml:space="preserve"> </w:t>
      </w:r>
      <w:r w:rsidR="00304AA6" w:rsidRPr="0070449B">
        <w:rPr>
          <w:rFonts w:ascii="Times New Roman" w:eastAsia="Batang" w:hAnsi="Times New Roman" w:cs="Times New Roman"/>
          <w:noProof/>
          <w:sz w:val="24"/>
          <w:szCs w:val="24"/>
          <w:lang w:val="sq-AL"/>
        </w:rPr>
        <w:t>dhe</w:t>
      </w:r>
      <w:r w:rsidR="0066593A" w:rsidRPr="0070449B">
        <w:rPr>
          <w:rFonts w:ascii="Times New Roman" w:eastAsia="Batang" w:hAnsi="Times New Roman" w:cs="Times New Roman"/>
          <w:noProof/>
          <w:sz w:val="24"/>
          <w:szCs w:val="24"/>
          <w:lang w:val="sq-AL"/>
        </w:rPr>
        <w:t xml:space="preserve"> p</w:t>
      </w:r>
      <w:r w:rsidR="004C3856" w:rsidRPr="0070449B">
        <w:rPr>
          <w:rFonts w:ascii="Times New Roman" w:eastAsia="Batang" w:hAnsi="Times New Roman" w:cs="Times New Roman"/>
          <w:noProof/>
          <w:sz w:val="24"/>
          <w:szCs w:val="24"/>
          <w:lang w:val="sq-AL"/>
        </w:rPr>
        <w:t>ë</w:t>
      </w:r>
      <w:r w:rsidR="0066593A" w:rsidRPr="0070449B">
        <w:rPr>
          <w:rFonts w:ascii="Times New Roman" w:eastAsia="Batang" w:hAnsi="Times New Roman" w:cs="Times New Roman"/>
          <w:noProof/>
          <w:sz w:val="24"/>
          <w:szCs w:val="24"/>
          <w:lang w:val="sq-AL"/>
        </w:rPr>
        <w:t>r t</w:t>
      </w:r>
      <w:r w:rsidR="004C3856" w:rsidRPr="0070449B">
        <w:rPr>
          <w:rFonts w:ascii="Times New Roman" w:eastAsia="Batang" w:hAnsi="Times New Roman" w:cs="Times New Roman"/>
          <w:noProof/>
          <w:sz w:val="24"/>
          <w:szCs w:val="24"/>
          <w:lang w:val="sq-AL"/>
        </w:rPr>
        <w:t>ë</w:t>
      </w:r>
      <w:r w:rsidR="0066593A" w:rsidRPr="0070449B">
        <w:rPr>
          <w:rFonts w:ascii="Times New Roman" w:eastAsia="Batang" w:hAnsi="Times New Roman" w:cs="Times New Roman"/>
          <w:noProof/>
          <w:sz w:val="24"/>
          <w:szCs w:val="24"/>
          <w:lang w:val="sq-AL"/>
        </w:rPr>
        <w:t xml:space="preserve"> </w:t>
      </w:r>
      <w:r w:rsidR="00474073" w:rsidRPr="0070449B">
        <w:rPr>
          <w:rFonts w:ascii="Times New Roman" w:eastAsia="Batang" w:hAnsi="Times New Roman" w:cs="Times New Roman"/>
          <w:noProof/>
          <w:sz w:val="24"/>
          <w:szCs w:val="24"/>
          <w:lang w:val="sq-AL"/>
        </w:rPr>
        <w:t>optimizuar r</w:t>
      </w:r>
      <w:r w:rsidR="00F55A3D" w:rsidRPr="0070449B">
        <w:rPr>
          <w:rFonts w:ascii="Times New Roman" w:eastAsia="Batang" w:hAnsi="Times New Roman" w:cs="Times New Roman"/>
          <w:noProof/>
          <w:sz w:val="24"/>
          <w:szCs w:val="24"/>
          <w:lang w:val="sq-AL"/>
        </w:rPr>
        <w:t>isqet</w:t>
      </w:r>
      <w:r w:rsidR="00474073" w:rsidRPr="0070449B">
        <w:rPr>
          <w:rFonts w:ascii="Times New Roman" w:eastAsia="Batang" w:hAnsi="Times New Roman" w:cs="Times New Roman"/>
          <w:noProof/>
          <w:sz w:val="24"/>
          <w:szCs w:val="24"/>
          <w:lang w:val="sq-AL"/>
        </w:rPr>
        <w:t xml:space="preserve"> e portofolit.</w:t>
      </w:r>
    </w:p>
    <w:p w14:paraId="71DF5B97" w14:textId="77777777" w:rsidR="009B24CE" w:rsidRPr="0070449B" w:rsidRDefault="009B24CE" w:rsidP="00291349">
      <w:pPr>
        <w:autoSpaceDE w:val="0"/>
        <w:autoSpaceDN w:val="0"/>
        <w:adjustRightInd w:val="0"/>
        <w:spacing w:after="0" w:line="276" w:lineRule="auto"/>
        <w:ind w:right="237"/>
        <w:contextualSpacing/>
        <w:jc w:val="both"/>
        <w:rPr>
          <w:rFonts w:ascii="Times New Roman" w:eastAsia="Batang" w:hAnsi="Times New Roman" w:cs="Times New Roman"/>
          <w:noProof/>
          <w:sz w:val="16"/>
          <w:szCs w:val="12"/>
          <w:lang w:val="sq-AL"/>
        </w:rPr>
      </w:pPr>
    </w:p>
    <w:p w14:paraId="71DF5B98" w14:textId="77777777" w:rsidR="00B65A66" w:rsidRDefault="009B24CE"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Zhvillimi i mëtejshëm i tregut primar vendas dhe hedhja e hapave për zhvillimin e tregut sekondar të titujve shtetërorë është një tjetër objektiv parësor i strategjisë afatmesme</w:t>
      </w:r>
      <w:r w:rsidR="00B65A66">
        <w:rPr>
          <w:rFonts w:ascii="Times New Roman" w:eastAsia="Batang" w:hAnsi="Times New Roman" w:cs="Times New Roman"/>
          <w:noProof/>
          <w:sz w:val="24"/>
          <w:szCs w:val="24"/>
          <w:lang w:val="sq-AL"/>
        </w:rPr>
        <w:t>.</w:t>
      </w:r>
      <w:r w:rsidR="00E438F7" w:rsidRPr="0070449B">
        <w:rPr>
          <w:rFonts w:ascii="Times New Roman" w:eastAsia="Batang" w:hAnsi="Times New Roman" w:cs="Times New Roman"/>
          <w:noProof/>
          <w:sz w:val="24"/>
          <w:szCs w:val="24"/>
          <w:lang w:val="sq-AL"/>
        </w:rPr>
        <w:t xml:space="preserve"> </w:t>
      </w:r>
      <w:r w:rsidR="00B65A66" w:rsidRPr="00B65A66">
        <w:rPr>
          <w:rFonts w:ascii="Times New Roman" w:eastAsia="Batang" w:hAnsi="Times New Roman" w:cs="Times New Roman"/>
          <w:noProof/>
          <w:sz w:val="24"/>
          <w:szCs w:val="24"/>
          <w:lang w:val="sq-AL"/>
        </w:rPr>
        <w:t>Realizimi i</w:t>
      </w:r>
      <w:r w:rsidR="00B65A66">
        <w:rPr>
          <w:rFonts w:ascii="Times New Roman" w:eastAsia="Batang" w:hAnsi="Times New Roman" w:cs="Times New Roman"/>
          <w:noProof/>
          <w:sz w:val="24"/>
          <w:szCs w:val="24"/>
          <w:lang w:val="sq-AL"/>
        </w:rPr>
        <w:t xml:space="preserve"> suksessh</w:t>
      </w:r>
      <w:r w:rsidR="007F4516">
        <w:rPr>
          <w:rFonts w:ascii="Times New Roman" w:eastAsia="Batang" w:hAnsi="Times New Roman" w:cs="Times New Roman"/>
          <w:noProof/>
          <w:sz w:val="24"/>
          <w:szCs w:val="24"/>
          <w:lang w:val="sq-AL"/>
        </w:rPr>
        <w:t>ë</w:t>
      </w:r>
      <w:r w:rsidR="00B65A66">
        <w:rPr>
          <w:rFonts w:ascii="Times New Roman" w:eastAsia="Batang" w:hAnsi="Times New Roman" w:cs="Times New Roman"/>
          <w:noProof/>
          <w:sz w:val="24"/>
          <w:szCs w:val="24"/>
          <w:lang w:val="sq-AL"/>
        </w:rPr>
        <w:t>m i</w:t>
      </w:r>
      <w:r w:rsidR="00B65A66" w:rsidRPr="00B65A66">
        <w:rPr>
          <w:rFonts w:ascii="Times New Roman" w:eastAsia="Batang" w:hAnsi="Times New Roman" w:cs="Times New Roman"/>
          <w:noProof/>
          <w:sz w:val="24"/>
          <w:szCs w:val="24"/>
          <w:lang w:val="sq-AL"/>
        </w:rPr>
        <w:t xml:space="preserve"> këtij objektivi do pasohej me kosto dhe r</w:t>
      </w:r>
      <w:r w:rsidR="00B65A66">
        <w:rPr>
          <w:rFonts w:ascii="Times New Roman" w:eastAsia="Batang" w:hAnsi="Times New Roman" w:cs="Times New Roman"/>
          <w:noProof/>
          <w:sz w:val="24"/>
          <w:szCs w:val="24"/>
          <w:lang w:val="sq-AL"/>
        </w:rPr>
        <w:t>isqe</w:t>
      </w:r>
      <w:r w:rsidR="00B65A66" w:rsidRPr="00B65A66">
        <w:rPr>
          <w:rFonts w:ascii="Times New Roman" w:eastAsia="Batang" w:hAnsi="Times New Roman" w:cs="Times New Roman"/>
          <w:noProof/>
          <w:sz w:val="24"/>
          <w:szCs w:val="24"/>
          <w:lang w:val="sq-AL"/>
        </w:rPr>
        <w:t xml:space="preserve"> më të ulëta për të gjithë aktorët e tregut, </w:t>
      </w:r>
      <w:r w:rsidR="00B65A66">
        <w:rPr>
          <w:rFonts w:ascii="Times New Roman" w:eastAsia="Batang" w:hAnsi="Times New Roman" w:cs="Times New Roman"/>
          <w:noProof/>
          <w:sz w:val="24"/>
          <w:szCs w:val="24"/>
          <w:lang w:val="sq-AL"/>
        </w:rPr>
        <w:t>duke p</w:t>
      </w:r>
      <w:r w:rsidR="007F4516">
        <w:rPr>
          <w:rFonts w:ascii="Times New Roman" w:eastAsia="Batang" w:hAnsi="Times New Roman" w:cs="Times New Roman"/>
          <w:noProof/>
          <w:sz w:val="24"/>
          <w:szCs w:val="24"/>
          <w:lang w:val="sq-AL"/>
        </w:rPr>
        <w:t>ë</w:t>
      </w:r>
      <w:r w:rsidR="00B65A66">
        <w:rPr>
          <w:rFonts w:ascii="Times New Roman" w:eastAsia="Batang" w:hAnsi="Times New Roman" w:cs="Times New Roman"/>
          <w:noProof/>
          <w:sz w:val="24"/>
          <w:szCs w:val="24"/>
          <w:lang w:val="sq-AL"/>
        </w:rPr>
        <w:t>rfshir</w:t>
      </w:r>
      <w:r w:rsidR="007F4516">
        <w:rPr>
          <w:rFonts w:ascii="Times New Roman" w:eastAsia="Batang" w:hAnsi="Times New Roman" w:cs="Times New Roman"/>
          <w:noProof/>
          <w:sz w:val="24"/>
          <w:szCs w:val="24"/>
          <w:lang w:val="sq-AL"/>
        </w:rPr>
        <w:t>ë</w:t>
      </w:r>
      <w:r w:rsidR="00B65A66" w:rsidRPr="00B65A66">
        <w:rPr>
          <w:rFonts w:ascii="Times New Roman" w:eastAsia="Batang" w:hAnsi="Times New Roman" w:cs="Times New Roman"/>
          <w:noProof/>
          <w:sz w:val="24"/>
          <w:szCs w:val="24"/>
          <w:lang w:val="sq-AL"/>
        </w:rPr>
        <w:t xml:space="preserve"> qeverinë</w:t>
      </w:r>
      <w:r w:rsidR="00B65A66">
        <w:rPr>
          <w:rFonts w:ascii="Times New Roman" w:eastAsia="Batang" w:hAnsi="Times New Roman" w:cs="Times New Roman"/>
          <w:noProof/>
          <w:sz w:val="24"/>
          <w:szCs w:val="24"/>
          <w:lang w:val="sq-AL"/>
        </w:rPr>
        <w:t>,</w:t>
      </w:r>
      <w:r w:rsidR="00B65A66" w:rsidRPr="00B65A66">
        <w:rPr>
          <w:rFonts w:ascii="Times New Roman" w:eastAsia="Batang" w:hAnsi="Times New Roman" w:cs="Times New Roman"/>
          <w:noProof/>
          <w:sz w:val="24"/>
          <w:szCs w:val="24"/>
          <w:lang w:val="sq-AL"/>
        </w:rPr>
        <w:t xml:space="preserve"> </w:t>
      </w:r>
      <w:r w:rsidR="00B65A66">
        <w:rPr>
          <w:rFonts w:ascii="Times New Roman" w:eastAsia="Batang" w:hAnsi="Times New Roman" w:cs="Times New Roman"/>
          <w:noProof/>
          <w:sz w:val="24"/>
          <w:szCs w:val="24"/>
          <w:lang w:val="sq-AL"/>
        </w:rPr>
        <w:t xml:space="preserve">si </w:t>
      </w:r>
      <w:r w:rsidR="00B65A66" w:rsidRPr="00B65A66">
        <w:rPr>
          <w:rFonts w:ascii="Times New Roman" w:eastAsia="Batang" w:hAnsi="Times New Roman" w:cs="Times New Roman"/>
          <w:noProof/>
          <w:sz w:val="24"/>
          <w:szCs w:val="24"/>
          <w:lang w:val="sq-AL"/>
        </w:rPr>
        <w:t>edhe investitorët e titujve shtetërorë.</w:t>
      </w:r>
    </w:p>
    <w:p w14:paraId="71DF5B99" w14:textId="77777777" w:rsidR="009B24CE" w:rsidRDefault="00B65A66" w:rsidP="009001F2">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Pr>
          <w:rFonts w:ascii="Times New Roman" w:eastAsia="Batang" w:hAnsi="Times New Roman" w:cs="Times New Roman"/>
          <w:noProof/>
          <w:sz w:val="24"/>
          <w:szCs w:val="24"/>
          <w:lang w:val="sq-AL"/>
        </w:rPr>
        <w:t>Procesi gjat</w:t>
      </w:r>
      <w:r w:rsidR="007F4516">
        <w:rPr>
          <w:rFonts w:ascii="Times New Roman" w:eastAsia="Batang" w:hAnsi="Times New Roman" w:cs="Times New Roman"/>
          <w:noProof/>
          <w:sz w:val="24"/>
          <w:szCs w:val="24"/>
          <w:lang w:val="sq-AL"/>
        </w:rPr>
        <w:t>ë</w:t>
      </w:r>
      <w:r>
        <w:rPr>
          <w:rFonts w:ascii="Times New Roman" w:eastAsia="Batang" w:hAnsi="Times New Roman" w:cs="Times New Roman"/>
          <w:noProof/>
          <w:sz w:val="24"/>
          <w:szCs w:val="24"/>
          <w:lang w:val="sq-AL"/>
        </w:rPr>
        <w:t xml:space="preserve"> t</w:t>
      </w:r>
      <w:r w:rsidR="007F4516">
        <w:rPr>
          <w:rFonts w:ascii="Times New Roman" w:eastAsia="Batang" w:hAnsi="Times New Roman" w:cs="Times New Roman"/>
          <w:noProof/>
          <w:sz w:val="24"/>
          <w:szCs w:val="24"/>
          <w:lang w:val="sq-AL"/>
        </w:rPr>
        <w:t>ë</w:t>
      </w:r>
      <w:r>
        <w:rPr>
          <w:rFonts w:ascii="Times New Roman" w:eastAsia="Batang" w:hAnsi="Times New Roman" w:cs="Times New Roman"/>
          <w:noProof/>
          <w:sz w:val="24"/>
          <w:szCs w:val="24"/>
          <w:lang w:val="sq-AL"/>
        </w:rPr>
        <w:t xml:space="preserve"> cilit </w:t>
      </w:r>
      <w:r w:rsidR="009001F2">
        <w:rPr>
          <w:rFonts w:ascii="Times New Roman" w:eastAsia="Batang" w:hAnsi="Times New Roman" w:cs="Times New Roman"/>
          <w:noProof/>
          <w:sz w:val="24"/>
          <w:szCs w:val="24"/>
          <w:lang w:val="sq-AL"/>
        </w:rPr>
        <w:t>do t</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 xml:space="preserve"> synohet t</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 xml:space="preserve"> p</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rmbushet ky objektiv do t</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 xml:space="preserve"> shtrihet n</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 xml:space="preserve"> periudh</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n afatmesme dhe afatgjat</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 xml:space="preserve"> dhe do t</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 xml:space="preserve"> kaloj n</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p</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rmjet hallkave t</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 xml:space="preserve"> m</w:t>
      </w:r>
      <w:r w:rsidR="007F4516">
        <w:rPr>
          <w:rFonts w:ascii="Times New Roman" w:eastAsia="Batang" w:hAnsi="Times New Roman" w:cs="Times New Roman"/>
          <w:noProof/>
          <w:sz w:val="24"/>
          <w:szCs w:val="24"/>
          <w:lang w:val="sq-AL"/>
        </w:rPr>
        <w:t>ë</w:t>
      </w:r>
      <w:r w:rsidR="009001F2">
        <w:rPr>
          <w:rFonts w:ascii="Times New Roman" w:eastAsia="Batang" w:hAnsi="Times New Roman" w:cs="Times New Roman"/>
          <w:noProof/>
          <w:sz w:val="24"/>
          <w:szCs w:val="24"/>
          <w:lang w:val="sq-AL"/>
        </w:rPr>
        <w:t>poshtme:</w:t>
      </w:r>
    </w:p>
    <w:p w14:paraId="71DF5B9A" w14:textId="77777777" w:rsidR="009001F2" w:rsidRPr="009001F2" w:rsidRDefault="009001F2" w:rsidP="009001F2">
      <w:pPr>
        <w:autoSpaceDE w:val="0"/>
        <w:autoSpaceDN w:val="0"/>
        <w:adjustRightInd w:val="0"/>
        <w:spacing w:after="0" w:line="276" w:lineRule="auto"/>
        <w:ind w:right="237"/>
        <w:contextualSpacing/>
        <w:jc w:val="both"/>
        <w:rPr>
          <w:rFonts w:ascii="Times New Roman" w:eastAsia="Batang" w:hAnsi="Times New Roman" w:cs="Times New Roman"/>
          <w:noProof/>
          <w:sz w:val="16"/>
          <w:szCs w:val="24"/>
          <w:lang w:val="sq-AL"/>
        </w:rPr>
      </w:pPr>
    </w:p>
    <w:p w14:paraId="71DF5B9B" w14:textId="77777777" w:rsidR="009D308A" w:rsidRPr="0070449B" w:rsidRDefault="006876DD"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rPr>
      </w:pPr>
      <w:r w:rsidRPr="0070449B">
        <w:rPr>
          <w:rFonts w:ascii="Times New Roman" w:eastAsia="Batang" w:hAnsi="Times New Roman" w:cs="Times New Roman"/>
          <w:noProof/>
          <w:sz w:val="24"/>
          <w:szCs w:val="24"/>
        </w:rPr>
        <w:t>Z</w:t>
      </w:r>
      <w:r w:rsidR="00B44AF8" w:rsidRPr="0070449B">
        <w:rPr>
          <w:rFonts w:ascii="Times New Roman" w:eastAsia="Batang" w:hAnsi="Times New Roman" w:cs="Times New Roman"/>
          <w:noProof/>
          <w:sz w:val="24"/>
          <w:szCs w:val="24"/>
        </w:rPr>
        <w:t>hvillimi</w:t>
      </w:r>
      <w:r w:rsidR="009001F2">
        <w:rPr>
          <w:rFonts w:ascii="Times New Roman" w:eastAsia="Batang" w:hAnsi="Times New Roman" w:cs="Times New Roman"/>
          <w:noProof/>
          <w:sz w:val="24"/>
          <w:szCs w:val="24"/>
        </w:rPr>
        <w:t>t</w:t>
      </w:r>
      <w:r w:rsidR="00B44AF8" w:rsidRPr="0070449B">
        <w:rPr>
          <w:rFonts w:ascii="Times New Roman" w:eastAsia="Batang" w:hAnsi="Times New Roman" w:cs="Times New Roman"/>
          <w:noProof/>
          <w:sz w:val="24"/>
          <w:szCs w:val="24"/>
        </w:rPr>
        <w:t xml:space="preserve"> </w:t>
      </w:r>
      <w:r w:rsidR="009001F2">
        <w:rPr>
          <w:rFonts w:ascii="Times New Roman" w:eastAsia="Batang" w:hAnsi="Times New Roman" w:cs="Times New Roman"/>
          <w:noProof/>
          <w:sz w:val="24"/>
          <w:szCs w:val="24"/>
        </w:rPr>
        <w:t>t</w:t>
      </w:r>
      <w:r w:rsidR="007F4516">
        <w:rPr>
          <w:rFonts w:ascii="Times New Roman" w:eastAsia="Batang" w:hAnsi="Times New Roman" w:cs="Times New Roman"/>
          <w:noProof/>
          <w:sz w:val="24"/>
          <w:szCs w:val="24"/>
        </w:rPr>
        <w:t>ë</w:t>
      </w:r>
      <w:r w:rsidR="00B44AF8" w:rsidRPr="0070449B">
        <w:rPr>
          <w:rFonts w:ascii="Times New Roman" w:eastAsia="Batang" w:hAnsi="Times New Roman" w:cs="Times New Roman"/>
          <w:noProof/>
          <w:sz w:val="24"/>
          <w:szCs w:val="24"/>
        </w:rPr>
        <w:t xml:space="preserve"> kurbës së yield-</w:t>
      </w:r>
      <w:r w:rsidR="009001F2">
        <w:rPr>
          <w:rFonts w:ascii="Times New Roman" w:eastAsia="Batang" w:hAnsi="Times New Roman" w:cs="Times New Roman"/>
          <w:noProof/>
          <w:sz w:val="24"/>
          <w:szCs w:val="24"/>
        </w:rPr>
        <w:t>ve</w:t>
      </w:r>
      <w:r w:rsidR="00B44AF8" w:rsidRPr="0070449B">
        <w:rPr>
          <w:rFonts w:ascii="Times New Roman" w:eastAsia="Batang" w:hAnsi="Times New Roman" w:cs="Times New Roman"/>
          <w:noProof/>
          <w:sz w:val="24"/>
          <w:szCs w:val="24"/>
        </w:rPr>
        <w:t xml:space="preserve"> në drejtim të titujve shtetërorë afatmesëm dhe afatgjatë nëpërmjet </w:t>
      </w:r>
      <w:r w:rsidRPr="0070449B">
        <w:rPr>
          <w:rFonts w:ascii="Times New Roman" w:eastAsia="Batang" w:hAnsi="Times New Roman" w:cs="Times New Roman"/>
          <w:noProof/>
          <w:sz w:val="24"/>
          <w:szCs w:val="24"/>
        </w:rPr>
        <w:t xml:space="preserve">krijimit </w:t>
      </w:r>
      <w:r w:rsidR="00290F4E">
        <w:rPr>
          <w:rFonts w:ascii="Times New Roman" w:eastAsia="Batang" w:hAnsi="Times New Roman" w:cs="Times New Roman"/>
          <w:noProof/>
          <w:sz w:val="24"/>
          <w:szCs w:val="24"/>
        </w:rPr>
        <w:t xml:space="preserve">dhe konsolidimit </w:t>
      </w:r>
      <w:r w:rsidRPr="0070449B">
        <w:rPr>
          <w:rFonts w:ascii="Times New Roman" w:eastAsia="Batang" w:hAnsi="Times New Roman" w:cs="Times New Roman"/>
          <w:noProof/>
          <w:sz w:val="24"/>
          <w:szCs w:val="24"/>
        </w:rPr>
        <w:t xml:space="preserve">të madhësive </w:t>
      </w:r>
      <w:r w:rsidRPr="0070449B">
        <w:rPr>
          <w:rFonts w:ascii="Times New Roman" w:eastAsia="Batang" w:hAnsi="Times New Roman" w:cs="Times New Roman"/>
          <w:i/>
          <w:noProof/>
          <w:sz w:val="24"/>
          <w:szCs w:val="24"/>
        </w:rPr>
        <w:t>benchmark</w:t>
      </w:r>
      <w:r w:rsidR="00290F4E">
        <w:rPr>
          <w:rFonts w:ascii="Times New Roman" w:eastAsia="Batang" w:hAnsi="Times New Roman" w:cs="Times New Roman"/>
          <w:i/>
          <w:noProof/>
          <w:sz w:val="24"/>
          <w:szCs w:val="24"/>
        </w:rPr>
        <w:t xml:space="preserve">, </w:t>
      </w:r>
      <w:r w:rsidR="00290F4E" w:rsidRPr="00290F4E">
        <w:rPr>
          <w:rFonts w:ascii="Times New Roman" w:eastAsia="Batang" w:hAnsi="Times New Roman" w:cs="Times New Roman"/>
          <w:noProof/>
          <w:sz w:val="24"/>
          <w:szCs w:val="24"/>
        </w:rPr>
        <w:t>si</w:t>
      </w:r>
      <w:r w:rsidR="00CC7A81" w:rsidRPr="00290F4E">
        <w:rPr>
          <w:rFonts w:ascii="Times New Roman" w:eastAsia="Batang" w:hAnsi="Times New Roman" w:cs="Times New Roman"/>
          <w:noProof/>
          <w:sz w:val="24"/>
          <w:szCs w:val="24"/>
        </w:rPr>
        <w:t xml:space="preserve"> </w:t>
      </w:r>
      <w:r w:rsidR="00290F4E">
        <w:rPr>
          <w:rFonts w:ascii="Times New Roman" w:eastAsia="Batang" w:hAnsi="Times New Roman" w:cs="Times New Roman"/>
          <w:noProof/>
          <w:sz w:val="24"/>
          <w:szCs w:val="24"/>
        </w:rPr>
        <w:t>e</w:t>
      </w:r>
      <w:r w:rsidR="00CC7A81" w:rsidRPr="0070449B">
        <w:rPr>
          <w:rFonts w:ascii="Times New Roman" w:eastAsia="Batang" w:hAnsi="Times New Roman" w:cs="Times New Roman"/>
          <w:noProof/>
          <w:sz w:val="24"/>
          <w:szCs w:val="24"/>
        </w:rPr>
        <w:t>dhe reduktimit të fragmentimit të kërkesës</w:t>
      </w:r>
      <w:r w:rsidR="00B44AF8" w:rsidRPr="0070449B">
        <w:rPr>
          <w:rFonts w:ascii="Times New Roman" w:eastAsia="Batang" w:hAnsi="Times New Roman" w:cs="Times New Roman"/>
          <w:noProof/>
          <w:sz w:val="24"/>
          <w:szCs w:val="24"/>
        </w:rPr>
        <w:t>;</w:t>
      </w:r>
    </w:p>
    <w:p w14:paraId="71DF5B9C" w14:textId="77777777" w:rsidR="009D308A" w:rsidRPr="0070449B" w:rsidRDefault="006876DD"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rPr>
      </w:pPr>
      <w:r w:rsidRPr="0070449B">
        <w:rPr>
          <w:rFonts w:ascii="Times New Roman" w:eastAsia="Batang" w:hAnsi="Times New Roman" w:cs="Times New Roman"/>
          <w:noProof/>
          <w:sz w:val="24"/>
          <w:szCs w:val="24"/>
        </w:rPr>
        <w:t>Përshtatje</w:t>
      </w:r>
      <w:r w:rsidR="009001F2">
        <w:rPr>
          <w:rFonts w:ascii="Times New Roman" w:eastAsia="Batang" w:hAnsi="Times New Roman" w:cs="Times New Roman"/>
          <w:noProof/>
          <w:sz w:val="24"/>
          <w:szCs w:val="24"/>
        </w:rPr>
        <w:t>s</w:t>
      </w:r>
      <w:r w:rsidRPr="0070449B">
        <w:rPr>
          <w:rFonts w:ascii="Times New Roman" w:eastAsia="Batang" w:hAnsi="Times New Roman" w:cs="Times New Roman"/>
          <w:noProof/>
          <w:sz w:val="24"/>
          <w:szCs w:val="24"/>
        </w:rPr>
        <w:t xml:space="preserve"> </w:t>
      </w:r>
      <w:r w:rsidR="009001F2">
        <w:rPr>
          <w:rFonts w:ascii="Times New Roman" w:eastAsia="Batang" w:hAnsi="Times New Roman" w:cs="Times New Roman"/>
          <w:noProof/>
          <w:sz w:val="24"/>
          <w:szCs w:val="24"/>
        </w:rPr>
        <w:t>s</w:t>
      </w:r>
      <w:r w:rsidR="007F4516">
        <w:rPr>
          <w:rFonts w:ascii="Times New Roman" w:eastAsia="Batang" w:hAnsi="Times New Roman" w:cs="Times New Roman"/>
          <w:noProof/>
          <w:sz w:val="24"/>
          <w:szCs w:val="24"/>
        </w:rPr>
        <w:t>ë</w:t>
      </w:r>
      <w:r w:rsidRPr="0070449B">
        <w:rPr>
          <w:rFonts w:ascii="Times New Roman" w:eastAsia="Batang" w:hAnsi="Times New Roman" w:cs="Times New Roman"/>
          <w:noProof/>
          <w:sz w:val="24"/>
          <w:szCs w:val="24"/>
        </w:rPr>
        <w:t xml:space="preserve"> politikave të huamarrjes (përfshirë shitjen, parablerjen dhe shkëmbimin e titujve shtetërorë) me kushtet e tregut dhe kërkesën për tituj të caktuar; </w:t>
      </w:r>
    </w:p>
    <w:p w14:paraId="71DF5B9D" w14:textId="77777777" w:rsidR="009D308A" w:rsidRPr="0070449B" w:rsidRDefault="009B24CE"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rPr>
      </w:pPr>
      <w:r w:rsidRPr="0070449B">
        <w:rPr>
          <w:rFonts w:ascii="Times New Roman" w:eastAsia="Batang" w:hAnsi="Times New Roman" w:cs="Times New Roman"/>
          <w:noProof/>
          <w:sz w:val="24"/>
          <w:szCs w:val="24"/>
        </w:rPr>
        <w:t>Rritje</w:t>
      </w:r>
      <w:r w:rsidR="009001F2">
        <w:rPr>
          <w:rFonts w:ascii="Times New Roman" w:eastAsia="Batang" w:hAnsi="Times New Roman" w:cs="Times New Roman"/>
          <w:noProof/>
          <w:sz w:val="24"/>
          <w:szCs w:val="24"/>
        </w:rPr>
        <w:t>s</w:t>
      </w:r>
      <w:r w:rsidRPr="0070449B">
        <w:rPr>
          <w:rFonts w:ascii="Times New Roman" w:eastAsia="Batang" w:hAnsi="Times New Roman" w:cs="Times New Roman"/>
          <w:noProof/>
          <w:sz w:val="24"/>
          <w:szCs w:val="24"/>
        </w:rPr>
        <w:t xml:space="preserve"> </w:t>
      </w:r>
      <w:r w:rsidR="009001F2">
        <w:rPr>
          <w:rFonts w:ascii="Times New Roman" w:eastAsia="Batang" w:hAnsi="Times New Roman" w:cs="Times New Roman"/>
          <w:noProof/>
          <w:sz w:val="24"/>
          <w:szCs w:val="24"/>
        </w:rPr>
        <w:t>s</w:t>
      </w:r>
      <w:r w:rsidR="007F4516">
        <w:rPr>
          <w:rFonts w:ascii="Times New Roman" w:eastAsia="Batang" w:hAnsi="Times New Roman" w:cs="Times New Roman"/>
          <w:noProof/>
          <w:sz w:val="24"/>
          <w:szCs w:val="24"/>
        </w:rPr>
        <w:t>ë</w:t>
      </w:r>
      <w:r w:rsidRPr="0070449B">
        <w:rPr>
          <w:rFonts w:ascii="Times New Roman" w:eastAsia="Batang" w:hAnsi="Times New Roman" w:cs="Times New Roman"/>
          <w:noProof/>
          <w:sz w:val="24"/>
          <w:szCs w:val="24"/>
        </w:rPr>
        <w:t xml:space="preserve"> transparencës nëpërmjet konsultimit të vazhdueshëm me aktorët kryesorë të tregut dhe raportimit e publikimit </w:t>
      </w:r>
      <w:r w:rsidR="00E74F9F">
        <w:rPr>
          <w:rFonts w:ascii="Times New Roman" w:eastAsia="Batang" w:hAnsi="Times New Roman" w:cs="Times New Roman"/>
          <w:noProof/>
          <w:sz w:val="24"/>
          <w:szCs w:val="24"/>
        </w:rPr>
        <w:t xml:space="preserve">në kohë </w:t>
      </w:r>
      <w:r w:rsidRPr="0070449B">
        <w:rPr>
          <w:rFonts w:ascii="Times New Roman" w:eastAsia="Batang" w:hAnsi="Times New Roman" w:cs="Times New Roman"/>
          <w:noProof/>
          <w:sz w:val="24"/>
          <w:szCs w:val="24"/>
        </w:rPr>
        <w:t xml:space="preserve">të </w:t>
      </w:r>
      <w:r w:rsidR="00E74F9F">
        <w:rPr>
          <w:rFonts w:ascii="Times New Roman" w:eastAsia="Batang" w:hAnsi="Times New Roman" w:cs="Times New Roman"/>
          <w:noProof/>
          <w:sz w:val="24"/>
          <w:szCs w:val="24"/>
        </w:rPr>
        <w:t>rezultateve të ankandeve të titujve shtetërorë</w:t>
      </w:r>
      <w:r w:rsidRPr="0070449B">
        <w:rPr>
          <w:rFonts w:ascii="Times New Roman" w:eastAsia="Batang" w:hAnsi="Times New Roman" w:cs="Times New Roman"/>
          <w:noProof/>
          <w:sz w:val="24"/>
          <w:szCs w:val="24"/>
        </w:rPr>
        <w:t>;</w:t>
      </w:r>
    </w:p>
    <w:p w14:paraId="71DF5B9E" w14:textId="77777777" w:rsidR="009D308A" w:rsidRPr="0070449B" w:rsidRDefault="007E4CA3"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rPr>
      </w:pPr>
      <w:r w:rsidRPr="0070449B">
        <w:rPr>
          <w:rFonts w:ascii="Times New Roman" w:eastAsia="Batang" w:hAnsi="Times New Roman" w:cs="Times New Roman"/>
          <w:noProof/>
          <w:sz w:val="24"/>
          <w:szCs w:val="24"/>
        </w:rPr>
        <w:t>Përmirësimi</w:t>
      </w:r>
      <w:r w:rsidR="009001F2">
        <w:rPr>
          <w:rFonts w:ascii="Times New Roman" w:eastAsia="Batang" w:hAnsi="Times New Roman" w:cs="Times New Roman"/>
          <w:noProof/>
          <w:sz w:val="24"/>
          <w:szCs w:val="24"/>
        </w:rPr>
        <w:t>t</w:t>
      </w:r>
      <w:r w:rsidRPr="0070449B">
        <w:rPr>
          <w:rFonts w:ascii="Times New Roman" w:eastAsia="Batang" w:hAnsi="Times New Roman" w:cs="Times New Roman"/>
          <w:noProof/>
          <w:sz w:val="24"/>
          <w:szCs w:val="24"/>
        </w:rPr>
        <w:t xml:space="preserve"> </w:t>
      </w:r>
      <w:r w:rsidR="009001F2">
        <w:rPr>
          <w:rFonts w:ascii="Times New Roman" w:eastAsia="Batang" w:hAnsi="Times New Roman" w:cs="Times New Roman"/>
          <w:noProof/>
          <w:sz w:val="24"/>
          <w:szCs w:val="24"/>
        </w:rPr>
        <w:t>t</w:t>
      </w:r>
      <w:r w:rsidR="007F4516">
        <w:rPr>
          <w:rFonts w:ascii="Times New Roman" w:eastAsia="Batang" w:hAnsi="Times New Roman" w:cs="Times New Roman"/>
          <w:noProof/>
          <w:sz w:val="24"/>
          <w:szCs w:val="24"/>
        </w:rPr>
        <w:t>ë</w:t>
      </w:r>
      <w:r w:rsidR="009001F2">
        <w:rPr>
          <w:rFonts w:ascii="Times New Roman" w:eastAsia="Batang" w:hAnsi="Times New Roman" w:cs="Times New Roman"/>
          <w:noProof/>
          <w:sz w:val="24"/>
          <w:szCs w:val="24"/>
        </w:rPr>
        <w:t xml:space="preserve"> m</w:t>
      </w:r>
      <w:r w:rsidR="007F4516">
        <w:rPr>
          <w:rFonts w:ascii="Times New Roman" w:eastAsia="Batang" w:hAnsi="Times New Roman" w:cs="Times New Roman"/>
          <w:noProof/>
          <w:sz w:val="24"/>
          <w:szCs w:val="24"/>
        </w:rPr>
        <w:t>ë</w:t>
      </w:r>
      <w:r w:rsidR="009001F2">
        <w:rPr>
          <w:rFonts w:ascii="Times New Roman" w:eastAsia="Batang" w:hAnsi="Times New Roman" w:cs="Times New Roman"/>
          <w:noProof/>
          <w:sz w:val="24"/>
          <w:szCs w:val="24"/>
        </w:rPr>
        <w:t>tejsh</w:t>
      </w:r>
      <w:r w:rsidR="007F4516">
        <w:rPr>
          <w:rFonts w:ascii="Times New Roman" w:eastAsia="Batang" w:hAnsi="Times New Roman" w:cs="Times New Roman"/>
          <w:noProof/>
          <w:sz w:val="24"/>
          <w:szCs w:val="24"/>
        </w:rPr>
        <w:t>ë</w:t>
      </w:r>
      <w:r w:rsidR="009001F2">
        <w:rPr>
          <w:rFonts w:ascii="Times New Roman" w:eastAsia="Batang" w:hAnsi="Times New Roman" w:cs="Times New Roman"/>
          <w:noProof/>
          <w:sz w:val="24"/>
          <w:szCs w:val="24"/>
        </w:rPr>
        <w:t>m t</w:t>
      </w:r>
      <w:r w:rsidR="007F4516">
        <w:rPr>
          <w:rFonts w:ascii="Times New Roman" w:eastAsia="Batang" w:hAnsi="Times New Roman" w:cs="Times New Roman"/>
          <w:noProof/>
          <w:sz w:val="24"/>
          <w:szCs w:val="24"/>
        </w:rPr>
        <w:t>ë</w:t>
      </w:r>
      <w:r w:rsidRPr="0070449B">
        <w:rPr>
          <w:rFonts w:ascii="Times New Roman" w:eastAsia="Batang" w:hAnsi="Times New Roman" w:cs="Times New Roman"/>
          <w:noProof/>
          <w:sz w:val="24"/>
          <w:szCs w:val="24"/>
        </w:rPr>
        <w:t xml:space="preserve"> kuadrit ligjor dhe rregullator</w:t>
      </w:r>
      <w:r w:rsidR="006904DD" w:rsidRPr="0070449B">
        <w:rPr>
          <w:rFonts w:ascii="Times New Roman" w:eastAsia="Batang" w:hAnsi="Times New Roman" w:cs="Times New Roman"/>
          <w:noProof/>
          <w:sz w:val="24"/>
          <w:szCs w:val="24"/>
        </w:rPr>
        <w:t xml:space="preserve"> për emetimin e titujve shtetërorë</w:t>
      </w:r>
      <w:r w:rsidRPr="0070449B">
        <w:rPr>
          <w:rFonts w:ascii="Times New Roman" w:eastAsia="Batang" w:hAnsi="Times New Roman" w:cs="Times New Roman"/>
          <w:noProof/>
          <w:sz w:val="24"/>
          <w:szCs w:val="24"/>
        </w:rPr>
        <w:t>;</w:t>
      </w:r>
    </w:p>
    <w:p w14:paraId="71DF5B9F" w14:textId="77777777" w:rsidR="009568E5" w:rsidRPr="0070449B" w:rsidRDefault="009B24CE" w:rsidP="007C5DFA">
      <w:pPr>
        <w:numPr>
          <w:ilvl w:val="0"/>
          <w:numId w:val="2"/>
        </w:numPr>
        <w:autoSpaceDE w:val="0"/>
        <w:autoSpaceDN w:val="0"/>
        <w:adjustRightInd w:val="0"/>
        <w:spacing w:after="0" w:line="276" w:lineRule="auto"/>
        <w:ind w:left="284" w:right="237" w:hanging="284"/>
        <w:contextualSpacing/>
        <w:jc w:val="both"/>
        <w:rPr>
          <w:rFonts w:ascii="Times New Roman" w:eastAsia="Batang" w:hAnsi="Times New Roman" w:cs="Times New Roman"/>
          <w:noProof/>
          <w:sz w:val="24"/>
          <w:szCs w:val="24"/>
        </w:rPr>
      </w:pPr>
      <w:r w:rsidRPr="0070449B">
        <w:rPr>
          <w:rFonts w:ascii="Times New Roman" w:eastAsia="Batang" w:hAnsi="Times New Roman" w:cs="Times New Roman"/>
          <w:noProof/>
          <w:sz w:val="24"/>
          <w:szCs w:val="24"/>
        </w:rPr>
        <w:t>Diversifikimi</w:t>
      </w:r>
      <w:r w:rsidR="009001F2">
        <w:rPr>
          <w:rFonts w:ascii="Times New Roman" w:eastAsia="Batang" w:hAnsi="Times New Roman" w:cs="Times New Roman"/>
          <w:noProof/>
          <w:sz w:val="24"/>
          <w:szCs w:val="24"/>
        </w:rPr>
        <w:t>t</w:t>
      </w:r>
      <w:r w:rsidRPr="0070449B">
        <w:rPr>
          <w:rFonts w:ascii="Times New Roman" w:eastAsia="Batang" w:hAnsi="Times New Roman" w:cs="Times New Roman"/>
          <w:noProof/>
          <w:sz w:val="24"/>
          <w:szCs w:val="24"/>
        </w:rPr>
        <w:t xml:space="preserve"> dhe zgjerimi</w:t>
      </w:r>
      <w:r w:rsidR="009001F2">
        <w:rPr>
          <w:rFonts w:ascii="Times New Roman" w:eastAsia="Batang" w:hAnsi="Times New Roman" w:cs="Times New Roman"/>
          <w:noProof/>
          <w:sz w:val="24"/>
          <w:szCs w:val="24"/>
        </w:rPr>
        <w:t>t</w:t>
      </w:r>
      <w:r w:rsidRPr="0070449B">
        <w:rPr>
          <w:rFonts w:ascii="Times New Roman" w:eastAsia="Batang" w:hAnsi="Times New Roman" w:cs="Times New Roman"/>
          <w:noProof/>
          <w:sz w:val="24"/>
          <w:szCs w:val="24"/>
        </w:rPr>
        <w:t xml:space="preserve"> </w:t>
      </w:r>
      <w:r w:rsidR="009001F2">
        <w:rPr>
          <w:rFonts w:ascii="Times New Roman" w:eastAsia="Batang" w:hAnsi="Times New Roman" w:cs="Times New Roman"/>
          <w:noProof/>
          <w:sz w:val="24"/>
          <w:szCs w:val="24"/>
        </w:rPr>
        <w:t>t</w:t>
      </w:r>
      <w:r w:rsidR="007F4516">
        <w:rPr>
          <w:rFonts w:ascii="Times New Roman" w:eastAsia="Batang" w:hAnsi="Times New Roman" w:cs="Times New Roman"/>
          <w:noProof/>
          <w:sz w:val="24"/>
          <w:szCs w:val="24"/>
        </w:rPr>
        <w:t>ë</w:t>
      </w:r>
      <w:r w:rsidRPr="0070449B">
        <w:rPr>
          <w:rFonts w:ascii="Times New Roman" w:eastAsia="Batang" w:hAnsi="Times New Roman" w:cs="Times New Roman"/>
          <w:noProof/>
          <w:sz w:val="24"/>
          <w:szCs w:val="24"/>
        </w:rPr>
        <w:t xml:space="preserve"> bazës së investitorëve.</w:t>
      </w:r>
    </w:p>
    <w:p w14:paraId="71DF5BA0" w14:textId="77777777" w:rsidR="006B3A7E" w:rsidRPr="0070449B" w:rsidRDefault="006B3A7E" w:rsidP="00291349">
      <w:pPr>
        <w:tabs>
          <w:tab w:val="left" w:pos="284"/>
          <w:tab w:val="left" w:pos="2730"/>
        </w:tabs>
        <w:spacing w:after="0" w:line="276" w:lineRule="auto"/>
        <w:ind w:left="270" w:right="237"/>
        <w:contextualSpacing/>
        <w:jc w:val="both"/>
        <w:rPr>
          <w:rFonts w:ascii="Times New Roman" w:eastAsia="Times New Roman" w:hAnsi="Times New Roman" w:cs="Times New Roman"/>
          <w:bCs/>
          <w:noProof/>
          <w:sz w:val="24"/>
          <w:szCs w:val="28"/>
          <w:lang w:val="sq-AL"/>
        </w:rPr>
      </w:pPr>
    </w:p>
    <w:p w14:paraId="71DF5BA1" w14:textId="77777777" w:rsidR="00CC7A81" w:rsidRPr="0070449B" w:rsidRDefault="00CC7A81" w:rsidP="00291349">
      <w:pPr>
        <w:autoSpaceDE w:val="0"/>
        <w:autoSpaceDN w:val="0"/>
        <w:adjustRightInd w:val="0"/>
        <w:spacing w:after="0" w:line="276" w:lineRule="auto"/>
        <w:ind w:right="237"/>
        <w:contextualSpacing/>
        <w:jc w:val="both"/>
        <w:rPr>
          <w:rFonts w:ascii="Times New Roman" w:eastAsia="Batang" w:hAnsi="Times New Roman" w:cs="Times New Roman"/>
          <w:noProof/>
          <w:color w:val="FF0000"/>
          <w:sz w:val="24"/>
          <w:szCs w:val="24"/>
          <w:lang w:val="sq-AL"/>
        </w:rPr>
      </w:pPr>
    </w:p>
    <w:p w14:paraId="71DF5BA2"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3"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4"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5"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6"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7"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8"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9" w14:textId="77777777" w:rsidR="002D5DCA" w:rsidRPr="0070449B" w:rsidRDefault="002D5DC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A" w14:textId="77777777" w:rsidR="00B65D13" w:rsidRPr="0070449B" w:rsidRDefault="00B65D13"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B" w14:textId="77777777" w:rsidR="00B65D13" w:rsidRPr="0070449B" w:rsidRDefault="00B65D13"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C" w14:textId="77777777" w:rsidR="00B65D13" w:rsidRPr="0070449B" w:rsidRDefault="00B65D13"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D" w14:textId="77777777" w:rsidR="00B65D13" w:rsidRPr="0070449B" w:rsidRDefault="00B65D13"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E" w14:textId="77777777" w:rsidR="00B65D13" w:rsidRPr="0070449B" w:rsidRDefault="00B65D13"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AF" w14:textId="77777777" w:rsidR="00B65D13" w:rsidRPr="0070449B" w:rsidRDefault="00B65D13"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B0" w14:textId="77777777" w:rsidR="006E4D8A" w:rsidRPr="0070449B" w:rsidRDefault="006E4D8A" w:rsidP="00291349">
      <w:pPr>
        <w:autoSpaceDE w:val="0"/>
        <w:autoSpaceDN w:val="0"/>
        <w:adjustRightInd w:val="0"/>
        <w:spacing w:after="0" w:line="276" w:lineRule="auto"/>
        <w:ind w:left="284" w:right="237"/>
        <w:contextualSpacing/>
        <w:jc w:val="both"/>
        <w:rPr>
          <w:rFonts w:ascii="Times New Roman" w:eastAsia="Batang" w:hAnsi="Times New Roman" w:cs="Times New Roman"/>
          <w:noProof/>
          <w:color w:val="FF0000"/>
          <w:sz w:val="24"/>
          <w:szCs w:val="24"/>
          <w:lang w:val="sq-AL"/>
        </w:rPr>
      </w:pPr>
    </w:p>
    <w:p w14:paraId="71DF5BB1" w14:textId="77777777" w:rsidR="00291349" w:rsidRPr="0070449B" w:rsidRDefault="00291349" w:rsidP="00291349">
      <w:pPr>
        <w:autoSpaceDE w:val="0"/>
        <w:autoSpaceDN w:val="0"/>
        <w:adjustRightInd w:val="0"/>
        <w:spacing w:after="0" w:line="276" w:lineRule="auto"/>
        <w:ind w:right="237"/>
        <w:contextualSpacing/>
        <w:jc w:val="both"/>
        <w:rPr>
          <w:rFonts w:ascii="Times New Roman" w:eastAsia="Batang" w:hAnsi="Times New Roman" w:cs="Times New Roman"/>
          <w:noProof/>
          <w:color w:val="FF0000"/>
          <w:sz w:val="24"/>
          <w:szCs w:val="24"/>
          <w:lang w:val="sq-AL"/>
        </w:rPr>
      </w:pPr>
    </w:p>
    <w:p w14:paraId="71DF5BB2" w14:textId="77777777" w:rsidR="00B52EE6" w:rsidRPr="0070449B" w:rsidRDefault="00B77A2D" w:rsidP="00291349">
      <w:pPr>
        <w:keepNext/>
        <w:keepLines/>
        <w:spacing w:after="0" w:line="276" w:lineRule="auto"/>
        <w:jc w:val="center"/>
        <w:outlineLvl w:val="0"/>
        <w:rPr>
          <w:rFonts w:ascii="Cambria" w:eastAsiaTheme="majorEastAsia" w:hAnsi="Cambria" w:cstheme="majorBidi"/>
          <w:b/>
          <w:noProof/>
          <w:color w:val="C00000"/>
          <w:sz w:val="16"/>
          <w:szCs w:val="16"/>
          <w:lang w:val="sq-AL"/>
        </w:rPr>
      </w:pPr>
      <w:bookmarkStart w:id="2" w:name="_Toc524506526"/>
      <w:r w:rsidRPr="0070449B">
        <w:rPr>
          <w:rFonts w:ascii="Cambria" w:eastAsiaTheme="majorEastAsia" w:hAnsi="Cambria" w:cstheme="majorBidi"/>
          <w:b/>
          <w:noProof/>
          <w:color w:val="C00000"/>
          <w:sz w:val="24"/>
          <w:szCs w:val="32"/>
          <w:lang w:val="sq-AL"/>
        </w:rPr>
        <w:lastRenderedPageBreak/>
        <w:t xml:space="preserve">MENAXHIMI I BORXHIT </w:t>
      </w:r>
      <w:bookmarkEnd w:id="2"/>
    </w:p>
    <w:p w14:paraId="71DF5BB3" w14:textId="77777777" w:rsidR="00801275" w:rsidRPr="0070449B" w:rsidRDefault="00801275"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B4" w14:textId="77777777" w:rsidR="00B77A2D" w:rsidRPr="0070449B" w:rsidRDefault="00B77A2D"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 xml:space="preserve">Borxhi </w:t>
      </w:r>
      <w:r w:rsidR="009C0CA6" w:rsidRPr="0070449B">
        <w:rPr>
          <w:rFonts w:ascii="Times New Roman" w:eastAsia="Batang" w:hAnsi="Times New Roman" w:cs="Times New Roman"/>
          <w:noProof/>
          <w:sz w:val="24"/>
          <w:szCs w:val="24"/>
          <w:lang w:val="sq-AL"/>
        </w:rPr>
        <w:t>i Qeverisjes Qendrore</w:t>
      </w:r>
      <w:r w:rsidR="00801275" w:rsidRPr="0070449B">
        <w:rPr>
          <w:rFonts w:ascii="Times New Roman" w:eastAsia="Batang" w:hAnsi="Times New Roman" w:cs="Times New Roman"/>
          <w:noProof/>
          <w:sz w:val="24"/>
          <w:szCs w:val="24"/>
          <w:lang w:val="sq-AL"/>
        </w:rPr>
        <w:t xml:space="preserve"> gjatë viteve t</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 xml:space="preserve"> fundit</w:t>
      </w:r>
      <w:r w:rsidRPr="0070449B">
        <w:rPr>
          <w:rFonts w:ascii="Times New Roman" w:eastAsia="Batang" w:hAnsi="Times New Roman" w:cs="Times New Roman"/>
          <w:noProof/>
          <w:sz w:val="24"/>
          <w:szCs w:val="24"/>
          <w:lang w:val="sq-AL"/>
        </w:rPr>
        <w:t xml:space="preserve"> përgjithësisht</w:t>
      </w:r>
      <w:r w:rsidR="00801275" w:rsidRPr="0070449B">
        <w:rPr>
          <w:rFonts w:ascii="Times New Roman" w:eastAsia="Batang" w:hAnsi="Times New Roman" w:cs="Times New Roman"/>
          <w:noProof/>
          <w:sz w:val="24"/>
          <w:szCs w:val="24"/>
          <w:lang w:val="sq-AL"/>
        </w:rPr>
        <w:t xml:space="preserve"> </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sht</w:t>
      </w:r>
      <w:r w:rsidR="00DC648E"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karakterizua</w:t>
      </w:r>
      <w:r w:rsidR="00801275" w:rsidRPr="0070449B">
        <w:rPr>
          <w:rFonts w:ascii="Times New Roman" w:eastAsia="Batang" w:hAnsi="Times New Roman" w:cs="Times New Roman"/>
          <w:noProof/>
          <w:sz w:val="24"/>
          <w:szCs w:val="24"/>
          <w:lang w:val="sq-AL"/>
        </w:rPr>
        <w:t>r</w:t>
      </w:r>
      <w:r w:rsidRPr="0070449B">
        <w:rPr>
          <w:rFonts w:ascii="Times New Roman" w:eastAsia="Batang" w:hAnsi="Times New Roman" w:cs="Times New Roman"/>
          <w:noProof/>
          <w:sz w:val="24"/>
          <w:szCs w:val="24"/>
          <w:lang w:val="sq-AL"/>
        </w:rPr>
        <w:t xml:space="preserve"> nga një ecuri pozitive, duke qenë në </w:t>
      </w:r>
      <w:r w:rsidR="00801275" w:rsidRPr="0070449B">
        <w:rPr>
          <w:rFonts w:ascii="Times New Roman" w:eastAsia="Batang" w:hAnsi="Times New Roman" w:cs="Times New Roman"/>
          <w:noProof/>
          <w:sz w:val="24"/>
          <w:szCs w:val="24"/>
          <w:lang w:val="sq-AL"/>
        </w:rPr>
        <w:t>linj</w:t>
      </w:r>
      <w:r w:rsidR="00DC648E"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me objektivat </w:t>
      </w:r>
      <w:r w:rsidR="00937F4E" w:rsidRPr="0070449B">
        <w:rPr>
          <w:rFonts w:ascii="Times New Roman" w:eastAsia="Batang" w:hAnsi="Times New Roman" w:cs="Times New Roman"/>
          <w:noProof/>
          <w:sz w:val="24"/>
          <w:szCs w:val="24"/>
          <w:lang w:val="sq-AL"/>
        </w:rPr>
        <w:t>m</w:t>
      </w:r>
      <w:r w:rsidRPr="0070449B">
        <w:rPr>
          <w:rFonts w:ascii="Times New Roman" w:eastAsia="Batang" w:hAnsi="Times New Roman" w:cs="Times New Roman"/>
          <w:noProof/>
          <w:sz w:val="24"/>
          <w:szCs w:val="24"/>
          <w:lang w:val="sq-AL"/>
        </w:rPr>
        <w:t>akro-</w:t>
      </w:r>
      <w:r w:rsidR="00937F4E" w:rsidRPr="0070449B">
        <w:rPr>
          <w:rFonts w:ascii="Times New Roman" w:eastAsia="Batang" w:hAnsi="Times New Roman" w:cs="Times New Roman"/>
          <w:noProof/>
          <w:sz w:val="24"/>
          <w:szCs w:val="24"/>
          <w:lang w:val="sq-AL"/>
        </w:rPr>
        <w:t>f</w:t>
      </w:r>
      <w:r w:rsidRPr="0070449B">
        <w:rPr>
          <w:rFonts w:ascii="Times New Roman" w:eastAsia="Batang" w:hAnsi="Times New Roman" w:cs="Times New Roman"/>
          <w:noProof/>
          <w:sz w:val="24"/>
          <w:szCs w:val="24"/>
          <w:lang w:val="sq-AL"/>
        </w:rPr>
        <w:t>iskale,</w:t>
      </w:r>
      <w:r w:rsidR="007012A2" w:rsidRPr="0070449B">
        <w:rPr>
          <w:rFonts w:ascii="Times New Roman" w:eastAsia="Batang" w:hAnsi="Times New Roman" w:cs="Times New Roman"/>
          <w:noProof/>
          <w:sz w:val="24"/>
          <w:szCs w:val="24"/>
          <w:lang w:val="sq-AL"/>
        </w:rPr>
        <w:t xml:space="preserve"> nevojat buxhetore p</w:t>
      </w:r>
      <w:r w:rsidR="00DC648E" w:rsidRPr="0070449B">
        <w:rPr>
          <w:rFonts w:ascii="Times New Roman" w:eastAsia="Batang" w:hAnsi="Times New Roman" w:cs="Times New Roman"/>
          <w:noProof/>
          <w:sz w:val="24"/>
          <w:szCs w:val="24"/>
          <w:lang w:val="sq-AL"/>
        </w:rPr>
        <w:t>ë</w:t>
      </w:r>
      <w:r w:rsidR="007012A2" w:rsidRPr="0070449B">
        <w:rPr>
          <w:rFonts w:ascii="Times New Roman" w:eastAsia="Batang" w:hAnsi="Times New Roman" w:cs="Times New Roman"/>
          <w:noProof/>
          <w:sz w:val="24"/>
          <w:szCs w:val="24"/>
          <w:lang w:val="sq-AL"/>
        </w:rPr>
        <w:t>r financim</w:t>
      </w:r>
      <w:r w:rsidRPr="0070449B">
        <w:rPr>
          <w:rFonts w:ascii="Times New Roman" w:eastAsia="Batang" w:hAnsi="Times New Roman" w:cs="Times New Roman"/>
          <w:noProof/>
          <w:sz w:val="24"/>
          <w:szCs w:val="24"/>
          <w:lang w:val="sq-AL"/>
        </w:rPr>
        <w:t xml:space="preserve"> </w:t>
      </w:r>
      <w:r w:rsidR="007012A2" w:rsidRPr="0070449B">
        <w:rPr>
          <w:rFonts w:ascii="Times New Roman" w:eastAsia="Batang" w:hAnsi="Times New Roman" w:cs="Times New Roman"/>
          <w:noProof/>
          <w:sz w:val="24"/>
          <w:szCs w:val="24"/>
          <w:lang w:val="sq-AL"/>
        </w:rPr>
        <w:t>dhe objektivat</w:t>
      </w:r>
      <w:r w:rsidR="00801275" w:rsidRPr="0070449B">
        <w:rPr>
          <w:rFonts w:ascii="Times New Roman" w:eastAsia="Batang" w:hAnsi="Times New Roman" w:cs="Times New Roman"/>
          <w:noProof/>
          <w:sz w:val="24"/>
          <w:szCs w:val="24"/>
          <w:lang w:val="sq-AL"/>
        </w:rPr>
        <w:t xml:space="preserve"> strategjik</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 xml:space="preserve"> afatmes</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m t</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 xml:space="preserve"> menaxhimit t</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 xml:space="preserve"> borxhit</w:t>
      </w:r>
      <w:r w:rsidRPr="0070449B">
        <w:rPr>
          <w:rFonts w:ascii="Times New Roman" w:eastAsia="Batang" w:hAnsi="Times New Roman" w:cs="Times New Roman"/>
          <w:i/>
          <w:noProof/>
          <w:sz w:val="24"/>
          <w:szCs w:val="24"/>
          <w:lang w:val="sq-AL"/>
        </w:rPr>
        <w:t>.</w:t>
      </w:r>
    </w:p>
    <w:p w14:paraId="71DF5BB5" w14:textId="77777777" w:rsidR="00B77A2D" w:rsidRPr="0070449B" w:rsidRDefault="00B77A2D" w:rsidP="00291349">
      <w:pPr>
        <w:autoSpaceDE w:val="0"/>
        <w:autoSpaceDN w:val="0"/>
        <w:adjustRightInd w:val="0"/>
        <w:spacing w:after="0" w:line="276" w:lineRule="auto"/>
        <w:ind w:left="142" w:right="237"/>
        <w:contextualSpacing/>
        <w:jc w:val="both"/>
        <w:rPr>
          <w:rFonts w:ascii="Times New Roman" w:eastAsia="Batang" w:hAnsi="Times New Roman" w:cs="Times New Roman"/>
          <w:noProof/>
          <w:sz w:val="16"/>
          <w:szCs w:val="24"/>
          <w:lang w:val="sq-AL"/>
        </w:rPr>
      </w:pPr>
    </w:p>
    <w:p w14:paraId="71DF5BB6" w14:textId="77777777" w:rsidR="00B77A2D" w:rsidRPr="00F45EE6" w:rsidRDefault="00B77A2D"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 xml:space="preserve">Në përputhje me objektivat </w:t>
      </w:r>
      <w:r w:rsidR="00937F4E" w:rsidRPr="0070449B">
        <w:rPr>
          <w:rFonts w:ascii="Times New Roman" w:eastAsia="Batang" w:hAnsi="Times New Roman" w:cs="Times New Roman"/>
          <w:noProof/>
          <w:sz w:val="24"/>
          <w:szCs w:val="24"/>
          <w:lang w:val="sq-AL"/>
        </w:rPr>
        <w:t>m</w:t>
      </w:r>
      <w:r w:rsidRPr="0070449B">
        <w:rPr>
          <w:rFonts w:ascii="Times New Roman" w:eastAsia="Batang" w:hAnsi="Times New Roman" w:cs="Times New Roman"/>
          <w:noProof/>
          <w:sz w:val="24"/>
          <w:szCs w:val="24"/>
          <w:lang w:val="sq-AL"/>
        </w:rPr>
        <w:t>akro-</w:t>
      </w:r>
      <w:r w:rsidR="00937F4E" w:rsidRPr="0070449B">
        <w:rPr>
          <w:rFonts w:ascii="Times New Roman" w:eastAsia="Batang" w:hAnsi="Times New Roman" w:cs="Times New Roman"/>
          <w:noProof/>
          <w:sz w:val="24"/>
          <w:szCs w:val="24"/>
          <w:lang w:val="sq-AL"/>
        </w:rPr>
        <w:t>f</w:t>
      </w:r>
      <w:r w:rsidRPr="0070449B">
        <w:rPr>
          <w:rFonts w:ascii="Times New Roman" w:eastAsia="Batang" w:hAnsi="Times New Roman" w:cs="Times New Roman"/>
          <w:noProof/>
          <w:sz w:val="24"/>
          <w:szCs w:val="24"/>
          <w:lang w:val="sq-AL"/>
        </w:rPr>
        <w:t>iskale, niveli i b</w:t>
      </w:r>
      <w:r w:rsidR="00273274" w:rsidRPr="0070449B">
        <w:rPr>
          <w:rFonts w:ascii="Times New Roman" w:eastAsia="Batang" w:hAnsi="Times New Roman" w:cs="Times New Roman"/>
          <w:noProof/>
          <w:sz w:val="24"/>
          <w:szCs w:val="24"/>
          <w:lang w:val="sq-AL"/>
        </w:rPr>
        <w:t xml:space="preserve">orxhit </w:t>
      </w:r>
      <w:r w:rsidR="009C0CA6" w:rsidRPr="0070449B">
        <w:rPr>
          <w:rFonts w:ascii="Times New Roman" w:eastAsia="Batang" w:hAnsi="Times New Roman" w:cs="Times New Roman"/>
          <w:noProof/>
          <w:sz w:val="24"/>
          <w:szCs w:val="24"/>
          <w:lang w:val="sq-AL"/>
        </w:rPr>
        <w:t xml:space="preserve">të </w:t>
      </w:r>
      <w:r w:rsidR="004C3856" w:rsidRPr="0070449B">
        <w:rPr>
          <w:rFonts w:ascii="Times New Roman" w:eastAsia="Batang" w:hAnsi="Times New Roman" w:cs="Times New Roman"/>
          <w:noProof/>
          <w:sz w:val="24"/>
          <w:szCs w:val="24"/>
          <w:lang w:val="sq-AL"/>
        </w:rPr>
        <w:t>q</w:t>
      </w:r>
      <w:r w:rsidR="009C0CA6" w:rsidRPr="0070449B">
        <w:rPr>
          <w:rFonts w:ascii="Times New Roman" w:eastAsia="Batang" w:hAnsi="Times New Roman" w:cs="Times New Roman"/>
          <w:noProof/>
          <w:sz w:val="24"/>
          <w:szCs w:val="24"/>
          <w:lang w:val="sq-AL"/>
        </w:rPr>
        <w:t xml:space="preserve">everisjes </w:t>
      </w:r>
      <w:r w:rsidR="004C3856" w:rsidRPr="0070449B">
        <w:rPr>
          <w:rFonts w:ascii="Times New Roman" w:eastAsia="Batang" w:hAnsi="Times New Roman" w:cs="Times New Roman"/>
          <w:noProof/>
          <w:sz w:val="24"/>
          <w:szCs w:val="24"/>
          <w:lang w:val="sq-AL"/>
        </w:rPr>
        <w:t>q</w:t>
      </w:r>
      <w:r w:rsidR="009C0CA6" w:rsidRPr="0070449B">
        <w:rPr>
          <w:rFonts w:ascii="Times New Roman" w:eastAsia="Batang" w:hAnsi="Times New Roman" w:cs="Times New Roman"/>
          <w:noProof/>
          <w:sz w:val="24"/>
          <w:szCs w:val="24"/>
          <w:lang w:val="sq-AL"/>
        </w:rPr>
        <w:t>endrore</w:t>
      </w:r>
      <w:r w:rsidR="00273274" w:rsidRPr="0070449B">
        <w:rPr>
          <w:rFonts w:ascii="Times New Roman" w:eastAsia="Batang" w:hAnsi="Times New Roman" w:cs="Times New Roman"/>
          <w:noProof/>
          <w:sz w:val="24"/>
          <w:szCs w:val="24"/>
          <w:lang w:val="sq-AL"/>
        </w:rPr>
        <w:t xml:space="preserve"> në raport me PBB</w:t>
      </w:r>
      <w:r w:rsidR="006225CF" w:rsidRPr="0070449B">
        <w:rPr>
          <w:rStyle w:val="FootnoteReference"/>
          <w:rFonts w:ascii="Times New Roman" w:eastAsia="Batang" w:hAnsi="Times New Roman" w:cs="Times New Roman"/>
          <w:noProof/>
          <w:sz w:val="24"/>
          <w:szCs w:val="24"/>
          <w:lang w:val="sq-AL"/>
        </w:rPr>
        <w:footnoteReference w:id="2"/>
      </w:r>
      <w:r w:rsidR="00273274" w:rsidRPr="0070449B">
        <w:rPr>
          <w:rFonts w:ascii="Times New Roman" w:eastAsia="Batang" w:hAnsi="Times New Roman" w:cs="Times New Roman"/>
          <w:noProof/>
          <w:sz w:val="24"/>
          <w:szCs w:val="24"/>
          <w:lang w:val="sq-AL"/>
        </w:rPr>
        <w:t xml:space="preserve"> </w:t>
      </w:r>
      <w:r w:rsidR="00971A94" w:rsidRPr="0070449B">
        <w:rPr>
          <w:rFonts w:ascii="Times New Roman" w:eastAsia="Batang" w:hAnsi="Times New Roman" w:cs="Times New Roman"/>
          <w:noProof/>
          <w:sz w:val="24"/>
          <w:szCs w:val="24"/>
          <w:lang w:val="sq-AL"/>
        </w:rPr>
        <w:t>ka hyr</w:t>
      </w:r>
      <w:r w:rsidR="00DC648E" w:rsidRPr="0070449B">
        <w:rPr>
          <w:rFonts w:ascii="Times New Roman" w:eastAsia="Batang" w:hAnsi="Times New Roman" w:cs="Times New Roman"/>
          <w:noProof/>
          <w:sz w:val="24"/>
          <w:szCs w:val="24"/>
          <w:lang w:val="sq-AL"/>
        </w:rPr>
        <w:t>ë</w:t>
      </w:r>
      <w:r w:rsidR="00971A94" w:rsidRPr="0070449B">
        <w:rPr>
          <w:rFonts w:ascii="Times New Roman" w:eastAsia="Batang" w:hAnsi="Times New Roman" w:cs="Times New Roman"/>
          <w:noProof/>
          <w:sz w:val="24"/>
          <w:szCs w:val="24"/>
          <w:lang w:val="sq-AL"/>
        </w:rPr>
        <w:t xml:space="preserve"> n</w:t>
      </w:r>
      <w:r w:rsidR="00DC648E" w:rsidRPr="0070449B">
        <w:rPr>
          <w:rFonts w:ascii="Times New Roman" w:eastAsia="Batang" w:hAnsi="Times New Roman" w:cs="Times New Roman"/>
          <w:noProof/>
          <w:sz w:val="24"/>
          <w:szCs w:val="24"/>
          <w:lang w:val="sq-AL"/>
        </w:rPr>
        <w:t>ë</w:t>
      </w:r>
      <w:r w:rsidR="00971A94" w:rsidRPr="0070449B">
        <w:rPr>
          <w:rFonts w:ascii="Times New Roman" w:eastAsia="Batang" w:hAnsi="Times New Roman" w:cs="Times New Roman"/>
          <w:noProof/>
          <w:sz w:val="24"/>
          <w:szCs w:val="24"/>
          <w:lang w:val="sq-AL"/>
        </w:rPr>
        <w:t xml:space="preserve"> trajektore</w:t>
      </w:r>
      <w:r w:rsidR="00801275" w:rsidRPr="0070449B">
        <w:rPr>
          <w:rFonts w:ascii="Times New Roman" w:eastAsia="Batang" w:hAnsi="Times New Roman" w:cs="Times New Roman"/>
          <w:noProof/>
          <w:sz w:val="24"/>
          <w:szCs w:val="24"/>
          <w:lang w:val="sq-AL"/>
        </w:rPr>
        <w:t xml:space="preserve"> r</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n</w:t>
      </w:r>
      <w:r w:rsidR="00DC648E" w:rsidRPr="0070449B">
        <w:rPr>
          <w:rFonts w:ascii="Times New Roman" w:eastAsia="Batang" w:hAnsi="Times New Roman" w:cs="Times New Roman"/>
          <w:noProof/>
          <w:sz w:val="24"/>
          <w:szCs w:val="24"/>
          <w:lang w:val="sq-AL"/>
        </w:rPr>
        <w:t>ë</w:t>
      </w:r>
      <w:r w:rsidR="00801275" w:rsidRPr="0070449B">
        <w:rPr>
          <w:rFonts w:ascii="Times New Roman" w:eastAsia="Batang" w:hAnsi="Times New Roman" w:cs="Times New Roman"/>
          <w:noProof/>
          <w:sz w:val="24"/>
          <w:szCs w:val="24"/>
          <w:lang w:val="sq-AL"/>
        </w:rPr>
        <w:t>se</w:t>
      </w:r>
      <w:r w:rsidR="00B064FE" w:rsidRPr="0070449B">
        <w:rPr>
          <w:rFonts w:ascii="Times New Roman" w:eastAsia="Batang" w:hAnsi="Times New Roman" w:cs="Times New Roman"/>
          <w:noProof/>
          <w:sz w:val="24"/>
          <w:szCs w:val="24"/>
          <w:lang w:val="sq-AL"/>
        </w:rPr>
        <w:t xml:space="preserve"> </w:t>
      </w:r>
      <w:r w:rsidR="007E6E1F">
        <w:rPr>
          <w:rFonts w:ascii="Times New Roman" w:eastAsia="Batang" w:hAnsi="Times New Roman" w:cs="Times New Roman"/>
          <w:noProof/>
          <w:sz w:val="24"/>
          <w:szCs w:val="24"/>
          <w:lang w:val="sq-AL"/>
        </w:rPr>
        <w:t>q</w:t>
      </w:r>
      <w:r w:rsidR="001968CE">
        <w:rPr>
          <w:rFonts w:ascii="Times New Roman" w:eastAsia="Batang" w:hAnsi="Times New Roman" w:cs="Times New Roman"/>
          <w:noProof/>
          <w:sz w:val="24"/>
          <w:szCs w:val="24"/>
          <w:lang w:val="sq-AL"/>
        </w:rPr>
        <w:t>ë</w:t>
      </w:r>
      <w:r w:rsidR="007E6E1F">
        <w:rPr>
          <w:rFonts w:ascii="Times New Roman" w:eastAsia="Batang" w:hAnsi="Times New Roman" w:cs="Times New Roman"/>
          <w:noProof/>
          <w:sz w:val="24"/>
          <w:szCs w:val="24"/>
          <w:lang w:val="sq-AL"/>
        </w:rPr>
        <w:t xml:space="preserve"> prej </w:t>
      </w:r>
      <w:r w:rsidR="00B064FE" w:rsidRPr="0070449B">
        <w:rPr>
          <w:rFonts w:ascii="Times New Roman" w:eastAsia="Batang" w:hAnsi="Times New Roman" w:cs="Times New Roman"/>
          <w:noProof/>
          <w:sz w:val="24"/>
          <w:szCs w:val="24"/>
          <w:lang w:val="sq-AL"/>
        </w:rPr>
        <w:t>viti</w:t>
      </w:r>
      <w:r w:rsidR="007E6E1F">
        <w:rPr>
          <w:rFonts w:ascii="Times New Roman" w:eastAsia="Batang" w:hAnsi="Times New Roman" w:cs="Times New Roman"/>
          <w:noProof/>
          <w:sz w:val="24"/>
          <w:szCs w:val="24"/>
          <w:lang w:val="sq-AL"/>
        </w:rPr>
        <w:t>t</w:t>
      </w:r>
      <w:r w:rsidR="00B064FE" w:rsidRPr="0070449B">
        <w:rPr>
          <w:rFonts w:ascii="Times New Roman" w:eastAsia="Batang" w:hAnsi="Times New Roman" w:cs="Times New Roman"/>
          <w:noProof/>
          <w:sz w:val="24"/>
          <w:szCs w:val="24"/>
          <w:lang w:val="sq-AL"/>
        </w:rPr>
        <w:t xml:space="preserve"> 2016</w:t>
      </w:r>
      <w:r w:rsidRPr="0070449B">
        <w:rPr>
          <w:rFonts w:ascii="Times New Roman" w:eastAsia="Batang" w:hAnsi="Times New Roman" w:cs="Times New Roman"/>
          <w:noProof/>
          <w:sz w:val="24"/>
          <w:szCs w:val="24"/>
          <w:lang w:val="sq-AL"/>
        </w:rPr>
        <w:t xml:space="preserve">. Vlerësimet </w:t>
      </w:r>
      <w:r w:rsidR="00971A94" w:rsidRPr="0070449B">
        <w:rPr>
          <w:rFonts w:ascii="Times New Roman" w:eastAsia="Batang" w:hAnsi="Times New Roman" w:cs="Times New Roman"/>
          <w:noProof/>
          <w:sz w:val="24"/>
          <w:szCs w:val="24"/>
          <w:lang w:val="sq-AL"/>
        </w:rPr>
        <w:t>p</w:t>
      </w:r>
      <w:r w:rsidR="00DC648E" w:rsidRPr="0070449B">
        <w:rPr>
          <w:rFonts w:ascii="Times New Roman" w:eastAsia="Batang" w:hAnsi="Times New Roman" w:cs="Times New Roman"/>
          <w:noProof/>
          <w:sz w:val="24"/>
          <w:szCs w:val="24"/>
          <w:lang w:val="sq-AL"/>
        </w:rPr>
        <w:t>ë</w:t>
      </w:r>
      <w:r w:rsidR="00971A94" w:rsidRPr="0070449B">
        <w:rPr>
          <w:rFonts w:ascii="Times New Roman" w:eastAsia="Batang" w:hAnsi="Times New Roman" w:cs="Times New Roman"/>
          <w:noProof/>
          <w:sz w:val="24"/>
          <w:szCs w:val="24"/>
          <w:lang w:val="sq-AL"/>
        </w:rPr>
        <w:t>r fundin e vitit 201</w:t>
      </w:r>
      <w:r w:rsidR="00171B41" w:rsidRPr="0070449B">
        <w:rPr>
          <w:rFonts w:ascii="Times New Roman" w:eastAsia="Batang" w:hAnsi="Times New Roman" w:cs="Times New Roman"/>
          <w:noProof/>
          <w:sz w:val="24"/>
          <w:szCs w:val="24"/>
          <w:lang w:val="sq-AL"/>
        </w:rPr>
        <w:t>9</w:t>
      </w:r>
      <w:r w:rsidR="00971A94" w:rsidRPr="0070449B">
        <w:rPr>
          <w:rFonts w:ascii="Times New Roman" w:eastAsia="Batang" w:hAnsi="Times New Roman" w:cs="Times New Roman"/>
          <w:noProof/>
          <w:sz w:val="24"/>
          <w:szCs w:val="24"/>
          <w:lang w:val="sq-AL"/>
        </w:rPr>
        <w:t xml:space="preserve"> </w:t>
      </w:r>
      <w:r w:rsidR="007E6E1F">
        <w:rPr>
          <w:rFonts w:ascii="Times New Roman" w:eastAsia="Batang" w:hAnsi="Times New Roman" w:cs="Times New Roman"/>
          <w:noProof/>
          <w:sz w:val="24"/>
          <w:szCs w:val="24"/>
          <w:lang w:val="sq-AL"/>
        </w:rPr>
        <w:t>tregojn</w:t>
      </w:r>
      <w:r w:rsidR="001968CE">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një rënie</w:t>
      </w:r>
      <w:r w:rsidR="00EF1F12">
        <w:rPr>
          <w:rFonts w:ascii="Times New Roman" w:eastAsia="Batang" w:hAnsi="Times New Roman" w:cs="Times New Roman"/>
          <w:noProof/>
          <w:sz w:val="24"/>
          <w:szCs w:val="24"/>
          <w:lang w:val="sq-AL"/>
        </w:rPr>
        <w:t xml:space="preserve"> </w:t>
      </w:r>
      <w:r w:rsidR="00EF1F12" w:rsidRPr="0070449B">
        <w:rPr>
          <w:rFonts w:ascii="Times New Roman" w:eastAsia="Batang" w:hAnsi="Times New Roman" w:cs="Times New Roman"/>
          <w:noProof/>
          <w:sz w:val="24"/>
          <w:szCs w:val="24"/>
          <w:lang w:val="sq-AL"/>
        </w:rPr>
        <w:t xml:space="preserve">me rreth </w:t>
      </w:r>
      <w:r w:rsidR="00EF1F12" w:rsidRPr="00F45EE6">
        <w:rPr>
          <w:rFonts w:ascii="Times New Roman" w:eastAsia="Batang" w:hAnsi="Times New Roman" w:cs="Times New Roman"/>
          <w:noProof/>
          <w:sz w:val="24"/>
          <w:szCs w:val="24"/>
          <w:lang w:val="sq-AL"/>
        </w:rPr>
        <w:t>2.5 pikë</w:t>
      </w:r>
      <w:r w:rsidR="00EF1F12">
        <w:rPr>
          <w:rFonts w:ascii="Times New Roman" w:eastAsia="Batang" w:hAnsi="Times New Roman" w:cs="Times New Roman"/>
          <w:noProof/>
          <w:sz w:val="24"/>
          <w:szCs w:val="24"/>
          <w:lang w:val="sq-AL"/>
        </w:rPr>
        <w:t xml:space="preserve"> </w:t>
      </w:r>
      <w:r w:rsidR="00EF1F12" w:rsidRPr="00F45EE6">
        <w:rPr>
          <w:rFonts w:ascii="Times New Roman" w:eastAsia="Batang" w:hAnsi="Times New Roman" w:cs="Times New Roman"/>
          <w:noProof/>
          <w:sz w:val="24"/>
          <w:szCs w:val="24"/>
          <w:lang w:val="sq-AL"/>
        </w:rPr>
        <w:t>përqindje</w:t>
      </w:r>
      <w:r w:rsidRPr="0070449B">
        <w:rPr>
          <w:rFonts w:ascii="Times New Roman" w:eastAsia="Batang" w:hAnsi="Times New Roman" w:cs="Times New Roman"/>
          <w:noProof/>
          <w:sz w:val="24"/>
          <w:szCs w:val="24"/>
          <w:lang w:val="sq-AL"/>
        </w:rPr>
        <w:t xml:space="preserve"> të </w:t>
      </w:r>
      <w:r w:rsidR="001036C8" w:rsidRPr="0070449B">
        <w:rPr>
          <w:rFonts w:ascii="Times New Roman" w:eastAsia="Batang" w:hAnsi="Times New Roman" w:cs="Times New Roman"/>
          <w:noProof/>
          <w:sz w:val="24"/>
          <w:szCs w:val="24"/>
          <w:lang w:val="sq-AL"/>
        </w:rPr>
        <w:t>b</w:t>
      </w:r>
      <w:r w:rsidRPr="0070449B">
        <w:rPr>
          <w:rFonts w:ascii="Times New Roman" w:eastAsia="Batang" w:hAnsi="Times New Roman" w:cs="Times New Roman"/>
          <w:noProof/>
          <w:sz w:val="24"/>
          <w:szCs w:val="24"/>
          <w:lang w:val="sq-AL"/>
        </w:rPr>
        <w:t xml:space="preserve">orxhit </w:t>
      </w:r>
      <w:r w:rsidR="007E6C19" w:rsidRPr="0070449B">
        <w:rPr>
          <w:rFonts w:ascii="Times New Roman" w:eastAsia="Batang" w:hAnsi="Times New Roman" w:cs="Times New Roman"/>
          <w:noProof/>
          <w:sz w:val="24"/>
          <w:szCs w:val="24"/>
          <w:lang w:val="sq-AL"/>
        </w:rPr>
        <w:t xml:space="preserve">të </w:t>
      </w:r>
      <w:r w:rsidR="001036C8" w:rsidRPr="0070449B">
        <w:rPr>
          <w:rFonts w:ascii="Times New Roman" w:eastAsia="Batang" w:hAnsi="Times New Roman" w:cs="Times New Roman"/>
          <w:noProof/>
          <w:sz w:val="24"/>
          <w:szCs w:val="24"/>
          <w:lang w:val="sq-AL"/>
        </w:rPr>
        <w:t>q</w:t>
      </w:r>
      <w:r w:rsidR="007E6C19" w:rsidRPr="0070449B">
        <w:rPr>
          <w:rFonts w:ascii="Times New Roman" w:eastAsia="Batang" w:hAnsi="Times New Roman" w:cs="Times New Roman"/>
          <w:noProof/>
          <w:sz w:val="24"/>
          <w:szCs w:val="24"/>
          <w:lang w:val="sq-AL"/>
        </w:rPr>
        <w:t xml:space="preserve">everisjes </w:t>
      </w:r>
      <w:r w:rsidR="001036C8" w:rsidRPr="0070449B">
        <w:rPr>
          <w:rFonts w:ascii="Times New Roman" w:eastAsia="Batang" w:hAnsi="Times New Roman" w:cs="Times New Roman"/>
          <w:noProof/>
          <w:sz w:val="24"/>
          <w:szCs w:val="24"/>
          <w:lang w:val="sq-AL"/>
        </w:rPr>
        <w:t>q</w:t>
      </w:r>
      <w:r w:rsidR="007E6C19" w:rsidRPr="0070449B">
        <w:rPr>
          <w:rFonts w:ascii="Times New Roman" w:eastAsia="Batang" w:hAnsi="Times New Roman" w:cs="Times New Roman"/>
          <w:noProof/>
          <w:sz w:val="24"/>
          <w:szCs w:val="24"/>
          <w:lang w:val="sq-AL"/>
        </w:rPr>
        <w:t>endrore</w:t>
      </w:r>
      <w:r w:rsidRPr="0070449B">
        <w:rPr>
          <w:rFonts w:ascii="Times New Roman" w:eastAsia="Batang" w:hAnsi="Times New Roman" w:cs="Times New Roman"/>
          <w:noProof/>
          <w:sz w:val="24"/>
          <w:szCs w:val="24"/>
          <w:lang w:val="sq-AL"/>
        </w:rPr>
        <w:t xml:space="preserve"> në raport me PBB</w:t>
      </w:r>
      <w:r w:rsidRPr="00F45EE6">
        <w:rPr>
          <w:rFonts w:ascii="Times New Roman" w:eastAsia="Batang" w:hAnsi="Times New Roman" w:cs="Times New Roman"/>
          <w:noProof/>
          <w:sz w:val="24"/>
          <w:szCs w:val="24"/>
          <w:lang w:val="sq-AL"/>
        </w:rPr>
        <w:t xml:space="preserve">. </w:t>
      </w:r>
    </w:p>
    <w:p w14:paraId="71DF5BB7" w14:textId="77777777" w:rsidR="00B77A2D" w:rsidRPr="0070449B" w:rsidRDefault="00B77A2D" w:rsidP="00291349">
      <w:pPr>
        <w:autoSpaceDE w:val="0"/>
        <w:autoSpaceDN w:val="0"/>
        <w:adjustRightInd w:val="0"/>
        <w:spacing w:after="0" w:line="276" w:lineRule="auto"/>
        <w:ind w:left="142" w:right="237"/>
        <w:contextualSpacing/>
        <w:jc w:val="both"/>
        <w:rPr>
          <w:rFonts w:ascii="Times New Roman" w:eastAsia="Batang" w:hAnsi="Times New Roman" w:cs="Times New Roman"/>
          <w:noProof/>
          <w:sz w:val="16"/>
          <w:szCs w:val="24"/>
          <w:lang w:val="sq-AL"/>
        </w:rPr>
      </w:pPr>
    </w:p>
    <w:p w14:paraId="71DF5BB8" w14:textId="77777777" w:rsidR="00B02FA8" w:rsidRDefault="00AA22B4"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AA22B4">
        <w:rPr>
          <w:rFonts w:ascii="Times New Roman" w:eastAsia="Batang" w:hAnsi="Times New Roman" w:cs="Times New Roman"/>
          <w:noProof/>
          <w:sz w:val="24"/>
          <w:szCs w:val="24"/>
          <w:lang w:val="sq-AL"/>
        </w:rPr>
        <w:t>Huamarrja i është përgjigjur nevojave buxhetore, duke mundësuar rifinancimin e borxhit ekzistues dhe financimin e deficitit të planifikuar.</w:t>
      </w:r>
      <w:r>
        <w:rPr>
          <w:rFonts w:ascii="Times New Roman" w:eastAsia="Batang" w:hAnsi="Times New Roman" w:cs="Times New Roman"/>
          <w:noProof/>
          <w:sz w:val="24"/>
          <w:szCs w:val="24"/>
          <w:lang w:val="sq-AL"/>
        </w:rPr>
        <w:t xml:space="preserve"> </w:t>
      </w:r>
      <w:r w:rsidR="00B02FA8" w:rsidRPr="0070449B">
        <w:rPr>
          <w:rFonts w:ascii="Times New Roman" w:eastAsia="Batang" w:hAnsi="Times New Roman" w:cs="Times New Roman"/>
          <w:noProof/>
          <w:sz w:val="24"/>
          <w:szCs w:val="24"/>
          <w:lang w:val="sq-AL"/>
        </w:rPr>
        <w:t>Nevojat p</w:t>
      </w:r>
      <w:r w:rsidR="00DC648E" w:rsidRPr="0070449B">
        <w:rPr>
          <w:rFonts w:ascii="Times New Roman" w:eastAsia="Batang" w:hAnsi="Times New Roman" w:cs="Times New Roman"/>
          <w:noProof/>
          <w:sz w:val="24"/>
          <w:szCs w:val="24"/>
          <w:lang w:val="sq-AL"/>
        </w:rPr>
        <w:t>ë</w:t>
      </w:r>
      <w:r w:rsidR="00B02FA8" w:rsidRPr="0070449B">
        <w:rPr>
          <w:rFonts w:ascii="Times New Roman" w:eastAsia="Batang" w:hAnsi="Times New Roman" w:cs="Times New Roman"/>
          <w:noProof/>
          <w:sz w:val="24"/>
          <w:szCs w:val="24"/>
          <w:lang w:val="sq-AL"/>
        </w:rPr>
        <w:t>r hua</w:t>
      </w:r>
      <w:r>
        <w:rPr>
          <w:rFonts w:ascii="Times New Roman" w:eastAsia="Batang" w:hAnsi="Times New Roman" w:cs="Times New Roman"/>
          <w:noProof/>
          <w:sz w:val="24"/>
          <w:szCs w:val="24"/>
          <w:lang w:val="sq-AL"/>
        </w:rPr>
        <w:t>marrje</w:t>
      </w:r>
      <w:r w:rsidR="00B02FA8" w:rsidRPr="0070449B">
        <w:rPr>
          <w:rFonts w:ascii="Times New Roman" w:eastAsia="Batang" w:hAnsi="Times New Roman" w:cs="Times New Roman"/>
          <w:noProof/>
          <w:sz w:val="24"/>
          <w:szCs w:val="24"/>
          <w:lang w:val="sq-AL"/>
        </w:rPr>
        <w:t xml:space="preserve"> kan</w:t>
      </w:r>
      <w:r w:rsidR="00DC648E" w:rsidRPr="0070449B">
        <w:rPr>
          <w:rFonts w:ascii="Times New Roman" w:eastAsia="Batang" w:hAnsi="Times New Roman" w:cs="Times New Roman"/>
          <w:noProof/>
          <w:sz w:val="24"/>
          <w:szCs w:val="24"/>
          <w:lang w:val="sq-AL"/>
        </w:rPr>
        <w:t>ë</w:t>
      </w:r>
      <w:r w:rsidR="00B02FA8" w:rsidRPr="0070449B">
        <w:rPr>
          <w:rFonts w:ascii="Times New Roman" w:eastAsia="Batang" w:hAnsi="Times New Roman" w:cs="Times New Roman"/>
          <w:noProof/>
          <w:sz w:val="24"/>
          <w:szCs w:val="24"/>
          <w:lang w:val="sq-AL"/>
        </w:rPr>
        <w:t xml:space="preserve"> </w:t>
      </w:r>
      <w:r>
        <w:rPr>
          <w:rFonts w:ascii="Times New Roman" w:eastAsia="Batang" w:hAnsi="Times New Roman" w:cs="Times New Roman"/>
          <w:noProof/>
          <w:sz w:val="24"/>
          <w:szCs w:val="24"/>
          <w:lang w:val="sq-AL"/>
        </w:rPr>
        <w:t>sh</w:t>
      </w:r>
      <w:r w:rsidR="001968CE">
        <w:rPr>
          <w:rFonts w:ascii="Times New Roman" w:eastAsia="Batang" w:hAnsi="Times New Roman" w:cs="Times New Roman"/>
          <w:noProof/>
          <w:sz w:val="24"/>
          <w:szCs w:val="24"/>
          <w:lang w:val="sq-AL"/>
        </w:rPr>
        <w:t>ë</w:t>
      </w:r>
      <w:r>
        <w:rPr>
          <w:rFonts w:ascii="Times New Roman" w:eastAsia="Batang" w:hAnsi="Times New Roman" w:cs="Times New Roman"/>
          <w:noProof/>
          <w:sz w:val="24"/>
          <w:szCs w:val="24"/>
          <w:lang w:val="sq-AL"/>
        </w:rPr>
        <w:t>nuar nj</w:t>
      </w:r>
      <w:r w:rsidR="001968CE">
        <w:rPr>
          <w:rFonts w:ascii="Times New Roman" w:eastAsia="Batang" w:hAnsi="Times New Roman" w:cs="Times New Roman"/>
          <w:noProof/>
          <w:sz w:val="24"/>
          <w:szCs w:val="24"/>
          <w:lang w:val="sq-AL"/>
        </w:rPr>
        <w:t>ë</w:t>
      </w:r>
      <w:r>
        <w:rPr>
          <w:rFonts w:ascii="Times New Roman" w:eastAsia="Batang" w:hAnsi="Times New Roman" w:cs="Times New Roman"/>
          <w:noProof/>
          <w:sz w:val="24"/>
          <w:szCs w:val="24"/>
          <w:lang w:val="sq-AL"/>
        </w:rPr>
        <w:t xml:space="preserve"> r</w:t>
      </w:r>
      <w:r w:rsidR="001968CE">
        <w:rPr>
          <w:rFonts w:ascii="Times New Roman" w:eastAsia="Batang" w:hAnsi="Times New Roman" w:cs="Times New Roman"/>
          <w:noProof/>
          <w:sz w:val="24"/>
          <w:szCs w:val="24"/>
          <w:lang w:val="sq-AL"/>
        </w:rPr>
        <w:t>ë</w:t>
      </w:r>
      <w:r>
        <w:rPr>
          <w:rFonts w:ascii="Times New Roman" w:eastAsia="Batang" w:hAnsi="Times New Roman" w:cs="Times New Roman"/>
          <w:noProof/>
          <w:sz w:val="24"/>
          <w:szCs w:val="24"/>
          <w:lang w:val="sq-AL"/>
        </w:rPr>
        <w:t>nie</w:t>
      </w:r>
      <w:r w:rsidR="00B02FA8" w:rsidRPr="0070449B">
        <w:rPr>
          <w:rFonts w:ascii="Times New Roman" w:eastAsia="Batang" w:hAnsi="Times New Roman" w:cs="Times New Roman"/>
          <w:noProof/>
          <w:sz w:val="24"/>
          <w:szCs w:val="24"/>
          <w:lang w:val="sq-AL"/>
        </w:rPr>
        <w:t xml:space="preserve"> </w:t>
      </w:r>
      <w:r>
        <w:rPr>
          <w:rFonts w:ascii="Times New Roman" w:eastAsia="Batang" w:hAnsi="Times New Roman" w:cs="Times New Roman"/>
          <w:noProof/>
          <w:sz w:val="24"/>
          <w:szCs w:val="24"/>
          <w:lang w:val="sq-AL"/>
        </w:rPr>
        <w:t>graduale</w:t>
      </w:r>
      <w:r w:rsidR="00B02FA8" w:rsidRPr="0070449B">
        <w:rPr>
          <w:rFonts w:ascii="Times New Roman" w:eastAsia="Batang" w:hAnsi="Times New Roman" w:cs="Times New Roman"/>
          <w:noProof/>
          <w:sz w:val="24"/>
          <w:szCs w:val="24"/>
          <w:lang w:val="sq-AL"/>
        </w:rPr>
        <w:t>, duke ref</w:t>
      </w:r>
      <w:r w:rsidR="004C3856" w:rsidRPr="0070449B">
        <w:rPr>
          <w:rFonts w:ascii="Times New Roman" w:eastAsia="Batang" w:hAnsi="Times New Roman" w:cs="Times New Roman"/>
          <w:noProof/>
          <w:sz w:val="24"/>
          <w:szCs w:val="24"/>
          <w:lang w:val="sq-AL"/>
        </w:rPr>
        <w:t>l</w:t>
      </w:r>
      <w:r w:rsidR="00756850" w:rsidRPr="0070449B">
        <w:rPr>
          <w:rFonts w:ascii="Times New Roman" w:eastAsia="Batang" w:hAnsi="Times New Roman" w:cs="Times New Roman"/>
          <w:noProof/>
          <w:sz w:val="24"/>
          <w:szCs w:val="24"/>
          <w:lang w:val="sq-AL"/>
        </w:rPr>
        <w:t>ek</w:t>
      </w:r>
      <w:r w:rsidR="00B02FA8" w:rsidRPr="0070449B">
        <w:rPr>
          <w:rFonts w:ascii="Times New Roman" w:eastAsia="Batang" w:hAnsi="Times New Roman" w:cs="Times New Roman"/>
          <w:noProof/>
          <w:sz w:val="24"/>
          <w:szCs w:val="24"/>
          <w:lang w:val="sq-AL"/>
        </w:rPr>
        <w:t>tuar p</w:t>
      </w:r>
      <w:r w:rsidR="00DC648E" w:rsidRPr="0070449B">
        <w:rPr>
          <w:rFonts w:ascii="Times New Roman" w:eastAsia="Batang" w:hAnsi="Times New Roman" w:cs="Times New Roman"/>
          <w:noProof/>
          <w:sz w:val="24"/>
          <w:szCs w:val="24"/>
          <w:lang w:val="sq-AL"/>
        </w:rPr>
        <w:t>ë</w:t>
      </w:r>
      <w:r w:rsidR="00B02FA8" w:rsidRPr="0070449B">
        <w:rPr>
          <w:rFonts w:ascii="Times New Roman" w:eastAsia="Batang" w:hAnsi="Times New Roman" w:cs="Times New Roman"/>
          <w:noProof/>
          <w:sz w:val="24"/>
          <w:szCs w:val="24"/>
          <w:lang w:val="sq-AL"/>
        </w:rPr>
        <w:t>rmir</w:t>
      </w:r>
      <w:r w:rsidR="00DC648E" w:rsidRPr="0070449B">
        <w:rPr>
          <w:rFonts w:ascii="Times New Roman" w:eastAsia="Batang" w:hAnsi="Times New Roman" w:cs="Times New Roman"/>
          <w:noProof/>
          <w:sz w:val="24"/>
          <w:szCs w:val="24"/>
          <w:lang w:val="sq-AL"/>
        </w:rPr>
        <w:t>ë</w:t>
      </w:r>
      <w:r w:rsidR="00B02FA8" w:rsidRPr="0070449B">
        <w:rPr>
          <w:rFonts w:ascii="Times New Roman" w:eastAsia="Batang" w:hAnsi="Times New Roman" w:cs="Times New Roman"/>
          <w:noProof/>
          <w:sz w:val="24"/>
          <w:szCs w:val="24"/>
          <w:lang w:val="sq-AL"/>
        </w:rPr>
        <w:t xml:space="preserve">simin e </w:t>
      </w:r>
      <w:r>
        <w:rPr>
          <w:rFonts w:ascii="Times New Roman" w:eastAsia="Batang" w:hAnsi="Times New Roman" w:cs="Times New Roman"/>
          <w:noProof/>
          <w:sz w:val="24"/>
          <w:szCs w:val="24"/>
          <w:lang w:val="sq-AL"/>
        </w:rPr>
        <w:t xml:space="preserve">profilit të </w:t>
      </w:r>
      <w:r w:rsidR="00B02FA8" w:rsidRPr="0070449B">
        <w:rPr>
          <w:rFonts w:ascii="Times New Roman" w:eastAsia="Batang" w:hAnsi="Times New Roman" w:cs="Times New Roman"/>
          <w:noProof/>
          <w:sz w:val="24"/>
          <w:szCs w:val="24"/>
          <w:lang w:val="sq-AL"/>
        </w:rPr>
        <w:t>borxhit dhe reduktimin e riskut fiskal t</w:t>
      </w:r>
      <w:r w:rsidR="00DC648E" w:rsidRPr="0070449B">
        <w:rPr>
          <w:rFonts w:ascii="Times New Roman" w:eastAsia="Batang" w:hAnsi="Times New Roman" w:cs="Times New Roman"/>
          <w:noProof/>
          <w:sz w:val="24"/>
          <w:szCs w:val="24"/>
          <w:lang w:val="sq-AL"/>
        </w:rPr>
        <w:t>ë</w:t>
      </w:r>
      <w:r w:rsidR="00B02FA8" w:rsidRPr="0070449B">
        <w:rPr>
          <w:rFonts w:ascii="Times New Roman" w:eastAsia="Batang" w:hAnsi="Times New Roman" w:cs="Times New Roman"/>
          <w:noProof/>
          <w:sz w:val="24"/>
          <w:szCs w:val="24"/>
          <w:lang w:val="sq-AL"/>
        </w:rPr>
        <w:t xml:space="preserve"> qever</w:t>
      </w:r>
      <w:r w:rsidR="00756850" w:rsidRPr="0070449B">
        <w:rPr>
          <w:rFonts w:ascii="Times New Roman" w:eastAsia="Batang" w:hAnsi="Times New Roman" w:cs="Times New Roman"/>
          <w:noProof/>
          <w:sz w:val="24"/>
          <w:szCs w:val="24"/>
          <w:lang w:val="sq-AL"/>
        </w:rPr>
        <w:t>isë</w:t>
      </w:r>
      <w:r w:rsidR="00B02FA8" w:rsidRPr="0070449B">
        <w:rPr>
          <w:rFonts w:ascii="Times New Roman" w:eastAsia="Batang" w:hAnsi="Times New Roman" w:cs="Times New Roman"/>
          <w:noProof/>
          <w:sz w:val="24"/>
          <w:szCs w:val="24"/>
          <w:lang w:val="sq-AL"/>
        </w:rPr>
        <w:t xml:space="preserve">. </w:t>
      </w:r>
    </w:p>
    <w:p w14:paraId="71DF5BB9" w14:textId="77777777" w:rsidR="00C40D8F" w:rsidRPr="0070449B" w:rsidRDefault="005B2B61"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5B2B61">
        <w:rPr>
          <w:rFonts w:ascii="Times New Roman" w:eastAsia="Batang" w:hAnsi="Times New Roman" w:cs="Times New Roman"/>
          <w:noProof/>
          <w:sz w:val="24"/>
          <w:szCs w:val="24"/>
          <w:lang w:val="sq-AL"/>
        </w:rPr>
        <w:t>Gjatë pesëvjeçarit të fundit, burimet e brendshme të financimit kanë mbajtur peshën kryesore në mbulimin e nevojave për huamarrje në terma bruto. Megjithatë, gjatë viteve më të fundit ka spikatur roli i huamarrjes nga jashtë, në funksion të mirëmenaxhimit të likuiditetit dhe shlyerjes së detyrimeve të borxhit në valutë për periudhë</w:t>
      </w:r>
      <w:r>
        <w:rPr>
          <w:rFonts w:ascii="Times New Roman" w:eastAsia="Batang" w:hAnsi="Times New Roman" w:cs="Times New Roman"/>
          <w:noProof/>
          <w:sz w:val="24"/>
          <w:szCs w:val="24"/>
          <w:lang w:val="sq-AL"/>
        </w:rPr>
        <w:t>n</w:t>
      </w:r>
      <w:r w:rsidRPr="005B2B61">
        <w:rPr>
          <w:rFonts w:ascii="Times New Roman" w:eastAsia="Batang" w:hAnsi="Times New Roman" w:cs="Times New Roman"/>
          <w:noProof/>
          <w:sz w:val="24"/>
          <w:szCs w:val="24"/>
          <w:lang w:val="sq-AL"/>
        </w:rPr>
        <w:t xml:space="preserve"> afatshkurtër dhe afatmesme. Kjo mënyrë huamarrjeje u diktua nga rënia e normave të interesit në tregjet ndërkombëtar</w:t>
      </w:r>
      <w:r>
        <w:rPr>
          <w:rFonts w:ascii="Times New Roman" w:eastAsia="Batang" w:hAnsi="Times New Roman" w:cs="Times New Roman"/>
          <w:noProof/>
          <w:sz w:val="24"/>
          <w:szCs w:val="24"/>
          <w:lang w:val="sq-AL"/>
        </w:rPr>
        <w:t>e</w:t>
      </w:r>
      <w:r w:rsidRPr="005B2B61">
        <w:rPr>
          <w:rFonts w:ascii="Times New Roman" w:eastAsia="Batang" w:hAnsi="Times New Roman" w:cs="Times New Roman"/>
          <w:noProof/>
          <w:sz w:val="24"/>
          <w:szCs w:val="24"/>
          <w:lang w:val="sq-AL"/>
        </w:rPr>
        <w:t xml:space="preserve">, si edhe nga kushtet e favorshme të financimit nga institucionet financiare ndërkombëtare. Zhvillimin kryesor në këtë aspekt e ka mbartur emetimi i Eurobond-it në shumën 500 milion euro në fund të vitit 2018, i cili u shoqërua me </w:t>
      </w:r>
      <w:r>
        <w:rPr>
          <w:rFonts w:ascii="Times New Roman" w:eastAsia="Batang" w:hAnsi="Times New Roman" w:cs="Times New Roman"/>
          <w:noProof/>
          <w:sz w:val="24"/>
          <w:szCs w:val="24"/>
          <w:lang w:val="sq-AL"/>
        </w:rPr>
        <w:t xml:space="preserve">procesin e </w:t>
      </w:r>
      <w:r w:rsidRPr="005B2B61">
        <w:rPr>
          <w:rFonts w:ascii="Times New Roman" w:eastAsia="Batang" w:hAnsi="Times New Roman" w:cs="Times New Roman"/>
          <w:noProof/>
          <w:sz w:val="24"/>
          <w:szCs w:val="24"/>
          <w:lang w:val="sq-AL"/>
        </w:rPr>
        <w:t>parablerje</w:t>
      </w:r>
      <w:r>
        <w:rPr>
          <w:rFonts w:ascii="Times New Roman" w:eastAsia="Batang" w:hAnsi="Times New Roman" w:cs="Times New Roman"/>
          <w:noProof/>
          <w:sz w:val="24"/>
          <w:szCs w:val="24"/>
          <w:lang w:val="sq-AL"/>
        </w:rPr>
        <w:t>s</w:t>
      </w:r>
      <w:r w:rsidRPr="005B2B61">
        <w:rPr>
          <w:rFonts w:ascii="Times New Roman" w:eastAsia="Batang" w:hAnsi="Times New Roman" w:cs="Times New Roman"/>
          <w:noProof/>
          <w:sz w:val="24"/>
          <w:szCs w:val="24"/>
          <w:lang w:val="sq-AL"/>
        </w:rPr>
        <w:t xml:space="preserve"> </w:t>
      </w:r>
      <w:r>
        <w:rPr>
          <w:rFonts w:ascii="Times New Roman" w:eastAsia="Batang" w:hAnsi="Times New Roman" w:cs="Times New Roman"/>
          <w:noProof/>
          <w:sz w:val="24"/>
          <w:szCs w:val="24"/>
          <w:lang w:val="sq-AL"/>
        </w:rPr>
        <w:t>s</w:t>
      </w:r>
      <w:r w:rsidR="001968CE">
        <w:rPr>
          <w:rFonts w:ascii="Times New Roman" w:eastAsia="Batang" w:hAnsi="Times New Roman" w:cs="Times New Roman"/>
          <w:noProof/>
          <w:sz w:val="24"/>
          <w:szCs w:val="24"/>
          <w:lang w:val="sq-AL"/>
        </w:rPr>
        <w:t>ë</w:t>
      </w:r>
      <w:r w:rsidRPr="005B2B61">
        <w:rPr>
          <w:rFonts w:ascii="Times New Roman" w:eastAsia="Batang" w:hAnsi="Times New Roman" w:cs="Times New Roman"/>
          <w:noProof/>
          <w:sz w:val="24"/>
          <w:szCs w:val="24"/>
          <w:lang w:val="sq-AL"/>
        </w:rPr>
        <w:t xml:space="preserve"> pjesshme </w:t>
      </w:r>
      <w:r w:rsidRPr="005B2B61">
        <w:rPr>
          <w:rFonts w:ascii="Times New Roman" w:eastAsia="Batang" w:hAnsi="Times New Roman" w:cs="Times New Roman"/>
          <w:i/>
          <w:noProof/>
          <w:sz w:val="24"/>
          <w:szCs w:val="24"/>
          <w:lang w:val="sq-AL"/>
        </w:rPr>
        <w:t>(buyback)</w:t>
      </w:r>
      <w:r w:rsidRPr="005B2B61">
        <w:rPr>
          <w:rFonts w:ascii="Times New Roman" w:eastAsia="Batang" w:hAnsi="Times New Roman" w:cs="Times New Roman"/>
          <w:noProof/>
          <w:sz w:val="24"/>
          <w:szCs w:val="24"/>
          <w:lang w:val="sq-AL"/>
        </w:rPr>
        <w:t xml:space="preserve"> të Eurobond-it ekzistues në vlerën prej 200 milion Euro.</w:t>
      </w:r>
    </w:p>
    <w:p w14:paraId="71DF5BBA" w14:textId="77777777" w:rsidR="00B77A2D" w:rsidRPr="0070449B" w:rsidRDefault="002D5DCA"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Ky proces mundësoi jo vetëm plotësimin e nevojave për likuiditet të vitit 2018 dhe</w:t>
      </w:r>
      <w:r w:rsidR="009013FB" w:rsidRPr="0070449B">
        <w:rPr>
          <w:rFonts w:ascii="Times New Roman" w:eastAsia="Batang" w:hAnsi="Times New Roman" w:cs="Times New Roman"/>
          <w:noProof/>
          <w:sz w:val="24"/>
          <w:szCs w:val="24"/>
          <w:lang w:val="sq-AL"/>
        </w:rPr>
        <w:t xml:space="preserve"> 2019</w:t>
      </w:r>
      <w:r w:rsidRPr="0070449B">
        <w:rPr>
          <w:rFonts w:ascii="Times New Roman" w:eastAsia="Batang" w:hAnsi="Times New Roman" w:cs="Times New Roman"/>
          <w:noProof/>
          <w:sz w:val="24"/>
          <w:szCs w:val="24"/>
          <w:lang w:val="sq-AL"/>
        </w:rPr>
        <w:t xml:space="preserve">, por edhe menaxhimin aktiv të detyrimeve </w:t>
      </w:r>
      <w:r w:rsidR="007D210B">
        <w:rPr>
          <w:rFonts w:ascii="Times New Roman" w:eastAsia="Batang" w:hAnsi="Times New Roman" w:cs="Times New Roman"/>
          <w:noProof/>
          <w:sz w:val="24"/>
          <w:szCs w:val="24"/>
          <w:lang w:val="sq-AL"/>
        </w:rPr>
        <w:t xml:space="preserve">të borxhit, duke </w:t>
      </w:r>
      <w:r w:rsidRPr="0070449B">
        <w:rPr>
          <w:rFonts w:ascii="Times New Roman" w:eastAsia="Batang" w:hAnsi="Times New Roman" w:cs="Times New Roman"/>
          <w:noProof/>
          <w:sz w:val="24"/>
          <w:szCs w:val="24"/>
          <w:lang w:val="sq-AL"/>
        </w:rPr>
        <w:t>mbajtur nën kontroll riskun e rifinancim</w:t>
      </w:r>
      <w:r w:rsidR="00332B47">
        <w:rPr>
          <w:rFonts w:ascii="Times New Roman" w:eastAsia="Batang" w:hAnsi="Times New Roman" w:cs="Times New Roman"/>
          <w:noProof/>
          <w:sz w:val="24"/>
          <w:szCs w:val="24"/>
          <w:lang w:val="sq-AL"/>
        </w:rPr>
        <w:t>it dhe atë</w:t>
      </w:r>
      <w:r w:rsidRPr="0070449B">
        <w:rPr>
          <w:rFonts w:ascii="Times New Roman" w:eastAsia="Batang" w:hAnsi="Times New Roman" w:cs="Times New Roman"/>
          <w:noProof/>
          <w:sz w:val="24"/>
          <w:szCs w:val="24"/>
          <w:lang w:val="sq-AL"/>
        </w:rPr>
        <w:t xml:space="preserve"> të normave të interesit në periudhën afatshkurtër dhe afatmesme.</w:t>
      </w:r>
    </w:p>
    <w:p w14:paraId="71DF5BBB" w14:textId="77777777" w:rsidR="00B77A2D" w:rsidRPr="0070449B" w:rsidRDefault="00B77A2D" w:rsidP="00291349">
      <w:pPr>
        <w:autoSpaceDE w:val="0"/>
        <w:autoSpaceDN w:val="0"/>
        <w:adjustRightInd w:val="0"/>
        <w:spacing w:after="0" w:line="276" w:lineRule="auto"/>
        <w:ind w:left="142" w:right="237"/>
        <w:contextualSpacing/>
        <w:jc w:val="both"/>
        <w:rPr>
          <w:rFonts w:ascii="Times New Roman" w:eastAsia="Batang" w:hAnsi="Times New Roman" w:cs="Times New Roman"/>
          <w:noProof/>
          <w:sz w:val="16"/>
          <w:szCs w:val="24"/>
          <w:lang w:val="sq-AL"/>
        </w:rPr>
      </w:pPr>
    </w:p>
    <w:p w14:paraId="71DF5BBC" w14:textId="77777777" w:rsidR="007D210B" w:rsidRDefault="007D210B"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D210B">
        <w:rPr>
          <w:rFonts w:ascii="Times New Roman" w:eastAsia="Batang" w:hAnsi="Times New Roman" w:cs="Times New Roman"/>
          <w:noProof/>
          <w:sz w:val="24"/>
          <w:szCs w:val="24"/>
          <w:lang w:val="sq-AL"/>
        </w:rPr>
        <w:t xml:space="preserve">Objektivat strategjikë afatmesëm të menaxhimit të borxhit përgjithësisht janë përmbushur, si në drejtim të arritjes së raporteve optimale </w:t>
      </w:r>
      <w:r>
        <w:rPr>
          <w:rFonts w:ascii="Times New Roman" w:eastAsia="Batang" w:hAnsi="Times New Roman" w:cs="Times New Roman"/>
          <w:noProof/>
          <w:sz w:val="24"/>
          <w:szCs w:val="24"/>
          <w:lang w:val="sq-AL"/>
        </w:rPr>
        <w:t>nd</w:t>
      </w:r>
      <w:r w:rsidR="001968CE">
        <w:rPr>
          <w:rFonts w:ascii="Times New Roman" w:eastAsia="Batang" w:hAnsi="Times New Roman" w:cs="Times New Roman"/>
          <w:noProof/>
          <w:sz w:val="24"/>
          <w:szCs w:val="24"/>
          <w:lang w:val="sq-AL"/>
        </w:rPr>
        <w:t>ë</w:t>
      </w:r>
      <w:r>
        <w:rPr>
          <w:rFonts w:ascii="Times New Roman" w:eastAsia="Batang" w:hAnsi="Times New Roman" w:cs="Times New Roman"/>
          <w:noProof/>
          <w:sz w:val="24"/>
          <w:szCs w:val="24"/>
          <w:lang w:val="sq-AL"/>
        </w:rPr>
        <w:t>rmjet</w:t>
      </w:r>
      <w:r w:rsidRPr="007D210B">
        <w:rPr>
          <w:rFonts w:ascii="Times New Roman" w:eastAsia="Batang" w:hAnsi="Times New Roman" w:cs="Times New Roman"/>
          <w:noProof/>
          <w:sz w:val="24"/>
          <w:szCs w:val="24"/>
          <w:lang w:val="sq-AL"/>
        </w:rPr>
        <w:t xml:space="preserve"> kosto</w:t>
      </w:r>
      <w:r>
        <w:rPr>
          <w:rFonts w:ascii="Times New Roman" w:eastAsia="Batang" w:hAnsi="Times New Roman" w:cs="Times New Roman"/>
          <w:noProof/>
          <w:sz w:val="24"/>
          <w:szCs w:val="24"/>
          <w:lang w:val="sq-AL"/>
        </w:rPr>
        <w:t>s</w:t>
      </w:r>
      <w:r w:rsidRPr="007D210B">
        <w:rPr>
          <w:rFonts w:ascii="Times New Roman" w:eastAsia="Batang" w:hAnsi="Times New Roman" w:cs="Times New Roman"/>
          <w:noProof/>
          <w:sz w:val="24"/>
          <w:szCs w:val="24"/>
          <w:lang w:val="sq-AL"/>
        </w:rPr>
        <w:t xml:space="preserve"> dhe r</w:t>
      </w:r>
      <w:r>
        <w:rPr>
          <w:rFonts w:ascii="Times New Roman" w:eastAsia="Batang" w:hAnsi="Times New Roman" w:cs="Times New Roman"/>
          <w:noProof/>
          <w:sz w:val="24"/>
          <w:szCs w:val="24"/>
          <w:lang w:val="sq-AL"/>
        </w:rPr>
        <w:t>isqeve</w:t>
      </w:r>
      <w:r w:rsidRPr="007D210B">
        <w:rPr>
          <w:rFonts w:ascii="Times New Roman" w:eastAsia="Batang" w:hAnsi="Times New Roman" w:cs="Times New Roman"/>
          <w:noProof/>
          <w:sz w:val="24"/>
          <w:szCs w:val="24"/>
          <w:lang w:val="sq-AL"/>
        </w:rPr>
        <w:t>, ashtu edhe në aspektin e zhvillimit të tregut të titujve shtetërorë.</w:t>
      </w:r>
    </w:p>
    <w:p w14:paraId="71DF5BBD" w14:textId="77777777" w:rsidR="001A30E2" w:rsidRPr="001A30E2" w:rsidRDefault="001A30E2" w:rsidP="00291349">
      <w:pPr>
        <w:autoSpaceDE w:val="0"/>
        <w:autoSpaceDN w:val="0"/>
        <w:adjustRightInd w:val="0"/>
        <w:spacing w:after="0" w:line="276" w:lineRule="auto"/>
        <w:ind w:right="237"/>
        <w:contextualSpacing/>
        <w:jc w:val="both"/>
        <w:rPr>
          <w:rFonts w:ascii="Times New Roman" w:eastAsia="Batang" w:hAnsi="Times New Roman" w:cs="Times New Roman"/>
          <w:noProof/>
          <w:sz w:val="16"/>
          <w:szCs w:val="24"/>
          <w:lang w:val="sq-AL"/>
        </w:rPr>
      </w:pPr>
    </w:p>
    <w:p w14:paraId="71DF5BBE" w14:textId="77777777" w:rsidR="001A30E2" w:rsidRPr="0070449B" w:rsidRDefault="001A30E2"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1A30E2">
        <w:rPr>
          <w:rFonts w:ascii="Times New Roman" w:eastAsia="Batang" w:hAnsi="Times New Roman" w:cs="Times New Roman"/>
          <w:noProof/>
          <w:sz w:val="24"/>
          <w:szCs w:val="24"/>
          <w:lang w:val="sq-AL"/>
        </w:rPr>
        <w:t xml:space="preserve">Ekspozimi më i ulët ndaj </w:t>
      </w:r>
      <w:r>
        <w:rPr>
          <w:rFonts w:ascii="Times New Roman" w:eastAsia="Batang" w:hAnsi="Times New Roman" w:cs="Times New Roman"/>
          <w:noProof/>
          <w:sz w:val="24"/>
          <w:szCs w:val="24"/>
          <w:lang w:val="sq-AL"/>
        </w:rPr>
        <w:t>risqeve</w:t>
      </w:r>
      <w:r w:rsidRPr="001A30E2">
        <w:rPr>
          <w:rFonts w:ascii="Times New Roman" w:eastAsia="Batang" w:hAnsi="Times New Roman" w:cs="Times New Roman"/>
          <w:noProof/>
          <w:sz w:val="24"/>
          <w:szCs w:val="24"/>
          <w:lang w:val="sq-AL"/>
        </w:rPr>
        <w:t xml:space="preserve"> është arritur nëpërmjet përqendrimit më të lartë të huamarrjes së brendshme </w:t>
      </w:r>
      <w:r w:rsidR="00CF553B">
        <w:rPr>
          <w:rFonts w:ascii="Times New Roman" w:eastAsia="Batang" w:hAnsi="Times New Roman" w:cs="Times New Roman"/>
          <w:noProof/>
          <w:sz w:val="24"/>
          <w:szCs w:val="24"/>
          <w:lang w:val="sq-AL"/>
        </w:rPr>
        <w:t>tek</w:t>
      </w:r>
      <w:r w:rsidRPr="001A30E2">
        <w:rPr>
          <w:rFonts w:ascii="Times New Roman" w:eastAsia="Batang" w:hAnsi="Times New Roman" w:cs="Times New Roman"/>
          <w:noProof/>
          <w:sz w:val="24"/>
          <w:szCs w:val="24"/>
          <w:lang w:val="sq-AL"/>
        </w:rPr>
        <w:t xml:space="preserve"> tituj</w:t>
      </w:r>
      <w:r w:rsidR="00CF553B">
        <w:rPr>
          <w:rFonts w:ascii="Times New Roman" w:eastAsia="Batang" w:hAnsi="Times New Roman" w:cs="Times New Roman"/>
          <w:noProof/>
          <w:sz w:val="24"/>
          <w:szCs w:val="24"/>
          <w:lang w:val="sq-AL"/>
        </w:rPr>
        <w:t>t</w:t>
      </w:r>
      <w:r w:rsidRPr="001A30E2">
        <w:rPr>
          <w:rFonts w:ascii="Times New Roman" w:eastAsia="Batang" w:hAnsi="Times New Roman" w:cs="Times New Roman"/>
          <w:noProof/>
          <w:sz w:val="24"/>
          <w:szCs w:val="24"/>
          <w:lang w:val="sq-AL"/>
        </w:rPr>
        <w:t xml:space="preserve"> afatgjatë me norma interesi fikse.</w:t>
      </w:r>
    </w:p>
    <w:p w14:paraId="71DF5BBF" w14:textId="77777777" w:rsidR="001A30E2" w:rsidRDefault="001A30E2"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1A30E2">
        <w:rPr>
          <w:rFonts w:ascii="Times New Roman" w:eastAsia="Batang" w:hAnsi="Times New Roman" w:cs="Times New Roman"/>
          <w:noProof/>
          <w:sz w:val="24"/>
          <w:szCs w:val="24"/>
          <w:lang w:val="sq-AL"/>
        </w:rPr>
        <w:t>Nga ana tjetër, rënia e normave të interesit s</w:t>
      </w:r>
      <w:r w:rsidR="00B73BAA">
        <w:rPr>
          <w:rFonts w:ascii="Times New Roman" w:eastAsia="Batang" w:hAnsi="Times New Roman" w:cs="Times New Roman"/>
          <w:noProof/>
          <w:sz w:val="24"/>
          <w:szCs w:val="24"/>
          <w:lang w:val="sq-AL"/>
        </w:rPr>
        <w:t>hoq</w:t>
      </w:r>
      <w:r w:rsidR="001968CE">
        <w:rPr>
          <w:rFonts w:ascii="Times New Roman" w:eastAsia="Batang" w:hAnsi="Times New Roman" w:cs="Times New Roman"/>
          <w:noProof/>
          <w:sz w:val="24"/>
          <w:szCs w:val="24"/>
          <w:lang w:val="sq-AL"/>
        </w:rPr>
        <w:t>ë</w:t>
      </w:r>
      <w:r w:rsidR="00B73BAA">
        <w:rPr>
          <w:rFonts w:ascii="Times New Roman" w:eastAsia="Batang" w:hAnsi="Times New Roman" w:cs="Times New Roman"/>
          <w:noProof/>
          <w:sz w:val="24"/>
          <w:szCs w:val="24"/>
          <w:lang w:val="sq-AL"/>
        </w:rPr>
        <w:t xml:space="preserve">ruar </w:t>
      </w:r>
      <w:r w:rsidRPr="001A30E2">
        <w:rPr>
          <w:rFonts w:ascii="Times New Roman" w:eastAsia="Batang" w:hAnsi="Times New Roman" w:cs="Times New Roman"/>
          <w:noProof/>
          <w:sz w:val="24"/>
          <w:szCs w:val="24"/>
          <w:lang w:val="sq-AL"/>
        </w:rPr>
        <w:t>me përdorimin më të lartë të burimeve të huaja të financimit me natyrë dypalëshe dhe shumëpalëshe, kanë ndikuar në optimizimin e kosto</w:t>
      </w:r>
      <w:r w:rsidR="00B73BAA">
        <w:rPr>
          <w:rFonts w:ascii="Times New Roman" w:eastAsia="Batang" w:hAnsi="Times New Roman" w:cs="Times New Roman"/>
          <w:noProof/>
          <w:sz w:val="24"/>
          <w:szCs w:val="24"/>
          <w:lang w:val="sq-AL"/>
        </w:rPr>
        <w:t>s s</w:t>
      </w:r>
      <w:r w:rsidRPr="001A30E2">
        <w:rPr>
          <w:rFonts w:ascii="Times New Roman" w:eastAsia="Batang" w:hAnsi="Times New Roman" w:cs="Times New Roman"/>
          <w:noProof/>
          <w:sz w:val="24"/>
          <w:szCs w:val="24"/>
          <w:lang w:val="sq-AL"/>
        </w:rPr>
        <w:t>ë përgjithshme të huamarrjes.</w:t>
      </w:r>
    </w:p>
    <w:p w14:paraId="71DF5BC0" w14:textId="77777777" w:rsidR="00B77A2D" w:rsidRPr="0070449B" w:rsidRDefault="00476E90"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70449B">
        <w:rPr>
          <w:rFonts w:ascii="Times New Roman" w:eastAsia="Batang" w:hAnsi="Times New Roman" w:cs="Times New Roman"/>
          <w:noProof/>
          <w:sz w:val="24"/>
          <w:szCs w:val="24"/>
          <w:lang w:val="sq-AL"/>
        </w:rPr>
        <w:t>N</w:t>
      </w:r>
      <w:r w:rsidR="00DC648E"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k</w:t>
      </w:r>
      <w:r w:rsidR="00DC648E"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t</w:t>
      </w:r>
      <w:r w:rsidR="00DC648E"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aspekt, vlen t</w:t>
      </w:r>
      <w:r w:rsidR="00DC648E"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 xml:space="preserve"> p</w:t>
      </w:r>
      <w:r w:rsidR="00DC648E" w:rsidRPr="0070449B">
        <w:rPr>
          <w:rFonts w:ascii="Times New Roman" w:eastAsia="Batang" w:hAnsi="Times New Roman" w:cs="Times New Roman"/>
          <w:noProof/>
          <w:sz w:val="24"/>
          <w:szCs w:val="24"/>
          <w:lang w:val="sq-AL"/>
        </w:rPr>
        <w:t>ë</w:t>
      </w:r>
      <w:r w:rsidRPr="0070449B">
        <w:rPr>
          <w:rFonts w:ascii="Times New Roman" w:eastAsia="Batang" w:hAnsi="Times New Roman" w:cs="Times New Roman"/>
          <w:noProof/>
          <w:sz w:val="24"/>
          <w:szCs w:val="24"/>
          <w:lang w:val="sq-AL"/>
        </w:rPr>
        <w:t>rmendet se g</w:t>
      </w:r>
      <w:r w:rsidR="00834102" w:rsidRPr="0070449B">
        <w:rPr>
          <w:rFonts w:ascii="Times New Roman" w:eastAsia="Batang" w:hAnsi="Times New Roman" w:cs="Times New Roman"/>
          <w:noProof/>
          <w:sz w:val="24"/>
          <w:szCs w:val="24"/>
          <w:lang w:val="sq-AL"/>
        </w:rPr>
        <w:t>jatë viteve t</w:t>
      </w:r>
      <w:r w:rsidR="00DC648E" w:rsidRPr="0070449B">
        <w:rPr>
          <w:rFonts w:ascii="Times New Roman" w:eastAsia="Batang" w:hAnsi="Times New Roman" w:cs="Times New Roman"/>
          <w:noProof/>
          <w:sz w:val="24"/>
          <w:szCs w:val="24"/>
          <w:lang w:val="sq-AL"/>
        </w:rPr>
        <w:t>ë</w:t>
      </w:r>
      <w:r w:rsidR="00834102" w:rsidRPr="0070449B">
        <w:rPr>
          <w:rFonts w:ascii="Times New Roman" w:eastAsia="Batang" w:hAnsi="Times New Roman" w:cs="Times New Roman"/>
          <w:noProof/>
          <w:sz w:val="24"/>
          <w:szCs w:val="24"/>
          <w:lang w:val="sq-AL"/>
        </w:rPr>
        <w:t xml:space="preserve"> fundit</w:t>
      </w:r>
      <w:r w:rsidRPr="0070449B">
        <w:rPr>
          <w:rFonts w:ascii="Times New Roman" w:eastAsia="Batang" w:hAnsi="Times New Roman" w:cs="Times New Roman"/>
          <w:noProof/>
          <w:sz w:val="24"/>
          <w:szCs w:val="24"/>
          <w:lang w:val="sq-AL"/>
        </w:rPr>
        <w:t xml:space="preserve"> </w:t>
      </w:r>
      <w:r w:rsidR="00B77A2D" w:rsidRPr="0070449B">
        <w:rPr>
          <w:rFonts w:ascii="Times New Roman" w:eastAsia="Batang" w:hAnsi="Times New Roman" w:cs="Times New Roman"/>
          <w:noProof/>
          <w:sz w:val="24"/>
          <w:szCs w:val="24"/>
          <w:lang w:val="sq-AL"/>
        </w:rPr>
        <w:t>kostot për njësi</w:t>
      </w:r>
      <w:r w:rsidR="001C5753" w:rsidRPr="0070449B">
        <w:rPr>
          <w:rFonts w:ascii="Times New Roman" w:eastAsia="Batang" w:hAnsi="Times New Roman" w:cs="Times New Roman"/>
          <w:noProof/>
          <w:sz w:val="24"/>
          <w:szCs w:val="24"/>
          <w:lang w:val="sq-AL"/>
        </w:rPr>
        <w:t xml:space="preserve"> t</w:t>
      </w:r>
      <w:r w:rsidR="00205ABE">
        <w:rPr>
          <w:rFonts w:ascii="Times New Roman" w:eastAsia="Batang" w:hAnsi="Times New Roman" w:cs="Times New Roman"/>
          <w:noProof/>
          <w:sz w:val="24"/>
          <w:szCs w:val="24"/>
          <w:lang w:val="sq-AL"/>
        </w:rPr>
        <w:t>ë</w:t>
      </w:r>
      <w:r w:rsidR="001C5753" w:rsidRPr="0070449B">
        <w:rPr>
          <w:rFonts w:ascii="Times New Roman" w:eastAsia="Batang" w:hAnsi="Times New Roman" w:cs="Times New Roman"/>
          <w:noProof/>
          <w:sz w:val="24"/>
          <w:szCs w:val="24"/>
          <w:lang w:val="sq-AL"/>
        </w:rPr>
        <w:t xml:space="preserve"> borxhit</w:t>
      </w:r>
      <w:r w:rsidR="00B77A2D" w:rsidRPr="0070449B">
        <w:rPr>
          <w:rFonts w:ascii="Times New Roman" w:eastAsia="Batang" w:hAnsi="Times New Roman" w:cs="Times New Roman"/>
          <w:noProof/>
          <w:sz w:val="24"/>
          <w:szCs w:val="24"/>
          <w:lang w:val="sq-AL"/>
        </w:rPr>
        <w:t xml:space="preserve">, </w:t>
      </w:r>
      <w:r w:rsidR="00834102" w:rsidRPr="0070449B">
        <w:rPr>
          <w:rFonts w:ascii="Times New Roman" w:eastAsia="Batang" w:hAnsi="Times New Roman" w:cs="Times New Roman"/>
          <w:noProof/>
          <w:sz w:val="24"/>
          <w:szCs w:val="24"/>
          <w:lang w:val="sq-AL"/>
        </w:rPr>
        <w:t>jan</w:t>
      </w:r>
      <w:r w:rsidR="00DC648E" w:rsidRPr="0070449B">
        <w:rPr>
          <w:rFonts w:ascii="Times New Roman" w:eastAsia="Batang" w:hAnsi="Times New Roman" w:cs="Times New Roman"/>
          <w:noProof/>
          <w:sz w:val="24"/>
          <w:szCs w:val="24"/>
          <w:lang w:val="sq-AL"/>
        </w:rPr>
        <w:t>ë</w:t>
      </w:r>
      <w:r w:rsidR="00834102" w:rsidRPr="0070449B">
        <w:rPr>
          <w:rFonts w:ascii="Times New Roman" w:eastAsia="Batang" w:hAnsi="Times New Roman" w:cs="Times New Roman"/>
          <w:noProof/>
          <w:sz w:val="24"/>
          <w:szCs w:val="24"/>
          <w:lang w:val="sq-AL"/>
        </w:rPr>
        <w:t xml:space="preserve"> ulur </w:t>
      </w:r>
      <w:r w:rsidR="00B77A2D" w:rsidRPr="0070449B">
        <w:rPr>
          <w:rFonts w:ascii="Times New Roman" w:eastAsia="Batang" w:hAnsi="Times New Roman" w:cs="Times New Roman"/>
          <w:noProof/>
          <w:sz w:val="24"/>
          <w:szCs w:val="24"/>
          <w:lang w:val="sq-AL"/>
        </w:rPr>
        <w:t>ndjeshëm</w:t>
      </w:r>
      <w:r w:rsidR="00834102" w:rsidRPr="0070449B">
        <w:rPr>
          <w:rFonts w:ascii="Times New Roman" w:eastAsia="Batang" w:hAnsi="Times New Roman" w:cs="Times New Roman"/>
          <w:noProof/>
          <w:sz w:val="24"/>
          <w:szCs w:val="24"/>
          <w:lang w:val="sq-AL"/>
        </w:rPr>
        <w:t>, pavar</w:t>
      </w:r>
      <w:r w:rsidR="00DC648E" w:rsidRPr="0070449B">
        <w:rPr>
          <w:rFonts w:ascii="Times New Roman" w:eastAsia="Batang" w:hAnsi="Times New Roman" w:cs="Times New Roman"/>
          <w:noProof/>
          <w:sz w:val="24"/>
          <w:szCs w:val="24"/>
          <w:lang w:val="sq-AL"/>
        </w:rPr>
        <w:t>ë</w:t>
      </w:r>
      <w:r w:rsidR="00834102" w:rsidRPr="0070449B">
        <w:rPr>
          <w:rFonts w:ascii="Times New Roman" w:eastAsia="Batang" w:hAnsi="Times New Roman" w:cs="Times New Roman"/>
          <w:noProof/>
          <w:sz w:val="24"/>
          <w:szCs w:val="24"/>
          <w:lang w:val="sq-AL"/>
        </w:rPr>
        <w:t>sisht rritjes s</w:t>
      </w:r>
      <w:r w:rsidR="00DC648E" w:rsidRPr="0070449B">
        <w:rPr>
          <w:rFonts w:ascii="Times New Roman" w:eastAsia="Batang" w:hAnsi="Times New Roman" w:cs="Times New Roman"/>
          <w:noProof/>
          <w:sz w:val="24"/>
          <w:szCs w:val="24"/>
          <w:lang w:val="sq-AL"/>
        </w:rPr>
        <w:t>ë</w:t>
      </w:r>
      <w:r w:rsidR="00834102" w:rsidRPr="0070449B">
        <w:rPr>
          <w:rFonts w:ascii="Times New Roman" w:eastAsia="Batang" w:hAnsi="Times New Roman" w:cs="Times New Roman"/>
          <w:noProof/>
          <w:sz w:val="24"/>
          <w:szCs w:val="24"/>
          <w:lang w:val="sq-AL"/>
        </w:rPr>
        <w:t xml:space="preserve"> stokut t</w:t>
      </w:r>
      <w:r w:rsidR="00DC648E" w:rsidRPr="0070449B">
        <w:rPr>
          <w:rFonts w:ascii="Times New Roman" w:eastAsia="Batang" w:hAnsi="Times New Roman" w:cs="Times New Roman"/>
          <w:noProof/>
          <w:sz w:val="24"/>
          <w:szCs w:val="24"/>
          <w:lang w:val="sq-AL"/>
        </w:rPr>
        <w:t>ë</w:t>
      </w:r>
      <w:r w:rsidR="00834102" w:rsidRPr="0070449B">
        <w:rPr>
          <w:rFonts w:ascii="Times New Roman" w:eastAsia="Batang" w:hAnsi="Times New Roman" w:cs="Times New Roman"/>
          <w:noProof/>
          <w:sz w:val="24"/>
          <w:szCs w:val="24"/>
          <w:lang w:val="sq-AL"/>
        </w:rPr>
        <w:t xml:space="preserve"> borxhit n</w:t>
      </w:r>
      <w:r w:rsidR="00DC648E" w:rsidRPr="0070449B">
        <w:rPr>
          <w:rFonts w:ascii="Times New Roman" w:eastAsia="Batang" w:hAnsi="Times New Roman" w:cs="Times New Roman"/>
          <w:noProof/>
          <w:sz w:val="24"/>
          <w:szCs w:val="24"/>
          <w:lang w:val="sq-AL"/>
        </w:rPr>
        <w:t>ë</w:t>
      </w:r>
      <w:r w:rsidR="00834102" w:rsidRPr="0070449B">
        <w:rPr>
          <w:rFonts w:ascii="Times New Roman" w:eastAsia="Batang" w:hAnsi="Times New Roman" w:cs="Times New Roman"/>
          <w:noProof/>
          <w:sz w:val="24"/>
          <w:szCs w:val="24"/>
          <w:lang w:val="sq-AL"/>
        </w:rPr>
        <w:t xml:space="preserve"> vler</w:t>
      </w:r>
      <w:r w:rsidR="00DC648E" w:rsidRPr="0070449B">
        <w:rPr>
          <w:rFonts w:ascii="Times New Roman" w:eastAsia="Batang" w:hAnsi="Times New Roman" w:cs="Times New Roman"/>
          <w:noProof/>
          <w:sz w:val="24"/>
          <w:szCs w:val="24"/>
          <w:lang w:val="sq-AL"/>
        </w:rPr>
        <w:t>ë</w:t>
      </w:r>
      <w:r w:rsidR="00834102" w:rsidRPr="0070449B">
        <w:rPr>
          <w:rFonts w:ascii="Times New Roman" w:eastAsia="Batang" w:hAnsi="Times New Roman" w:cs="Times New Roman"/>
          <w:noProof/>
          <w:sz w:val="24"/>
          <w:szCs w:val="24"/>
          <w:lang w:val="sq-AL"/>
        </w:rPr>
        <w:t xml:space="preserve"> absolute</w:t>
      </w:r>
      <w:r w:rsidR="00B77A2D" w:rsidRPr="0070449B">
        <w:rPr>
          <w:rFonts w:ascii="Times New Roman" w:eastAsia="Batang" w:hAnsi="Times New Roman" w:cs="Times New Roman"/>
          <w:noProof/>
          <w:sz w:val="24"/>
          <w:szCs w:val="24"/>
          <w:lang w:val="sq-AL"/>
        </w:rPr>
        <w:t xml:space="preserve">. </w:t>
      </w:r>
    </w:p>
    <w:p w14:paraId="71DF5BC1" w14:textId="77777777" w:rsidR="00B77A2D" w:rsidRDefault="00B77A2D" w:rsidP="00291349">
      <w:pPr>
        <w:autoSpaceDE w:val="0"/>
        <w:autoSpaceDN w:val="0"/>
        <w:adjustRightInd w:val="0"/>
        <w:spacing w:after="0" w:line="276" w:lineRule="auto"/>
        <w:ind w:left="142" w:right="237"/>
        <w:contextualSpacing/>
        <w:jc w:val="both"/>
        <w:rPr>
          <w:rFonts w:ascii="Times New Roman" w:eastAsia="Batang" w:hAnsi="Times New Roman" w:cs="Times New Roman"/>
          <w:noProof/>
          <w:sz w:val="16"/>
          <w:szCs w:val="24"/>
          <w:lang w:val="sq-AL"/>
        </w:rPr>
      </w:pPr>
    </w:p>
    <w:p w14:paraId="71DF5BC2" w14:textId="77777777" w:rsidR="00F57A1C" w:rsidRPr="00F57A1C" w:rsidRDefault="00F57A1C" w:rsidP="00F57A1C">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F57A1C">
        <w:rPr>
          <w:rFonts w:ascii="Times New Roman" w:eastAsia="Batang" w:hAnsi="Times New Roman" w:cs="Times New Roman"/>
          <w:noProof/>
          <w:sz w:val="24"/>
          <w:szCs w:val="24"/>
          <w:lang w:val="sq-AL"/>
        </w:rPr>
        <w:lastRenderedPageBreak/>
        <w:t>Në funksion të arritjes së objektivit për përmirësimin e mëtejshëm të tregut primar të titujve shtetërorë, si edhe krijimin e kushteve për zhvillimin e tregut sekondar, janë ndjekur hapat e nevojshëm që kanë synuar rritjen e eficiencës, likuiditetit dhe transparencës.</w:t>
      </w:r>
    </w:p>
    <w:p w14:paraId="71DF5BC3" w14:textId="77777777" w:rsidR="00F57A1C" w:rsidRDefault="002D5DCA"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D80441">
        <w:rPr>
          <w:rFonts w:ascii="Times New Roman" w:eastAsia="Batang" w:hAnsi="Times New Roman" w:cs="Times New Roman"/>
          <w:noProof/>
          <w:sz w:val="24"/>
          <w:szCs w:val="24"/>
          <w:lang w:val="sq-AL"/>
        </w:rPr>
        <w:t xml:space="preserve">Në këtë drejtim vlen të përmendet zbatimi i </w:t>
      </w:r>
      <w:r w:rsidR="00F72246" w:rsidRPr="00D80441">
        <w:rPr>
          <w:rFonts w:ascii="Times New Roman" w:eastAsia="Batang" w:hAnsi="Times New Roman" w:cs="Times New Roman"/>
          <w:noProof/>
          <w:sz w:val="24"/>
          <w:szCs w:val="24"/>
          <w:lang w:val="sq-AL"/>
        </w:rPr>
        <w:t>p</w:t>
      </w:r>
      <w:r w:rsidRPr="00D80441">
        <w:rPr>
          <w:rFonts w:ascii="Times New Roman" w:eastAsia="Batang" w:hAnsi="Times New Roman" w:cs="Times New Roman"/>
          <w:noProof/>
          <w:sz w:val="24"/>
          <w:szCs w:val="24"/>
          <w:lang w:val="sq-AL"/>
        </w:rPr>
        <w:t xml:space="preserve">rojektit </w:t>
      </w:r>
      <w:r w:rsidR="00F72246" w:rsidRPr="00D80441">
        <w:rPr>
          <w:rFonts w:ascii="Times New Roman" w:eastAsia="Batang" w:hAnsi="Times New Roman" w:cs="Times New Roman"/>
          <w:noProof/>
          <w:sz w:val="24"/>
          <w:szCs w:val="24"/>
          <w:lang w:val="sq-AL"/>
        </w:rPr>
        <w:t>p</w:t>
      </w:r>
      <w:r w:rsidRPr="00D80441">
        <w:rPr>
          <w:rFonts w:ascii="Times New Roman" w:eastAsia="Batang" w:hAnsi="Times New Roman" w:cs="Times New Roman"/>
          <w:noProof/>
          <w:sz w:val="24"/>
          <w:szCs w:val="24"/>
          <w:lang w:val="sq-AL"/>
        </w:rPr>
        <w:t xml:space="preserve">ilot për </w:t>
      </w:r>
      <w:r w:rsidR="00F72246" w:rsidRPr="00D80441">
        <w:rPr>
          <w:rFonts w:ascii="Times New Roman" w:eastAsia="Batang" w:hAnsi="Times New Roman" w:cs="Times New Roman"/>
          <w:noProof/>
          <w:sz w:val="24"/>
          <w:szCs w:val="24"/>
          <w:lang w:val="sq-AL"/>
        </w:rPr>
        <w:t>emetimin e obligacioneve r</w:t>
      </w:r>
      <w:r w:rsidRPr="00D80441">
        <w:rPr>
          <w:rFonts w:ascii="Times New Roman" w:eastAsia="Batang" w:hAnsi="Times New Roman" w:cs="Times New Roman"/>
          <w:noProof/>
          <w:sz w:val="24"/>
          <w:szCs w:val="24"/>
          <w:lang w:val="sq-AL"/>
        </w:rPr>
        <w:t>eferencë</w:t>
      </w:r>
      <w:r w:rsidR="00F72246" w:rsidRPr="00D80441">
        <w:rPr>
          <w:rFonts w:ascii="Times New Roman" w:eastAsia="Batang" w:hAnsi="Times New Roman" w:cs="Times New Roman"/>
          <w:noProof/>
          <w:sz w:val="24"/>
          <w:szCs w:val="24"/>
          <w:lang w:val="sq-AL"/>
        </w:rPr>
        <w:t>, i cili ka filluar me obligacionin 5 vjeçar gjat</w:t>
      </w:r>
      <w:r w:rsidR="00982338" w:rsidRPr="00D80441">
        <w:rPr>
          <w:rFonts w:ascii="Times New Roman" w:eastAsia="Batang" w:hAnsi="Times New Roman" w:cs="Times New Roman"/>
          <w:noProof/>
          <w:sz w:val="24"/>
          <w:szCs w:val="24"/>
          <w:lang w:val="sq-AL"/>
        </w:rPr>
        <w:t>ë</w:t>
      </w:r>
      <w:r w:rsidR="00F72246" w:rsidRPr="00D80441">
        <w:rPr>
          <w:rFonts w:ascii="Times New Roman" w:eastAsia="Batang" w:hAnsi="Times New Roman" w:cs="Times New Roman"/>
          <w:noProof/>
          <w:sz w:val="24"/>
          <w:szCs w:val="24"/>
          <w:lang w:val="sq-AL"/>
        </w:rPr>
        <w:t xml:space="preserve"> vitit 2018 dhe </w:t>
      </w:r>
      <w:r w:rsidR="00982338" w:rsidRPr="00D80441">
        <w:rPr>
          <w:rFonts w:ascii="Times New Roman" w:eastAsia="Batang" w:hAnsi="Times New Roman" w:cs="Times New Roman"/>
          <w:noProof/>
          <w:sz w:val="24"/>
          <w:szCs w:val="24"/>
          <w:lang w:val="sq-AL"/>
        </w:rPr>
        <w:t>ë</w:t>
      </w:r>
      <w:r w:rsidR="00F72246" w:rsidRPr="00D80441">
        <w:rPr>
          <w:rFonts w:ascii="Times New Roman" w:eastAsia="Batang" w:hAnsi="Times New Roman" w:cs="Times New Roman"/>
          <w:noProof/>
          <w:sz w:val="24"/>
          <w:szCs w:val="24"/>
          <w:lang w:val="sq-AL"/>
        </w:rPr>
        <w:t>sht</w:t>
      </w:r>
      <w:r w:rsidR="00982338" w:rsidRPr="00D80441">
        <w:rPr>
          <w:rFonts w:ascii="Times New Roman" w:eastAsia="Batang" w:hAnsi="Times New Roman" w:cs="Times New Roman"/>
          <w:noProof/>
          <w:sz w:val="24"/>
          <w:szCs w:val="24"/>
          <w:lang w:val="sq-AL"/>
        </w:rPr>
        <w:t>ë</w:t>
      </w:r>
      <w:r w:rsidR="00F72246" w:rsidRPr="00D80441">
        <w:rPr>
          <w:rFonts w:ascii="Times New Roman" w:eastAsia="Batang" w:hAnsi="Times New Roman" w:cs="Times New Roman"/>
          <w:noProof/>
          <w:sz w:val="24"/>
          <w:szCs w:val="24"/>
          <w:lang w:val="sq-AL"/>
        </w:rPr>
        <w:t xml:space="preserve"> shtrir</w:t>
      </w:r>
      <w:r w:rsidR="00982338" w:rsidRPr="00D80441">
        <w:rPr>
          <w:rFonts w:ascii="Times New Roman" w:eastAsia="Batang" w:hAnsi="Times New Roman" w:cs="Times New Roman"/>
          <w:noProof/>
          <w:sz w:val="24"/>
          <w:szCs w:val="24"/>
          <w:lang w:val="sq-AL"/>
        </w:rPr>
        <w:t>ë</w:t>
      </w:r>
      <w:r w:rsidR="00F72246" w:rsidRPr="00D80441">
        <w:rPr>
          <w:rFonts w:ascii="Times New Roman" w:eastAsia="Batang" w:hAnsi="Times New Roman" w:cs="Times New Roman"/>
          <w:noProof/>
          <w:sz w:val="24"/>
          <w:szCs w:val="24"/>
          <w:lang w:val="sq-AL"/>
        </w:rPr>
        <w:t xml:space="preserve"> edhe n</w:t>
      </w:r>
      <w:r w:rsidR="00982338" w:rsidRPr="00D80441">
        <w:rPr>
          <w:rFonts w:ascii="Times New Roman" w:eastAsia="Batang" w:hAnsi="Times New Roman" w:cs="Times New Roman"/>
          <w:noProof/>
          <w:sz w:val="24"/>
          <w:szCs w:val="24"/>
          <w:lang w:val="sq-AL"/>
        </w:rPr>
        <w:t>ë</w:t>
      </w:r>
      <w:r w:rsidR="00F72246" w:rsidRPr="00D80441">
        <w:rPr>
          <w:rFonts w:ascii="Times New Roman" w:eastAsia="Batang" w:hAnsi="Times New Roman" w:cs="Times New Roman"/>
          <w:noProof/>
          <w:sz w:val="24"/>
          <w:szCs w:val="24"/>
          <w:lang w:val="sq-AL"/>
        </w:rPr>
        <w:t xml:space="preserve"> obligacionin 3 vjeçar gjat</w:t>
      </w:r>
      <w:r w:rsidR="00982338" w:rsidRPr="00D80441">
        <w:rPr>
          <w:rFonts w:ascii="Times New Roman" w:eastAsia="Batang" w:hAnsi="Times New Roman" w:cs="Times New Roman"/>
          <w:noProof/>
          <w:sz w:val="24"/>
          <w:szCs w:val="24"/>
          <w:lang w:val="sq-AL"/>
        </w:rPr>
        <w:t>ë</w:t>
      </w:r>
      <w:r w:rsidR="00F72246" w:rsidRPr="00D80441">
        <w:rPr>
          <w:rFonts w:ascii="Times New Roman" w:eastAsia="Batang" w:hAnsi="Times New Roman" w:cs="Times New Roman"/>
          <w:noProof/>
          <w:sz w:val="24"/>
          <w:szCs w:val="24"/>
          <w:lang w:val="sq-AL"/>
        </w:rPr>
        <w:t xml:space="preserve"> vitit 2019.</w:t>
      </w:r>
      <w:r w:rsidR="00F57A1C">
        <w:rPr>
          <w:rFonts w:ascii="Times New Roman" w:eastAsia="Batang" w:hAnsi="Times New Roman" w:cs="Times New Roman"/>
          <w:noProof/>
          <w:sz w:val="24"/>
          <w:szCs w:val="24"/>
          <w:lang w:val="sq-AL"/>
        </w:rPr>
        <w:t xml:space="preserve"> </w:t>
      </w:r>
    </w:p>
    <w:p w14:paraId="71DF5BC4" w14:textId="77777777" w:rsidR="00B77A2D" w:rsidRDefault="00F57A1C"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F57A1C">
        <w:rPr>
          <w:rFonts w:ascii="Times New Roman" w:eastAsia="Batang" w:hAnsi="Times New Roman" w:cs="Times New Roman"/>
          <w:noProof/>
          <w:sz w:val="24"/>
          <w:szCs w:val="24"/>
          <w:lang w:val="sq-AL"/>
        </w:rPr>
        <w:t>Nga ana tjetër, baza e investitorëve për titujt shtetërorë, megjithëse mbetet ende jo shumë e diversifikuar dhe e përqendruar kryesisht tek sektori bankar, ka shfaqur një shtrirje më të gjerë drejt institucioneve jo-financiare, financiare jo-banka, si edhe drejt individëve.</w:t>
      </w:r>
    </w:p>
    <w:p w14:paraId="71DF5BC5" w14:textId="77777777" w:rsidR="00B77A2D" w:rsidRDefault="00B77A2D" w:rsidP="00F57A1C">
      <w:pPr>
        <w:autoSpaceDE w:val="0"/>
        <w:autoSpaceDN w:val="0"/>
        <w:adjustRightInd w:val="0"/>
        <w:spacing w:after="0" w:line="276" w:lineRule="auto"/>
        <w:ind w:right="237"/>
        <w:contextualSpacing/>
        <w:jc w:val="both"/>
        <w:rPr>
          <w:rFonts w:ascii="Times New Roman" w:eastAsia="Batang" w:hAnsi="Times New Roman" w:cs="Times New Roman"/>
          <w:noProof/>
          <w:sz w:val="16"/>
          <w:szCs w:val="24"/>
          <w:lang w:val="sq-AL"/>
        </w:rPr>
      </w:pPr>
    </w:p>
    <w:p w14:paraId="71DF5BC6" w14:textId="77777777" w:rsidR="00F57A1C" w:rsidRPr="00F57A1C" w:rsidRDefault="00F57A1C" w:rsidP="00F57A1C">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F57A1C">
        <w:rPr>
          <w:rFonts w:ascii="Times New Roman" w:eastAsia="Batang" w:hAnsi="Times New Roman" w:cs="Times New Roman"/>
          <w:noProof/>
          <w:sz w:val="24"/>
          <w:szCs w:val="24"/>
          <w:lang w:val="sq-AL"/>
        </w:rPr>
        <w:t xml:space="preserve">Në periudhën afatmesme menaxhimi i borxhit do të vijojë të synojë përmirësimin e mëtejshëm të profilit të borxhit (kryesisht </w:t>
      </w:r>
      <w:r>
        <w:rPr>
          <w:rFonts w:ascii="Times New Roman" w:eastAsia="Batang" w:hAnsi="Times New Roman" w:cs="Times New Roman"/>
          <w:noProof/>
          <w:sz w:val="24"/>
          <w:szCs w:val="24"/>
          <w:lang w:val="sq-AL"/>
        </w:rPr>
        <w:t>at</w:t>
      </w:r>
      <w:r w:rsidR="001968CE">
        <w:rPr>
          <w:rFonts w:ascii="Times New Roman" w:eastAsia="Batang" w:hAnsi="Times New Roman" w:cs="Times New Roman"/>
          <w:noProof/>
          <w:sz w:val="24"/>
          <w:szCs w:val="24"/>
          <w:lang w:val="sq-AL"/>
        </w:rPr>
        <w:t>ë</w:t>
      </w:r>
      <w:r>
        <w:rPr>
          <w:rFonts w:ascii="Times New Roman" w:eastAsia="Batang" w:hAnsi="Times New Roman" w:cs="Times New Roman"/>
          <w:noProof/>
          <w:sz w:val="24"/>
          <w:szCs w:val="24"/>
          <w:lang w:val="sq-AL"/>
        </w:rPr>
        <w:t xml:space="preserve"> t</w:t>
      </w:r>
      <w:r w:rsidR="001968CE">
        <w:rPr>
          <w:rFonts w:ascii="Times New Roman" w:eastAsia="Batang" w:hAnsi="Times New Roman" w:cs="Times New Roman"/>
          <w:noProof/>
          <w:sz w:val="24"/>
          <w:szCs w:val="24"/>
          <w:lang w:val="sq-AL"/>
        </w:rPr>
        <w:t>ë</w:t>
      </w:r>
      <w:r w:rsidRPr="00F57A1C">
        <w:rPr>
          <w:rFonts w:ascii="Times New Roman" w:eastAsia="Batang" w:hAnsi="Times New Roman" w:cs="Times New Roman"/>
          <w:noProof/>
          <w:sz w:val="24"/>
          <w:szCs w:val="24"/>
          <w:lang w:val="sq-AL"/>
        </w:rPr>
        <w:t xml:space="preserve"> portofolit të borxhit të brendshëm), si në terma të ekspozimit sa më të ulët ndaj </w:t>
      </w:r>
      <w:r>
        <w:rPr>
          <w:rFonts w:ascii="Times New Roman" w:eastAsia="Batang" w:hAnsi="Times New Roman" w:cs="Times New Roman"/>
          <w:noProof/>
          <w:sz w:val="24"/>
          <w:szCs w:val="24"/>
          <w:lang w:val="sq-AL"/>
        </w:rPr>
        <w:t>risqeve</w:t>
      </w:r>
      <w:r w:rsidRPr="00F57A1C">
        <w:rPr>
          <w:rFonts w:ascii="Times New Roman" w:eastAsia="Batang" w:hAnsi="Times New Roman" w:cs="Times New Roman"/>
          <w:noProof/>
          <w:sz w:val="24"/>
          <w:szCs w:val="24"/>
          <w:lang w:val="sq-AL"/>
        </w:rPr>
        <w:t xml:space="preserve">, ashtu edhe në terma të mbajtjes nën kontroll të kostove të borxhit. </w:t>
      </w:r>
    </w:p>
    <w:p w14:paraId="71DF5BC7" w14:textId="77777777" w:rsidR="00F57A1C" w:rsidRPr="00F57A1C" w:rsidRDefault="00F57A1C" w:rsidP="00F57A1C">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C8" w14:textId="77777777" w:rsidR="00B77A2D" w:rsidRPr="000F5C13" w:rsidRDefault="00B77A2D" w:rsidP="00291349">
      <w:pPr>
        <w:autoSpaceDE w:val="0"/>
        <w:autoSpaceDN w:val="0"/>
        <w:adjustRightInd w:val="0"/>
        <w:spacing w:after="0" w:line="276" w:lineRule="auto"/>
        <w:ind w:left="142" w:right="237"/>
        <w:contextualSpacing/>
        <w:jc w:val="both"/>
        <w:rPr>
          <w:rFonts w:ascii="Times New Roman" w:eastAsia="Batang" w:hAnsi="Times New Roman" w:cs="Times New Roman"/>
          <w:noProof/>
          <w:sz w:val="24"/>
          <w:szCs w:val="24"/>
          <w:lang w:val="sq-AL"/>
        </w:rPr>
      </w:pPr>
    </w:p>
    <w:p w14:paraId="71DF5BC9" w14:textId="77777777" w:rsidR="004637A8" w:rsidRPr="000F5C13" w:rsidRDefault="004637A8"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CA" w14:textId="77777777" w:rsidR="00CA2763" w:rsidRPr="000F5C13" w:rsidRDefault="00CA2763"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CB" w14:textId="77777777" w:rsidR="00CA2763" w:rsidRPr="000F5C13" w:rsidRDefault="00CA2763"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CC" w14:textId="77777777" w:rsidR="00CA2763" w:rsidRPr="000F5C13" w:rsidRDefault="00CA2763"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CD" w14:textId="77777777" w:rsidR="00CA2763" w:rsidRPr="000F5C13" w:rsidRDefault="00CA2763"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CE" w14:textId="77777777" w:rsidR="00CA2763" w:rsidRPr="000F5C13" w:rsidRDefault="00CA2763"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CF" w14:textId="77777777" w:rsidR="00CA2763" w:rsidRPr="000F5C13" w:rsidRDefault="00CA2763"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D0" w14:textId="77777777" w:rsidR="00CA2763" w:rsidRPr="000F5C13" w:rsidRDefault="00CA2763"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D1" w14:textId="77777777" w:rsidR="00C02B56" w:rsidRPr="000F5C13" w:rsidRDefault="00C02B56" w:rsidP="00291349">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p>
    <w:p w14:paraId="71DF5BD2" w14:textId="77777777" w:rsidR="009B24CE" w:rsidRPr="000F5C13" w:rsidRDefault="009B24CE" w:rsidP="00291349">
      <w:pPr>
        <w:spacing w:after="0" w:line="276" w:lineRule="auto"/>
        <w:rPr>
          <w:rFonts w:eastAsia="Batang"/>
          <w:noProof/>
          <w:lang w:val="sq-AL"/>
        </w:rPr>
      </w:pPr>
    </w:p>
    <w:p w14:paraId="71DF5BD3" w14:textId="77777777" w:rsidR="00B77A2D" w:rsidRPr="000F5C13" w:rsidRDefault="00B77A2D" w:rsidP="00291349">
      <w:pPr>
        <w:spacing w:after="0" w:line="276" w:lineRule="auto"/>
        <w:rPr>
          <w:rFonts w:eastAsia="Batang"/>
          <w:noProof/>
          <w:lang w:val="sq-AL"/>
        </w:rPr>
      </w:pPr>
    </w:p>
    <w:p w14:paraId="71DF5BD4" w14:textId="77777777" w:rsidR="00B77A2D" w:rsidRPr="000F5C13" w:rsidRDefault="00B77A2D" w:rsidP="00291349">
      <w:pPr>
        <w:spacing w:after="0" w:line="276" w:lineRule="auto"/>
        <w:rPr>
          <w:rFonts w:eastAsia="Batang"/>
          <w:noProof/>
          <w:lang w:val="sq-AL"/>
        </w:rPr>
      </w:pPr>
    </w:p>
    <w:p w14:paraId="71DF5BD5" w14:textId="77777777" w:rsidR="00B77A2D" w:rsidRPr="000F5C13" w:rsidRDefault="00B77A2D" w:rsidP="00291349">
      <w:pPr>
        <w:spacing w:after="0" w:line="276" w:lineRule="auto"/>
        <w:rPr>
          <w:rFonts w:eastAsia="Batang"/>
          <w:noProof/>
          <w:lang w:val="sq-AL"/>
        </w:rPr>
      </w:pPr>
    </w:p>
    <w:p w14:paraId="71DF5BD6" w14:textId="77777777" w:rsidR="00B77A2D" w:rsidRPr="000F5C13" w:rsidRDefault="00B77A2D" w:rsidP="00291349">
      <w:pPr>
        <w:spacing w:after="0" w:line="276" w:lineRule="auto"/>
        <w:rPr>
          <w:rFonts w:eastAsia="Batang"/>
          <w:noProof/>
          <w:lang w:val="sq-AL"/>
        </w:rPr>
      </w:pPr>
    </w:p>
    <w:p w14:paraId="71DF5BD7" w14:textId="77777777" w:rsidR="00B77A2D" w:rsidRPr="000F5C13" w:rsidRDefault="00B77A2D" w:rsidP="00291349">
      <w:pPr>
        <w:spacing w:after="0" w:line="276" w:lineRule="auto"/>
        <w:rPr>
          <w:rFonts w:eastAsia="Batang"/>
          <w:noProof/>
          <w:lang w:val="sq-AL"/>
        </w:rPr>
      </w:pPr>
    </w:p>
    <w:p w14:paraId="71DF5BD8" w14:textId="77777777" w:rsidR="00464550" w:rsidRPr="000F5C13" w:rsidRDefault="00464550" w:rsidP="00291349">
      <w:pPr>
        <w:spacing w:after="0" w:line="276" w:lineRule="auto"/>
        <w:rPr>
          <w:rFonts w:eastAsia="Batang"/>
          <w:noProof/>
          <w:lang w:val="sq-AL"/>
        </w:rPr>
      </w:pPr>
    </w:p>
    <w:p w14:paraId="71DF5BD9" w14:textId="77777777" w:rsidR="00464550" w:rsidRPr="000F5C13" w:rsidRDefault="00464550" w:rsidP="009B24CE">
      <w:pPr>
        <w:rPr>
          <w:rFonts w:eastAsia="Batang"/>
          <w:noProof/>
          <w:lang w:val="sq-AL"/>
        </w:rPr>
      </w:pPr>
    </w:p>
    <w:p w14:paraId="71DF5BDA" w14:textId="77777777" w:rsidR="00464550" w:rsidRDefault="00464550" w:rsidP="009B24CE">
      <w:pPr>
        <w:rPr>
          <w:rFonts w:eastAsia="Batang"/>
          <w:noProof/>
          <w:lang w:val="sq-AL"/>
        </w:rPr>
      </w:pPr>
    </w:p>
    <w:p w14:paraId="71DF5BDB" w14:textId="77777777" w:rsidR="00CB2043" w:rsidRDefault="00CB2043" w:rsidP="009B24CE">
      <w:pPr>
        <w:rPr>
          <w:rFonts w:eastAsia="Batang"/>
          <w:noProof/>
          <w:lang w:val="sq-AL"/>
        </w:rPr>
      </w:pPr>
    </w:p>
    <w:p w14:paraId="71DF5BDC" w14:textId="77777777" w:rsidR="00CB2043" w:rsidRDefault="00CB2043" w:rsidP="009B24CE">
      <w:pPr>
        <w:rPr>
          <w:rFonts w:eastAsia="Batang"/>
          <w:noProof/>
          <w:lang w:val="sq-AL"/>
        </w:rPr>
      </w:pPr>
    </w:p>
    <w:p w14:paraId="71DF5BDD" w14:textId="77777777" w:rsidR="00CB2043" w:rsidRDefault="00CB2043" w:rsidP="009B24CE">
      <w:pPr>
        <w:rPr>
          <w:rFonts w:eastAsia="Batang"/>
          <w:noProof/>
          <w:lang w:val="sq-AL"/>
        </w:rPr>
      </w:pPr>
    </w:p>
    <w:p w14:paraId="71DF5BDE" w14:textId="77777777" w:rsidR="001B78D4" w:rsidRPr="000F5C13" w:rsidRDefault="001B78D4" w:rsidP="009B24CE">
      <w:pPr>
        <w:rPr>
          <w:rFonts w:eastAsia="Batang"/>
          <w:noProof/>
          <w:lang w:val="sq-AL"/>
        </w:rPr>
      </w:pPr>
    </w:p>
    <w:p w14:paraId="71DF5BDF" w14:textId="77777777" w:rsidR="00464550" w:rsidRPr="000F5C13" w:rsidRDefault="00464550" w:rsidP="009B24CE">
      <w:pPr>
        <w:rPr>
          <w:rFonts w:eastAsia="Batang"/>
          <w:noProof/>
          <w:lang w:val="sq-AL"/>
        </w:rPr>
      </w:pPr>
    </w:p>
    <w:p w14:paraId="71DF5BE0" w14:textId="77777777" w:rsidR="004637A8" w:rsidRPr="000F5C13" w:rsidRDefault="004637A8" w:rsidP="009B24CE">
      <w:pPr>
        <w:rPr>
          <w:rFonts w:eastAsia="Batang"/>
          <w:noProof/>
          <w:lang w:val="sq-AL"/>
        </w:rPr>
      </w:pPr>
    </w:p>
    <w:p w14:paraId="71DF5BE1" w14:textId="77777777" w:rsidR="007D5222" w:rsidRPr="000F5C13" w:rsidRDefault="00720AC5" w:rsidP="004A70BC">
      <w:pPr>
        <w:pStyle w:val="Heading1"/>
        <w:numPr>
          <w:ilvl w:val="0"/>
          <w:numId w:val="22"/>
        </w:numPr>
        <w:spacing w:before="0" w:line="276" w:lineRule="auto"/>
        <w:ind w:left="567" w:hanging="567"/>
        <w:rPr>
          <w:rFonts w:eastAsia="Times New Roman"/>
          <w:noProof/>
          <w:color w:val="C00000"/>
          <w:lang w:val="sq-AL"/>
        </w:rPr>
      </w:pPr>
      <w:bookmarkStart w:id="3" w:name="_Toc524506527"/>
      <w:r w:rsidRPr="000F5C13">
        <w:rPr>
          <w:rFonts w:eastAsia="Times New Roman"/>
          <w:noProof/>
          <w:color w:val="C00000"/>
          <w:lang w:val="sq-AL"/>
        </w:rPr>
        <w:lastRenderedPageBreak/>
        <w:t>SITUATA E BORXHIT TË QEVERISJES QENDRORE</w:t>
      </w:r>
      <w:bookmarkEnd w:id="3"/>
    </w:p>
    <w:p w14:paraId="71DF5BE2" w14:textId="77777777" w:rsidR="00EB5322" w:rsidRPr="000F5C13" w:rsidRDefault="00EB5322" w:rsidP="004A70BC">
      <w:pPr>
        <w:spacing w:after="0" w:line="276" w:lineRule="auto"/>
        <w:ind w:left="567" w:hanging="567"/>
        <w:rPr>
          <w:sz w:val="24"/>
          <w:lang w:val="sq-AL"/>
        </w:rPr>
      </w:pPr>
    </w:p>
    <w:p w14:paraId="71DF5BE3" w14:textId="77777777" w:rsidR="007D5222" w:rsidRPr="000F5C13" w:rsidRDefault="007D5222" w:rsidP="004A70BC">
      <w:pPr>
        <w:pStyle w:val="Heading1"/>
        <w:numPr>
          <w:ilvl w:val="0"/>
          <w:numId w:val="8"/>
        </w:numPr>
        <w:tabs>
          <w:tab w:val="left" w:pos="90"/>
        </w:tabs>
        <w:spacing w:before="0" w:line="276" w:lineRule="auto"/>
        <w:ind w:left="567" w:hanging="567"/>
        <w:rPr>
          <w:noProof/>
          <w:lang w:val="sq-AL"/>
        </w:rPr>
      </w:pPr>
      <w:bookmarkStart w:id="4" w:name="_Toc524506528"/>
      <w:r w:rsidRPr="000F5C13">
        <w:rPr>
          <w:noProof/>
          <w:lang w:val="sq-AL"/>
        </w:rPr>
        <w:t>Ecuria e Borxhit të Qeverisjes Qendrore</w:t>
      </w:r>
      <w:bookmarkEnd w:id="4"/>
    </w:p>
    <w:p w14:paraId="71DF5BE4" w14:textId="77777777" w:rsidR="00594635" w:rsidRDefault="00594635" w:rsidP="004521C1">
      <w:pPr>
        <w:spacing w:after="0" w:line="276" w:lineRule="auto"/>
        <w:ind w:right="237"/>
        <w:contextualSpacing/>
        <w:jc w:val="both"/>
        <w:rPr>
          <w:rFonts w:ascii="Cambria" w:eastAsiaTheme="majorEastAsia" w:hAnsi="Cambria" w:cstheme="majorBidi"/>
          <w:b/>
          <w:noProof/>
          <w:color w:val="000000" w:themeColor="text1"/>
          <w:sz w:val="20"/>
          <w:szCs w:val="12"/>
          <w:lang w:val="sq-AL"/>
        </w:rPr>
      </w:pPr>
    </w:p>
    <w:p w14:paraId="71DF5BE5" w14:textId="77777777" w:rsidR="00C02B56" w:rsidRPr="003A3777" w:rsidRDefault="00C9444C" w:rsidP="004521C1">
      <w:pPr>
        <w:spacing w:after="0" w:line="276" w:lineRule="auto"/>
        <w:ind w:right="237"/>
        <w:contextualSpacing/>
        <w:jc w:val="both"/>
        <w:rPr>
          <w:rFonts w:ascii="Times New Roman" w:eastAsia="Calibri" w:hAnsi="Times New Roman" w:cs="Times New Roman"/>
          <w:noProof/>
          <w:sz w:val="24"/>
          <w:szCs w:val="24"/>
          <w:lang w:val="sq-AL"/>
        </w:rPr>
      </w:pPr>
      <w:r w:rsidRPr="003A3777">
        <w:rPr>
          <w:rFonts w:ascii="Times New Roman" w:eastAsia="Calibri" w:hAnsi="Times New Roman" w:cs="Times New Roman"/>
          <w:noProof/>
          <w:sz w:val="24"/>
          <w:szCs w:val="24"/>
          <w:lang w:val="sq-AL"/>
        </w:rPr>
        <w:t xml:space="preserve">Në </w:t>
      </w:r>
      <w:r w:rsidR="00C60DE3" w:rsidRPr="003A3777">
        <w:rPr>
          <w:rFonts w:ascii="Times New Roman" w:eastAsia="Calibri" w:hAnsi="Times New Roman" w:cs="Times New Roman"/>
          <w:noProof/>
          <w:sz w:val="24"/>
          <w:szCs w:val="24"/>
          <w:lang w:val="sq-AL"/>
        </w:rPr>
        <w:t>p</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rputhje me objektivat </w:t>
      </w:r>
      <w:r w:rsidR="0071398F" w:rsidRPr="003A3777">
        <w:rPr>
          <w:rFonts w:ascii="Times New Roman" w:eastAsia="Calibri" w:hAnsi="Times New Roman" w:cs="Times New Roman"/>
          <w:noProof/>
          <w:sz w:val="24"/>
          <w:szCs w:val="24"/>
          <w:lang w:val="sq-AL"/>
        </w:rPr>
        <w:t>m</w:t>
      </w:r>
      <w:r w:rsidR="00C60DE3" w:rsidRPr="003A3777">
        <w:rPr>
          <w:rFonts w:ascii="Times New Roman" w:eastAsia="Calibri" w:hAnsi="Times New Roman" w:cs="Times New Roman"/>
          <w:noProof/>
          <w:sz w:val="24"/>
          <w:szCs w:val="24"/>
          <w:lang w:val="sq-AL"/>
        </w:rPr>
        <w:t>akro-</w:t>
      </w:r>
      <w:r w:rsidR="0071398F" w:rsidRPr="003A3777">
        <w:rPr>
          <w:rFonts w:ascii="Times New Roman" w:eastAsia="Calibri" w:hAnsi="Times New Roman" w:cs="Times New Roman"/>
          <w:noProof/>
          <w:sz w:val="24"/>
          <w:szCs w:val="24"/>
          <w:lang w:val="sq-AL"/>
        </w:rPr>
        <w:t>f</w:t>
      </w:r>
      <w:r w:rsidR="00C60DE3" w:rsidRPr="003A3777">
        <w:rPr>
          <w:rFonts w:ascii="Times New Roman" w:eastAsia="Calibri" w:hAnsi="Times New Roman" w:cs="Times New Roman"/>
          <w:noProof/>
          <w:sz w:val="24"/>
          <w:szCs w:val="24"/>
          <w:lang w:val="sq-AL"/>
        </w:rPr>
        <w:t>iskale p</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r konsolidimin e financave publike, niveli i borxhit t</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w:t>
      </w:r>
      <w:r w:rsidR="005914BE" w:rsidRPr="003A3777">
        <w:rPr>
          <w:rFonts w:ascii="Times New Roman" w:eastAsia="Calibri" w:hAnsi="Times New Roman" w:cs="Times New Roman"/>
          <w:noProof/>
          <w:sz w:val="24"/>
          <w:szCs w:val="24"/>
          <w:lang w:val="sq-AL"/>
        </w:rPr>
        <w:t>q</w:t>
      </w:r>
      <w:r w:rsidR="00C60DE3" w:rsidRPr="003A3777">
        <w:rPr>
          <w:rFonts w:ascii="Times New Roman" w:eastAsia="Calibri" w:hAnsi="Times New Roman" w:cs="Times New Roman"/>
          <w:noProof/>
          <w:sz w:val="24"/>
          <w:szCs w:val="24"/>
          <w:lang w:val="sq-AL"/>
        </w:rPr>
        <w:t xml:space="preserve">everisjes </w:t>
      </w:r>
      <w:r w:rsidR="005914BE" w:rsidRPr="003A3777">
        <w:rPr>
          <w:rFonts w:ascii="Times New Roman" w:eastAsia="Calibri" w:hAnsi="Times New Roman" w:cs="Times New Roman"/>
          <w:noProof/>
          <w:sz w:val="24"/>
          <w:szCs w:val="24"/>
          <w:lang w:val="sq-AL"/>
        </w:rPr>
        <w:t>q</w:t>
      </w:r>
      <w:r w:rsidR="00C60DE3" w:rsidRPr="003A3777">
        <w:rPr>
          <w:rFonts w:ascii="Times New Roman" w:eastAsia="Calibri" w:hAnsi="Times New Roman" w:cs="Times New Roman"/>
          <w:noProof/>
          <w:sz w:val="24"/>
          <w:szCs w:val="24"/>
          <w:lang w:val="sq-AL"/>
        </w:rPr>
        <w:t>endrore n</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raport me PBB ka hyr</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n</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trajektore r</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n</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se q</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prej vitit 2016. </w:t>
      </w:r>
      <w:r w:rsidR="002F5F21" w:rsidRPr="003A3777">
        <w:rPr>
          <w:rFonts w:ascii="Times New Roman" w:eastAsia="Calibri" w:hAnsi="Times New Roman" w:cs="Times New Roman"/>
          <w:noProof/>
          <w:sz w:val="24"/>
          <w:szCs w:val="24"/>
          <w:lang w:val="sq-AL"/>
        </w:rPr>
        <w:t>Kjo tendenc</w:t>
      </w:r>
      <w:r w:rsidR="00982338" w:rsidRPr="003A3777">
        <w:rPr>
          <w:rFonts w:ascii="Times New Roman" w:eastAsia="Calibri" w:hAnsi="Times New Roman" w:cs="Times New Roman"/>
          <w:noProof/>
          <w:sz w:val="24"/>
          <w:szCs w:val="24"/>
          <w:lang w:val="sq-AL"/>
        </w:rPr>
        <w:t>ë</w:t>
      </w:r>
      <w:r w:rsidR="002F5F21" w:rsidRPr="003A3777">
        <w:rPr>
          <w:rFonts w:ascii="Times New Roman" w:eastAsia="Calibri" w:hAnsi="Times New Roman" w:cs="Times New Roman"/>
          <w:noProof/>
          <w:sz w:val="24"/>
          <w:szCs w:val="24"/>
          <w:lang w:val="sq-AL"/>
        </w:rPr>
        <w:t xml:space="preserve"> pritet t</w:t>
      </w:r>
      <w:r w:rsidR="00982338" w:rsidRPr="003A3777">
        <w:rPr>
          <w:rFonts w:ascii="Times New Roman" w:eastAsia="Calibri" w:hAnsi="Times New Roman" w:cs="Times New Roman"/>
          <w:noProof/>
          <w:sz w:val="24"/>
          <w:szCs w:val="24"/>
          <w:lang w:val="sq-AL"/>
        </w:rPr>
        <w:t>ë</w:t>
      </w:r>
      <w:r w:rsidR="002F5F21" w:rsidRPr="003A3777">
        <w:rPr>
          <w:rFonts w:ascii="Times New Roman" w:eastAsia="Calibri" w:hAnsi="Times New Roman" w:cs="Times New Roman"/>
          <w:noProof/>
          <w:sz w:val="24"/>
          <w:szCs w:val="24"/>
          <w:lang w:val="sq-AL"/>
        </w:rPr>
        <w:t xml:space="preserve"> vijoj</w:t>
      </w:r>
      <w:r w:rsidR="00982338" w:rsidRPr="003A3777">
        <w:rPr>
          <w:rFonts w:ascii="Times New Roman" w:eastAsia="Calibri" w:hAnsi="Times New Roman" w:cs="Times New Roman"/>
          <w:noProof/>
          <w:sz w:val="24"/>
          <w:szCs w:val="24"/>
          <w:lang w:val="sq-AL"/>
        </w:rPr>
        <w:t>ë</w:t>
      </w:r>
      <w:r w:rsidR="002F5F21" w:rsidRPr="003A3777">
        <w:rPr>
          <w:rFonts w:ascii="Times New Roman" w:eastAsia="Calibri" w:hAnsi="Times New Roman" w:cs="Times New Roman"/>
          <w:noProof/>
          <w:sz w:val="24"/>
          <w:szCs w:val="24"/>
          <w:lang w:val="sq-AL"/>
        </w:rPr>
        <w:t xml:space="preserve"> edhe p</w:t>
      </w:r>
      <w:r w:rsidR="00982338" w:rsidRPr="003A3777">
        <w:rPr>
          <w:rFonts w:ascii="Times New Roman" w:eastAsia="Calibri" w:hAnsi="Times New Roman" w:cs="Times New Roman"/>
          <w:noProof/>
          <w:sz w:val="24"/>
          <w:szCs w:val="24"/>
          <w:lang w:val="sq-AL"/>
        </w:rPr>
        <w:t>ë</w:t>
      </w:r>
      <w:r w:rsidR="002F5F21" w:rsidRPr="003A3777">
        <w:rPr>
          <w:rFonts w:ascii="Times New Roman" w:eastAsia="Calibri" w:hAnsi="Times New Roman" w:cs="Times New Roman"/>
          <w:noProof/>
          <w:sz w:val="24"/>
          <w:szCs w:val="24"/>
          <w:lang w:val="sq-AL"/>
        </w:rPr>
        <w:t>rgjat</w:t>
      </w:r>
      <w:r w:rsidR="00982338" w:rsidRPr="003A3777">
        <w:rPr>
          <w:rFonts w:ascii="Times New Roman" w:eastAsia="Calibri" w:hAnsi="Times New Roman" w:cs="Times New Roman"/>
          <w:noProof/>
          <w:sz w:val="24"/>
          <w:szCs w:val="24"/>
          <w:lang w:val="sq-AL"/>
        </w:rPr>
        <w:t>ë</w:t>
      </w:r>
      <w:r w:rsidR="00F01C3D" w:rsidRPr="003A3777">
        <w:rPr>
          <w:rFonts w:ascii="Times New Roman" w:eastAsia="Calibri" w:hAnsi="Times New Roman" w:cs="Times New Roman"/>
          <w:noProof/>
          <w:sz w:val="24"/>
          <w:szCs w:val="24"/>
          <w:lang w:val="sq-AL"/>
        </w:rPr>
        <w:t xml:space="preserve"> vitit 2019</w:t>
      </w:r>
      <w:r w:rsidR="002F5F21" w:rsidRPr="003A3777">
        <w:rPr>
          <w:rFonts w:ascii="Times New Roman" w:eastAsia="Calibri" w:hAnsi="Times New Roman" w:cs="Times New Roman"/>
          <w:noProof/>
          <w:sz w:val="24"/>
          <w:szCs w:val="24"/>
          <w:lang w:val="sq-AL"/>
        </w:rPr>
        <w:t>, pasi parashikimet</w:t>
      </w:r>
      <w:r w:rsidR="00C60DE3" w:rsidRPr="003A3777">
        <w:rPr>
          <w:rFonts w:ascii="Times New Roman" w:eastAsia="Calibri" w:hAnsi="Times New Roman" w:cs="Times New Roman"/>
          <w:noProof/>
          <w:sz w:val="24"/>
          <w:szCs w:val="24"/>
          <w:lang w:val="sq-AL"/>
        </w:rPr>
        <w:t xml:space="preserve"> sinjalizojn</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w:t>
      </w:r>
      <w:r w:rsidR="002F5F21" w:rsidRPr="003A3777">
        <w:rPr>
          <w:rFonts w:ascii="Times New Roman" w:eastAsia="Calibri" w:hAnsi="Times New Roman" w:cs="Times New Roman"/>
          <w:noProof/>
          <w:sz w:val="24"/>
          <w:szCs w:val="24"/>
          <w:lang w:val="sq-AL"/>
        </w:rPr>
        <w:t>nj</w:t>
      </w:r>
      <w:r w:rsidR="00982338" w:rsidRPr="003A3777">
        <w:rPr>
          <w:rFonts w:ascii="Times New Roman" w:eastAsia="Calibri" w:hAnsi="Times New Roman" w:cs="Times New Roman"/>
          <w:noProof/>
          <w:sz w:val="24"/>
          <w:szCs w:val="24"/>
          <w:lang w:val="sq-AL"/>
        </w:rPr>
        <w:t>ë</w:t>
      </w:r>
      <w:r w:rsidR="002F5F21" w:rsidRPr="003A3777">
        <w:rPr>
          <w:rFonts w:ascii="Times New Roman" w:eastAsia="Calibri" w:hAnsi="Times New Roman" w:cs="Times New Roman"/>
          <w:noProof/>
          <w:sz w:val="24"/>
          <w:szCs w:val="24"/>
          <w:lang w:val="sq-AL"/>
        </w:rPr>
        <w:t xml:space="preserve"> </w:t>
      </w:r>
      <w:r w:rsidR="005914BE" w:rsidRPr="003A3777">
        <w:rPr>
          <w:rFonts w:ascii="Times New Roman" w:eastAsia="Calibri" w:hAnsi="Times New Roman" w:cs="Times New Roman"/>
          <w:noProof/>
          <w:sz w:val="24"/>
          <w:szCs w:val="24"/>
          <w:lang w:val="sq-AL"/>
        </w:rPr>
        <w:t>r</w:t>
      </w:r>
      <w:r w:rsidR="004D1E37" w:rsidRPr="003A3777">
        <w:rPr>
          <w:rFonts w:ascii="Times New Roman" w:eastAsia="Calibri" w:hAnsi="Times New Roman" w:cs="Times New Roman"/>
          <w:noProof/>
          <w:sz w:val="24"/>
          <w:szCs w:val="24"/>
          <w:lang w:val="sq-AL"/>
        </w:rPr>
        <w:t>ë</w:t>
      </w:r>
      <w:r w:rsidR="002F5F21" w:rsidRPr="003A3777">
        <w:rPr>
          <w:rFonts w:ascii="Times New Roman" w:eastAsia="Calibri" w:hAnsi="Times New Roman" w:cs="Times New Roman"/>
          <w:noProof/>
          <w:sz w:val="24"/>
          <w:szCs w:val="24"/>
          <w:lang w:val="sq-AL"/>
        </w:rPr>
        <w:t>nie t</w:t>
      </w:r>
      <w:r w:rsidR="00982338" w:rsidRPr="003A3777">
        <w:rPr>
          <w:rFonts w:ascii="Times New Roman" w:eastAsia="Calibri" w:hAnsi="Times New Roman" w:cs="Times New Roman"/>
          <w:noProof/>
          <w:sz w:val="24"/>
          <w:szCs w:val="24"/>
          <w:lang w:val="sq-AL"/>
        </w:rPr>
        <w:t>ë</w:t>
      </w:r>
      <w:r w:rsidR="002F5F21" w:rsidRPr="003A3777">
        <w:rPr>
          <w:rFonts w:ascii="Times New Roman" w:eastAsia="Calibri" w:hAnsi="Times New Roman" w:cs="Times New Roman"/>
          <w:noProof/>
          <w:sz w:val="24"/>
          <w:szCs w:val="24"/>
          <w:lang w:val="sq-AL"/>
        </w:rPr>
        <w:t xml:space="preserve"> </w:t>
      </w:r>
      <w:r w:rsidR="00C60DE3" w:rsidRPr="003A3777">
        <w:rPr>
          <w:rFonts w:ascii="Times New Roman" w:eastAsia="Calibri" w:hAnsi="Times New Roman" w:cs="Times New Roman"/>
          <w:noProof/>
          <w:sz w:val="24"/>
          <w:szCs w:val="24"/>
          <w:lang w:val="sq-AL"/>
        </w:rPr>
        <w:t>nivelit t</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borxhit me rreth </w:t>
      </w:r>
      <w:r w:rsidR="00FB02A6" w:rsidRPr="00F45EE6">
        <w:rPr>
          <w:rFonts w:ascii="Times New Roman" w:eastAsia="Calibri" w:hAnsi="Times New Roman" w:cs="Times New Roman"/>
          <w:noProof/>
          <w:sz w:val="24"/>
          <w:szCs w:val="24"/>
          <w:lang w:val="sq-AL"/>
        </w:rPr>
        <w:t>2.5</w:t>
      </w:r>
      <w:r w:rsidR="00C60DE3" w:rsidRPr="00F45EE6">
        <w:rPr>
          <w:rFonts w:ascii="Times New Roman" w:eastAsia="Calibri" w:hAnsi="Times New Roman" w:cs="Times New Roman"/>
          <w:noProof/>
          <w:sz w:val="24"/>
          <w:szCs w:val="24"/>
          <w:lang w:val="sq-AL"/>
        </w:rPr>
        <w:t xml:space="preserve"> </w:t>
      </w:r>
      <w:r w:rsidR="00D80441" w:rsidRPr="00F45EE6">
        <w:rPr>
          <w:rFonts w:ascii="Times New Roman" w:eastAsia="Calibri" w:hAnsi="Times New Roman" w:cs="Times New Roman"/>
          <w:noProof/>
          <w:sz w:val="24"/>
          <w:szCs w:val="24"/>
          <w:lang w:val="sq-AL"/>
        </w:rPr>
        <w:t>pp</w:t>
      </w:r>
      <w:r w:rsidR="00C60DE3" w:rsidRPr="00F45EE6">
        <w:rPr>
          <w:rFonts w:ascii="Times New Roman" w:eastAsia="Calibri" w:hAnsi="Times New Roman" w:cs="Times New Roman"/>
          <w:noProof/>
          <w:sz w:val="24"/>
          <w:szCs w:val="24"/>
          <w:lang w:val="sq-AL"/>
        </w:rPr>
        <w:t xml:space="preserve"> </w:t>
      </w:r>
      <w:r w:rsidR="00C60DE3" w:rsidRPr="003A3777">
        <w:rPr>
          <w:rFonts w:ascii="Times New Roman" w:eastAsia="Calibri" w:hAnsi="Times New Roman" w:cs="Times New Roman"/>
          <w:noProof/>
          <w:sz w:val="24"/>
          <w:szCs w:val="24"/>
          <w:lang w:val="sq-AL"/>
        </w:rPr>
        <w:t>krahasuar me fundin e vitit t</w:t>
      </w:r>
      <w:r w:rsidR="00DC648E" w:rsidRPr="003A3777">
        <w:rPr>
          <w:rFonts w:ascii="Times New Roman" w:eastAsia="Calibri" w:hAnsi="Times New Roman" w:cs="Times New Roman"/>
          <w:noProof/>
          <w:sz w:val="24"/>
          <w:szCs w:val="24"/>
          <w:lang w:val="sq-AL"/>
        </w:rPr>
        <w:t>ë</w:t>
      </w:r>
      <w:r w:rsidR="00C60DE3" w:rsidRPr="003A3777">
        <w:rPr>
          <w:rFonts w:ascii="Times New Roman" w:eastAsia="Calibri" w:hAnsi="Times New Roman" w:cs="Times New Roman"/>
          <w:noProof/>
          <w:sz w:val="24"/>
          <w:szCs w:val="24"/>
          <w:lang w:val="sq-AL"/>
        </w:rPr>
        <w:t xml:space="preserve"> kaluar. </w:t>
      </w:r>
      <w:r w:rsidR="00C1450F" w:rsidRPr="003A3777">
        <w:rPr>
          <w:rFonts w:ascii="Times New Roman" w:eastAsia="Calibri" w:hAnsi="Times New Roman" w:cs="Times New Roman"/>
          <w:noProof/>
          <w:sz w:val="24"/>
          <w:szCs w:val="24"/>
          <w:lang w:val="sq-AL"/>
        </w:rPr>
        <w:t>F</w:t>
      </w:r>
      <w:r w:rsidRPr="003A3777">
        <w:rPr>
          <w:rFonts w:ascii="Times New Roman" w:eastAsia="Calibri" w:hAnsi="Times New Roman" w:cs="Times New Roman"/>
          <w:noProof/>
          <w:sz w:val="24"/>
          <w:szCs w:val="24"/>
          <w:lang w:val="sq-AL"/>
        </w:rPr>
        <w:t>aktorët kryesorë</w:t>
      </w:r>
      <w:r w:rsidR="00C1450F" w:rsidRPr="003A3777">
        <w:rPr>
          <w:rFonts w:ascii="Times New Roman" w:eastAsia="Calibri" w:hAnsi="Times New Roman" w:cs="Times New Roman"/>
          <w:noProof/>
          <w:sz w:val="24"/>
          <w:szCs w:val="24"/>
          <w:lang w:val="sq-AL"/>
        </w:rPr>
        <w:t xml:space="preserve"> q</w:t>
      </w:r>
      <w:r w:rsidR="00DC648E" w:rsidRPr="003A3777">
        <w:rPr>
          <w:rFonts w:ascii="Times New Roman" w:eastAsia="Calibri" w:hAnsi="Times New Roman" w:cs="Times New Roman"/>
          <w:noProof/>
          <w:sz w:val="24"/>
          <w:szCs w:val="24"/>
          <w:lang w:val="sq-AL"/>
        </w:rPr>
        <w:t>ë</w:t>
      </w:r>
      <w:r w:rsidRPr="003A3777">
        <w:rPr>
          <w:rFonts w:ascii="Times New Roman" w:eastAsia="Calibri" w:hAnsi="Times New Roman" w:cs="Times New Roman"/>
          <w:noProof/>
          <w:sz w:val="24"/>
          <w:szCs w:val="24"/>
          <w:lang w:val="sq-AL"/>
        </w:rPr>
        <w:t xml:space="preserve"> kanë </w:t>
      </w:r>
      <w:r w:rsidR="00C1450F" w:rsidRPr="003A3777">
        <w:rPr>
          <w:rFonts w:ascii="Times New Roman" w:eastAsia="Calibri" w:hAnsi="Times New Roman" w:cs="Times New Roman"/>
          <w:noProof/>
          <w:sz w:val="24"/>
          <w:szCs w:val="24"/>
          <w:lang w:val="sq-AL"/>
        </w:rPr>
        <w:t>ndikuar n</w:t>
      </w:r>
      <w:r w:rsidR="00DC648E" w:rsidRPr="003A3777">
        <w:rPr>
          <w:rFonts w:ascii="Times New Roman" w:eastAsia="Calibri" w:hAnsi="Times New Roman" w:cs="Times New Roman"/>
          <w:noProof/>
          <w:sz w:val="24"/>
          <w:szCs w:val="24"/>
          <w:lang w:val="sq-AL"/>
        </w:rPr>
        <w:t>ë</w:t>
      </w:r>
      <w:r w:rsidR="00C1450F" w:rsidRPr="003A3777">
        <w:rPr>
          <w:rFonts w:ascii="Times New Roman" w:eastAsia="Calibri" w:hAnsi="Times New Roman" w:cs="Times New Roman"/>
          <w:noProof/>
          <w:sz w:val="24"/>
          <w:szCs w:val="24"/>
          <w:lang w:val="sq-AL"/>
        </w:rPr>
        <w:t xml:space="preserve"> uljen e nivelit t</w:t>
      </w:r>
      <w:r w:rsidR="00DC648E" w:rsidRPr="003A3777">
        <w:rPr>
          <w:rFonts w:ascii="Times New Roman" w:eastAsia="Calibri" w:hAnsi="Times New Roman" w:cs="Times New Roman"/>
          <w:noProof/>
          <w:sz w:val="24"/>
          <w:szCs w:val="24"/>
          <w:lang w:val="sq-AL"/>
        </w:rPr>
        <w:t>ë</w:t>
      </w:r>
      <w:r w:rsidR="00C1450F" w:rsidRPr="003A3777">
        <w:rPr>
          <w:rFonts w:ascii="Times New Roman" w:eastAsia="Calibri" w:hAnsi="Times New Roman" w:cs="Times New Roman"/>
          <w:noProof/>
          <w:sz w:val="24"/>
          <w:szCs w:val="24"/>
          <w:lang w:val="sq-AL"/>
        </w:rPr>
        <w:t xml:space="preserve"> borxhit n</w:t>
      </w:r>
      <w:r w:rsidR="00DC648E" w:rsidRPr="003A3777">
        <w:rPr>
          <w:rFonts w:ascii="Times New Roman" w:eastAsia="Calibri" w:hAnsi="Times New Roman" w:cs="Times New Roman"/>
          <w:noProof/>
          <w:sz w:val="24"/>
          <w:szCs w:val="24"/>
          <w:lang w:val="sq-AL"/>
        </w:rPr>
        <w:t>ë</w:t>
      </w:r>
      <w:r w:rsidR="00C1450F" w:rsidRPr="003A3777">
        <w:rPr>
          <w:rFonts w:ascii="Times New Roman" w:eastAsia="Calibri" w:hAnsi="Times New Roman" w:cs="Times New Roman"/>
          <w:noProof/>
          <w:sz w:val="24"/>
          <w:szCs w:val="24"/>
          <w:lang w:val="sq-AL"/>
        </w:rPr>
        <w:t xml:space="preserve"> raport me PBB kan</w:t>
      </w:r>
      <w:r w:rsidR="00DC648E" w:rsidRPr="003A3777">
        <w:rPr>
          <w:rFonts w:ascii="Times New Roman" w:eastAsia="Calibri" w:hAnsi="Times New Roman" w:cs="Times New Roman"/>
          <w:noProof/>
          <w:sz w:val="24"/>
          <w:szCs w:val="24"/>
          <w:lang w:val="sq-AL"/>
        </w:rPr>
        <w:t>ë</w:t>
      </w:r>
      <w:r w:rsidR="00C1450F" w:rsidRPr="003A3777">
        <w:rPr>
          <w:rFonts w:ascii="Times New Roman" w:eastAsia="Calibri" w:hAnsi="Times New Roman" w:cs="Times New Roman"/>
          <w:noProof/>
          <w:sz w:val="24"/>
          <w:szCs w:val="24"/>
          <w:lang w:val="sq-AL"/>
        </w:rPr>
        <w:t xml:space="preserve"> </w:t>
      </w:r>
      <w:r w:rsidRPr="003A3777">
        <w:rPr>
          <w:rFonts w:ascii="Times New Roman" w:eastAsia="Calibri" w:hAnsi="Times New Roman" w:cs="Times New Roman"/>
          <w:noProof/>
          <w:sz w:val="24"/>
          <w:szCs w:val="24"/>
          <w:lang w:val="sq-AL"/>
        </w:rPr>
        <w:t>qenë</w:t>
      </w:r>
      <w:r w:rsidR="007F06A9">
        <w:rPr>
          <w:rFonts w:ascii="Times New Roman" w:eastAsia="Calibri" w:hAnsi="Times New Roman" w:cs="Times New Roman"/>
          <w:noProof/>
          <w:sz w:val="24"/>
          <w:szCs w:val="24"/>
          <w:lang w:val="sq-AL"/>
        </w:rPr>
        <w:t>:</w:t>
      </w:r>
      <w:r w:rsidRPr="003A3777">
        <w:rPr>
          <w:rFonts w:ascii="Times New Roman" w:eastAsia="Calibri" w:hAnsi="Times New Roman" w:cs="Times New Roman"/>
          <w:noProof/>
          <w:sz w:val="24"/>
          <w:szCs w:val="24"/>
          <w:lang w:val="sq-AL"/>
        </w:rPr>
        <w:t xml:space="preserve"> </w:t>
      </w:r>
      <w:r w:rsidR="0051275D" w:rsidRPr="003A3777">
        <w:rPr>
          <w:rFonts w:ascii="Times New Roman" w:eastAsia="Calibri" w:hAnsi="Times New Roman" w:cs="Times New Roman"/>
          <w:noProof/>
          <w:sz w:val="24"/>
          <w:szCs w:val="24"/>
          <w:lang w:val="sq-AL"/>
        </w:rPr>
        <w:t>konsolidimi fiskal</w:t>
      </w:r>
      <w:r w:rsidR="00FB02A6" w:rsidRPr="003A3777">
        <w:rPr>
          <w:rFonts w:ascii="Times New Roman" w:eastAsia="Calibri" w:hAnsi="Times New Roman" w:cs="Times New Roman"/>
          <w:noProof/>
          <w:sz w:val="24"/>
          <w:szCs w:val="24"/>
          <w:lang w:val="sq-AL"/>
        </w:rPr>
        <w:t>, n</w:t>
      </w:r>
      <w:r w:rsidR="007F06A9">
        <w:rPr>
          <w:rFonts w:ascii="Times New Roman" w:eastAsia="Calibri" w:hAnsi="Times New Roman" w:cs="Times New Roman"/>
          <w:noProof/>
          <w:sz w:val="24"/>
          <w:szCs w:val="24"/>
          <w:lang w:val="sq-AL"/>
        </w:rPr>
        <w:t>orma e</w:t>
      </w:r>
      <w:r w:rsidR="00FB02A6" w:rsidRPr="003A3777">
        <w:rPr>
          <w:rFonts w:ascii="Times New Roman" w:eastAsia="Calibri" w:hAnsi="Times New Roman" w:cs="Times New Roman"/>
          <w:noProof/>
          <w:sz w:val="24"/>
          <w:szCs w:val="24"/>
          <w:lang w:val="sq-AL"/>
        </w:rPr>
        <w:t xml:space="preserve"> rritjes ekonomike</w:t>
      </w:r>
      <w:r w:rsidR="005914BE" w:rsidRPr="003A3777">
        <w:rPr>
          <w:rFonts w:ascii="Times New Roman" w:eastAsia="Calibri" w:hAnsi="Times New Roman" w:cs="Times New Roman"/>
          <w:noProof/>
          <w:sz w:val="24"/>
          <w:szCs w:val="24"/>
          <w:lang w:val="sq-AL"/>
        </w:rPr>
        <w:t xml:space="preserve"> </w:t>
      </w:r>
      <w:r w:rsidR="007F06A9">
        <w:rPr>
          <w:rFonts w:ascii="Times New Roman" w:eastAsia="Calibri" w:hAnsi="Times New Roman" w:cs="Times New Roman"/>
          <w:noProof/>
          <w:sz w:val="24"/>
          <w:szCs w:val="24"/>
          <w:lang w:val="sq-AL"/>
        </w:rPr>
        <w:t xml:space="preserve">më e lartë se norma e rritjes së borxhit </w:t>
      </w:r>
      <w:r w:rsidRPr="003A3777">
        <w:rPr>
          <w:rFonts w:ascii="Times New Roman" w:eastAsia="Calibri" w:hAnsi="Times New Roman" w:cs="Times New Roman"/>
          <w:noProof/>
          <w:sz w:val="24"/>
          <w:szCs w:val="24"/>
          <w:lang w:val="sq-AL"/>
        </w:rPr>
        <w:t xml:space="preserve">dhe mbiçmimi i monedhës vendase në raport me monedhat e tjera </w:t>
      </w:r>
      <w:r w:rsidR="009013FB" w:rsidRPr="003A3777">
        <w:rPr>
          <w:rFonts w:ascii="Times New Roman" w:eastAsia="Calibri" w:hAnsi="Times New Roman" w:cs="Times New Roman"/>
          <w:noProof/>
          <w:sz w:val="24"/>
          <w:szCs w:val="24"/>
          <w:lang w:val="sq-AL"/>
        </w:rPr>
        <w:t>q</w:t>
      </w:r>
      <w:r w:rsidR="00754CBC" w:rsidRPr="003A3777">
        <w:rPr>
          <w:rFonts w:ascii="Times New Roman" w:eastAsia="Calibri" w:hAnsi="Times New Roman" w:cs="Times New Roman"/>
          <w:noProof/>
          <w:sz w:val="24"/>
          <w:szCs w:val="24"/>
          <w:lang w:val="sq-AL"/>
        </w:rPr>
        <w:t>ë</w:t>
      </w:r>
      <w:r w:rsidRPr="003A3777">
        <w:rPr>
          <w:rFonts w:ascii="Times New Roman" w:eastAsia="Calibri" w:hAnsi="Times New Roman" w:cs="Times New Roman"/>
          <w:noProof/>
          <w:sz w:val="24"/>
          <w:szCs w:val="24"/>
          <w:lang w:val="sq-AL"/>
        </w:rPr>
        <w:t xml:space="preserve"> </w:t>
      </w:r>
      <w:r w:rsidR="009013FB" w:rsidRPr="003A3777">
        <w:rPr>
          <w:rFonts w:ascii="Times New Roman" w:eastAsia="Calibri" w:hAnsi="Times New Roman" w:cs="Times New Roman"/>
          <w:noProof/>
          <w:sz w:val="24"/>
          <w:szCs w:val="24"/>
          <w:lang w:val="sq-AL"/>
        </w:rPr>
        <w:t>p</w:t>
      </w:r>
      <w:r w:rsidR="00982338" w:rsidRPr="003A3777">
        <w:rPr>
          <w:rFonts w:ascii="Times New Roman" w:eastAsia="Calibri" w:hAnsi="Times New Roman" w:cs="Times New Roman"/>
          <w:noProof/>
          <w:sz w:val="24"/>
          <w:szCs w:val="24"/>
          <w:lang w:val="sq-AL"/>
        </w:rPr>
        <w:t>ë</w:t>
      </w:r>
      <w:r w:rsidR="009013FB" w:rsidRPr="003A3777">
        <w:rPr>
          <w:rFonts w:ascii="Times New Roman" w:eastAsia="Calibri" w:hAnsi="Times New Roman" w:cs="Times New Roman"/>
          <w:noProof/>
          <w:sz w:val="24"/>
          <w:szCs w:val="24"/>
          <w:lang w:val="sq-AL"/>
        </w:rPr>
        <w:t>rb</w:t>
      </w:r>
      <w:r w:rsidR="00982338" w:rsidRPr="003A3777">
        <w:rPr>
          <w:rFonts w:ascii="Times New Roman" w:eastAsia="Calibri" w:hAnsi="Times New Roman" w:cs="Times New Roman"/>
          <w:noProof/>
          <w:sz w:val="24"/>
          <w:szCs w:val="24"/>
          <w:lang w:val="sq-AL"/>
        </w:rPr>
        <w:t>ë</w:t>
      </w:r>
      <w:r w:rsidR="009013FB" w:rsidRPr="003A3777">
        <w:rPr>
          <w:rFonts w:ascii="Times New Roman" w:eastAsia="Calibri" w:hAnsi="Times New Roman" w:cs="Times New Roman"/>
          <w:noProof/>
          <w:sz w:val="24"/>
          <w:szCs w:val="24"/>
          <w:lang w:val="sq-AL"/>
        </w:rPr>
        <w:t>jn</w:t>
      </w:r>
      <w:r w:rsidR="00982338" w:rsidRPr="003A3777">
        <w:rPr>
          <w:rFonts w:ascii="Times New Roman" w:eastAsia="Calibri" w:hAnsi="Times New Roman" w:cs="Times New Roman"/>
          <w:noProof/>
          <w:sz w:val="24"/>
          <w:szCs w:val="24"/>
          <w:lang w:val="sq-AL"/>
        </w:rPr>
        <w:t>ë</w:t>
      </w:r>
      <w:r w:rsidR="009013FB" w:rsidRPr="003A3777">
        <w:rPr>
          <w:rFonts w:ascii="Times New Roman" w:eastAsia="Calibri" w:hAnsi="Times New Roman" w:cs="Times New Roman"/>
          <w:noProof/>
          <w:sz w:val="24"/>
          <w:szCs w:val="24"/>
          <w:lang w:val="sq-AL"/>
        </w:rPr>
        <w:t xml:space="preserve"> </w:t>
      </w:r>
      <w:r w:rsidRPr="003A3777">
        <w:rPr>
          <w:rFonts w:ascii="Times New Roman" w:eastAsia="Calibri" w:hAnsi="Times New Roman" w:cs="Times New Roman"/>
          <w:noProof/>
          <w:sz w:val="24"/>
          <w:szCs w:val="24"/>
          <w:lang w:val="sq-AL"/>
        </w:rPr>
        <w:t>portofoli</w:t>
      </w:r>
      <w:r w:rsidR="009013FB" w:rsidRPr="003A3777">
        <w:rPr>
          <w:rFonts w:ascii="Times New Roman" w:eastAsia="Calibri" w:hAnsi="Times New Roman" w:cs="Times New Roman"/>
          <w:noProof/>
          <w:sz w:val="24"/>
          <w:szCs w:val="24"/>
          <w:lang w:val="sq-AL"/>
        </w:rPr>
        <w:t>n</w:t>
      </w:r>
      <w:r w:rsidRPr="003A3777">
        <w:rPr>
          <w:rFonts w:ascii="Times New Roman" w:eastAsia="Calibri" w:hAnsi="Times New Roman" w:cs="Times New Roman"/>
          <w:noProof/>
          <w:sz w:val="24"/>
          <w:szCs w:val="24"/>
          <w:lang w:val="sq-AL"/>
        </w:rPr>
        <w:t xml:space="preserve"> </w:t>
      </w:r>
      <w:r w:rsidR="009013FB" w:rsidRPr="003A3777">
        <w:rPr>
          <w:rFonts w:ascii="Times New Roman" w:eastAsia="Calibri" w:hAnsi="Times New Roman" w:cs="Times New Roman"/>
          <w:noProof/>
          <w:sz w:val="24"/>
          <w:szCs w:val="24"/>
          <w:lang w:val="sq-AL"/>
        </w:rPr>
        <w:t>e</w:t>
      </w:r>
      <w:r w:rsidR="005914BE" w:rsidRPr="003A3777">
        <w:rPr>
          <w:rFonts w:ascii="Times New Roman" w:eastAsia="Calibri" w:hAnsi="Times New Roman" w:cs="Times New Roman"/>
          <w:noProof/>
          <w:sz w:val="24"/>
          <w:szCs w:val="24"/>
          <w:lang w:val="sq-AL"/>
        </w:rPr>
        <w:t xml:space="preserve"> borxhit.</w:t>
      </w:r>
    </w:p>
    <w:p w14:paraId="71DF5BE6" w14:textId="77777777" w:rsidR="00C02B56" w:rsidRPr="003A3777" w:rsidRDefault="00C02B56" w:rsidP="00EB5322">
      <w:pPr>
        <w:spacing w:after="0" w:line="276" w:lineRule="auto"/>
        <w:ind w:right="-46"/>
        <w:jc w:val="center"/>
        <w:rPr>
          <w:rFonts w:ascii="Cambria" w:hAnsi="Cambria" w:cs="Times New Roman"/>
          <w:b/>
          <w:noProof/>
          <w:sz w:val="16"/>
          <w:szCs w:val="12"/>
          <w:lang w:val="sq-AL"/>
        </w:rPr>
      </w:pPr>
    </w:p>
    <w:p w14:paraId="71DF5BE7" w14:textId="77777777" w:rsidR="003A4D8A" w:rsidRPr="003A3777" w:rsidRDefault="0051275D" w:rsidP="00741ABD">
      <w:pPr>
        <w:spacing w:after="0" w:line="240" w:lineRule="auto"/>
        <w:ind w:left="2694" w:right="-45" w:hanging="2694"/>
        <w:rPr>
          <w:rFonts w:ascii="Cambria" w:eastAsia="Batang" w:hAnsi="Cambria"/>
          <w:i/>
          <w:noProof/>
          <w:color w:val="8E0000"/>
          <w:sz w:val="20"/>
          <w:szCs w:val="20"/>
          <w:lang w:val="sq-AL"/>
        </w:rPr>
      </w:pPr>
      <w:r w:rsidRPr="003A3777">
        <w:rPr>
          <w:rFonts w:ascii="Cambria" w:eastAsia="Batang" w:hAnsi="Cambria"/>
          <w:b/>
          <w:noProof/>
          <w:color w:val="8E0000"/>
          <w:sz w:val="20"/>
          <w:szCs w:val="20"/>
          <w:lang w:val="sq-AL"/>
        </w:rPr>
        <w:t xml:space="preserve">             </w:t>
      </w:r>
      <w:r w:rsidR="00C02B56" w:rsidRPr="003A3777">
        <w:rPr>
          <w:rFonts w:ascii="Cambria" w:eastAsia="Batang" w:hAnsi="Cambria"/>
          <w:b/>
          <w:noProof/>
          <w:color w:val="8E0000"/>
          <w:sz w:val="20"/>
          <w:szCs w:val="20"/>
          <w:lang w:val="sq-AL"/>
        </w:rPr>
        <w:t>Paraqitje Grafike 1 (a):</w:t>
      </w:r>
      <w:r w:rsidR="00C02B56" w:rsidRPr="003A3777">
        <w:rPr>
          <w:rFonts w:ascii="Cambria" w:hAnsi="Cambria" w:cs="Times New Roman"/>
          <w:b/>
          <w:noProof/>
          <w:sz w:val="20"/>
          <w:szCs w:val="20"/>
          <w:lang w:val="sq-AL"/>
        </w:rPr>
        <w:t xml:space="preserve"> </w:t>
      </w:r>
      <w:r w:rsidR="004D3E39" w:rsidRPr="003A3777">
        <w:rPr>
          <w:rFonts w:ascii="Cambria" w:eastAsia="Batang" w:hAnsi="Cambria"/>
          <w:i/>
          <w:noProof/>
          <w:color w:val="8E0000"/>
          <w:sz w:val="20"/>
          <w:szCs w:val="20"/>
          <w:lang w:val="sq-AL"/>
        </w:rPr>
        <w:t xml:space="preserve">Borxhi i </w:t>
      </w:r>
      <w:r w:rsidR="00247ACF" w:rsidRPr="003A3777">
        <w:rPr>
          <w:rFonts w:ascii="Cambria" w:eastAsia="Batang" w:hAnsi="Cambria"/>
          <w:i/>
          <w:noProof/>
          <w:color w:val="8E0000"/>
          <w:sz w:val="20"/>
          <w:szCs w:val="20"/>
          <w:lang w:val="sq-AL"/>
        </w:rPr>
        <w:t>q</w:t>
      </w:r>
      <w:r w:rsidR="004D3E39" w:rsidRPr="003A3777">
        <w:rPr>
          <w:rFonts w:ascii="Cambria" w:eastAsia="Batang" w:hAnsi="Cambria"/>
          <w:i/>
          <w:noProof/>
          <w:color w:val="8E0000"/>
          <w:sz w:val="20"/>
          <w:szCs w:val="20"/>
          <w:lang w:val="sq-AL"/>
        </w:rPr>
        <w:t>everisjes</w:t>
      </w:r>
      <w:r w:rsidR="00C02B56" w:rsidRPr="003A3777">
        <w:rPr>
          <w:rFonts w:ascii="Cambria" w:eastAsia="Batang" w:hAnsi="Cambria"/>
          <w:i/>
          <w:noProof/>
          <w:color w:val="8E0000"/>
          <w:sz w:val="20"/>
          <w:szCs w:val="20"/>
          <w:lang w:val="sq-AL"/>
        </w:rPr>
        <w:t xml:space="preserve"> </w:t>
      </w:r>
      <w:r w:rsidR="00247ACF" w:rsidRPr="003A3777">
        <w:rPr>
          <w:rFonts w:ascii="Cambria" w:eastAsia="Batang" w:hAnsi="Cambria"/>
          <w:i/>
          <w:noProof/>
          <w:color w:val="8E0000"/>
          <w:sz w:val="20"/>
          <w:szCs w:val="20"/>
          <w:lang w:val="sq-AL"/>
        </w:rPr>
        <w:t>q</w:t>
      </w:r>
      <w:r w:rsidR="00C02B56" w:rsidRPr="003A3777">
        <w:rPr>
          <w:rFonts w:ascii="Cambria" w:eastAsia="Batang" w:hAnsi="Cambria"/>
          <w:i/>
          <w:noProof/>
          <w:color w:val="8E0000"/>
          <w:sz w:val="20"/>
          <w:szCs w:val="20"/>
          <w:lang w:val="sq-AL"/>
        </w:rPr>
        <w:t xml:space="preserve">endrore në vlerë absolute dhe relative ndaj PBB </w:t>
      </w:r>
      <w:r w:rsidRPr="003A3777">
        <w:rPr>
          <w:rFonts w:ascii="Cambria" w:eastAsia="Batang" w:hAnsi="Cambria"/>
          <w:i/>
          <w:noProof/>
          <w:color w:val="8E0000"/>
          <w:sz w:val="20"/>
          <w:szCs w:val="20"/>
          <w:lang w:val="sq-AL"/>
        </w:rPr>
        <w:t xml:space="preserve">                </w:t>
      </w:r>
      <w:r w:rsidR="00E43F55" w:rsidRPr="003A3777">
        <w:rPr>
          <w:rFonts w:ascii="Cambria" w:eastAsia="Batang" w:hAnsi="Cambria"/>
          <w:i/>
          <w:noProof/>
          <w:color w:val="8E0000"/>
          <w:sz w:val="20"/>
          <w:szCs w:val="20"/>
          <w:lang w:val="sq-AL"/>
        </w:rPr>
        <w:t>(2015</w:t>
      </w:r>
      <w:r w:rsidR="00C02B56" w:rsidRPr="003A3777">
        <w:rPr>
          <w:rFonts w:ascii="Cambria" w:eastAsia="Batang" w:hAnsi="Cambria"/>
          <w:i/>
          <w:noProof/>
          <w:color w:val="8E0000"/>
          <w:sz w:val="20"/>
          <w:szCs w:val="20"/>
          <w:lang w:val="sq-AL"/>
        </w:rPr>
        <w:t>-</w:t>
      </w:r>
      <w:r w:rsidR="009A6B15" w:rsidRPr="003A3777">
        <w:rPr>
          <w:rFonts w:ascii="Cambria" w:eastAsia="Batang" w:hAnsi="Cambria"/>
          <w:i/>
          <w:noProof/>
          <w:color w:val="8E0000"/>
          <w:sz w:val="20"/>
          <w:szCs w:val="20"/>
          <w:lang w:val="sq-AL"/>
        </w:rPr>
        <w:t xml:space="preserve">Shtator </w:t>
      </w:r>
      <w:r w:rsidR="003A4D8A" w:rsidRPr="003A3777">
        <w:rPr>
          <w:rFonts w:ascii="Cambria" w:eastAsia="Batang" w:hAnsi="Cambria"/>
          <w:i/>
          <w:noProof/>
          <w:color w:val="8E0000"/>
          <w:sz w:val="20"/>
          <w:szCs w:val="20"/>
          <w:lang w:val="sq-AL"/>
        </w:rPr>
        <w:t>2019</w:t>
      </w:r>
      <w:r w:rsidR="00741ABD" w:rsidRPr="003A3777">
        <w:rPr>
          <w:rFonts w:ascii="Cambria" w:eastAsia="Batang" w:hAnsi="Cambria"/>
          <w:i/>
          <w:noProof/>
          <w:color w:val="8E0000"/>
          <w:sz w:val="20"/>
          <w:szCs w:val="20"/>
          <w:lang w:val="sq-AL"/>
        </w:rPr>
        <w:t>)</w:t>
      </w:r>
    </w:p>
    <w:p w14:paraId="71DF5BE8" w14:textId="77777777" w:rsidR="0071398F" w:rsidRPr="003A3777" w:rsidRDefault="00A91878" w:rsidP="0071398F">
      <w:pPr>
        <w:spacing w:after="0" w:line="240" w:lineRule="auto"/>
        <w:ind w:left="2694" w:right="-45" w:hanging="2694"/>
        <w:rPr>
          <w:rFonts w:ascii="Cambria" w:eastAsia="Batang" w:hAnsi="Cambria"/>
          <w:i/>
          <w:noProof/>
          <w:color w:val="8E0000"/>
          <w:sz w:val="20"/>
          <w:szCs w:val="20"/>
          <w:lang w:val="sq-AL"/>
        </w:rPr>
      </w:pPr>
      <w:r>
        <w:rPr>
          <w:noProof/>
        </w:rPr>
        <w:drawing>
          <wp:inline distT="0" distB="0" distL="0" distR="0" wp14:anchorId="71DF5F5F" wp14:editId="71DF5F60">
            <wp:extent cx="5542915" cy="1943100"/>
            <wp:effectExtent l="19050" t="19050" r="1968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646" cy="1957028"/>
                    </a:xfrm>
                    <a:prstGeom prst="rect">
                      <a:avLst/>
                    </a:prstGeom>
                    <a:noFill/>
                    <a:ln>
                      <a:solidFill>
                        <a:schemeClr val="bg1">
                          <a:lumMod val="75000"/>
                        </a:schemeClr>
                      </a:solidFill>
                    </a:ln>
                  </pic:spPr>
                </pic:pic>
              </a:graphicData>
            </a:graphic>
          </wp:inline>
        </w:drawing>
      </w:r>
    </w:p>
    <w:p w14:paraId="71DF5BE9" w14:textId="77777777" w:rsidR="00C63AAC" w:rsidRPr="003A3777" w:rsidRDefault="00C02B56" w:rsidP="000863BB">
      <w:pPr>
        <w:spacing w:after="0" w:line="240" w:lineRule="auto"/>
        <w:ind w:right="-45"/>
        <w:jc w:val="center"/>
        <w:rPr>
          <w:rFonts w:ascii="Cambria" w:hAnsi="Cambria" w:cs="Times New Roman"/>
          <w:i/>
          <w:noProof/>
          <w:sz w:val="20"/>
          <w:szCs w:val="20"/>
          <w:lang w:val="sq-AL"/>
        </w:rPr>
      </w:pPr>
      <w:r w:rsidRPr="003A3777">
        <w:rPr>
          <w:rFonts w:ascii="Cambria" w:eastAsia="Calibri" w:hAnsi="Cambria" w:cs="Times New Roman"/>
          <w:b/>
          <w:noProof/>
          <w:color w:val="8E0000"/>
          <w:sz w:val="20"/>
          <w:szCs w:val="20"/>
          <w:lang w:val="sq-AL"/>
        </w:rPr>
        <w:t>Burimi:</w:t>
      </w:r>
      <w:r w:rsidRPr="003A3777">
        <w:rPr>
          <w:rFonts w:ascii="Cambria" w:hAnsi="Cambria" w:cs="Times New Roman"/>
          <w:b/>
          <w:noProof/>
          <w:sz w:val="20"/>
          <w:szCs w:val="20"/>
          <w:lang w:val="sq-AL"/>
        </w:rPr>
        <w:t xml:space="preserve"> </w:t>
      </w:r>
      <w:r w:rsidRPr="003A3777">
        <w:rPr>
          <w:rFonts w:ascii="Cambria" w:eastAsia="Calibri" w:hAnsi="Cambria" w:cs="Times New Roman"/>
          <w:i/>
          <w:noProof/>
          <w:color w:val="8E0000"/>
          <w:sz w:val="20"/>
          <w:szCs w:val="20"/>
          <w:lang w:val="sq-AL"/>
        </w:rPr>
        <w:t>Ministria</w:t>
      </w:r>
      <w:r w:rsidR="003A4D8A" w:rsidRPr="003A3777">
        <w:rPr>
          <w:rFonts w:ascii="Cambria" w:eastAsia="Calibri" w:hAnsi="Cambria" w:cs="Times New Roman"/>
          <w:i/>
          <w:noProof/>
          <w:color w:val="8E0000"/>
          <w:sz w:val="20"/>
          <w:szCs w:val="20"/>
          <w:lang w:val="sq-AL"/>
        </w:rPr>
        <w:t xml:space="preserve"> e Financave dhe Ekonomisë (2019</w:t>
      </w:r>
      <w:r w:rsidRPr="003A3777">
        <w:rPr>
          <w:rFonts w:ascii="Cambria" w:eastAsia="Calibri" w:hAnsi="Cambria" w:cs="Times New Roman"/>
          <w:i/>
          <w:noProof/>
          <w:color w:val="8E0000"/>
          <w:sz w:val="20"/>
          <w:szCs w:val="20"/>
          <w:lang w:val="sq-AL"/>
        </w:rPr>
        <w:t>)</w:t>
      </w:r>
    </w:p>
    <w:p w14:paraId="71DF5BEA" w14:textId="77777777" w:rsidR="000863BB" w:rsidRPr="003A3777" w:rsidRDefault="000863BB" w:rsidP="004521C1">
      <w:pPr>
        <w:spacing w:after="0" w:line="276" w:lineRule="auto"/>
        <w:ind w:right="237"/>
        <w:contextualSpacing/>
        <w:jc w:val="both"/>
        <w:rPr>
          <w:rFonts w:ascii="Cambria" w:hAnsi="Cambria" w:cs="Times New Roman"/>
          <w:i/>
          <w:noProof/>
          <w:sz w:val="16"/>
          <w:szCs w:val="20"/>
          <w:lang w:val="sq-AL"/>
        </w:rPr>
      </w:pPr>
    </w:p>
    <w:p w14:paraId="71DF5BEB" w14:textId="77777777" w:rsidR="00C02B56" w:rsidRPr="003A3777" w:rsidRDefault="00C63AAC" w:rsidP="004521C1">
      <w:pPr>
        <w:spacing w:after="0" w:line="276" w:lineRule="auto"/>
        <w:ind w:right="237"/>
        <w:contextualSpacing/>
        <w:jc w:val="both"/>
        <w:rPr>
          <w:rFonts w:ascii="Times New Roman" w:eastAsia="Calibri" w:hAnsi="Times New Roman" w:cs="Times New Roman"/>
          <w:noProof/>
          <w:sz w:val="24"/>
          <w:szCs w:val="24"/>
          <w:lang w:val="sq-AL"/>
        </w:rPr>
      </w:pPr>
      <w:r w:rsidRPr="003A3777">
        <w:rPr>
          <w:rFonts w:ascii="Times New Roman" w:eastAsia="Calibri" w:hAnsi="Times New Roman" w:cs="Times New Roman"/>
          <w:noProof/>
          <w:sz w:val="24"/>
          <w:szCs w:val="24"/>
          <w:lang w:val="sq-AL"/>
        </w:rPr>
        <w:t>Gjatë viteve t</w:t>
      </w:r>
      <w:r w:rsidR="00DC648E" w:rsidRPr="003A3777">
        <w:rPr>
          <w:rFonts w:ascii="Times New Roman" w:eastAsia="Calibri" w:hAnsi="Times New Roman" w:cs="Times New Roman"/>
          <w:noProof/>
          <w:sz w:val="24"/>
          <w:szCs w:val="24"/>
          <w:lang w:val="sq-AL"/>
        </w:rPr>
        <w:t>ë</w:t>
      </w:r>
      <w:r w:rsidRPr="003A3777">
        <w:rPr>
          <w:rFonts w:ascii="Times New Roman" w:eastAsia="Calibri" w:hAnsi="Times New Roman" w:cs="Times New Roman"/>
          <w:noProof/>
          <w:sz w:val="24"/>
          <w:szCs w:val="24"/>
          <w:lang w:val="sq-AL"/>
        </w:rPr>
        <w:t xml:space="preserve"> fundit, nga pikëpamja e kompozimit të borxhit të </w:t>
      </w:r>
      <w:r w:rsidR="009B09EB" w:rsidRPr="003A3777">
        <w:rPr>
          <w:rFonts w:ascii="Times New Roman" w:eastAsia="Calibri" w:hAnsi="Times New Roman" w:cs="Times New Roman"/>
          <w:noProof/>
          <w:sz w:val="24"/>
          <w:szCs w:val="24"/>
          <w:lang w:val="sq-AL"/>
        </w:rPr>
        <w:t>q</w:t>
      </w:r>
      <w:r w:rsidRPr="003A3777">
        <w:rPr>
          <w:rFonts w:ascii="Times New Roman" w:eastAsia="Calibri" w:hAnsi="Times New Roman" w:cs="Times New Roman"/>
          <w:noProof/>
          <w:sz w:val="24"/>
          <w:szCs w:val="24"/>
          <w:lang w:val="sq-AL"/>
        </w:rPr>
        <w:t xml:space="preserve">everisjes </w:t>
      </w:r>
      <w:r w:rsidR="009B09EB" w:rsidRPr="003A3777">
        <w:rPr>
          <w:rFonts w:ascii="Times New Roman" w:eastAsia="Calibri" w:hAnsi="Times New Roman" w:cs="Times New Roman"/>
          <w:noProof/>
          <w:sz w:val="24"/>
          <w:szCs w:val="24"/>
          <w:lang w:val="sq-AL"/>
        </w:rPr>
        <w:t>q</w:t>
      </w:r>
      <w:r w:rsidRPr="003A3777">
        <w:rPr>
          <w:rFonts w:ascii="Times New Roman" w:eastAsia="Calibri" w:hAnsi="Times New Roman" w:cs="Times New Roman"/>
          <w:noProof/>
          <w:sz w:val="24"/>
          <w:szCs w:val="24"/>
          <w:lang w:val="sq-AL"/>
        </w:rPr>
        <w:t>endrore, karakteristik</w:t>
      </w:r>
      <w:r w:rsidR="0083005F">
        <w:rPr>
          <w:rFonts w:ascii="Times New Roman" w:eastAsia="Calibri" w:hAnsi="Times New Roman" w:cs="Times New Roman"/>
          <w:noProof/>
          <w:sz w:val="24"/>
          <w:szCs w:val="24"/>
          <w:lang w:val="sq-AL"/>
        </w:rPr>
        <w:t>ë</w:t>
      </w:r>
      <w:r w:rsidRPr="003A3777">
        <w:rPr>
          <w:rFonts w:ascii="Times New Roman" w:eastAsia="Calibri" w:hAnsi="Times New Roman" w:cs="Times New Roman"/>
          <w:noProof/>
          <w:sz w:val="24"/>
          <w:szCs w:val="24"/>
          <w:lang w:val="sq-AL"/>
        </w:rPr>
        <w:t xml:space="preserve"> ka qenë</w:t>
      </w:r>
      <w:r w:rsidR="008F5C90" w:rsidRPr="003A3777">
        <w:rPr>
          <w:rFonts w:ascii="Times New Roman" w:eastAsia="Calibri" w:hAnsi="Times New Roman" w:cs="Times New Roman"/>
          <w:noProof/>
          <w:sz w:val="24"/>
          <w:szCs w:val="24"/>
          <w:lang w:val="sq-AL"/>
        </w:rPr>
        <w:t xml:space="preserve"> rritja e pesh</w:t>
      </w:r>
      <w:r w:rsidR="00556CFC">
        <w:rPr>
          <w:rFonts w:ascii="Times New Roman" w:eastAsia="Calibri" w:hAnsi="Times New Roman" w:cs="Times New Roman"/>
          <w:noProof/>
          <w:sz w:val="24"/>
          <w:szCs w:val="24"/>
          <w:lang w:val="sq-AL"/>
        </w:rPr>
        <w:t>ë</w:t>
      </w:r>
      <w:r w:rsidR="008F5C90" w:rsidRPr="003A3777">
        <w:rPr>
          <w:rFonts w:ascii="Times New Roman" w:eastAsia="Calibri" w:hAnsi="Times New Roman" w:cs="Times New Roman"/>
          <w:noProof/>
          <w:sz w:val="24"/>
          <w:szCs w:val="24"/>
          <w:lang w:val="sq-AL"/>
        </w:rPr>
        <w:t>s s</w:t>
      </w:r>
      <w:r w:rsidR="00556CFC">
        <w:rPr>
          <w:rFonts w:ascii="Times New Roman" w:eastAsia="Calibri" w:hAnsi="Times New Roman" w:cs="Times New Roman"/>
          <w:noProof/>
          <w:sz w:val="24"/>
          <w:szCs w:val="24"/>
          <w:lang w:val="sq-AL"/>
        </w:rPr>
        <w:t>ë</w:t>
      </w:r>
      <w:r w:rsidR="008F5C90" w:rsidRPr="003A3777">
        <w:rPr>
          <w:rFonts w:ascii="Times New Roman" w:eastAsia="Calibri" w:hAnsi="Times New Roman" w:cs="Times New Roman"/>
          <w:noProof/>
          <w:sz w:val="24"/>
          <w:szCs w:val="24"/>
          <w:lang w:val="sq-AL"/>
        </w:rPr>
        <w:t xml:space="preserve"> instrumenteve t</w:t>
      </w:r>
      <w:r w:rsidR="00556CFC">
        <w:rPr>
          <w:rFonts w:ascii="Times New Roman" w:eastAsia="Calibri" w:hAnsi="Times New Roman" w:cs="Times New Roman"/>
          <w:noProof/>
          <w:sz w:val="24"/>
          <w:szCs w:val="24"/>
          <w:lang w:val="sq-AL"/>
        </w:rPr>
        <w:t>ë</w:t>
      </w:r>
      <w:r w:rsidR="008F5C90" w:rsidRPr="003A3777">
        <w:rPr>
          <w:rFonts w:ascii="Times New Roman" w:eastAsia="Calibri" w:hAnsi="Times New Roman" w:cs="Times New Roman"/>
          <w:noProof/>
          <w:sz w:val="24"/>
          <w:szCs w:val="24"/>
          <w:lang w:val="sq-AL"/>
        </w:rPr>
        <w:t xml:space="preserve"> tregtueshme</w:t>
      </w:r>
      <w:r w:rsidR="004D47F2" w:rsidRPr="003A3777">
        <w:rPr>
          <w:rFonts w:ascii="Times New Roman" w:eastAsia="Calibri" w:hAnsi="Times New Roman" w:cs="Times New Roman"/>
          <w:noProof/>
          <w:sz w:val="24"/>
          <w:szCs w:val="24"/>
          <w:lang w:val="sq-AL"/>
        </w:rPr>
        <w:t xml:space="preserve"> (bono thesari, obligacione, eurobond)</w:t>
      </w:r>
      <w:r w:rsidR="00933C29" w:rsidRPr="003A3777">
        <w:rPr>
          <w:rFonts w:ascii="Times New Roman" w:eastAsia="Calibri" w:hAnsi="Times New Roman" w:cs="Times New Roman"/>
          <w:noProof/>
          <w:sz w:val="24"/>
          <w:szCs w:val="24"/>
          <w:lang w:val="sq-AL"/>
        </w:rPr>
        <w:t xml:space="preserve"> </w:t>
      </w:r>
      <w:r w:rsidR="004D47F2" w:rsidRPr="003A3777">
        <w:rPr>
          <w:rFonts w:ascii="Times New Roman" w:eastAsia="Calibri" w:hAnsi="Times New Roman" w:cs="Times New Roman"/>
          <w:noProof/>
          <w:sz w:val="24"/>
          <w:szCs w:val="24"/>
          <w:lang w:val="sq-AL"/>
        </w:rPr>
        <w:t xml:space="preserve">dhe </w:t>
      </w:r>
      <w:r w:rsidRPr="003A3777">
        <w:rPr>
          <w:rFonts w:ascii="Times New Roman" w:eastAsia="Calibri" w:hAnsi="Times New Roman" w:cs="Times New Roman"/>
          <w:noProof/>
          <w:sz w:val="24"/>
          <w:szCs w:val="24"/>
          <w:lang w:val="sq-AL"/>
        </w:rPr>
        <w:t>huave n</w:t>
      </w:r>
      <w:r w:rsidR="00DC648E" w:rsidRPr="003A3777">
        <w:rPr>
          <w:rFonts w:ascii="Times New Roman" w:eastAsia="Calibri" w:hAnsi="Times New Roman" w:cs="Times New Roman"/>
          <w:noProof/>
          <w:sz w:val="24"/>
          <w:szCs w:val="24"/>
          <w:lang w:val="sq-AL"/>
        </w:rPr>
        <w:t>ë</w:t>
      </w:r>
      <w:r w:rsidRPr="003A3777">
        <w:rPr>
          <w:rFonts w:ascii="Times New Roman" w:eastAsia="Calibri" w:hAnsi="Times New Roman" w:cs="Times New Roman"/>
          <w:noProof/>
          <w:sz w:val="24"/>
          <w:szCs w:val="24"/>
          <w:lang w:val="sq-AL"/>
        </w:rPr>
        <w:t xml:space="preserve"> form</w:t>
      </w:r>
      <w:r w:rsidR="00DC648E" w:rsidRPr="003A3777">
        <w:rPr>
          <w:rFonts w:ascii="Times New Roman" w:eastAsia="Calibri" w:hAnsi="Times New Roman" w:cs="Times New Roman"/>
          <w:noProof/>
          <w:sz w:val="24"/>
          <w:szCs w:val="24"/>
          <w:lang w:val="sq-AL"/>
        </w:rPr>
        <w:t>ë</w:t>
      </w:r>
      <w:r w:rsidRPr="003A3777">
        <w:rPr>
          <w:rFonts w:ascii="Times New Roman" w:eastAsia="Calibri" w:hAnsi="Times New Roman" w:cs="Times New Roman"/>
          <w:noProof/>
          <w:sz w:val="24"/>
          <w:szCs w:val="24"/>
          <w:lang w:val="sq-AL"/>
        </w:rPr>
        <w:t>n e mbështetjes buxhetore</w:t>
      </w:r>
      <w:r w:rsidR="00933C29" w:rsidRPr="003A3777">
        <w:rPr>
          <w:rFonts w:ascii="Times New Roman" w:eastAsia="Calibri" w:hAnsi="Times New Roman" w:cs="Times New Roman"/>
          <w:noProof/>
          <w:sz w:val="24"/>
          <w:szCs w:val="24"/>
          <w:lang w:val="sq-AL"/>
        </w:rPr>
        <w:t xml:space="preserve">. </w:t>
      </w:r>
      <w:r w:rsidR="004D47F2" w:rsidRPr="003A3777">
        <w:rPr>
          <w:rFonts w:ascii="Times New Roman" w:eastAsia="Calibri" w:hAnsi="Times New Roman" w:cs="Times New Roman"/>
          <w:noProof/>
          <w:sz w:val="24"/>
          <w:szCs w:val="24"/>
          <w:lang w:val="sq-AL"/>
        </w:rPr>
        <w:t>Rritja e pesh</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s s</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k</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tyre instrumenteve ka ardhur si rezultat i shfryt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zimit 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kushteve 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favorshme 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tregjeve nd</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rkomb</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tare dhe shfryt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zimit 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burimeve 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favorshme 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financimit t</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vendosura n</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 xml:space="preserve"> dispozicion nga institucionet financiare nd</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rkomb</w:t>
      </w:r>
      <w:r w:rsidR="00556CFC">
        <w:rPr>
          <w:rFonts w:ascii="Times New Roman" w:eastAsia="Calibri" w:hAnsi="Times New Roman" w:cs="Times New Roman"/>
          <w:noProof/>
          <w:sz w:val="24"/>
          <w:szCs w:val="24"/>
          <w:lang w:val="sq-AL"/>
        </w:rPr>
        <w:t>ë</w:t>
      </w:r>
      <w:r w:rsidR="004D47F2" w:rsidRPr="003A3777">
        <w:rPr>
          <w:rFonts w:ascii="Times New Roman" w:eastAsia="Calibri" w:hAnsi="Times New Roman" w:cs="Times New Roman"/>
          <w:noProof/>
          <w:sz w:val="24"/>
          <w:szCs w:val="24"/>
          <w:lang w:val="sq-AL"/>
        </w:rPr>
        <w:t>tare</w:t>
      </w:r>
      <w:r w:rsidR="000E665D" w:rsidRPr="003A3777">
        <w:rPr>
          <w:rFonts w:ascii="Times New Roman" w:eastAsia="Calibri" w:hAnsi="Times New Roman" w:cs="Times New Roman"/>
          <w:noProof/>
          <w:sz w:val="24"/>
          <w:szCs w:val="24"/>
          <w:lang w:val="sq-AL"/>
        </w:rPr>
        <w:t>.</w:t>
      </w:r>
      <w:r w:rsidRPr="003A3777">
        <w:rPr>
          <w:rFonts w:ascii="Times New Roman" w:eastAsia="Calibri" w:hAnsi="Times New Roman" w:cs="Times New Roman"/>
          <w:noProof/>
          <w:sz w:val="24"/>
          <w:szCs w:val="24"/>
          <w:lang w:val="sq-AL"/>
        </w:rPr>
        <w:t xml:space="preserve"> </w:t>
      </w:r>
    </w:p>
    <w:p w14:paraId="71DF5BEC" w14:textId="77777777" w:rsidR="00EF5A7B" w:rsidRPr="00556CFC" w:rsidRDefault="00EF5A7B" w:rsidP="00325B30">
      <w:pPr>
        <w:spacing w:after="0" w:line="276" w:lineRule="auto"/>
        <w:ind w:right="237"/>
        <w:contextualSpacing/>
        <w:jc w:val="both"/>
        <w:rPr>
          <w:rFonts w:ascii="Times New Roman" w:eastAsia="Calibri" w:hAnsi="Times New Roman" w:cs="Times New Roman"/>
          <w:noProof/>
          <w:sz w:val="16"/>
          <w:szCs w:val="12"/>
          <w:lang w:val="sq-AL"/>
        </w:rPr>
      </w:pPr>
    </w:p>
    <w:p w14:paraId="71DF5BED" w14:textId="77777777" w:rsidR="00E64285" w:rsidRPr="00556CFC" w:rsidRDefault="00B17D3C" w:rsidP="00741ABD">
      <w:pPr>
        <w:spacing w:after="0" w:line="240" w:lineRule="auto"/>
        <w:ind w:right="-45"/>
        <w:jc w:val="center"/>
        <w:rPr>
          <w:rFonts w:ascii="Cambria" w:eastAsia="Batang" w:hAnsi="Cambria"/>
          <w:i/>
          <w:noProof/>
          <w:color w:val="8E0000"/>
          <w:sz w:val="20"/>
          <w:szCs w:val="20"/>
          <w:lang w:val="sq-AL"/>
        </w:rPr>
      </w:pPr>
      <w:r w:rsidRPr="00556CFC">
        <w:rPr>
          <w:rFonts w:ascii="Cambria" w:eastAsia="Batang" w:hAnsi="Cambria"/>
          <w:b/>
          <w:noProof/>
          <w:color w:val="8E0000"/>
          <w:sz w:val="20"/>
          <w:szCs w:val="20"/>
          <w:lang w:val="sq-AL"/>
        </w:rPr>
        <w:t>Paraqitje Grafike 1 (b</w:t>
      </w:r>
      <w:r w:rsidR="00C02B56" w:rsidRPr="00556CFC">
        <w:rPr>
          <w:rFonts w:ascii="Cambria" w:eastAsia="Batang" w:hAnsi="Cambria"/>
          <w:b/>
          <w:noProof/>
          <w:color w:val="8E0000"/>
          <w:sz w:val="20"/>
          <w:szCs w:val="20"/>
          <w:lang w:val="sq-AL"/>
        </w:rPr>
        <w:t>):</w:t>
      </w:r>
      <w:r w:rsidR="00C02B56" w:rsidRPr="00556CFC">
        <w:rPr>
          <w:rFonts w:ascii="Cambria" w:hAnsi="Cambria" w:cs="Times New Roman"/>
          <w:b/>
          <w:noProof/>
          <w:sz w:val="20"/>
          <w:szCs w:val="20"/>
          <w:lang w:val="sq-AL"/>
        </w:rPr>
        <w:t xml:space="preserve"> </w:t>
      </w:r>
      <w:r w:rsidR="00C02B56" w:rsidRPr="00556CFC">
        <w:rPr>
          <w:rFonts w:ascii="Cambria" w:eastAsia="Batang" w:hAnsi="Cambria"/>
          <w:i/>
          <w:noProof/>
          <w:color w:val="8E0000"/>
          <w:sz w:val="20"/>
          <w:szCs w:val="20"/>
          <w:lang w:val="sq-AL"/>
        </w:rPr>
        <w:t xml:space="preserve">Përbërja e borxhit të </w:t>
      </w:r>
      <w:r w:rsidR="00247ACF" w:rsidRPr="00556CFC">
        <w:rPr>
          <w:rFonts w:ascii="Cambria" w:eastAsia="Batang" w:hAnsi="Cambria"/>
          <w:i/>
          <w:noProof/>
          <w:color w:val="8E0000"/>
          <w:sz w:val="20"/>
          <w:szCs w:val="20"/>
          <w:lang w:val="sq-AL"/>
        </w:rPr>
        <w:t>q</w:t>
      </w:r>
      <w:r w:rsidR="00C02B56" w:rsidRPr="00556CFC">
        <w:rPr>
          <w:rFonts w:ascii="Cambria" w:eastAsia="Batang" w:hAnsi="Cambria"/>
          <w:i/>
          <w:noProof/>
          <w:color w:val="8E0000"/>
          <w:sz w:val="20"/>
          <w:szCs w:val="20"/>
          <w:lang w:val="sq-AL"/>
        </w:rPr>
        <w:t xml:space="preserve">everisjes </w:t>
      </w:r>
      <w:r w:rsidR="00247ACF" w:rsidRPr="00556CFC">
        <w:rPr>
          <w:rFonts w:ascii="Cambria" w:eastAsia="Batang" w:hAnsi="Cambria"/>
          <w:i/>
          <w:noProof/>
          <w:color w:val="8E0000"/>
          <w:sz w:val="20"/>
          <w:szCs w:val="20"/>
          <w:lang w:val="sq-AL"/>
        </w:rPr>
        <w:t>q</w:t>
      </w:r>
      <w:r w:rsidR="00741ABD" w:rsidRPr="00556CFC">
        <w:rPr>
          <w:rFonts w:ascii="Cambria" w:eastAsia="Batang" w:hAnsi="Cambria"/>
          <w:i/>
          <w:noProof/>
          <w:color w:val="8E0000"/>
          <w:sz w:val="20"/>
          <w:szCs w:val="20"/>
          <w:lang w:val="sq-AL"/>
        </w:rPr>
        <w:t>endrore (2015</w:t>
      </w:r>
      <w:r w:rsidR="00C02B56" w:rsidRPr="00556CFC">
        <w:rPr>
          <w:rFonts w:ascii="Cambria" w:eastAsia="Batang" w:hAnsi="Cambria"/>
          <w:i/>
          <w:noProof/>
          <w:color w:val="8E0000"/>
          <w:sz w:val="20"/>
          <w:szCs w:val="20"/>
          <w:lang w:val="sq-AL"/>
        </w:rPr>
        <w:t>-</w:t>
      </w:r>
      <w:r w:rsidR="009A6B15" w:rsidRPr="00556CFC">
        <w:rPr>
          <w:rFonts w:ascii="Cambria" w:eastAsia="Batang" w:hAnsi="Cambria"/>
          <w:i/>
          <w:noProof/>
          <w:color w:val="8E0000"/>
          <w:sz w:val="20"/>
          <w:szCs w:val="20"/>
          <w:lang w:val="sq-AL"/>
        </w:rPr>
        <w:t>Shtator</w:t>
      </w:r>
      <w:r w:rsidR="00E64285" w:rsidRPr="00556CFC">
        <w:rPr>
          <w:rFonts w:ascii="Cambria" w:eastAsia="Batang" w:hAnsi="Cambria"/>
          <w:i/>
          <w:noProof/>
          <w:color w:val="8E0000"/>
          <w:sz w:val="20"/>
          <w:szCs w:val="20"/>
          <w:lang w:val="sq-AL"/>
        </w:rPr>
        <w:t xml:space="preserve"> 2019</w:t>
      </w:r>
      <w:r w:rsidR="00741ABD" w:rsidRPr="00556CFC">
        <w:rPr>
          <w:rFonts w:ascii="Cambria" w:eastAsia="Batang" w:hAnsi="Cambria"/>
          <w:i/>
          <w:noProof/>
          <w:color w:val="8E0000"/>
          <w:sz w:val="20"/>
          <w:szCs w:val="20"/>
          <w:lang w:val="sq-AL"/>
        </w:rPr>
        <w:t>)</w:t>
      </w:r>
    </w:p>
    <w:p w14:paraId="71DF5BEE" w14:textId="77777777" w:rsidR="00325B30" w:rsidRPr="00556CFC" w:rsidRDefault="00556CFC" w:rsidP="00325B30">
      <w:pPr>
        <w:spacing w:after="0" w:line="240" w:lineRule="auto"/>
        <w:ind w:right="-45"/>
        <w:rPr>
          <w:rFonts w:ascii="Cambria" w:eastAsia="Batang" w:hAnsi="Cambria"/>
          <w:i/>
          <w:noProof/>
          <w:color w:val="8E0000"/>
          <w:sz w:val="20"/>
          <w:szCs w:val="20"/>
          <w:lang w:val="sq-AL"/>
        </w:rPr>
      </w:pPr>
      <w:r w:rsidRPr="00556CFC">
        <w:rPr>
          <w:rFonts w:ascii="Cambria" w:eastAsia="Batang" w:hAnsi="Cambria"/>
          <w:i/>
          <w:noProof/>
          <w:color w:val="8E0000"/>
          <w:sz w:val="20"/>
          <w:szCs w:val="20"/>
        </w:rPr>
        <w:drawing>
          <wp:inline distT="0" distB="0" distL="0" distR="0" wp14:anchorId="71DF5F61" wp14:editId="71DF5F62">
            <wp:extent cx="5544820" cy="1992702"/>
            <wp:effectExtent l="19050" t="19050" r="17780" b="266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7475" cy="1993656"/>
                    </a:xfrm>
                    <a:prstGeom prst="rect">
                      <a:avLst/>
                    </a:prstGeom>
                    <a:noFill/>
                    <a:ln>
                      <a:solidFill>
                        <a:schemeClr val="bg1">
                          <a:lumMod val="75000"/>
                        </a:schemeClr>
                      </a:solidFill>
                    </a:ln>
                  </pic:spPr>
                </pic:pic>
              </a:graphicData>
            </a:graphic>
          </wp:inline>
        </w:drawing>
      </w:r>
    </w:p>
    <w:p w14:paraId="71DF5BEF" w14:textId="77777777" w:rsidR="00325B30" w:rsidRPr="000F5C13" w:rsidRDefault="00C02B56" w:rsidP="00B935CC">
      <w:pPr>
        <w:spacing w:after="0" w:line="240" w:lineRule="auto"/>
        <w:ind w:right="-45"/>
        <w:jc w:val="center"/>
        <w:rPr>
          <w:rFonts w:ascii="Cambria" w:eastAsia="Calibri" w:hAnsi="Cambria" w:cs="Times New Roman"/>
          <w:i/>
          <w:noProof/>
          <w:color w:val="8E0000"/>
          <w:sz w:val="20"/>
          <w:szCs w:val="20"/>
          <w:lang w:val="sq-AL"/>
        </w:rPr>
      </w:pPr>
      <w:r w:rsidRPr="00556CFC">
        <w:rPr>
          <w:rFonts w:ascii="Cambria" w:eastAsia="Calibri" w:hAnsi="Cambria" w:cs="Times New Roman"/>
          <w:b/>
          <w:noProof/>
          <w:color w:val="8E0000"/>
          <w:sz w:val="20"/>
          <w:szCs w:val="20"/>
          <w:lang w:val="sq-AL"/>
        </w:rPr>
        <w:t>Burimi:</w:t>
      </w:r>
      <w:r w:rsidRPr="00556CFC">
        <w:rPr>
          <w:rFonts w:ascii="Cambria" w:hAnsi="Cambria" w:cs="Times New Roman"/>
          <w:b/>
          <w:noProof/>
          <w:sz w:val="20"/>
          <w:szCs w:val="20"/>
          <w:lang w:val="sq-AL"/>
        </w:rPr>
        <w:t xml:space="preserve"> </w:t>
      </w:r>
      <w:r w:rsidRPr="00556CFC">
        <w:rPr>
          <w:rFonts w:ascii="Cambria" w:eastAsia="Calibri" w:hAnsi="Cambria" w:cs="Times New Roman"/>
          <w:i/>
          <w:noProof/>
          <w:color w:val="8E0000"/>
          <w:sz w:val="20"/>
          <w:szCs w:val="20"/>
          <w:lang w:val="sq-AL"/>
        </w:rPr>
        <w:t>Ministria</w:t>
      </w:r>
      <w:r w:rsidR="000863BB" w:rsidRPr="00556CFC">
        <w:rPr>
          <w:rFonts w:ascii="Cambria" w:eastAsia="Calibri" w:hAnsi="Cambria" w:cs="Times New Roman"/>
          <w:i/>
          <w:noProof/>
          <w:color w:val="8E0000"/>
          <w:sz w:val="20"/>
          <w:szCs w:val="20"/>
          <w:lang w:val="sq-AL"/>
        </w:rPr>
        <w:t xml:space="preserve"> e Financave dhe Ekonomisë (2019</w:t>
      </w:r>
      <w:r w:rsidRPr="00556CFC">
        <w:rPr>
          <w:rFonts w:ascii="Cambria" w:eastAsia="Calibri" w:hAnsi="Cambria" w:cs="Times New Roman"/>
          <w:i/>
          <w:noProof/>
          <w:color w:val="8E0000"/>
          <w:sz w:val="20"/>
          <w:szCs w:val="20"/>
          <w:lang w:val="sq-AL"/>
        </w:rPr>
        <w:t>)</w:t>
      </w:r>
    </w:p>
    <w:p w14:paraId="71DF5BF0" w14:textId="77777777" w:rsidR="00032F14" w:rsidRPr="00556CFC" w:rsidRDefault="009B24CE" w:rsidP="004A70BC">
      <w:pPr>
        <w:pStyle w:val="Heading1"/>
        <w:numPr>
          <w:ilvl w:val="0"/>
          <w:numId w:val="8"/>
        </w:numPr>
        <w:spacing w:before="0" w:line="276" w:lineRule="auto"/>
        <w:ind w:left="567" w:hanging="567"/>
        <w:rPr>
          <w:noProof/>
          <w:lang w:val="sq-AL"/>
        </w:rPr>
      </w:pPr>
      <w:bookmarkStart w:id="5" w:name="_Toc483994726"/>
      <w:bookmarkStart w:id="6" w:name="_Toc491860983"/>
      <w:bookmarkStart w:id="7" w:name="_Toc491954296"/>
      <w:bookmarkStart w:id="8" w:name="_Toc524506529"/>
      <w:r w:rsidRPr="00556CFC">
        <w:rPr>
          <w:noProof/>
          <w:lang w:val="sq-AL"/>
        </w:rPr>
        <w:lastRenderedPageBreak/>
        <w:t>Realizimi i Huamarrjes</w:t>
      </w:r>
      <w:bookmarkEnd w:id="5"/>
      <w:bookmarkEnd w:id="6"/>
      <w:bookmarkEnd w:id="7"/>
      <w:bookmarkEnd w:id="8"/>
    </w:p>
    <w:p w14:paraId="71DF5BF1" w14:textId="77777777" w:rsidR="00FE7A67" w:rsidRPr="00556CFC" w:rsidRDefault="00FE7A67" w:rsidP="000863BB">
      <w:pPr>
        <w:spacing w:after="0" w:line="276" w:lineRule="auto"/>
        <w:ind w:right="237"/>
        <w:contextualSpacing/>
        <w:jc w:val="both"/>
        <w:rPr>
          <w:rFonts w:ascii="Times New Roman" w:eastAsia="Batang" w:hAnsi="Times New Roman" w:cs="Times New Roman"/>
          <w:noProof/>
          <w:sz w:val="20"/>
          <w:szCs w:val="16"/>
          <w:lang w:val="sq-AL"/>
        </w:rPr>
      </w:pPr>
    </w:p>
    <w:p w14:paraId="71DF5BF2" w14:textId="77777777" w:rsidR="004D3E39" w:rsidRPr="00556CFC" w:rsidRDefault="004D3E39" w:rsidP="005C71DC">
      <w:pPr>
        <w:tabs>
          <w:tab w:val="left" w:pos="8789"/>
        </w:tabs>
        <w:spacing w:after="0" w:line="276" w:lineRule="auto"/>
        <w:ind w:right="237"/>
        <w:contextualSpacing/>
        <w:jc w:val="both"/>
        <w:rPr>
          <w:rFonts w:ascii="Times New Roman" w:eastAsia="Calibri" w:hAnsi="Times New Roman" w:cs="Times New Roman"/>
          <w:noProof/>
          <w:sz w:val="24"/>
          <w:szCs w:val="24"/>
          <w:lang w:val="sq-AL"/>
        </w:rPr>
      </w:pPr>
      <w:r w:rsidRPr="00556CFC">
        <w:rPr>
          <w:rFonts w:ascii="Times New Roman" w:eastAsia="Calibri" w:hAnsi="Times New Roman" w:cs="Times New Roman"/>
          <w:noProof/>
          <w:sz w:val="24"/>
          <w:szCs w:val="24"/>
          <w:lang w:val="sq-AL"/>
        </w:rPr>
        <w:t xml:space="preserve">Huamarrja gjatë </w:t>
      </w:r>
      <w:r w:rsidR="009C255A" w:rsidRPr="00556CFC">
        <w:rPr>
          <w:rFonts w:ascii="Times New Roman" w:eastAsia="Calibri" w:hAnsi="Times New Roman" w:cs="Times New Roman"/>
          <w:noProof/>
          <w:sz w:val="24"/>
          <w:szCs w:val="24"/>
          <w:lang w:val="sq-AL"/>
        </w:rPr>
        <w:t>viteve t</w:t>
      </w:r>
      <w:r w:rsidR="00DC648E" w:rsidRPr="00556CFC">
        <w:rPr>
          <w:rFonts w:ascii="Times New Roman" w:eastAsia="Calibri" w:hAnsi="Times New Roman" w:cs="Times New Roman"/>
          <w:noProof/>
          <w:sz w:val="24"/>
          <w:szCs w:val="24"/>
          <w:lang w:val="sq-AL"/>
        </w:rPr>
        <w:t>ë</w:t>
      </w:r>
      <w:r w:rsidR="009C255A" w:rsidRPr="00556CFC">
        <w:rPr>
          <w:rFonts w:ascii="Times New Roman" w:eastAsia="Calibri" w:hAnsi="Times New Roman" w:cs="Times New Roman"/>
          <w:noProof/>
          <w:sz w:val="24"/>
          <w:szCs w:val="24"/>
          <w:lang w:val="sq-AL"/>
        </w:rPr>
        <w:t xml:space="preserve"> fundit</w:t>
      </w:r>
      <w:r w:rsidR="00960F94" w:rsidRPr="00556CFC">
        <w:rPr>
          <w:rFonts w:ascii="Times New Roman" w:eastAsia="Calibri" w:hAnsi="Times New Roman" w:cs="Times New Roman"/>
          <w:noProof/>
          <w:sz w:val="24"/>
          <w:szCs w:val="24"/>
          <w:lang w:val="sq-AL"/>
        </w:rPr>
        <w:t xml:space="preserve"> ka</w:t>
      </w:r>
      <w:r w:rsidRPr="00556CFC">
        <w:rPr>
          <w:rFonts w:ascii="Times New Roman" w:eastAsia="Calibri" w:hAnsi="Times New Roman" w:cs="Times New Roman"/>
          <w:noProof/>
          <w:sz w:val="24"/>
          <w:szCs w:val="24"/>
          <w:lang w:val="sq-AL"/>
        </w:rPr>
        <w:t xml:space="preserve"> mundësuar </w:t>
      </w:r>
      <w:r w:rsidR="00960F94" w:rsidRPr="00556CFC">
        <w:rPr>
          <w:rFonts w:ascii="Times New Roman" w:eastAsia="Calibri" w:hAnsi="Times New Roman" w:cs="Times New Roman"/>
          <w:noProof/>
          <w:sz w:val="24"/>
          <w:szCs w:val="24"/>
          <w:lang w:val="sq-AL"/>
        </w:rPr>
        <w:t>sigurimin e likuiditetit p</w:t>
      </w:r>
      <w:r w:rsidR="00982338" w:rsidRPr="00556CFC">
        <w:rPr>
          <w:rFonts w:ascii="Times New Roman" w:eastAsia="Calibri" w:hAnsi="Times New Roman" w:cs="Times New Roman"/>
          <w:noProof/>
          <w:sz w:val="24"/>
          <w:szCs w:val="24"/>
          <w:lang w:val="sq-AL"/>
        </w:rPr>
        <w:t>ë</w:t>
      </w:r>
      <w:r w:rsidR="00960F94" w:rsidRPr="00556CFC">
        <w:rPr>
          <w:rFonts w:ascii="Times New Roman" w:eastAsia="Calibri" w:hAnsi="Times New Roman" w:cs="Times New Roman"/>
          <w:noProof/>
          <w:sz w:val="24"/>
          <w:szCs w:val="24"/>
          <w:lang w:val="sq-AL"/>
        </w:rPr>
        <w:t>r nevojat buxhetore</w:t>
      </w:r>
      <w:r w:rsidR="00CE7F11" w:rsidRPr="00556CFC">
        <w:rPr>
          <w:rFonts w:ascii="Times New Roman" w:eastAsia="Calibri" w:hAnsi="Times New Roman" w:cs="Times New Roman"/>
          <w:noProof/>
          <w:sz w:val="24"/>
          <w:szCs w:val="24"/>
          <w:lang w:val="sq-AL"/>
        </w:rPr>
        <w:t xml:space="preserve"> dhe menaxhimin e detyrimeve t</w:t>
      </w:r>
      <w:r w:rsidR="00556CFC" w:rsidRPr="00556CFC">
        <w:rPr>
          <w:rFonts w:ascii="Times New Roman" w:eastAsia="Calibri" w:hAnsi="Times New Roman" w:cs="Times New Roman"/>
          <w:noProof/>
          <w:sz w:val="24"/>
          <w:szCs w:val="24"/>
          <w:lang w:val="sq-AL"/>
        </w:rPr>
        <w:t>ë</w:t>
      </w:r>
      <w:r w:rsidR="00CE7F11" w:rsidRPr="00556CFC">
        <w:rPr>
          <w:rFonts w:ascii="Times New Roman" w:eastAsia="Calibri" w:hAnsi="Times New Roman" w:cs="Times New Roman"/>
          <w:noProof/>
          <w:sz w:val="24"/>
          <w:szCs w:val="24"/>
          <w:lang w:val="sq-AL"/>
        </w:rPr>
        <w:t xml:space="preserve"> borxhit, si</w:t>
      </w:r>
      <w:r w:rsidR="00960F94" w:rsidRPr="00556CFC">
        <w:rPr>
          <w:rFonts w:ascii="Times New Roman" w:eastAsia="Calibri" w:hAnsi="Times New Roman" w:cs="Times New Roman"/>
          <w:noProof/>
          <w:sz w:val="24"/>
          <w:szCs w:val="24"/>
          <w:lang w:val="sq-AL"/>
        </w:rPr>
        <w:t xml:space="preserve"> </w:t>
      </w:r>
      <w:r w:rsidR="00CE7F11" w:rsidRPr="00556CFC">
        <w:rPr>
          <w:rFonts w:ascii="Times New Roman" w:eastAsia="Calibri" w:hAnsi="Times New Roman" w:cs="Times New Roman"/>
          <w:noProof/>
          <w:sz w:val="24"/>
          <w:szCs w:val="24"/>
          <w:lang w:val="sq-AL"/>
        </w:rPr>
        <w:t>e</w:t>
      </w:r>
      <w:r w:rsidR="00960F94" w:rsidRPr="00556CFC">
        <w:rPr>
          <w:rFonts w:ascii="Times New Roman" w:eastAsia="Calibri" w:hAnsi="Times New Roman" w:cs="Times New Roman"/>
          <w:noProof/>
          <w:sz w:val="24"/>
          <w:szCs w:val="24"/>
          <w:lang w:val="sq-AL"/>
        </w:rPr>
        <w:t xml:space="preserve">dhe </w:t>
      </w:r>
      <w:r w:rsidR="00CE7F11" w:rsidRPr="00556CFC">
        <w:rPr>
          <w:rFonts w:ascii="Times New Roman" w:eastAsia="Calibri" w:hAnsi="Times New Roman" w:cs="Times New Roman"/>
          <w:noProof/>
          <w:sz w:val="24"/>
          <w:szCs w:val="24"/>
          <w:lang w:val="sq-AL"/>
        </w:rPr>
        <w:t xml:space="preserve">ka </w:t>
      </w:r>
      <w:r w:rsidRPr="00556CFC">
        <w:rPr>
          <w:rFonts w:ascii="Times New Roman" w:eastAsia="Calibri" w:hAnsi="Times New Roman" w:cs="Times New Roman"/>
          <w:noProof/>
          <w:sz w:val="24"/>
          <w:szCs w:val="24"/>
          <w:lang w:val="sq-AL"/>
        </w:rPr>
        <w:t>financ</w:t>
      </w:r>
      <w:r w:rsidR="00CE7F11" w:rsidRPr="00556CFC">
        <w:rPr>
          <w:rFonts w:ascii="Times New Roman" w:eastAsia="Calibri" w:hAnsi="Times New Roman" w:cs="Times New Roman"/>
          <w:noProof/>
          <w:sz w:val="24"/>
          <w:szCs w:val="24"/>
          <w:lang w:val="sq-AL"/>
        </w:rPr>
        <w:t xml:space="preserve">uar </w:t>
      </w:r>
      <w:r w:rsidRPr="00556CFC">
        <w:rPr>
          <w:rFonts w:ascii="Times New Roman" w:eastAsia="Calibri" w:hAnsi="Times New Roman" w:cs="Times New Roman"/>
          <w:noProof/>
          <w:sz w:val="24"/>
          <w:szCs w:val="24"/>
          <w:lang w:val="sq-AL"/>
        </w:rPr>
        <w:t>de</w:t>
      </w:r>
      <w:r w:rsidR="00956D67" w:rsidRPr="00556CFC">
        <w:rPr>
          <w:rFonts w:ascii="Times New Roman" w:eastAsia="Calibri" w:hAnsi="Times New Roman" w:cs="Times New Roman"/>
          <w:noProof/>
          <w:sz w:val="24"/>
          <w:szCs w:val="24"/>
          <w:lang w:val="sq-AL"/>
        </w:rPr>
        <w:t>ficiti</w:t>
      </w:r>
      <w:r w:rsidR="00CE7F11" w:rsidRPr="00556CFC">
        <w:rPr>
          <w:rFonts w:ascii="Times New Roman" w:eastAsia="Calibri" w:hAnsi="Times New Roman" w:cs="Times New Roman"/>
          <w:noProof/>
          <w:sz w:val="24"/>
          <w:szCs w:val="24"/>
          <w:lang w:val="sq-AL"/>
        </w:rPr>
        <w:t>n</w:t>
      </w:r>
      <w:r w:rsidR="00956D67" w:rsidRPr="00556CFC">
        <w:rPr>
          <w:rFonts w:ascii="Times New Roman" w:eastAsia="Calibri" w:hAnsi="Times New Roman" w:cs="Times New Roman"/>
          <w:noProof/>
          <w:sz w:val="24"/>
          <w:szCs w:val="24"/>
          <w:lang w:val="sq-AL"/>
        </w:rPr>
        <w:t xml:space="preserve"> buxhetor të planifikuar</w:t>
      </w:r>
      <w:r w:rsidR="00CE7F11" w:rsidRPr="00556CFC">
        <w:rPr>
          <w:rFonts w:ascii="Times New Roman" w:eastAsia="Calibri" w:hAnsi="Times New Roman" w:cs="Times New Roman"/>
          <w:noProof/>
          <w:sz w:val="24"/>
          <w:szCs w:val="24"/>
          <w:lang w:val="sq-AL"/>
        </w:rPr>
        <w:t>,</w:t>
      </w:r>
      <w:r w:rsidRPr="00556CFC">
        <w:rPr>
          <w:rFonts w:ascii="Times New Roman" w:eastAsia="Calibri" w:hAnsi="Times New Roman" w:cs="Times New Roman"/>
          <w:noProof/>
          <w:sz w:val="24"/>
          <w:szCs w:val="24"/>
          <w:lang w:val="sq-AL"/>
        </w:rPr>
        <w:t xml:space="preserve"> n</w:t>
      </w:r>
      <w:r w:rsidR="001F0196"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p</w:t>
      </w:r>
      <w:r w:rsidR="001F0196"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rputhje me objektivat </w:t>
      </w:r>
      <w:r w:rsidR="00EB5322" w:rsidRPr="00556CFC">
        <w:rPr>
          <w:rFonts w:ascii="Times New Roman" w:eastAsia="Calibri" w:hAnsi="Times New Roman" w:cs="Times New Roman"/>
          <w:noProof/>
          <w:sz w:val="24"/>
          <w:szCs w:val="24"/>
          <w:lang w:val="sq-AL"/>
        </w:rPr>
        <w:t>s</w:t>
      </w:r>
      <w:r w:rsidRPr="00556CFC">
        <w:rPr>
          <w:rFonts w:ascii="Times New Roman" w:eastAsia="Calibri" w:hAnsi="Times New Roman" w:cs="Times New Roman"/>
          <w:noProof/>
          <w:sz w:val="24"/>
          <w:szCs w:val="24"/>
          <w:lang w:val="sq-AL"/>
        </w:rPr>
        <w:t>trategji</w:t>
      </w:r>
      <w:r w:rsidR="00EB5322" w:rsidRPr="00556CFC">
        <w:rPr>
          <w:rFonts w:ascii="Times New Roman" w:eastAsia="Calibri" w:hAnsi="Times New Roman" w:cs="Times New Roman"/>
          <w:noProof/>
          <w:sz w:val="24"/>
          <w:szCs w:val="24"/>
          <w:lang w:val="sq-AL"/>
        </w:rPr>
        <w:t>k</w:t>
      </w:r>
      <w:r w:rsidR="00DC648E" w:rsidRPr="00556CFC">
        <w:rPr>
          <w:rFonts w:ascii="Times New Roman" w:eastAsia="Calibri" w:hAnsi="Times New Roman" w:cs="Times New Roman"/>
          <w:noProof/>
          <w:sz w:val="24"/>
          <w:szCs w:val="24"/>
          <w:lang w:val="sq-AL"/>
        </w:rPr>
        <w:t>ë</w:t>
      </w:r>
      <w:r w:rsidR="00EB5322" w:rsidRPr="00556CFC">
        <w:rPr>
          <w:rFonts w:ascii="Times New Roman" w:eastAsia="Calibri" w:hAnsi="Times New Roman" w:cs="Times New Roman"/>
          <w:noProof/>
          <w:sz w:val="24"/>
          <w:szCs w:val="24"/>
          <w:lang w:val="sq-AL"/>
        </w:rPr>
        <w:t xml:space="preserve"> </w:t>
      </w:r>
      <w:r w:rsidRPr="00556CFC">
        <w:rPr>
          <w:rFonts w:ascii="Times New Roman" w:eastAsia="Calibri" w:hAnsi="Times New Roman" w:cs="Times New Roman"/>
          <w:noProof/>
          <w:sz w:val="24"/>
          <w:szCs w:val="24"/>
          <w:lang w:val="sq-AL"/>
        </w:rPr>
        <w:t xml:space="preserve">për uljen e ekspozimit ndaj </w:t>
      </w:r>
      <w:r w:rsidR="00F55A3D" w:rsidRPr="00556CFC">
        <w:rPr>
          <w:rFonts w:ascii="Times New Roman" w:eastAsia="Calibri" w:hAnsi="Times New Roman" w:cs="Times New Roman"/>
          <w:noProof/>
          <w:sz w:val="24"/>
          <w:szCs w:val="24"/>
          <w:lang w:val="sq-AL"/>
        </w:rPr>
        <w:t>ris</w:t>
      </w:r>
      <w:r w:rsidR="00BC45B7" w:rsidRPr="00556CFC">
        <w:rPr>
          <w:rFonts w:ascii="Times New Roman" w:eastAsia="Calibri" w:hAnsi="Times New Roman" w:cs="Times New Roman"/>
          <w:noProof/>
          <w:sz w:val="24"/>
          <w:szCs w:val="24"/>
          <w:lang w:val="sq-AL"/>
        </w:rPr>
        <w:t xml:space="preserve">qeve.  </w:t>
      </w:r>
    </w:p>
    <w:p w14:paraId="71DF5BF3" w14:textId="77777777" w:rsidR="00EB5322" w:rsidRPr="00556CFC" w:rsidRDefault="00BC45B7" w:rsidP="005C71DC">
      <w:pPr>
        <w:tabs>
          <w:tab w:val="left" w:pos="8789"/>
        </w:tabs>
        <w:spacing w:after="0" w:line="276" w:lineRule="auto"/>
        <w:ind w:right="237"/>
        <w:contextualSpacing/>
        <w:jc w:val="both"/>
        <w:rPr>
          <w:rFonts w:ascii="Times New Roman" w:eastAsia="Calibri" w:hAnsi="Times New Roman" w:cs="Times New Roman"/>
          <w:noProof/>
          <w:sz w:val="24"/>
          <w:szCs w:val="24"/>
          <w:lang w:val="sq-AL"/>
        </w:rPr>
      </w:pPr>
      <w:r w:rsidRPr="00556CFC">
        <w:rPr>
          <w:rFonts w:ascii="Times New Roman" w:eastAsia="Calibri" w:hAnsi="Times New Roman" w:cs="Times New Roman"/>
          <w:noProof/>
          <w:sz w:val="24"/>
          <w:szCs w:val="24"/>
          <w:lang w:val="sq-AL"/>
        </w:rPr>
        <w:t>N</w:t>
      </w:r>
      <w:r w:rsidR="009C255A" w:rsidRPr="00556CFC">
        <w:rPr>
          <w:rFonts w:ascii="Times New Roman" w:eastAsia="Calibri" w:hAnsi="Times New Roman" w:cs="Times New Roman"/>
          <w:noProof/>
          <w:sz w:val="24"/>
          <w:szCs w:val="24"/>
          <w:lang w:val="sq-AL"/>
        </w:rPr>
        <w:t>evojat p</w:t>
      </w:r>
      <w:r w:rsidR="00DC648E" w:rsidRPr="00556CFC">
        <w:rPr>
          <w:rFonts w:ascii="Times New Roman" w:eastAsia="Calibri" w:hAnsi="Times New Roman" w:cs="Times New Roman"/>
          <w:noProof/>
          <w:sz w:val="24"/>
          <w:szCs w:val="24"/>
          <w:lang w:val="sq-AL"/>
        </w:rPr>
        <w:t>ë</w:t>
      </w:r>
      <w:r w:rsidR="009C255A" w:rsidRPr="00556CFC">
        <w:rPr>
          <w:rFonts w:ascii="Times New Roman" w:eastAsia="Calibri" w:hAnsi="Times New Roman" w:cs="Times New Roman"/>
          <w:noProof/>
          <w:sz w:val="24"/>
          <w:szCs w:val="24"/>
          <w:lang w:val="sq-AL"/>
        </w:rPr>
        <w:t>r hua n</w:t>
      </w:r>
      <w:r w:rsidR="00DC648E" w:rsidRPr="00556CFC">
        <w:rPr>
          <w:rFonts w:ascii="Times New Roman" w:eastAsia="Calibri" w:hAnsi="Times New Roman" w:cs="Times New Roman"/>
          <w:noProof/>
          <w:sz w:val="24"/>
          <w:szCs w:val="24"/>
          <w:lang w:val="sq-AL"/>
        </w:rPr>
        <w:t>ë</w:t>
      </w:r>
      <w:r w:rsidR="009C255A" w:rsidRPr="00556CFC">
        <w:rPr>
          <w:rFonts w:ascii="Times New Roman" w:eastAsia="Calibri" w:hAnsi="Times New Roman" w:cs="Times New Roman"/>
          <w:noProof/>
          <w:sz w:val="24"/>
          <w:szCs w:val="24"/>
          <w:lang w:val="sq-AL"/>
        </w:rPr>
        <w:t xml:space="preserve"> raport me PBB</w:t>
      </w:r>
      <w:r w:rsidR="00EB5322" w:rsidRPr="00556CFC">
        <w:rPr>
          <w:rFonts w:ascii="Times New Roman" w:eastAsia="Calibri" w:hAnsi="Times New Roman" w:cs="Times New Roman"/>
          <w:noProof/>
          <w:sz w:val="24"/>
          <w:szCs w:val="24"/>
          <w:lang w:val="sq-AL"/>
        </w:rPr>
        <w:t xml:space="preserve"> jan</w:t>
      </w:r>
      <w:r w:rsidR="00DC648E" w:rsidRPr="00556CFC">
        <w:rPr>
          <w:rFonts w:ascii="Times New Roman" w:eastAsia="Calibri" w:hAnsi="Times New Roman" w:cs="Times New Roman"/>
          <w:noProof/>
          <w:sz w:val="24"/>
          <w:szCs w:val="24"/>
          <w:lang w:val="sq-AL"/>
        </w:rPr>
        <w:t>ë</w:t>
      </w:r>
      <w:r w:rsidR="009C255A" w:rsidRPr="00556CFC">
        <w:rPr>
          <w:rFonts w:ascii="Times New Roman" w:eastAsia="Calibri" w:hAnsi="Times New Roman" w:cs="Times New Roman"/>
          <w:noProof/>
          <w:sz w:val="24"/>
          <w:szCs w:val="24"/>
          <w:lang w:val="sq-AL"/>
        </w:rPr>
        <w:t xml:space="preserve"> ulur</w:t>
      </w:r>
      <w:r w:rsidR="00EB5322" w:rsidRPr="00556CFC">
        <w:rPr>
          <w:rFonts w:ascii="Times New Roman" w:eastAsia="Calibri" w:hAnsi="Times New Roman" w:cs="Times New Roman"/>
          <w:noProof/>
          <w:sz w:val="24"/>
          <w:szCs w:val="24"/>
          <w:lang w:val="sq-AL"/>
        </w:rPr>
        <w:t xml:space="preserve"> gradualisht</w:t>
      </w:r>
      <w:r w:rsidR="0030011E" w:rsidRPr="00556CFC">
        <w:rPr>
          <w:rFonts w:ascii="Times New Roman" w:eastAsia="Calibri" w:hAnsi="Times New Roman" w:cs="Times New Roman"/>
          <w:noProof/>
          <w:sz w:val="24"/>
          <w:szCs w:val="24"/>
          <w:lang w:val="sq-AL"/>
        </w:rPr>
        <w:t xml:space="preserve"> </w:t>
      </w:r>
      <w:r w:rsidR="00905688" w:rsidRPr="00556CFC">
        <w:rPr>
          <w:rFonts w:ascii="Times New Roman" w:eastAsia="Calibri" w:hAnsi="Times New Roman" w:cs="Times New Roman"/>
          <w:noProof/>
          <w:sz w:val="24"/>
          <w:szCs w:val="24"/>
          <w:lang w:val="sq-AL"/>
        </w:rPr>
        <w:t>duke ref</w:t>
      </w:r>
      <w:r w:rsidR="00C15493" w:rsidRPr="00556CFC">
        <w:rPr>
          <w:rFonts w:ascii="Times New Roman" w:eastAsia="Calibri" w:hAnsi="Times New Roman" w:cs="Times New Roman"/>
          <w:noProof/>
          <w:sz w:val="24"/>
          <w:szCs w:val="24"/>
          <w:lang w:val="sq-AL"/>
        </w:rPr>
        <w:t>l</w:t>
      </w:r>
      <w:r w:rsidR="007B4E40" w:rsidRPr="00556CFC">
        <w:rPr>
          <w:rFonts w:ascii="Times New Roman" w:eastAsia="Calibri" w:hAnsi="Times New Roman" w:cs="Times New Roman"/>
          <w:noProof/>
          <w:sz w:val="24"/>
          <w:szCs w:val="24"/>
          <w:lang w:val="sq-AL"/>
        </w:rPr>
        <w:t>ek</w:t>
      </w:r>
      <w:r w:rsidR="00905688" w:rsidRPr="00556CFC">
        <w:rPr>
          <w:rFonts w:ascii="Times New Roman" w:eastAsia="Calibri" w:hAnsi="Times New Roman" w:cs="Times New Roman"/>
          <w:noProof/>
          <w:sz w:val="24"/>
          <w:szCs w:val="24"/>
          <w:lang w:val="sq-AL"/>
        </w:rPr>
        <w:t>tuar</w:t>
      </w:r>
      <w:r w:rsidR="0030011E" w:rsidRPr="00556CFC">
        <w:rPr>
          <w:rFonts w:ascii="Times New Roman" w:eastAsia="Calibri" w:hAnsi="Times New Roman" w:cs="Times New Roman"/>
          <w:noProof/>
          <w:sz w:val="24"/>
          <w:szCs w:val="24"/>
          <w:lang w:val="sq-AL"/>
        </w:rPr>
        <w:t xml:space="preserve"> konsolidimi</w:t>
      </w:r>
      <w:r w:rsidR="00905688" w:rsidRPr="00556CFC">
        <w:rPr>
          <w:rFonts w:ascii="Times New Roman" w:eastAsia="Calibri" w:hAnsi="Times New Roman" w:cs="Times New Roman"/>
          <w:noProof/>
          <w:sz w:val="24"/>
          <w:szCs w:val="24"/>
          <w:lang w:val="sq-AL"/>
        </w:rPr>
        <w:t>n</w:t>
      </w:r>
      <w:r w:rsidR="0030011E" w:rsidRPr="00556CFC">
        <w:rPr>
          <w:rFonts w:ascii="Times New Roman" w:eastAsia="Calibri" w:hAnsi="Times New Roman" w:cs="Times New Roman"/>
          <w:noProof/>
          <w:sz w:val="24"/>
          <w:szCs w:val="24"/>
          <w:lang w:val="sq-AL"/>
        </w:rPr>
        <w:t xml:space="preserve"> </w:t>
      </w:r>
      <w:r w:rsidR="00905688" w:rsidRPr="00556CFC">
        <w:rPr>
          <w:rFonts w:ascii="Times New Roman" w:eastAsia="Calibri" w:hAnsi="Times New Roman" w:cs="Times New Roman"/>
          <w:noProof/>
          <w:sz w:val="24"/>
          <w:szCs w:val="24"/>
          <w:lang w:val="sq-AL"/>
        </w:rPr>
        <w:t>e struktur</w:t>
      </w:r>
      <w:r w:rsidR="00DC648E" w:rsidRPr="00556CFC">
        <w:rPr>
          <w:rFonts w:ascii="Times New Roman" w:eastAsia="Calibri" w:hAnsi="Times New Roman" w:cs="Times New Roman"/>
          <w:noProof/>
          <w:sz w:val="24"/>
          <w:szCs w:val="24"/>
          <w:lang w:val="sq-AL"/>
        </w:rPr>
        <w:t>ë</w:t>
      </w:r>
      <w:r w:rsidR="00905688" w:rsidRPr="00556CFC">
        <w:rPr>
          <w:rFonts w:ascii="Times New Roman" w:eastAsia="Calibri" w:hAnsi="Times New Roman" w:cs="Times New Roman"/>
          <w:noProof/>
          <w:sz w:val="24"/>
          <w:szCs w:val="24"/>
          <w:lang w:val="sq-AL"/>
        </w:rPr>
        <w:t>s s</w:t>
      </w:r>
      <w:r w:rsidR="00DC648E" w:rsidRPr="00556CFC">
        <w:rPr>
          <w:rFonts w:ascii="Times New Roman" w:eastAsia="Calibri" w:hAnsi="Times New Roman" w:cs="Times New Roman"/>
          <w:noProof/>
          <w:sz w:val="24"/>
          <w:szCs w:val="24"/>
          <w:lang w:val="sq-AL"/>
        </w:rPr>
        <w:t>ë</w:t>
      </w:r>
      <w:r w:rsidR="0030011E" w:rsidRPr="00556CFC">
        <w:rPr>
          <w:rFonts w:ascii="Times New Roman" w:eastAsia="Calibri" w:hAnsi="Times New Roman" w:cs="Times New Roman"/>
          <w:noProof/>
          <w:sz w:val="24"/>
          <w:szCs w:val="24"/>
          <w:lang w:val="sq-AL"/>
        </w:rPr>
        <w:t xml:space="preserve"> borxhit t</w:t>
      </w:r>
      <w:r w:rsidR="00DC648E" w:rsidRPr="00556CFC">
        <w:rPr>
          <w:rFonts w:ascii="Times New Roman" w:eastAsia="Calibri" w:hAnsi="Times New Roman" w:cs="Times New Roman"/>
          <w:noProof/>
          <w:sz w:val="24"/>
          <w:szCs w:val="24"/>
          <w:lang w:val="sq-AL"/>
        </w:rPr>
        <w:t>ë</w:t>
      </w:r>
      <w:r w:rsidR="0030011E" w:rsidRPr="00556CFC">
        <w:rPr>
          <w:rFonts w:ascii="Times New Roman" w:eastAsia="Calibri" w:hAnsi="Times New Roman" w:cs="Times New Roman"/>
          <w:noProof/>
          <w:sz w:val="24"/>
          <w:szCs w:val="24"/>
          <w:lang w:val="sq-AL"/>
        </w:rPr>
        <w:t xml:space="preserve"> brendsh</w:t>
      </w:r>
      <w:r w:rsidR="00DC648E" w:rsidRPr="00556CFC">
        <w:rPr>
          <w:rFonts w:ascii="Times New Roman" w:eastAsia="Calibri" w:hAnsi="Times New Roman" w:cs="Times New Roman"/>
          <w:noProof/>
          <w:sz w:val="24"/>
          <w:szCs w:val="24"/>
          <w:lang w:val="sq-AL"/>
        </w:rPr>
        <w:t>ë</w:t>
      </w:r>
      <w:r w:rsidR="0030011E" w:rsidRPr="00556CFC">
        <w:rPr>
          <w:rFonts w:ascii="Times New Roman" w:eastAsia="Calibri" w:hAnsi="Times New Roman" w:cs="Times New Roman"/>
          <w:noProof/>
          <w:sz w:val="24"/>
          <w:szCs w:val="24"/>
          <w:lang w:val="sq-AL"/>
        </w:rPr>
        <w:t>m</w:t>
      </w:r>
      <w:r w:rsidR="00905688" w:rsidRPr="00556CFC">
        <w:rPr>
          <w:rFonts w:ascii="Times New Roman" w:eastAsia="Calibri" w:hAnsi="Times New Roman" w:cs="Times New Roman"/>
          <w:noProof/>
          <w:sz w:val="24"/>
          <w:szCs w:val="24"/>
          <w:lang w:val="sq-AL"/>
        </w:rPr>
        <w:t xml:space="preserve"> dhe</w:t>
      </w:r>
      <w:r w:rsidR="009C255A" w:rsidRPr="00556CFC">
        <w:rPr>
          <w:rFonts w:ascii="Times New Roman" w:eastAsia="Calibri" w:hAnsi="Times New Roman" w:cs="Times New Roman"/>
          <w:noProof/>
          <w:sz w:val="24"/>
          <w:szCs w:val="24"/>
          <w:lang w:val="sq-AL"/>
        </w:rPr>
        <w:t xml:space="preserve"> </w:t>
      </w:r>
      <w:r w:rsidR="00905688" w:rsidRPr="00556CFC">
        <w:rPr>
          <w:rFonts w:ascii="Times New Roman" w:eastAsia="Calibri" w:hAnsi="Times New Roman" w:cs="Times New Roman"/>
          <w:noProof/>
          <w:sz w:val="24"/>
          <w:szCs w:val="24"/>
          <w:lang w:val="sq-AL"/>
        </w:rPr>
        <w:t>reduktimin</w:t>
      </w:r>
      <w:r w:rsidR="00EB5322" w:rsidRPr="00556CFC">
        <w:rPr>
          <w:rFonts w:ascii="Times New Roman" w:eastAsia="Calibri" w:hAnsi="Times New Roman" w:cs="Times New Roman"/>
          <w:noProof/>
          <w:sz w:val="24"/>
          <w:szCs w:val="24"/>
          <w:lang w:val="sq-AL"/>
        </w:rPr>
        <w:t xml:space="preserve"> </w:t>
      </w:r>
      <w:r w:rsidR="00905688" w:rsidRPr="00556CFC">
        <w:rPr>
          <w:rFonts w:ascii="Times New Roman" w:eastAsia="Calibri" w:hAnsi="Times New Roman" w:cs="Times New Roman"/>
          <w:noProof/>
          <w:sz w:val="24"/>
          <w:szCs w:val="24"/>
          <w:lang w:val="sq-AL"/>
        </w:rPr>
        <w:t>e</w:t>
      </w:r>
      <w:r w:rsidR="00EB5322" w:rsidRPr="00556CFC">
        <w:rPr>
          <w:rFonts w:ascii="Times New Roman" w:eastAsia="Calibri" w:hAnsi="Times New Roman" w:cs="Times New Roman"/>
          <w:noProof/>
          <w:sz w:val="24"/>
          <w:szCs w:val="24"/>
          <w:lang w:val="sq-AL"/>
        </w:rPr>
        <w:t xml:space="preserve"> risku</w:t>
      </w:r>
      <w:r w:rsidR="00905688" w:rsidRPr="00556CFC">
        <w:rPr>
          <w:rFonts w:ascii="Times New Roman" w:eastAsia="Calibri" w:hAnsi="Times New Roman" w:cs="Times New Roman"/>
          <w:noProof/>
          <w:sz w:val="24"/>
          <w:szCs w:val="24"/>
          <w:lang w:val="sq-AL"/>
        </w:rPr>
        <w:t>t</w:t>
      </w:r>
      <w:r w:rsidR="00EB5322" w:rsidRPr="00556CFC">
        <w:rPr>
          <w:rFonts w:ascii="Times New Roman" w:eastAsia="Calibri" w:hAnsi="Times New Roman" w:cs="Times New Roman"/>
          <w:noProof/>
          <w:sz w:val="24"/>
          <w:szCs w:val="24"/>
          <w:lang w:val="sq-AL"/>
        </w:rPr>
        <w:t xml:space="preserve"> fiskal të qeverisë</w:t>
      </w:r>
      <w:r w:rsidR="00905688" w:rsidRPr="00556CFC">
        <w:rPr>
          <w:rFonts w:ascii="Times New Roman" w:eastAsia="Calibri" w:hAnsi="Times New Roman" w:cs="Times New Roman"/>
          <w:noProof/>
          <w:sz w:val="24"/>
          <w:szCs w:val="24"/>
          <w:lang w:val="sq-AL"/>
        </w:rPr>
        <w:t>.</w:t>
      </w:r>
    </w:p>
    <w:p w14:paraId="71DF5BF4" w14:textId="77777777" w:rsidR="009B24CE" w:rsidRPr="00556CFC" w:rsidRDefault="00956D67" w:rsidP="005C71DC">
      <w:pPr>
        <w:tabs>
          <w:tab w:val="left" w:pos="8789"/>
        </w:tabs>
        <w:spacing w:after="0" w:line="276" w:lineRule="auto"/>
        <w:ind w:right="237"/>
        <w:contextualSpacing/>
        <w:jc w:val="both"/>
        <w:rPr>
          <w:rFonts w:ascii="Times New Roman" w:eastAsia="Calibri" w:hAnsi="Times New Roman" w:cs="Times New Roman"/>
          <w:noProof/>
          <w:sz w:val="24"/>
          <w:szCs w:val="24"/>
          <w:lang w:val="sq-AL"/>
        </w:rPr>
      </w:pPr>
      <w:r w:rsidRPr="00556CFC">
        <w:rPr>
          <w:rFonts w:ascii="Times New Roman" w:eastAsia="Calibri" w:hAnsi="Times New Roman" w:cs="Times New Roman"/>
          <w:noProof/>
          <w:sz w:val="24"/>
          <w:szCs w:val="24"/>
          <w:lang w:val="sq-AL"/>
        </w:rPr>
        <w:t>Burimi kryesor i huamarrjes vazhdon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mbetet tregu i brendsh</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m, m</w:t>
      </w:r>
      <w:r w:rsidR="0024650B" w:rsidRPr="00556CFC">
        <w:rPr>
          <w:rFonts w:ascii="Times New Roman" w:eastAsia="Calibri" w:hAnsi="Times New Roman" w:cs="Times New Roman"/>
          <w:noProof/>
          <w:sz w:val="24"/>
          <w:szCs w:val="24"/>
          <w:lang w:val="sq-AL"/>
        </w:rPr>
        <w:t>egjith</w:t>
      </w:r>
      <w:r w:rsidR="00DC648E" w:rsidRPr="00556CFC">
        <w:rPr>
          <w:rFonts w:ascii="Times New Roman" w:eastAsia="Calibri" w:hAnsi="Times New Roman" w:cs="Times New Roman"/>
          <w:noProof/>
          <w:sz w:val="24"/>
          <w:szCs w:val="24"/>
          <w:lang w:val="sq-AL"/>
        </w:rPr>
        <w:t>ë</w:t>
      </w:r>
      <w:r w:rsidR="0024650B" w:rsidRPr="00556CFC">
        <w:rPr>
          <w:rFonts w:ascii="Times New Roman" w:eastAsia="Calibri" w:hAnsi="Times New Roman" w:cs="Times New Roman"/>
          <w:noProof/>
          <w:sz w:val="24"/>
          <w:szCs w:val="24"/>
          <w:lang w:val="sq-AL"/>
        </w:rPr>
        <w:t>se gjat</w:t>
      </w:r>
      <w:r w:rsidR="00DC648E" w:rsidRPr="00556CFC">
        <w:rPr>
          <w:rFonts w:ascii="Times New Roman" w:eastAsia="Calibri" w:hAnsi="Times New Roman" w:cs="Times New Roman"/>
          <w:noProof/>
          <w:sz w:val="24"/>
          <w:szCs w:val="24"/>
          <w:lang w:val="sq-AL"/>
        </w:rPr>
        <w:t>ë</w:t>
      </w:r>
      <w:r w:rsidR="0024650B" w:rsidRPr="00556CFC">
        <w:rPr>
          <w:rFonts w:ascii="Times New Roman" w:eastAsia="Calibri" w:hAnsi="Times New Roman" w:cs="Times New Roman"/>
          <w:noProof/>
          <w:sz w:val="24"/>
          <w:szCs w:val="24"/>
          <w:lang w:val="sq-AL"/>
        </w:rPr>
        <w:t xml:space="preserve"> </w:t>
      </w:r>
      <w:r w:rsidR="00594635" w:rsidRPr="00556CFC">
        <w:rPr>
          <w:rFonts w:ascii="Times New Roman" w:eastAsia="Calibri" w:hAnsi="Times New Roman" w:cs="Times New Roman"/>
          <w:noProof/>
          <w:sz w:val="24"/>
          <w:szCs w:val="24"/>
          <w:lang w:val="sq-AL"/>
        </w:rPr>
        <w:t>vitit 2018</w:t>
      </w:r>
      <w:r w:rsidR="0024650B" w:rsidRPr="00556CFC">
        <w:rPr>
          <w:rFonts w:ascii="Times New Roman" w:eastAsia="Calibri" w:hAnsi="Times New Roman" w:cs="Times New Roman"/>
          <w:noProof/>
          <w:sz w:val="24"/>
          <w:szCs w:val="24"/>
          <w:lang w:val="sq-AL"/>
        </w:rPr>
        <w:t xml:space="preserve"> ka pasur nj</w:t>
      </w:r>
      <w:r w:rsidR="00DC648E" w:rsidRPr="00556CFC">
        <w:rPr>
          <w:rFonts w:ascii="Times New Roman" w:eastAsia="Calibri" w:hAnsi="Times New Roman" w:cs="Times New Roman"/>
          <w:noProof/>
          <w:sz w:val="24"/>
          <w:szCs w:val="24"/>
          <w:lang w:val="sq-AL"/>
        </w:rPr>
        <w:t>ë</w:t>
      </w:r>
      <w:r w:rsidR="0024650B" w:rsidRPr="00556CFC">
        <w:rPr>
          <w:rFonts w:ascii="Times New Roman" w:eastAsia="Calibri" w:hAnsi="Times New Roman" w:cs="Times New Roman"/>
          <w:noProof/>
          <w:sz w:val="24"/>
          <w:szCs w:val="24"/>
          <w:lang w:val="sq-AL"/>
        </w:rPr>
        <w:t xml:space="preserve"> rritje n</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drejtim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financimit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huaj</w:t>
      </w:r>
      <w:r w:rsidR="00594635" w:rsidRPr="00556CFC">
        <w:rPr>
          <w:rFonts w:ascii="Times New Roman" w:eastAsia="Calibri" w:hAnsi="Times New Roman" w:cs="Times New Roman"/>
          <w:noProof/>
          <w:sz w:val="24"/>
          <w:szCs w:val="24"/>
          <w:lang w:val="sq-AL"/>
        </w:rPr>
        <w:t xml:space="preserve"> si rezultat i emetimit t</w:t>
      </w:r>
      <w:r w:rsidR="00AD7066" w:rsidRPr="00556CFC">
        <w:rPr>
          <w:rFonts w:ascii="Times New Roman" w:eastAsia="Calibri" w:hAnsi="Times New Roman" w:cs="Times New Roman"/>
          <w:noProof/>
          <w:sz w:val="24"/>
          <w:szCs w:val="24"/>
          <w:lang w:val="sq-AL"/>
        </w:rPr>
        <w:t>ë</w:t>
      </w:r>
      <w:r w:rsidR="00594635" w:rsidRPr="00556CFC">
        <w:rPr>
          <w:rFonts w:ascii="Times New Roman" w:eastAsia="Calibri" w:hAnsi="Times New Roman" w:cs="Times New Roman"/>
          <w:noProof/>
          <w:sz w:val="24"/>
          <w:szCs w:val="24"/>
          <w:lang w:val="sq-AL"/>
        </w:rPr>
        <w:t xml:space="preserve"> Eurobondit</w:t>
      </w:r>
      <w:r w:rsidR="0024650B" w:rsidRPr="00556CFC">
        <w:rPr>
          <w:rFonts w:ascii="Times New Roman" w:eastAsia="Calibri" w:hAnsi="Times New Roman" w:cs="Times New Roman"/>
          <w:noProof/>
          <w:sz w:val="24"/>
          <w:szCs w:val="24"/>
          <w:lang w:val="sq-AL"/>
        </w:rPr>
        <w:t>.</w:t>
      </w:r>
      <w:r w:rsidR="0053359B" w:rsidRPr="00556CFC">
        <w:rPr>
          <w:rFonts w:ascii="Times New Roman" w:eastAsia="Calibri" w:hAnsi="Times New Roman" w:cs="Times New Roman"/>
          <w:noProof/>
          <w:sz w:val="24"/>
          <w:szCs w:val="24"/>
          <w:lang w:val="sq-AL"/>
        </w:rPr>
        <w:t xml:space="preserve"> </w:t>
      </w:r>
    </w:p>
    <w:p w14:paraId="71DF5BF5" w14:textId="77777777" w:rsidR="00097511" w:rsidRPr="00556CFC" w:rsidRDefault="00097511" w:rsidP="00EB5322">
      <w:pPr>
        <w:keepNext/>
        <w:keepLines/>
        <w:spacing w:after="0" w:line="276" w:lineRule="auto"/>
        <w:outlineLvl w:val="3"/>
        <w:rPr>
          <w:rFonts w:ascii="Cambria" w:eastAsiaTheme="majorEastAsia" w:hAnsi="Cambria" w:cstheme="majorBidi"/>
          <w:b/>
          <w:iCs/>
          <w:noProof/>
          <w:color w:val="000000" w:themeColor="text1"/>
          <w:sz w:val="16"/>
          <w:szCs w:val="20"/>
          <w:lang w:val="sq-AL"/>
        </w:rPr>
      </w:pPr>
      <w:bookmarkStart w:id="9" w:name="_Toc491860984"/>
      <w:bookmarkStart w:id="10" w:name="_Toc491954297"/>
    </w:p>
    <w:p w14:paraId="71DF5BF6" w14:textId="77777777" w:rsidR="0092495F" w:rsidRPr="00556CFC" w:rsidRDefault="00B17D3C" w:rsidP="00FE7A67">
      <w:pPr>
        <w:tabs>
          <w:tab w:val="left" w:pos="1182"/>
        </w:tabs>
        <w:spacing w:after="0" w:line="276" w:lineRule="auto"/>
        <w:ind w:right="-46"/>
        <w:jc w:val="center"/>
        <w:rPr>
          <w:rFonts w:ascii="Cambria" w:eastAsia="Batang" w:hAnsi="Cambria"/>
          <w:i/>
          <w:noProof/>
          <w:color w:val="8E0000"/>
          <w:sz w:val="20"/>
          <w:szCs w:val="20"/>
          <w:lang w:val="sq-AL"/>
        </w:rPr>
      </w:pPr>
      <w:r w:rsidRPr="00556CFC">
        <w:rPr>
          <w:rFonts w:ascii="Cambria" w:eastAsia="Batang" w:hAnsi="Cambria"/>
          <w:b/>
          <w:noProof/>
          <w:color w:val="8E0000"/>
          <w:sz w:val="20"/>
          <w:szCs w:val="20"/>
          <w:lang w:val="sq-AL"/>
        </w:rPr>
        <w:t>Paraqitje Grafike 2</w:t>
      </w:r>
      <w:r w:rsidR="00097511" w:rsidRPr="00556CFC">
        <w:rPr>
          <w:rFonts w:ascii="Cambria" w:eastAsia="Batang" w:hAnsi="Cambria"/>
          <w:b/>
          <w:noProof/>
          <w:color w:val="8E0000"/>
          <w:sz w:val="20"/>
          <w:szCs w:val="20"/>
          <w:lang w:val="sq-AL"/>
        </w:rPr>
        <w:t xml:space="preserve">: </w:t>
      </w:r>
      <w:r w:rsidR="00097511" w:rsidRPr="00556CFC">
        <w:rPr>
          <w:rFonts w:ascii="Cambria" w:eastAsia="Batang" w:hAnsi="Cambria"/>
          <w:i/>
          <w:noProof/>
          <w:color w:val="8E0000"/>
          <w:sz w:val="20"/>
          <w:szCs w:val="20"/>
          <w:lang w:val="sq-AL"/>
        </w:rPr>
        <w:t>Huamarrja bruto në vlerë abso</w:t>
      </w:r>
      <w:r w:rsidR="00594635" w:rsidRPr="00556CFC">
        <w:rPr>
          <w:rFonts w:ascii="Cambria" w:eastAsia="Batang" w:hAnsi="Cambria"/>
          <w:i/>
          <w:noProof/>
          <w:color w:val="8E0000"/>
          <w:sz w:val="20"/>
          <w:szCs w:val="20"/>
          <w:lang w:val="sq-AL"/>
        </w:rPr>
        <w:t>lute dhe relative ndaj P</w:t>
      </w:r>
      <w:r w:rsidR="00741ABD" w:rsidRPr="00556CFC">
        <w:rPr>
          <w:rFonts w:ascii="Cambria" w:eastAsia="Batang" w:hAnsi="Cambria"/>
          <w:i/>
          <w:noProof/>
          <w:color w:val="8E0000"/>
          <w:sz w:val="20"/>
          <w:szCs w:val="20"/>
          <w:lang w:val="sq-AL"/>
        </w:rPr>
        <w:t>BB (2015</w:t>
      </w:r>
      <w:r w:rsidR="00097511" w:rsidRPr="00556CFC">
        <w:rPr>
          <w:rFonts w:ascii="Cambria" w:eastAsia="Batang" w:hAnsi="Cambria"/>
          <w:i/>
          <w:noProof/>
          <w:color w:val="8E0000"/>
          <w:sz w:val="20"/>
          <w:szCs w:val="20"/>
          <w:lang w:val="sq-AL"/>
        </w:rPr>
        <w:t>-201</w:t>
      </w:r>
      <w:r w:rsidR="00594635" w:rsidRPr="00556CFC">
        <w:rPr>
          <w:rFonts w:ascii="Cambria" w:eastAsia="Batang" w:hAnsi="Cambria"/>
          <w:i/>
          <w:noProof/>
          <w:color w:val="8E0000"/>
          <w:sz w:val="20"/>
          <w:szCs w:val="20"/>
          <w:lang w:val="sq-AL"/>
        </w:rPr>
        <w:t>9</w:t>
      </w:r>
      <w:r w:rsidR="001C6D78" w:rsidRPr="00556CFC">
        <w:rPr>
          <w:rFonts w:ascii="Cambria" w:eastAsia="Batang" w:hAnsi="Cambria"/>
          <w:i/>
          <w:noProof/>
          <w:color w:val="8E0000"/>
          <w:sz w:val="20"/>
          <w:szCs w:val="20"/>
          <w:lang w:val="sq-AL"/>
        </w:rPr>
        <w:t>)</w:t>
      </w:r>
    </w:p>
    <w:p w14:paraId="71DF5BF7" w14:textId="77777777" w:rsidR="001F27E7" w:rsidRPr="00556CFC" w:rsidRDefault="00F97EA4" w:rsidP="005C71DC">
      <w:pPr>
        <w:spacing w:after="0" w:line="276" w:lineRule="auto"/>
        <w:rPr>
          <w:rFonts w:ascii="Cambria" w:eastAsia="Calibri" w:hAnsi="Cambria" w:cs="Times New Roman"/>
          <w:b/>
          <w:noProof/>
          <w:color w:val="8E0000"/>
          <w:sz w:val="20"/>
          <w:szCs w:val="20"/>
          <w:lang w:val="sq-AL"/>
        </w:rPr>
      </w:pPr>
      <w:r>
        <w:rPr>
          <w:rFonts w:ascii="Cambria" w:eastAsia="Calibri" w:hAnsi="Cambria" w:cs="Times New Roman"/>
          <w:b/>
          <w:noProof/>
          <w:color w:val="8E0000"/>
          <w:sz w:val="20"/>
          <w:szCs w:val="20"/>
        </w:rPr>
        <w:drawing>
          <wp:inline distT="0" distB="0" distL="0" distR="0" wp14:anchorId="71DF5F63" wp14:editId="71DF5F64">
            <wp:extent cx="5534025" cy="20193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2019300"/>
                    </a:xfrm>
                    <a:prstGeom prst="rect">
                      <a:avLst/>
                    </a:prstGeom>
                    <a:noFill/>
                    <a:ln>
                      <a:solidFill>
                        <a:schemeClr val="bg1">
                          <a:lumMod val="75000"/>
                        </a:schemeClr>
                      </a:solidFill>
                    </a:ln>
                  </pic:spPr>
                </pic:pic>
              </a:graphicData>
            </a:graphic>
          </wp:inline>
        </w:drawing>
      </w:r>
    </w:p>
    <w:p w14:paraId="71DF5BF8" w14:textId="77777777" w:rsidR="00097511" w:rsidRPr="000F5C13" w:rsidRDefault="00097511" w:rsidP="00EB5322">
      <w:pPr>
        <w:spacing w:after="0" w:line="276" w:lineRule="auto"/>
        <w:jc w:val="center"/>
        <w:rPr>
          <w:rFonts w:ascii="Cambria" w:eastAsia="Calibri" w:hAnsi="Cambria" w:cs="Times New Roman"/>
          <w:i/>
          <w:noProof/>
          <w:color w:val="8E0000"/>
          <w:sz w:val="20"/>
          <w:szCs w:val="20"/>
          <w:lang w:val="sq-AL"/>
        </w:rPr>
      </w:pPr>
      <w:r w:rsidRPr="00556CFC">
        <w:rPr>
          <w:rFonts w:ascii="Cambria" w:eastAsia="Calibri" w:hAnsi="Cambria" w:cs="Times New Roman"/>
          <w:b/>
          <w:noProof/>
          <w:color w:val="8E0000"/>
          <w:sz w:val="20"/>
          <w:szCs w:val="20"/>
          <w:lang w:val="sq-AL"/>
        </w:rPr>
        <w:t xml:space="preserve">Burimi: </w:t>
      </w:r>
      <w:r w:rsidRPr="00556CFC">
        <w:rPr>
          <w:rFonts w:ascii="Cambria" w:eastAsia="Calibri" w:hAnsi="Cambria" w:cs="Times New Roman"/>
          <w:i/>
          <w:noProof/>
          <w:color w:val="8E0000"/>
          <w:sz w:val="20"/>
          <w:szCs w:val="20"/>
          <w:lang w:val="sq-AL"/>
        </w:rPr>
        <w:t>Ministria</w:t>
      </w:r>
      <w:r w:rsidR="00741ABD" w:rsidRPr="00556CFC">
        <w:rPr>
          <w:rFonts w:ascii="Cambria" w:eastAsia="Calibri" w:hAnsi="Cambria" w:cs="Times New Roman"/>
          <w:i/>
          <w:noProof/>
          <w:color w:val="8E0000"/>
          <w:sz w:val="20"/>
          <w:szCs w:val="20"/>
          <w:lang w:val="sq-AL"/>
        </w:rPr>
        <w:t xml:space="preserve"> e Financave dhe Ekonomisë (2019</w:t>
      </w:r>
      <w:r w:rsidRPr="00556CFC">
        <w:rPr>
          <w:rFonts w:ascii="Cambria" w:eastAsia="Calibri" w:hAnsi="Cambria" w:cs="Times New Roman"/>
          <w:i/>
          <w:noProof/>
          <w:color w:val="8E0000"/>
          <w:sz w:val="20"/>
          <w:szCs w:val="20"/>
          <w:lang w:val="sq-AL"/>
        </w:rPr>
        <w:t>)</w:t>
      </w:r>
    </w:p>
    <w:p w14:paraId="71DF5BF9" w14:textId="77777777" w:rsidR="00097511" w:rsidRPr="000F5C13" w:rsidRDefault="00097511" w:rsidP="00EB5322">
      <w:pPr>
        <w:keepNext/>
        <w:keepLines/>
        <w:spacing w:after="0" w:line="276" w:lineRule="auto"/>
        <w:outlineLvl w:val="3"/>
        <w:rPr>
          <w:rFonts w:ascii="Cambria" w:eastAsiaTheme="majorEastAsia" w:hAnsi="Cambria" w:cstheme="majorBidi"/>
          <w:b/>
          <w:iCs/>
          <w:noProof/>
          <w:color w:val="000000" w:themeColor="text1"/>
          <w:sz w:val="20"/>
          <w:szCs w:val="20"/>
          <w:lang w:val="sq-AL"/>
        </w:rPr>
      </w:pPr>
    </w:p>
    <w:p w14:paraId="71DF5BFA" w14:textId="77777777" w:rsidR="009B24CE" w:rsidRPr="000F5C13" w:rsidRDefault="009B24CE" w:rsidP="004A70BC">
      <w:pPr>
        <w:pStyle w:val="Heading2"/>
        <w:numPr>
          <w:ilvl w:val="1"/>
          <w:numId w:val="8"/>
        </w:numPr>
        <w:spacing w:before="0" w:line="276" w:lineRule="auto"/>
        <w:ind w:left="709" w:hanging="709"/>
        <w:rPr>
          <w:noProof/>
          <w:lang w:val="sq-AL"/>
        </w:rPr>
      </w:pPr>
      <w:bookmarkStart w:id="11" w:name="_Toc524506530"/>
      <w:r w:rsidRPr="000F5C13">
        <w:rPr>
          <w:noProof/>
          <w:lang w:val="sq-AL"/>
        </w:rPr>
        <w:t>Huamarrja e Brendshme</w:t>
      </w:r>
      <w:bookmarkEnd w:id="9"/>
      <w:bookmarkEnd w:id="10"/>
      <w:bookmarkEnd w:id="11"/>
    </w:p>
    <w:p w14:paraId="71DF5BFB" w14:textId="77777777" w:rsidR="009B24CE" w:rsidRPr="000F5C13" w:rsidRDefault="009B24CE" w:rsidP="00EB5322">
      <w:pPr>
        <w:tabs>
          <w:tab w:val="left" w:pos="270"/>
        </w:tabs>
        <w:spacing w:after="0" w:line="276" w:lineRule="auto"/>
        <w:ind w:right="295"/>
        <w:contextualSpacing/>
        <w:jc w:val="both"/>
        <w:rPr>
          <w:rFonts w:ascii="Times New Roman" w:eastAsia="Calibri" w:hAnsi="Times New Roman" w:cs="Times New Roman"/>
          <w:noProof/>
          <w:sz w:val="20"/>
          <w:szCs w:val="16"/>
          <w:lang w:val="sq-AL"/>
        </w:rPr>
      </w:pPr>
    </w:p>
    <w:p w14:paraId="71DF5BFC" w14:textId="77777777" w:rsidR="00242483" w:rsidRPr="00556CFC" w:rsidRDefault="009C0623" w:rsidP="00594635">
      <w:pPr>
        <w:spacing w:after="0" w:line="276" w:lineRule="auto"/>
        <w:ind w:right="237"/>
        <w:contextualSpacing/>
        <w:jc w:val="both"/>
        <w:rPr>
          <w:rFonts w:ascii="Times New Roman" w:eastAsia="Calibri" w:hAnsi="Times New Roman" w:cs="Times New Roman"/>
          <w:noProof/>
          <w:sz w:val="24"/>
          <w:szCs w:val="24"/>
          <w:lang w:val="sq-AL"/>
        </w:rPr>
      </w:pPr>
      <w:r w:rsidRPr="00556CFC">
        <w:rPr>
          <w:rFonts w:ascii="Times New Roman" w:eastAsia="Calibri" w:hAnsi="Times New Roman" w:cs="Times New Roman"/>
          <w:noProof/>
          <w:sz w:val="24"/>
          <w:szCs w:val="24"/>
          <w:lang w:val="sq-AL"/>
        </w:rPr>
        <w:t>N</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linj</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me objektivat p</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r reduktimin e risqeve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portofolit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borxhit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brendsh</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m, nevojat p</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r hua n</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p</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rmjet burimeve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brendshme jan</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reduktuar ndjesh</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m,</w:t>
      </w:r>
      <w:r w:rsidR="008C04FA" w:rsidRPr="00556CFC">
        <w:rPr>
          <w:rFonts w:ascii="Times New Roman" w:eastAsia="Calibri" w:hAnsi="Times New Roman" w:cs="Times New Roman"/>
          <w:noProof/>
          <w:sz w:val="24"/>
          <w:szCs w:val="24"/>
          <w:lang w:val="sq-AL"/>
        </w:rPr>
        <w:t xml:space="preserve"> duke </w:t>
      </w:r>
      <w:r w:rsidR="004F747C" w:rsidRPr="00556CFC">
        <w:rPr>
          <w:rFonts w:ascii="Times New Roman" w:eastAsia="Calibri" w:hAnsi="Times New Roman" w:cs="Times New Roman"/>
          <w:noProof/>
          <w:sz w:val="24"/>
          <w:szCs w:val="24"/>
          <w:lang w:val="sq-AL"/>
        </w:rPr>
        <w:t>mund</w:t>
      </w:r>
      <w:r w:rsidR="00DC648E" w:rsidRPr="00556CFC">
        <w:rPr>
          <w:rFonts w:ascii="Times New Roman" w:eastAsia="Calibri" w:hAnsi="Times New Roman" w:cs="Times New Roman"/>
          <w:noProof/>
          <w:sz w:val="24"/>
          <w:szCs w:val="24"/>
          <w:lang w:val="sq-AL"/>
        </w:rPr>
        <w:t>ë</w:t>
      </w:r>
      <w:r w:rsidR="004F747C" w:rsidRPr="00556CFC">
        <w:rPr>
          <w:rFonts w:ascii="Times New Roman" w:eastAsia="Calibri" w:hAnsi="Times New Roman" w:cs="Times New Roman"/>
          <w:noProof/>
          <w:sz w:val="24"/>
          <w:szCs w:val="24"/>
          <w:lang w:val="sq-AL"/>
        </w:rPr>
        <w:t>suar</w:t>
      </w:r>
      <w:r w:rsidR="008C04FA" w:rsidRPr="00556CFC">
        <w:rPr>
          <w:rFonts w:ascii="Times New Roman" w:eastAsia="Calibri" w:hAnsi="Times New Roman" w:cs="Times New Roman"/>
          <w:noProof/>
          <w:sz w:val="24"/>
          <w:szCs w:val="24"/>
          <w:lang w:val="sq-AL"/>
        </w:rPr>
        <w:t xml:space="preserve"> uljen e hu</w:t>
      </w:r>
      <w:r w:rsidR="004D296C" w:rsidRPr="00556CFC">
        <w:rPr>
          <w:rFonts w:ascii="Times New Roman" w:eastAsia="Calibri" w:hAnsi="Times New Roman" w:cs="Times New Roman"/>
          <w:noProof/>
          <w:sz w:val="24"/>
          <w:szCs w:val="24"/>
          <w:lang w:val="sq-AL"/>
        </w:rPr>
        <w:t>a</w:t>
      </w:r>
      <w:r w:rsidR="008C04FA" w:rsidRPr="00556CFC">
        <w:rPr>
          <w:rFonts w:ascii="Times New Roman" w:eastAsia="Calibri" w:hAnsi="Times New Roman" w:cs="Times New Roman"/>
          <w:noProof/>
          <w:sz w:val="24"/>
          <w:szCs w:val="24"/>
          <w:lang w:val="sq-AL"/>
        </w:rPr>
        <w:t>marrjes n</w:t>
      </w:r>
      <w:r w:rsidR="00DC648E" w:rsidRPr="00556CFC">
        <w:rPr>
          <w:rFonts w:ascii="Times New Roman" w:eastAsia="Calibri" w:hAnsi="Times New Roman" w:cs="Times New Roman"/>
          <w:noProof/>
          <w:sz w:val="24"/>
          <w:szCs w:val="24"/>
          <w:lang w:val="sq-AL"/>
        </w:rPr>
        <w:t>ë</w:t>
      </w:r>
      <w:r w:rsidR="008C04FA" w:rsidRPr="00556CFC">
        <w:rPr>
          <w:rFonts w:ascii="Times New Roman" w:eastAsia="Calibri" w:hAnsi="Times New Roman" w:cs="Times New Roman"/>
          <w:noProof/>
          <w:sz w:val="24"/>
          <w:szCs w:val="24"/>
          <w:lang w:val="sq-AL"/>
        </w:rPr>
        <w:t>p</w:t>
      </w:r>
      <w:r w:rsidR="00DC648E" w:rsidRPr="00556CFC">
        <w:rPr>
          <w:rFonts w:ascii="Times New Roman" w:eastAsia="Calibri" w:hAnsi="Times New Roman" w:cs="Times New Roman"/>
          <w:noProof/>
          <w:sz w:val="24"/>
          <w:szCs w:val="24"/>
          <w:lang w:val="sq-AL"/>
        </w:rPr>
        <w:t>ë</w:t>
      </w:r>
      <w:r w:rsidR="008C04FA" w:rsidRPr="00556CFC">
        <w:rPr>
          <w:rFonts w:ascii="Times New Roman" w:eastAsia="Calibri" w:hAnsi="Times New Roman" w:cs="Times New Roman"/>
          <w:noProof/>
          <w:sz w:val="24"/>
          <w:szCs w:val="24"/>
          <w:lang w:val="sq-AL"/>
        </w:rPr>
        <w:t>rmjet titujve afatshkurt</w:t>
      </w:r>
      <w:r w:rsidR="00DC648E" w:rsidRPr="00556CFC">
        <w:rPr>
          <w:rFonts w:ascii="Times New Roman" w:eastAsia="Calibri" w:hAnsi="Times New Roman" w:cs="Times New Roman"/>
          <w:noProof/>
          <w:sz w:val="24"/>
          <w:szCs w:val="24"/>
          <w:lang w:val="sq-AL"/>
        </w:rPr>
        <w:t>ë</w:t>
      </w:r>
      <w:r w:rsidR="008C04FA" w:rsidRPr="00556CFC">
        <w:rPr>
          <w:rFonts w:ascii="Times New Roman" w:eastAsia="Calibri" w:hAnsi="Times New Roman" w:cs="Times New Roman"/>
          <w:noProof/>
          <w:sz w:val="24"/>
          <w:szCs w:val="24"/>
          <w:lang w:val="sq-AL"/>
        </w:rPr>
        <w:t>r</w:t>
      </w:r>
      <w:r w:rsidR="0059038D" w:rsidRPr="00556CFC">
        <w:rPr>
          <w:rFonts w:ascii="Times New Roman" w:eastAsia="Calibri" w:hAnsi="Times New Roman" w:cs="Times New Roman"/>
          <w:noProof/>
          <w:sz w:val="24"/>
          <w:szCs w:val="24"/>
          <w:lang w:val="sq-AL"/>
        </w:rPr>
        <w:t>.</w:t>
      </w:r>
    </w:p>
    <w:p w14:paraId="71DF5BFD" w14:textId="77777777" w:rsidR="00242483" w:rsidRPr="00556CFC" w:rsidRDefault="00242483" w:rsidP="00242483">
      <w:pPr>
        <w:spacing w:after="0" w:line="276" w:lineRule="auto"/>
        <w:ind w:left="284" w:right="237"/>
        <w:contextualSpacing/>
        <w:jc w:val="center"/>
        <w:rPr>
          <w:rFonts w:ascii="Times New Roman" w:eastAsia="Calibri" w:hAnsi="Times New Roman" w:cs="Times New Roman"/>
          <w:noProof/>
          <w:sz w:val="16"/>
          <w:szCs w:val="24"/>
          <w:lang w:val="sq-AL"/>
        </w:rPr>
      </w:pPr>
    </w:p>
    <w:p w14:paraId="71DF5BFE" w14:textId="77777777" w:rsidR="00147940" w:rsidRPr="00556CFC" w:rsidRDefault="00242483" w:rsidP="00242483">
      <w:pPr>
        <w:tabs>
          <w:tab w:val="left" w:pos="0"/>
        </w:tabs>
        <w:spacing w:after="0"/>
        <w:ind w:left="-1418" w:right="96" w:firstLine="1560"/>
        <w:jc w:val="center"/>
        <w:rPr>
          <w:rFonts w:ascii="Cambria" w:eastAsia="MS Mincho" w:hAnsi="Cambria"/>
          <w:i/>
          <w:noProof/>
          <w:color w:val="8E0000"/>
          <w:sz w:val="20"/>
          <w:szCs w:val="20"/>
          <w:lang w:val="sq-AL"/>
        </w:rPr>
      </w:pPr>
      <w:r w:rsidRPr="00556CFC">
        <w:rPr>
          <w:rFonts w:ascii="Cambria" w:eastAsia="MS Mincho" w:hAnsi="Cambria"/>
          <w:b/>
          <w:noProof/>
          <w:color w:val="8E0000"/>
          <w:sz w:val="20"/>
          <w:szCs w:val="20"/>
          <w:lang w:val="sq-AL"/>
        </w:rPr>
        <w:t>Paraqitje Grafike 2.1</w:t>
      </w:r>
      <w:r w:rsidR="00147940" w:rsidRPr="00556CFC">
        <w:rPr>
          <w:rFonts w:ascii="Cambria" w:eastAsia="MS Mincho" w:hAnsi="Cambria"/>
          <w:b/>
          <w:noProof/>
          <w:color w:val="8E0000"/>
          <w:sz w:val="20"/>
          <w:szCs w:val="20"/>
          <w:lang w:val="sq-AL"/>
        </w:rPr>
        <w:t xml:space="preserve"> (a)</w:t>
      </w:r>
      <w:r w:rsidRPr="00556CFC">
        <w:rPr>
          <w:rFonts w:ascii="Cambria" w:eastAsia="MS Mincho" w:hAnsi="Cambria"/>
          <w:b/>
          <w:noProof/>
          <w:color w:val="8E0000"/>
          <w:sz w:val="20"/>
          <w:szCs w:val="20"/>
          <w:lang w:val="sq-AL"/>
        </w:rPr>
        <w:t xml:space="preserve">: </w:t>
      </w:r>
      <w:r w:rsidRPr="00556CFC">
        <w:rPr>
          <w:rFonts w:ascii="Cambria" w:eastAsia="MS Mincho" w:hAnsi="Cambria"/>
          <w:i/>
          <w:noProof/>
          <w:color w:val="8E0000"/>
          <w:sz w:val="20"/>
          <w:szCs w:val="20"/>
          <w:lang w:val="sq-AL"/>
        </w:rPr>
        <w:t>Huam</w:t>
      </w:r>
      <w:r w:rsidR="0071022F">
        <w:rPr>
          <w:rFonts w:ascii="Cambria" w:eastAsia="MS Mincho" w:hAnsi="Cambria"/>
          <w:i/>
          <w:noProof/>
          <w:color w:val="8E0000"/>
          <w:sz w:val="20"/>
          <w:szCs w:val="20"/>
          <w:lang w:val="sq-AL"/>
        </w:rPr>
        <w:t xml:space="preserve">arrja e brendshme </w:t>
      </w:r>
      <w:r w:rsidRPr="00556CFC">
        <w:rPr>
          <w:rFonts w:ascii="Cambria" w:eastAsia="MS Mincho" w:hAnsi="Cambria"/>
          <w:i/>
          <w:noProof/>
          <w:color w:val="8E0000"/>
          <w:sz w:val="20"/>
          <w:szCs w:val="20"/>
          <w:lang w:val="sq-AL"/>
        </w:rPr>
        <w:t>n</w:t>
      </w:r>
      <w:r w:rsidR="00DC648E" w:rsidRPr="00556CFC">
        <w:rPr>
          <w:rFonts w:ascii="Cambria" w:eastAsia="MS Mincho" w:hAnsi="Cambria"/>
          <w:i/>
          <w:noProof/>
          <w:color w:val="8E0000"/>
          <w:sz w:val="20"/>
          <w:szCs w:val="20"/>
          <w:lang w:val="sq-AL"/>
        </w:rPr>
        <w:t>ë</w:t>
      </w:r>
      <w:r w:rsidRPr="00556CFC">
        <w:rPr>
          <w:rFonts w:ascii="Cambria" w:eastAsia="MS Mincho" w:hAnsi="Cambria"/>
          <w:i/>
          <w:noProof/>
          <w:color w:val="8E0000"/>
          <w:sz w:val="20"/>
          <w:szCs w:val="20"/>
          <w:lang w:val="sq-AL"/>
        </w:rPr>
        <w:t xml:space="preserve"> vler</w:t>
      </w:r>
      <w:r w:rsidR="00DC648E" w:rsidRPr="00556CFC">
        <w:rPr>
          <w:rFonts w:ascii="Cambria" w:eastAsia="MS Mincho" w:hAnsi="Cambria"/>
          <w:i/>
          <w:noProof/>
          <w:color w:val="8E0000"/>
          <w:sz w:val="20"/>
          <w:szCs w:val="20"/>
          <w:lang w:val="sq-AL"/>
        </w:rPr>
        <w:t>ë</w:t>
      </w:r>
      <w:r w:rsidRPr="00556CFC">
        <w:rPr>
          <w:rFonts w:ascii="Cambria" w:eastAsia="MS Mincho" w:hAnsi="Cambria"/>
          <w:i/>
          <w:noProof/>
          <w:color w:val="8E0000"/>
          <w:sz w:val="20"/>
          <w:szCs w:val="20"/>
          <w:lang w:val="sq-AL"/>
        </w:rPr>
        <w:t xml:space="preserve"> absolute dhe n</w:t>
      </w:r>
      <w:r w:rsidR="00DC648E" w:rsidRPr="00556CFC">
        <w:rPr>
          <w:rFonts w:ascii="Cambria" w:eastAsia="MS Mincho" w:hAnsi="Cambria"/>
          <w:i/>
          <w:noProof/>
          <w:color w:val="8E0000"/>
          <w:sz w:val="20"/>
          <w:szCs w:val="20"/>
          <w:lang w:val="sq-AL"/>
        </w:rPr>
        <w:t>ë</w:t>
      </w:r>
      <w:r w:rsidRPr="00556CFC">
        <w:rPr>
          <w:rFonts w:ascii="Cambria" w:eastAsia="MS Mincho" w:hAnsi="Cambria"/>
          <w:i/>
          <w:noProof/>
          <w:color w:val="8E0000"/>
          <w:sz w:val="20"/>
          <w:szCs w:val="20"/>
          <w:lang w:val="sq-AL"/>
        </w:rPr>
        <w:t xml:space="preserve"> raport me PBB </w:t>
      </w:r>
    </w:p>
    <w:p w14:paraId="71DF5BFF" w14:textId="77777777" w:rsidR="0092495F" w:rsidRPr="00556CFC" w:rsidRDefault="00242483" w:rsidP="00AC43FE">
      <w:pPr>
        <w:tabs>
          <w:tab w:val="left" w:pos="0"/>
        </w:tabs>
        <w:spacing w:after="0"/>
        <w:ind w:left="3119" w:right="96" w:hanging="284"/>
        <w:rPr>
          <w:rFonts w:ascii="Cambria" w:eastAsia="MS Mincho" w:hAnsi="Cambria"/>
          <w:i/>
          <w:noProof/>
          <w:color w:val="8E0000"/>
          <w:sz w:val="20"/>
          <w:szCs w:val="20"/>
          <w:lang w:val="sq-AL"/>
        </w:rPr>
      </w:pPr>
      <w:r w:rsidRPr="00556CFC">
        <w:rPr>
          <w:rFonts w:ascii="Cambria" w:eastAsia="MS Mincho" w:hAnsi="Cambria"/>
          <w:i/>
          <w:noProof/>
          <w:color w:val="8E0000"/>
          <w:sz w:val="20"/>
          <w:szCs w:val="20"/>
          <w:lang w:val="sq-AL"/>
        </w:rPr>
        <w:t xml:space="preserve"> </w:t>
      </w:r>
      <w:r w:rsidR="00247ACF" w:rsidRPr="00556CFC">
        <w:rPr>
          <w:rFonts w:ascii="Cambria" w:eastAsia="MS Mincho" w:hAnsi="Cambria"/>
          <w:i/>
          <w:noProof/>
          <w:color w:val="8E0000"/>
          <w:sz w:val="20"/>
          <w:szCs w:val="20"/>
          <w:lang w:val="sq-AL"/>
        </w:rPr>
        <w:t xml:space="preserve">  </w:t>
      </w:r>
      <w:r w:rsidR="0092495F" w:rsidRPr="00556CFC">
        <w:rPr>
          <w:rFonts w:ascii="Cambria" w:eastAsia="MS Mincho" w:hAnsi="Cambria"/>
          <w:i/>
          <w:noProof/>
          <w:color w:val="8E0000"/>
          <w:sz w:val="20"/>
          <w:szCs w:val="20"/>
          <w:lang w:val="sq-AL"/>
        </w:rPr>
        <w:t>(2015-2019</w:t>
      </w:r>
      <w:r w:rsidRPr="00556CFC">
        <w:rPr>
          <w:rFonts w:ascii="Cambria" w:eastAsia="MS Mincho" w:hAnsi="Cambria"/>
          <w:i/>
          <w:noProof/>
          <w:color w:val="8E0000"/>
          <w:sz w:val="20"/>
          <w:szCs w:val="20"/>
          <w:lang w:val="sq-AL"/>
        </w:rPr>
        <w:t>)</w:t>
      </w:r>
    </w:p>
    <w:p w14:paraId="71DF5C00" w14:textId="77777777" w:rsidR="00FE7A67" w:rsidRPr="00556CFC" w:rsidRDefault="00096060" w:rsidP="005C71DC">
      <w:pPr>
        <w:spacing w:after="0" w:line="276" w:lineRule="auto"/>
        <w:rPr>
          <w:rFonts w:ascii="Cambria" w:eastAsia="Calibri" w:hAnsi="Cambria" w:cs="Times New Roman"/>
          <w:b/>
          <w:noProof/>
          <w:color w:val="8E0000"/>
          <w:sz w:val="20"/>
          <w:szCs w:val="20"/>
          <w:lang w:val="sq-AL"/>
        </w:rPr>
      </w:pPr>
      <w:r>
        <w:rPr>
          <w:rFonts w:ascii="Cambria" w:eastAsia="Calibri" w:hAnsi="Cambria" w:cs="Times New Roman"/>
          <w:b/>
          <w:noProof/>
          <w:color w:val="8E0000"/>
          <w:sz w:val="20"/>
          <w:szCs w:val="20"/>
        </w:rPr>
        <w:drawing>
          <wp:inline distT="0" distB="0" distL="0" distR="0" wp14:anchorId="71DF5F65" wp14:editId="71DF5F66">
            <wp:extent cx="5543550" cy="19907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3550" cy="1990725"/>
                    </a:xfrm>
                    <a:prstGeom prst="rect">
                      <a:avLst/>
                    </a:prstGeom>
                    <a:noFill/>
                    <a:ln>
                      <a:solidFill>
                        <a:schemeClr val="bg1">
                          <a:lumMod val="75000"/>
                        </a:schemeClr>
                      </a:solidFill>
                    </a:ln>
                  </pic:spPr>
                </pic:pic>
              </a:graphicData>
            </a:graphic>
          </wp:inline>
        </w:drawing>
      </w:r>
    </w:p>
    <w:p w14:paraId="71DF5C01" w14:textId="77777777" w:rsidR="00242483" w:rsidRPr="00556CFC" w:rsidRDefault="00242483" w:rsidP="00594635">
      <w:pPr>
        <w:spacing w:after="0" w:line="276" w:lineRule="auto"/>
        <w:jc w:val="center"/>
        <w:rPr>
          <w:rFonts w:ascii="Cambria" w:eastAsia="Calibri" w:hAnsi="Cambria" w:cs="Times New Roman"/>
          <w:i/>
          <w:noProof/>
          <w:color w:val="8E0000"/>
          <w:sz w:val="20"/>
          <w:szCs w:val="20"/>
          <w:lang w:val="sq-AL"/>
        </w:rPr>
      </w:pPr>
      <w:r w:rsidRPr="00556CFC">
        <w:rPr>
          <w:rFonts w:ascii="Cambria" w:eastAsia="Calibri" w:hAnsi="Cambria" w:cs="Times New Roman"/>
          <w:b/>
          <w:noProof/>
          <w:color w:val="8E0000"/>
          <w:sz w:val="20"/>
          <w:szCs w:val="20"/>
          <w:lang w:val="sq-AL"/>
        </w:rPr>
        <w:t xml:space="preserve">Burimi: </w:t>
      </w:r>
      <w:r w:rsidRPr="00556CFC">
        <w:rPr>
          <w:rFonts w:ascii="Cambria" w:eastAsia="Calibri" w:hAnsi="Cambria" w:cs="Times New Roman"/>
          <w:i/>
          <w:noProof/>
          <w:color w:val="8E0000"/>
          <w:sz w:val="20"/>
          <w:szCs w:val="20"/>
          <w:lang w:val="sq-AL"/>
        </w:rPr>
        <w:t>Ministria</w:t>
      </w:r>
      <w:r w:rsidR="00741ABD" w:rsidRPr="00556CFC">
        <w:rPr>
          <w:rFonts w:ascii="Cambria" w:eastAsia="Calibri" w:hAnsi="Cambria" w:cs="Times New Roman"/>
          <w:i/>
          <w:noProof/>
          <w:color w:val="8E0000"/>
          <w:sz w:val="20"/>
          <w:szCs w:val="20"/>
          <w:lang w:val="sq-AL"/>
        </w:rPr>
        <w:t xml:space="preserve"> e Financave dhe Ekonomisë (2019</w:t>
      </w:r>
      <w:r w:rsidRPr="00556CFC">
        <w:rPr>
          <w:rFonts w:ascii="Cambria" w:eastAsia="Calibri" w:hAnsi="Cambria" w:cs="Times New Roman"/>
          <w:i/>
          <w:noProof/>
          <w:color w:val="8E0000"/>
          <w:sz w:val="20"/>
          <w:szCs w:val="20"/>
          <w:lang w:val="sq-AL"/>
        </w:rPr>
        <w:t>)</w:t>
      </w:r>
    </w:p>
    <w:p w14:paraId="71DF5C02" w14:textId="77777777" w:rsidR="00BC45B7" w:rsidRPr="00556CFC" w:rsidRDefault="00BC45B7" w:rsidP="008C04FA">
      <w:pPr>
        <w:spacing w:after="0" w:line="276" w:lineRule="auto"/>
        <w:jc w:val="center"/>
        <w:rPr>
          <w:rFonts w:ascii="Cambria" w:eastAsia="Calibri" w:hAnsi="Cambria" w:cs="Times New Roman"/>
          <w:i/>
          <w:noProof/>
          <w:color w:val="8E0000"/>
          <w:sz w:val="16"/>
          <w:szCs w:val="20"/>
          <w:lang w:val="sq-AL"/>
        </w:rPr>
      </w:pPr>
    </w:p>
    <w:p w14:paraId="71DF5C03" w14:textId="77777777" w:rsidR="00242483" w:rsidRPr="007C5DFA" w:rsidRDefault="00CA36C9" w:rsidP="00594635">
      <w:pPr>
        <w:spacing w:after="0" w:line="276" w:lineRule="auto"/>
        <w:ind w:right="237"/>
        <w:contextualSpacing/>
        <w:jc w:val="both"/>
        <w:rPr>
          <w:rFonts w:ascii="Times New Roman" w:eastAsia="Calibri" w:hAnsi="Times New Roman" w:cs="Times New Roman"/>
          <w:noProof/>
          <w:sz w:val="24"/>
          <w:szCs w:val="24"/>
          <w:lang w:val="sq-AL"/>
        </w:rPr>
      </w:pPr>
      <w:r w:rsidRPr="00556CFC">
        <w:rPr>
          <w:rFonts w:ascii="Times New Roman" w:eastAsia="Calibri" w:hAnsi="Times New Roman" w:cs="Times New Roman"/>
          <w:noProof/>
          <w:sz w:val="24"/>
          <w:szCs w:val="24"/>
          <w:lang w:val="sq-AL"/>
        </w:rPr>
        <w:t>Huamarrja n</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p</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rmjet titujve afatshkurt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r </w:t>
      </w:r>
      <w:r w:rsidR="00755BF6" w:rsidRPr="00556CFC">
        <w:rPr>
          <w:rFonts w:ascii="Times New Roman" w:eastAsia="Calibri" w:hAnsi="Times New Roman" w:cs="Times New Roman"/>
          <w:noProof/>
          <w:sz w:val="24"/>
          <w:szCs w:val="24"/>
          <w:lang w:val="sq-AL"/>
        </w:rPr>
        <w:t xml:space="preserve">kryesisht </w:t>
      </w:r>
      <w:r w:rsidRPr="00556CFC">
        <w:rPr>
          <w:rFonts w:ascii="Times New Roman" w:eastAsia="Calibri" w:hAnsi="Times New Roman" w:cs="Times New Roman"/>
          <w:noProof/>
          <w:sz w:val="24"/>
          <w:szCs w:val="24"/>
          <w:lang w:val="sq-AL"/>
        </w:rPr>
        <w:t>ka sh</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rbyer p</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r t</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realizuar rifinancimin e k</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tyre titujve</w:t>
      </w:r>
      <w:r w:rsidR="00CD75BA" w:rsidRPr="00556CFC">
        <w:rPr>
          <w:rFonts w:ascii="Times New Roman" w:eastAsia="Calibri" w:hAnsi="Times New Roman" w:cs="Times New Roman"/>
          <w:noProof/>
          <w:sz w:val="24"/>
          <w:szCs w:val="24"/>
          <w:lang w:val="sq-AL"/>
        </w:rPr>
        <w:t xml:space="preserve"> dhe menaxhimin e nevojave afatshkurtra p</w:t>
      </w:r>
      <w:r w:rsidR="00982338" w:rsidRPr="00556CFC">
        <w:rPr>
          <w:rFonts w:ascii="Times New Roman" w:eastAsia="Calibri" w:hAnsi="Times New Roman" w:cs="Times New Roman"/>
          <w:noProof/>
          <w:sz w:val="24"/>
          <w:szCs w:val="24"/>
          <w:lang w:val="sq-AL"/>
        </w:rPr>
        <w:t>ë</w:t>
      </w:r>
      <w:r w:rsidR="00CD75BA" w:rsidRPr="00556CFC">
        <w:rPr>
          <w:rFonts w:ascii="Times New Roman" w:eastAsia="Calibri" w:hAnsi="Times New Roman" w:cs="Times New Roman"/>
          <w:noProof/>
          <w:sz w:val="24"/>
          <w:szCs w:val="24"/>
          <w:lang w:val="sq-AL"/>
        </w:rPr>
        <w:t>r likuiditet</w:t>
      </w:r>
      <w:r w:rsidRPr="00556CFC">
        <w:rPr>
          <w:rFonts w:ascii="Times New Roman" w:eastAsia="Calibri" w:hAnsi="Times New Roman" w:cs="Times New Roman"/>
          <w:noProof/>
          <w:sz w:val="24"/>
          <w:szCs w:val="24"/>
          <w:lang w:val="sq-AL"/>
        </w:rPr>
        <w:t>, nd</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rkoh</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q</w:t>
      </w:r>
      <w:r w:rsidR="00DC648E" w:rsidRPr="00556CFC">
        <w:rPr>
          <w:rFonts w:ascii="Times New Roman" w:eastAsia="Calibri" w:hAnsi="Times New Roman" w:cs="Times New Roman"/>
          <w:noProof/>
          <w:sz w:val="24"/>
          <w:szCs w:val="24"/>
          <w:lang w:val="sq-AL"/>
        </w:rPr>
        <w:t>ë</w:t>
      </w:r>
      <w:r w:rsidRPr="00556CFC">
        <w:rPr>
          <w:rFonts w:ascii="Times New Roman" w:eastAsia="Calibri" w:hAnsi="Times New Roman" w:cs="Times New Roman"/>
          <w:noProof/>
          <w:sz w:val="24"/>
          <w:szCs w:val="24"/>
          <w:lang w:val="sq-AL"/>
        </w:rPr>
        <w:t xml:space="preserve"> </w:t>
      </w:r>
      <w:r w:rsidRPr="00DA293A">
        <w:rPr>
          <w:rFonts w:ascii="Times New Roman" w:eastAsia="Calibri" w:hAnsi="Times New Roman" w:cs="Times New Roman"/>
          <w:noProof/>
          <w:sz w:val="24"/>
          <w:szCs w:val="24"/>
          <w:lang w:val="sq-AL"/>
        </w:rPr>
        <w:lastRenderedPageBreak/>
        <w:t>financimi i deficitit</w:t>
      </w:r>
      <w:r w:rsidR="00594635" w:rsidRPr="00DA293A">
        <w:rPr>
          <w:rFonts w:ascii="Times New Roman" w:eastAsia="Calibri" w:hAnsi="Times New Roman" w:cs="Times New Roman"/>
          <w:noProof/>
          <w:sz w:val="24"/>
          <w:szCs w:val="24"/>
          <w:lang w:val="sq-AL"/>
        </w:rPr>
        <w:t xml:space="preserve"> </w:t>
      </w:r>
      <w:r w:rsidR="008C04FA" w:rsidRPr="00DA293A">
        <w:rPr>
          <w:rFonts w:ascii="Times New Roman" w:eastAsia="Calibri" w:hAnsi="Times New Roman" w:cs="Times New Roman"/>
          <w:noProof/>
          <w:sz w:val="24"/>
          <w:szCs w:val="24"/>
          <w:lang w:val="sq-AL"/>
        </w:rPr>
        <w:t>(borxhi i ri</w:t>
      </w:r>
      <w:r w:rsidR="008C04FA" w:rsidRPr="007C5DFA">
        <w:rPr>
          <w:rFonts w:ascii="Times New Roman" w:eastAsia="Calibri" w:hAnsi="Times New Roman" w:cs="Times New Roman"/>
          <w:noProof/>
          <w:sz w:val="24"/>
          <w:szCs w:val="24"/>
          <w:lang w:val="sq-AL"/>
        </w:rPr>
        <w:t>)</w:t>
      </w:r>
      <w:r w:rsidRPr="007C5DFA">
        <w:rPr>
          <w:rFonts w:ascii="Times New Roman" w:eastAsia="Calibri" w:hAnsi="Times New Roman" w:cs="Times New Roman"/>
          <w:noProof/>
          <w:sz w:val="24"/>
          <w:szCs w:val="24"/>
          <w:lang w:val="sq-AL"/>
        </w:rPr>
        <w:t xml:space="preserve"> </w:t>
      </w:r>
      <w:r w:rsidR="00DC648E" w:rsidRPr="007C5DFA">
        <w:rPr>
          <w:rFonts w:ascii="Times New Roman" w:eastAsia="Calibri" w:hAnsi="Times New Roman" w:cs="Times New Roman"/>
          <w:noProof/>
          <w:sz w:val="24"/>
          <w:szCs w:val="24"/>
          <w:lang w:val="sq-AL"/>
        </w:rPr>
        <w:t>ë</w:t>
      </w:r>
      <w:r w:rsidRPr="007C5DFA">
        <w:rPr>
          <w:rFonts w:ascii="Times New Roman" w:eastAsia="Calibri" w:hAnsi="Times New Roman" w:cs="Times New Roman"/>
          <w:noProof/>
          <w:sz w:val="24"/>
          <w:szCs w:val="24"/>
          <w:lang w:val="sq-AL"/>
        </w:rPr>
        <w:t>sht</w:t>
      </w:r>
      <w:r w:rsidR="00DC648E" w:rsidRPr="007C5DFA">
        <w:rPr>
          <w:rFonts w:ascii="Times New Roman" w:eastAsia="Calibri" w:hAnsi="Times New Roman" w:cs="Times New Roman"/>
          <w:noProof/>
          <w:sz w:val="24"/>
          <w:szCs w:val="24"/>
          <w:lang w:val="sq-AL"/>
        </w:rPr>
        <w:t>ë</w:t>
      </w:r>
      <w:r w:rsidRPr="007C5DFA">
        <w:rPr>
          <w:rFonts w:ascii="Times New Roman" w:eastAsia="Calibri" w:hAnsi="Times New Roman" w:cs="Times New Roman"/>
          <w:noProof/>
          <w:sz w:val="24"/>
          <w:szCs w:val="24"/>
          <w:lang w:val="sq-AL"/>
        </w:rPr>
        <w:t xml:space="preserve"> siguruar </w:t>
      </w:r>
      <w:r w:rsidR="008C04FA" w:rsidRPr="007C5DFA">
        <w:rPr>
          <w:rFonts w:ascii="Times New Roman" w:eastAsia="Calibri" w:hAnsi="Times New Roman" w:cs="Times New Roman"/>
          <w:noProof/>
          <w:sz w:val="24"/>
          <w:szCs w:val="24"/>
          <w:lang w:val="sq-AL"/>
        </w:rPr>
        <w:t xml:space="preserve">kryesisht </w:t>
      </w:r>
      <w:r w:rsidRPr="007C5DFA">
        <w:rPr>
          <w:rFonts w:ascii="Times New Roman" w:eastAsia="Calibri" w:hAnsi="Times New Roman" w:cs="Times New Roman"/>
          <w:noProof/>
          <w:sz w:val="24"/>
          <w:szCs w:val="24"/>
          <w:lang w:val="sq-AL"/>
        </w:rPr>
        <w:t>n</w:t>
      </w:r>
      <w:r w:rsidR="00DC648E" w:rsidRPr="007C5DFA">
        <w:rPr>
          <w:rFonts w:ascii="Times New Roman" w:eastAsia="Calibri" w:hAnsi="Times New Roman" w:cs="Times New Roman"/>
          <w:noProof/>
          <w:sz w:val="24"/>
          <w:szCs w:val="24"/>
          <w:lang w:val="sq-AL"/>
        </w:rPr>
        <w:t>ë</w:t>
      </w:r>
      <w:r w:rsidRPr="007C5DFA">
        <w:rPr>
          <w:rFonts w:ascii="Times New Roman" w:eastAsia="Calibri" w:hAnsi="Times New Roman" w:cs="Times New Roman"/>
          <w:noProof/>
          <w:sz w:val="24"/>
          <w:szCs w:val="24"/>
          <w:lang w:val="sq-AL"/>
        </w:rPr>
        <w:t>p</w:t>
      </w:r>
      <w:r w:rsidR="00DC648E" w:rsidRPr="007C5DFA">
        <w:rPr>
          <w:rFonts w:ascii="Times New Roman" w:eastAsia="Calibri" w:hAnsi="Times New Roman" w:cs="Times New Roman"/>
          <w:noProof/>
          <w:sz w:val="24"/>
          <w:szCs w:val="24"/>
          <w:lang w:val="sq-AL"/>
        </w:rPr>
        <w:t>ë</w:t>
      </w:r>
      <w:r w:rsidRPr="007C5DFA">
        <w:rPr>
          <w:rFonts w:ascii="Times New Roman" w:eastAsia="Calibri" w:hAnsi="Times New Roman" w:cs="Times New Roman"/>
          <w:noProof/>
          <w:sz w:val="24"/>
          <w:szCs w:val="24"/>
          <w:lang w:val="sq-AL"/>
        </w:rPr>
        <w:t>rmjet titujve afatgjat</w:t>
      </w:r>
      <w:r w:rsidR="00DC648E" w:rsidRPr="007C5DFA">
        <w:rPr>
          <w:rFonts w:ascii="Times New Roman" w:eastAsia="Calibri" w:hAnsi="Times New Roman" w:cs="Times New Roman"/>
          <w:noProof/>
          <w:sz w:val="24"/>
          <w:szCs w:val="24"/>
          <w:lang w:val="sq-AL"/>
        </w:rPr>
        <w:t>ë</w:t>
      </w:r>
      <w:r w:rsidR="008C04FA" w:rsidRPr="007C5DFA">
        <w:rPr>
          <w:rFonts w:ascii="Times New Roman" w:eastAsia="Calibri" w:hAnsi="Times New Roman" w:cs="Times New Roman"/>
          <w:noProof/>
          <w:sz w:val="24"/>
          <w:szCs w:val="24"/>
          <w:lang w:val="sq-AL"/>
        </w:rPr>
        <w:t xml:space="preserve">, duke </w:t>
      </w:r>
      <w:r w:rsidR="00C15493" w:rsidRPr="007C5DFA">
        <w:rPr>
          <w:rFonts w:ascii="Times New Roman" w:eastAsia="Calibri" w:hAnsi="Times New Roman" w:cs="Times New Roman"/>
          <w:noProof/>
          <w:sz w:val="24"/>
          <w:szCs w:val="24"/>
          <w:lang w:val="sq-AL"/>
        </w:rPr>
        <w:t>q</w:t>
      </w:r>
      <w:r w:rsidR="004D296C" w:rsidRPr="007C5DFA">
        <w:rPr>
          <w:rFonts w:ascii="Times New Roman" w:eastAsia="Calibri" w:hAnsi="Times New Roman" w:cs="Times New Roman"/>
          <w:noProof/>
          <w:sz w:val="24"/>
          <w:szCs w:val="24"/>
          <w:lang w:val="sq-AL"/>
        </w:rPr>
        <w:t>e</w:t>
      </w:r>
      <w:r w:rsidR="00C15493" w:rsidRPr="007C5DFA">
        <w:rPr>
          <w:rFonts w:ascii="Times New Roman" w:eastAsia="Calibri" w:hAnsi="Times New Roman" w:cs="Times New Roman"/>
          <w:noProof/>
          <w:sz w:val="24"/>
          <w:szCs w:val="24"/>
          <w:lang w:val="sq-AL"/>
        </w:rPr>
        <w:t>n</w:t>
      </w:r>
      <w:r w:rsidR="00754CBC" w:rsidRPr="007C5DFA">
        <w:rPr>
          <w:rFonts w:ascii="Times New Roman" w:eastAsia="Calibri" w:hAnsi="Times New Roman" w:cs="Times New Roman"/>
          <w:noProof/>
          <w:sz w:val="24"/>
          <w:szCs w:val="24"/>
          <w:lang w:val="sq-AL"/>
        </w:rPr>
        <w:t>ë</w:t>
      </w:r>
      <w:r w:rsidR="008C04FA" w:rsidRPr="007C5DFA">
        <w:rPr>
          <w:rFonts w:ascii="Times New Roman" w:eastAsia="Calibri" w:hAnsi="Times New Roman" w:cs="Times New Roman"/>
          <w:noProof/>
          <w:sz w:val="24"/>
          <w:szCs w:val="24"/>
          <w:lang w:val="sq-AL"/>
        </w:rPr>
        <w:t xml:space="preserve"> </w:t>
      </w:r>
      <w:r w:rsidR="00332EB1" w:rsidRPr="007C5DFA">
        <w:rPr>
          <w:rFonts w:ascii="Times New Roman" w:eastAsia="Calibri" w:hAnsi="Times New Roman" w:cs="Times New Roman"/>
          <w:noProof/>
          <w:sz w:val="24"/>
          <w:szCs w:val="24"/>
          <w:lang w:val="sq-AL"/>
        </w:rPr>
        <w:t>n</w:t>
      </w:r>
      <w:r w:rsidR="00DC648E" w:rsidRPr="007C5DFA">
        <w:rPr>
          <w:rFonts w:ascii="Times New Roman" w:eastAsia="Calibri" w:hAnsi="Times New Roman" w:cs="Times New Roman"/>
          <w:noProof/>
          <w:sz w:val="24"/>
          <w:szCs w:val="24"/>
          <w:lang w:val="sq-AL"/>
        </w:rPr>
        <w:t>ë</w:t>
      </w:r>
      <w:r w:rsidR="00332EB1" w:rsidRPr="007C5DFA">
        <w:rPr>
          <w:rFonts w:ascii="Times New Roman" w:eastAsia="Calibri" w:hAnsi="Times New Roman" w:cs="Times New Roman"/>
          <w:noProof/>
          <w:sz w:val="24"/>
          <w:szCs w:val="24"/>
          <w:lang w:val="sq-AL"/>
        </w:rPr>
        <w:t xml:space="preserve"> linj</w:t>
      </w:r>
      <w:r w:rsidR="00DC648E" w:rsidRPr="007C5DFA">
        <w:rPr>
          <w:rFonts w:ascii="Times New Roman" w:eastAsia="Calibri" w:hAnsi="Times New Roman" w:cs="Times New Roman"/>
          <w:noProof/>
          <w:sz w:val="24"/>
          <w:szCs w:val="24"/>
          <w:lang w:val="sq-AL"/>
        </w:rPr>
        <w:t>ë</w:t>
      </w:r>
      <w:r w:rsidR="00332EB1" w:rsidRPr="007C5DFA">
        <w:rPr>
          <w:rFonts w:ascii="Times New Roman" w:eastAsia="Calibri" w:hAnsi="Times New Roman" w:cs="Times New Roman"/>
          <w:noProof/>
          <w:sz w:val="24"/>
          <w:szCs w:val="24"/>
          <w:lang w:val="sq-AL"/>
        </w:rPr>
        <w:t xml:space="preserve"> me objektivat p</w:t>
      </w:r>
      <w:r w:rsidR="00DC648E" w:rsidRPr="007C5DFA">
        <w:rPr>
          <w:rFonts w:ascii="Times New Roman" w:eastAsia="Calibri" w:hAnsi="Times New Roman" w:cs="Times New Roman"/>
          <w:noProof/>
          <w:sz w:val="24"/>
          <w:szCs w:val="24"/>
          <w:lang w:val="sq-AL"/>
        </w:rPr>
        <w:t>ë</w:t>
      </w:r>
      <w:r w:rsidR="00332EB1" w:rsidRPr="007C5DFA">
        <w:rPr>
          <w:rFonts w:ascii="Times New Roman" w:eastAsia="Calibri" w:hAnsi="Times New Roman" w:cs="Times New Roman"/>
          <w:noProof/>
          <w:sz w:val="24"/>
          <w:szCs w:val="24"/>
          <w:lang w:val="sq-AL"/>
        </w:rPr>
        <w:t>r reduktimin e riskut t</w:t>
      </w:r>
      <w:r w:rsidR="00DC648E" w:rsidRPr="007C5DFA">
        <w:rPr>
          <w:rFonts w:ascii="Times New Roman" w:eastAsia="Calibri" w:hAnsi="Times New Roman" w:cs="Times New Roman"/>
          <w:noProof/>
          <w:sz w:val="24"/>
          <w:szCs w:val="24"/>
          <w:lang w:val="sq-AL"/>
        </w:rPr>
        <w:t>ë</w:t>
      </w:r>
      <w:r w:rsidR="00332EB1" w:rsidRPr="007C5DFA">
        <w:rPr>
          <w:rFonts w:ascii="Times New Roman" w:eastAsia="Calibri" w:hAnsi="Times New Roman" w:cs="Times New Roman"/>
          <w:noProof/>
          <w:sz w:val="24"/>
          <w:szCs w:val="24"/>
          <w:lang w:val="sq-AL"/>
        </w:rPr>
        <w:t xml:space="preserve"> rifinancimit.</w:t>
      </w:r>
    </w:p>
    <w:p w14:paraId="71DF5C04" w14:textId="77777777" w:rsidR="00BD6DE9" w:rsidRPr="00DA293A" w:rsidRDefault="00BD6DE9" w:rsidP="00BD6DE9">
      <w:pPr>
        <w:spacing w:after="0" w:line="276" w:lineRule="auto"/>
        <w:ind w:left="284" w:right="237"/>
        <w:contextualSpacing/>
        <w:jc w:val="center"/>
        <w:rPr>
          <w:rFonts w:ascii="Times New Roman" w:eastAsia="Calibri" w:hAnsi="Times New Roman" w:cs="Times New Roman"/>
          <w:noProof/>
          <w:sz w:val="16"/>
          <w:szCs w:val="24"/>
          <w:lang w:val="sq-AL"/>
        </w:rPr>
      </w:pPr>
    </w:p>
    <w:p w14:paraId="71DF5C05" w14:textId="77777777" w:rsidR="00AC43FE" w:rsidRPr="00DA293A" w:rsidRDefault="00BD6DE9" w:rsidP="00FE7A67">
      <w:pPr>
        <w:tabs>
          <w:tab w:val="left" w:pos="0"/>
        </w:tabs>
        <w:spacing w:after="0"/>
        <w:ind w:left="-1418" w:right="96" w:firstLine="1560"/>
        <w:jc w:val="center"/>
        <w:rPr>
          <w:rFonts w:ascii="Cambria" w:eastAsia="MS Mincho" w:hAnsi="Cambria"/>
          <w:i/>
          <w:noProof/>
          <w:color w:val="8E0000"/>
          <w:sz w:val="20"/>
          <w:szCs w:val="20"/>
          <w:lang w:val="sq-AL"/>
        </w:rPr>
      </w:pPr>
      <w:r w:rsidRPr="00DA293A">
        <w:rPr>
          <w:rFonts w:ascii="Cambria" w:eastAsia="MS Mincho" w:hAnsi="Cambria"/>
          <w:b/>
          <w:noProof/>
          <w:color w:val="8E0000"/>
          <w:sz w:val="20"/>
          <w:szCs w:val="20"/>
          <w:lang w:val="sq-AL"/>
        </w:rPr>
        <w:t xml:space="preserve">Paraqitje Grafike 2.1 (b): </w:t>
      </w:r>
      <w:r w:rsidRPr="00DA293A">
        <w:rPr>
          <w:rFonts w:ascii="Cambria" w:eastAsia="MS Mincho" w:hAnsi="Cambria"/>
          <w:i/>
          <w:noProof/>
          <w:color w:val="8E0000"/>
          <w:sz w:val="20"/>
          <w:szCs w:val="20"/>
          <w:lang w:val="sq-AL"/>
        </w:rPr>
        <w:t xml:space="preserve">Huamarrja e brendshme neto sipas </w:t>
      </w:r>
      <w:r w:rsidR="003E4E64" w:rsidRPr="00DA293A">
        <w:rPr>
          <w:rFonts w:ascii="Cambria" w:eastAsia="MS Mincho" w:hAnsi="Cambria"/>
          <w:i/>
          <w:noProof/>
          <w:color w:val="8E0000"/>
          <w:sz w:val="20"/>
          <w:szCs w:val="20"/>
          <w:lang w:val="sq-AL"/>
        </w:rPr>
        <w:t>jet</w:t>
      </w:r>
      <w:r w:rsidR="00DC648E" w:rsidRPr="00DA293A">
        <w:rPr>
          <w:rFonts w:ascii="Cambria" w:eastAsia="MS Mincho" w:hAnsi="Cambria"/>
          <w:i/>
          <w:noProof/>
          <w:color w:val="8E0000"/>
          <w:sz w:val="20"/>
          <w:szCs w:val="20"/>
          <w:lang w:val="sq-AL"/>
        </w:rPr>
        <w:t>ë</w:t>
      </w:r>
      <w:r w:rsidR="003E4E64" w:rsidRPr="00DA293A">
        <w:rPr>
          <w:rFonts w:ascii="Cambria" w:eastAsia="MS Mincho" w:hAnsi="Cambria"/>
          <w:i/>
          <w:noProof/>
          <w:color w:val="8E0000"/>
          <w:sz w:val="20"/>
          <w:szCs w:val="20"/>
          <w:lang w:val="sq-AL"/>
        </w:rPr>
        <w:t>gjat</w:t>
      </w:r>
      <w:r w:rsidR="00DC648E" w:rsidRPr="00DA293A">
        <w:rPr>
          <w:rFonts w:ascii="Cambria" w:eastAsia="MS Mincho" w:hAnsi="Cambria"/>
          <w:i/>
          <w:noProof/>
          <w:color w:val="8E0000"/>
          <w:sz w:val="20"/>
          <w:szCs w:val="20"/>
          <w:lang w:val="sq-AL"/>
        </w:rPr>
        <w:t>ë</w:t>
      </w:r>
      <w:r w:rsidR="003E4E64" w:rsidRPr="00DA293A">
        <w:rPr>
          <w:rFonts w:ascii="Cambria" w:eastAsia="MS Mincho" w:hAnsi="Cambria"/>
          <w:i/>
          <w:noProof/>
          <w:color w:val="8E0000"/>
          <w:sz w:val="20"/>
          <w:szCs w:val="20"/>
          <w:lang w:val="sq-AL"/>
        </w:rPr>
        <w:t>sis</w:t>
      </w:r>
      <w:r w:rsidR="00DC648E" w:rsidRPr="00DA293A">
        <w:rPr>
          <w:rFonts w:ascii="Cambria" w:eastAsia="MS Mincho" w:hAnsi="Cambria"/>
          <w:i/>
          <w:noProof/>
          <w:color w:val="8E0000"/>
          <w:sz w:val="20"/>
          <w:szCs w:val="20"/>
          <w:lang w:val="sq-AL"/>
        </w:rPr>
        <w:t>ë</w:t>
      </w:r>
      <w:r w:rsidR="003E4E64" w:rsidRPr="00DA293A">
        <w:rPr>
          <w:rFonts w:ascii="Cambria" w:eastAsia="MS Mincho" w:hAnsi="Cambria"/>
          <w:i/>
          <w:noProof/>
          <w:color w:val="8E0000"/>
          <w:sz w:val="20"/>
          <w:szCs w:val="20"/>
          <w:lang w:val="sq-AL"/>
        </w:rPr>
        <w:t xml:space="preserve"> s</w:t>
      </w:r>
      <w:r w:rsidR="00DC648E" w:rsidRPr="00DA293A">
        <w:rPr>
          <w:rFonts w:ascii="Cambria" w:eastAsia="MS Mincho" w:hAnsi="Cambria"/>
          <w:i/>
          <w:noProof/>
          <w:color w:val="8E0000"/>
          <w:sz w:val="20"/>
          <w:szCs w:val="20"/>
          <w:lang w:val="sq-AL"/>
        </w:rPr>
        <w:t>ë</w:t>
      </w:r>
      <w:r w:rsidR="003E4E64" w:rsidRPr="00DA293A">
        <w:rPr>
          <w:rFonts w:ascii="Cambria" w:eastAsia="MS Mincho" w:hAnsi="Cambria"/>
          <w:i/>
          <w:noProof/>
          <w:color w:val="8E0000"/>
          <w:sz w:val="20"/>
          <w:szCs w:val="20"/>
          <w:lang w:val="sq-AL"/>
        </w:rPr>
        <w:t xml:space="preserve"> </w:t>
      </w:r>
      <w:r w:rsidRPr="00DA293A">
        <w:rPr>
          <w:rFonts w:ascii="Cambria" w:eastAsia="MS Mincho" w:hAnsi="Cambria"/>
          <w:i/>
          <w:noProof/>
          <w:color w:val="8E0000"/>
          <w:sz w:val="20"/>
          <w:szCs w:val="20"/>
          <w:lang w:val="sq-AL"/>
        </w:rPr>
        <w:t>titujve</w:t>
      </w:r>
      <w:r w:rsidR="00AC43FE" w:rsidRPr="00DA293A">
        <w:rPr>
          <w:rFonts w:ascii="Cambria" w:eastAsia="MS Mincho" w:hAnsi="Cambria"/>
          <w:i/>
          <w:noProof/>
          <w:color w:val="8E0000"/>
          <w:sz w:val="20"/>
          <w:szCs w:val="20"/>
          <w:lang w:val="sq-AL"/>
        </w:rPr>
        <w:t xml:space="preserve"> (2015</w:t>
      </w:r>
      <w:r w:rsidR="00E64285" w:rsidRPr="00DA293A">
        <w:rPr>
          <w:rFonts w:ascii="Cambria" w:eastAsia="MS Mincho" w:hAnsi="Cambria"/>
          <w:i/>
          <w:noProof/>
          <w:color w:val="8E0000"/>
          <w:sz w:val="20"/>
          <w:szCs w:val="20"/>
          <w:lang w:val="sq-AL"/>
        </w:rPr>
        <w:t>-2019</w:t>
      </w:r>
      <w:r w:rsidR="00F00254" w:rsidRPr="00DA293A">
        <w:rPr>
          <w:rFonts w:ascii="Cambria" w:eastAsia="MS Mincho" w:hAnsi="Cambria"/>
          <w:i/>
          <w:noProof/>
          <w:color w:val="8E0000"/>
          <w:sz w:val="20"/>
          <w:szCs w:val="20"/>
          <w:lang w:val="sq-AL"/>
        </w:rPr>
        <w:t>)</w:t>
      </w:r>
    </w:p>
    <w:p w14:paraId="71DF5C06" w14:textId="77777777" w:rsidR="001F27E7" w:rsidRPr="00DA293A" w:rsidRDefault="00FA4D79" w:rsidP="005C71DC">
      <w:pPr>
        <w:spacing w:after="0" w:line="276" w:lineRule="auto"/>
        <w:rPr>
          <w:rFonts w:ascii="Cambria" w:eastAsia="Calibri" w:hAnsi="Cambria" w:cs="Times New Roman"/>
          <w:b/>
          <w:noProof/>
          <w:color w:val="8E0000"/>
          <w:sz w:val="20"/>
          <w:szCs w:val="20"/>
          <w:lang w:val="sq-AL"/>
        </w:rPr>
      </w:pPr>
      <w:r w:rsidRPr="00DA293A">
        <w:rPr>
          <w:rFonts w:ascii="Cambria" w:eastAsia="Calibri" w:hAnsi="Cambria" w:cs="Times New Roman"/>
          <w:b/>
          <w:noProof/>
          <w:color w:val="8E0000"/>
          <w:sz w:val="20"/>
          <w:szCs w:val="20"/>
        </w:rPr>
        <w:drawing>
          <wp:inline distT="0" distB="0" distL="0" distR="0" wp14:anchorId="71DF5F67" wp14:editId="71DF5F68">
            <wp:extent cx="5543550" cy="1920240"/>
            <wp:effectExtent l="19050" t="19050" r="19050" b="228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550" cy="1920240"/>
                    </a:xfrm>
                    <a:prstGeom prst="rect">
                      <a:avLst/>
                    </a:prstGeom>
                    <a:noFill/>
                    <a:ln>
                      <a:solidFill>
                        <a:schemeClr val="bg1">
                          <a:lumMod val="75000"/>
                        </a:schemeClr>
                      </a:solidFill>
                    </a:ln>
                  </pic:spPr>
                </pic:pic>
              </a:graphicData>
            </a:graphic>
          </wp:inline>
        </w:drawing>
      </w:r>
    </w:p>
    <w:p w14:paraId="71DF5C07" w14:textId="77777777" w:rsidR="00BD6DE9" w:rsidRPr="00FA4D79" w:rsidRDefault="00BD6DE9" w:rsidP="00DA293A">
      <w:pPr>
        <w:spacing w:after="0" w:line="276" w:lineRule="auto"/>
        <w:jc w:val="center"/>
        <w:rPr>
          <w:rFonts w:ascii="Cambria" w:eastAsia="Calibri" w:hAnsi="Cambria" w:cs="Times New Roman"/>
          <w:i/>
          <w:noProof/>
          <w:color w:val="8E0000"/>
          <w:sz w:val="20"/>
          <w:szCs w:val="20"/>
          <w:lang w:val="sq-AL"/>
        </w:rPr>
      </w:pPr>
      <w:r w:rsidRPr="00DA293A">
        <w:rPr>
          <w:rFonts w:ascii="Cambria" w:eastAsia="Calibri" w:hAnsi="Cambria" w:cs="Times New Roman"/>
          <w:b/>
          <w:noProof/>
          <w:color w:val="8E0000"/>
          <w:sz w:val="20"/>
          <w:szCs w:val="20"/>
          <w:lang w:val="sq-AL"/>
        </w:rPr>
        <w:t xml:space="preserve">Burimi: </w:t>
      </w:r>
      <w:r w:rsidRPr="00DA293A">
        <w:rPr>
          <w:rFonts w:ascii="Cambria" w:eastAsia="Calibri" w:hAnsi="Cambria" w:cs="Times New Roman"/>
          <w:i/>
          <w:noProof/>
          <w:color w:val="8E0000"/>
          <w:sz w:val="20"/>
          <w:szCs w:val="20"/>
          <w:lang w:val="sq-AL"/>
        </w:rPr>
        <w:t>Ministria e Financave dhe Ekonomisë (201</w:t>
      </w:r>
      <w:r w:rsidR="00DA293A" w:rsidRPr="00DA293A">
        <w:rPr>
          <w:rFonts w:ascii="Cambria" w:eastAsia="Calibri" w:hAnsi="Cambria" w:cs="Times New Roman"/>
          <w:i/>
          <w:noProof/>
          <w:color w:val="8E0000"/>
          <w:sz w:val="20"/>
          <w:szCs w:val="20"/>
          <w:lang w:val="sq-AL"/>
        </w:rPr>
        <w:t>9</w:t>
      </w:r>
      <w:r w:rsidRPr="00DA293A">
        <w:rPr>
          <w:rFonts w:ascii="Cambria" w:eastAsia="Calibri" w:hAnsi="Cambria" w:cs="Times New Roman"/>
          <w:i/>
          <w:noProof/>
          <w:color w:val="8E0000"/>
          <w:sz w:val="20"/>
          <w:szCs w:val="20"/>
          <w:lang w:val="sq-AL"/>
        </w:rPr>
        <w:t>)</w:t>
      </w:r>
    </w:p>
    <w:p w14:paraId="71DF5C08" w14:textId="77777777" w:rsidR="00594635" w:rsidRPr="009B7335" w:rsidRDefault="00594635" w:rsidP="00594635">
      <w:pPr>
        <w:spacing w:after="0" w:line="276" w:lineRule="auto"/>
        <w:ind w:right="237"/>
        <w:contextualSpacing/>
        <w:jc w:val="both"/>
        <w:rPr>
          <w:rFonts w:ascii="Times New Roman" w:eastAsia="Calibri" w:hAnsi="Times New Roman" w:cs="Times New Roman"/>
          <w:noProof/>
          <w:sz w:val="16"/>
          <w:szCs w:val="24"/>
          <w:highlight w:val="yellow"/>
          <w:lang w:val="sq-AL"/>
        </w:rPr>
      </w:pPr>
    </w:p>
    <w:p w14:paraId="71DF5C09" w14:textId="77777777" w:rsidR="00E972F1" w:rsidRPr="00DA293A" w:rsidRDefault="009016C5" w:rsidP="00594635">
      <w:pPr>
        <w:spacing w:after="0" w:line="276" w:lineRule="auto"/>
        <w:ind w:right="237"/>
        <w:contextualSpacing/>
        <w:jc w:val="both"/>
        <w:rPr>
          <w:rFonts w:ascii="Times New Roman" w:eastAsia="Calibri" w:hAnsi="Times New Roman" w:cs="Times New Roman"/>
          <w:noProof/>
          <w:sz w:val="24"/>
          <w:szCs w:val="24"/>
          <w:lang w:val="sq-AL"/>
        </w:rPr>
      </w:pPr>
      <w:r w:rsidRPr="00DA293A">
        <w:rPr>
          <w:rFonts w:ascii="Times New Roman" w:eastAsia="Calibri" w:hAnsi="Times New Roman" w:cs="Times New Roman"/>
          <w:noProof/>
          <w:sz w:val="24"/>
          <w:szCs w:val="24"/>
          <w:lang w:val="sq-AL"/>
        </w:rPr>
        <w:t>Nd</w:t>
      </w:r>
      <w:r w:rsidR="00DC648E" w:rsidRPr="00DA293A">
        <w:rPr>
          <w:rFonts w:ascii="Times New Roman" w:eastAsia="Calibri" w:hAnsi="Times New Roman" w:cs="Times New Roman"/>
          <w:noProof/>
          <w:sz w:val="24"/>
          <w:szCs w:val="24"/>
          <w:lang w:val="sq-AL"/>
        </w:rPr>
        <w:t>ë</w:t>
      </w:r>
      <w:r w:rsidRPr="00DA293A">
        <w:rPr>
          <w:rFonts w:ascii="Times New Roman" w:eastAsia="Calibri" w:hAnsi="Times New Roman" w:cs="Times New Roman"/>
          <w:noProof/>
          <w:sz w:val="24"/>
          <w:szCs w:val="24"/>
          <w:lang w:val="sq-AL"/>
        </w:rPr>
        <w:t>rkoh</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w:t>
      </w:r>
      <w:r w:rsidRPr="00DA293A">
        <w:rPr>
          <w:rFonts w:ascii="Times New Roman" w:eastAsia="Calibri" w:hAnsi="Times New Roman" w:cs="Times New Roman"/>
          <w:noProof/>
          <w:sz w:val="24"/>
          <w:szCs w:val="24"/>
          <w:lang w:val="sq-AL"/>
        </w:rPr>
        <w:t xml:space="preserve"> n</w:t>
      </w:r>
      <w:r w:rsidR="00DC648E" w:rsidRPr="00DA293A">
        <w:rPr>
          <w:rFonts w:ascii="Times New Roman" w:eastAsia="Calibri" w:hAnsi="Times New Roman" w:cs="Times New Roman"/>
          <w:noProof/>
          <w:sz w:val="24"/>
          <w:szCs w:val="24"/>
          <w:lang w:val="sq-AL"/>
        </w:rPr>
        <w:t>ë</w:t>
      </w:r>
      <w:r w:rsidRPr="00DA293A">
        <w:rPr>
          <w:rFonts w:ascii="Times New Roman" w:eastAsia="Calibri" w:hAnsi="Times New Roman" w:cs="Times New Roman"/>
          <w:noProof/>
          <w:sz w:val="24"/>
          <w:szCs w:val="24"/>
          <w:lang w:val="sq-AL"/>
        </w:rPr>
        <w:t xml:space="preserve"> linj</w:t>
      </w:r>
      <w:r w:rsidR="00DC648E" w:rsidRPr="00DA293A">
        <w:rPr>
          <w:rFonts w:ascii="Times New Roman" w:eastAsia="Calibri" w:hAnsi="Times New Roman" w:cs="Times New Roman"/>
          <w:noProof/>
          <w:sz w:val="24"/>
          <w:szCs w:val="24"/>
          <w:lang w:val="sq-AL"/>
        </w:rPr>
        <w:t>ë</w:t>
      </w:r>
      <w:r w:rsidRPr="00DA293A">
        <w:rPr>
          <w:rFonts w:ascii="Times New Roman" w:eastAsia="Calibri" w:hAnsi="Times New Roman" w:cs="Times New Roman"/>
          <w:noProof/>
          <w:sz w:val="24"/>
          <w:szCs w:val="24"/>
          <w:lang w:val="sq-AL"/>
        </w:rPr>
        <w:t xml:space="preserve"> me objektivat p</w:t>
      </w:r>
      <w:r w:rsidR="00DC648E" w:rsidRPr="00DA293A">
        <w:rPr>
          <w:rFonts w:ascii="Times New Roman" w:eastAsia="Calibri" w:hAnsi="Times New Roman" w:cs="Times New Roman"/>
          <w:noProof/>
          <w:sz w:val="24"/>
          <w:szCs w:val="24"/>
          <w:lang w:val="sq-AL"/>
        </w:rPr>
        <w:t>ë</w:t>
      </w:r>
      <w:r w:rsidRPr="00DA293A">
        <w:rPr>
          <w:rFonts w:ascii="Times New Roman" w:eastAsia="Calibri" w:hAnsi="Times New Roman" w:cs="Times New Roman"/>
          <w:noProof/>
          <w:sz w:val="24"/>
          <w:szCs w:val="24"/>
          <w:lang w:val="sq-AL"/>
        </w:rPr>
        <w:t>r reduktimin e riskut t</w:t>
      </w:r>
      <w:r w:rsidR="00DC648E" w:rsidRPr="00DA293A">
        <w:rPr>
          <w:rFonts w:ascii="Times New Roman" w:eastAsia="Calibri" w:hAnsi="Times New Roman" w:cs="Times New Roman"/>
          <w:noProof/>
          <w:sz w:val="24"/>
          <w:szCs w:val="24"/>
          <w:lang w:val="sq-AL"/>
        </w:rPr>
        <w:t>ë</w:t>
      </w:r>
      <w:r w:rsidRPr="00DA293A">
        <w:rPr>
          <w:rFonts w:ascii="Times New Roman" w:eastAsia="Calibri" w:hAnsi="Times New Roman" w:cs="Times New Roman"/>
          <w:noProof/>
          <w:sz w:val="24"/>
          <w:szCs w:val="24"/>
          <w:lang w:val="sq-AL"/>
        </w:rPr>
        <w:t xml:space="preserve"> normave t</w:t>
      </w:r>
      <w:r w:rsidR="00DC648E" w:rsidRPr="00DA293A">
        <w:rPr>
          <w:rFonts w:ascii="Times New Roman" w:eastAsia="Calibri" w:hAnsi="Times New Roman" w:cs="Times New Roman"/>
          <w:noProof/>
          <w:sz w:val="24"/>
          <w:szCs w:val="24"/>
          <w:lang w:val="sq-AL"/>
        </w:rPr>
        <w:t>ë</w:t>
      </w:r>
      <w:r w:rsidRPr="00DA293A">
        <w:rPr>
          <w:rFonts w:ascii="Times New Roman" w:eastAsia="Calibri" w:hAnsi="Times New Roman" w:cs="Times New Roman"/>
          <w:noProof/>
          <w:sz w:val="24"/>
          <w:szCs w:val="24"/>
          <w:lang w:val="sq-AL"/>
        </w:rPr>
        <w:t xml:space="preserve"> interesit</w:t>
      </w:r>
      <w:r w:rsidR="00927DCC" w:rsidRPr="00DA293A">
        <w:rPr>
          <w:rFonts w:ascii="Times New Roman" w:eastAsia="Calibri" w:hAnsi="Times New Roman" w:cs="Times New Roman"/>
          <w:noProof/>
          <w:sz w:val="24"/>
          <w:szCs w:val="24"/>
          <w:lang w:val="sq-AL"/>
        </w:rPr>
        <w:t>, si edhe duke shfryt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zuar prirjet r</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n</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se 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 xml:space="preserve"> normave 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 xml:space="preserve"> interesit gjat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 xml:space="preserve"> viteve 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 xml:space="preserve"> fundit, huamarrja n</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p</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rmjet titujve afatgjat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 xml:space="preserve"> me norma interesi 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 xml:space="preserve"> ndryshueshme u reduktua gradualisht deri n</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 xml:space="preserve"> t</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rheqjen e p</w:t>
      </w:r>
      <w:r w:rsidR="00DC648E" w:rsidRPr="00DA293A">
        <w:rPr>
          <w:rFonts w:ascii="Times New Roman" w:eastAsia="Calibri" w:hAnsi="Times New Roman" w:cs="Times New Roman"/>
          <w:noProof/>
          <w:sz w:val="24"/>
          <w:szCs w:val="24"/>
          <w:lang w:val="sq-AL"/>
        </w:rPr>
        <w:t>ë</w:t>
      </w:r>
      <w:r w:rsidR="00927DCC" w:rsidRPr="00DA293A">
        <w:rPr>
          <w:rFonts w:ascii="Times New Roman" w:eastAsia="Calibri" w:hAnsi="Times New Roman" w:cs="Times New Roman"/>
          <w:noProof/>
          <w:sz w:val="24"/>
          <w:szCs w:val="24"/>
          <w:lang w:val="sq-AL"/>
        </w:rPr>
        <w:t>rkohshme</w:t>
      </w:r>
      <w:r w:rsidR="00C82FAF" w:rsidRPr="00DA293A">
        <w:rPr>
          <w:rFonts w:ascii="Times New Roman" w:eastAsia="Calibri" w:hAnsi="Times New Roman" w:cs="Times New Roman"/>
          <w:noProof/>
          <w:sz w:val="24"/>
          <w:szCs w:val="24"/>
          <w:lang w:val="sq-AL"/>
        </w:rPr>
        <w:t xml:space="preserve"> t</w:t>
      </w:r>
      <w:r w:rsidR="00DC648E" w:rsidRPr="00DA293A">
        <w:rPr>
          <w:rFonts w:ascii="Times New Roman" w:eastAsia="Calibri" w:hAnsi="Times New Roman" w:cs="Times New Roman"/>
          <w:noProof/>
          <w:sz w:val="24"/>
          <w:szCs w:val="24"/>
          <w:lang w:val="sq-AL"/>
        </w:rPr>
        <w:t>ë</w:t>
      </w:r>
      <w:r w:rsidR="00C82FAF" w:rsidRPr="00DA293A">
        <w:rPr>
          <w:rFonts w:ascii="Times New Roman" w:eastAsia="Calibri" w:hAnsi="Times New Roman" w:cs="Times New Roman"/>
          <w:noProof/>
          <w:sz w:val="24"/>
          <w:szCs w:val="24"/>
          <w:lang w:val="sq-AL"/>
        </w:rPr>
        <w:t xml:space="preserve"> k</w:t>
      </w:r>
      <w:r w:rsidR="00DC648E" w:rsidRPr="00DA293A">
        <w:rPr>
          <w:rFonts w:ascii="Times New Roman" w:eastAsia="Calibri" w:hAnsi="Times New Roman" w:cs="Times New Roman"/>
          <w:noProof/>
          <w:sz w:val="24"/>
          <w:szCs w:val="24"/>
          <w:lang w:val="sq-AL"/>
        </w:rPr>
        <w:t>ë</w:t>
      </w:r>
      <w:r w:rsidR="00C82FAF" w:rsidRPr="00DA293A">
        <w:rPr>
          <w:rFonts w:ascii="Times New Roman" w:eastAsia="Calibri" w:hAnsi="Times New Roman" w:cs="Times New Roman"/>
          <w:noProof/>
          <w:sz w:val="24"/>
          <w:szCs w:val="24"/>
          <w:lang w:val="sq-AL"/>
        </w:rPr>
        <w:t>tyre titujve</w:t>
      </w:r>
      <w:r w:rsidR="00927DCC" w:rsidRPr="00DA293A">
        <w:rPr>
          <w:rFonts w:ascii="Times New Roman" w:eastAsia="Calibri" w:hAnsi="Times New Roman" w:cs="Times New Roman"/>
          <w:noProof/>
          <w:sz w:val="24"/>
          <w:szCs w:val="24"/>
          <w:lang w:val="sq-AL"/>
        </w:rPr>
        <w:t xml:space="preserve"> nga tregu.  </w:t>
      </w:r>
    </w:p>
    <w:p w14:paraId="71DF5C0A" w14:textId="77777777" w:rsidR="00E5616E" w:rsidRPr="00DA293A" w:rsidRDefault="00E5616E" w:rsidP="00E5616E">
      <w:pPr>
        <w:tabs>
          <w:tab w:val="left" w:pos="0"/>
        </w:tabs>
        <w:spacing w:after="0"/>
        <w:ind w:right="96"/>
        <w:rPr>
          <w:rFonts w:ascii="Times New Roman" w:eastAsia="Calibri" w:hAnsi="Times New Roman" w:cs="Times New Roman"/>
          <w:noProof/>
          <w:sz w:val="16"/>
          <w:szCs w:val="24"/>
          <w:lang w:val="sq-AL"/>
        </w:rPr>
      </w:pPr>
    </w:p>
    <w:p w14:paraId="71DF5C0B" w14:textId="77777777" w:rsidR="00AC43FE" w:rsidRPr="00DA293A" w:rsidRDefault="00E5616E" w:rsidP="00DA293A">
      <w:pPr>
        <w:spacing w:after="0"/>
        <w:ind w:left="2694" w:right="238" w:hanging="2694"/>
        <w:rPr>
          <w:rFonts w:ascii="Cambria" w:eastAsia="MS Mincho" w:hAnsi="Cambria"/>
          <w:i/>
          <w:noProof/>
          <w:color w:val="8E0000"/>
          <w:sz w:val="20"/>
          <w:szCs w:val="20"/>
          <w:lang w:val="sq-AL"/>
        </w:rPr>
      </w:pPr>
      <w:r w:rsidRPr="00DA293A">
        <w:rPr>
          <w:rFonts w:ascii="Cambria" w:eastAsia="MS Mincho" w:hAnsi="Cambria"/>
          <w:b/>
          <w:noProof/>
          <w:color w:val="8E0000"/>
          <w:sz w:val="20"/>
          <w:szCs w:val="20"/>
          <w:lang w:val="sq-AL"/>
        </w:rPr>
        <w:t xml:space="preserve">         </w:t>
      </w:r>
      <w:r w:rsidR="003E4E64" w:rsidRPr="00DA293A">
        <w:rPr>
          <w:rFonts w:ascii="Cambria" w:eastAsia="MS Mincho" w:hAnsi="Cambria"/>
          <w:b/>
          <w:noProof/>
          <w:color w:val="8E0000"/>
          <w:sz w:val="20"/>
          <w:szCs w:val="20"/>
          <w:lang w:val="sq-AL"/>
        </w:rPr>
        <w:t xml:space="preserve">Paraqitje Grafike 2.1 (c): </w:t>
      </w:r>
      <w:r w:rsidR="003E4E64" w:rsidRPr="00DA293A">
        <w:rPr>
          <w:rFonts w:ascii="Cambria" w:eastAsia="MS Mincho" w:hAnsi="Cambria"/>
          <w:i/>
          <w:noProof/>
          <w:color w:val="8E0000"/>
          <w:sz w:val="20"/>
          <w:szCs w:val="20"/>
          <w:lang w:val="sq-AL"/>
        </w:rPr>
        <w:t xml:space="preserve">Huamarrja e brendshme bruto </w:t>
      </w:r>
      <w:r w:rsidR="009A07CC" w:rsidRPr="00DA293A">
        <w:rPr>
          <w:rFonts w:ascii="Cambria" w:eastAsia="MS Mincho" w:hAnsi="Cambria"/>
          <w:i/>
          <w:noProof/>
          <w:color w:val="8E0000"/>
          <w:sz w:val="20"/>
          <w:szCs w:val="20"/>
          <w:lang w:val="sq-AL"/>
        </w:rPr>
        <w:t>sipas</w:t>
      </w:r>
      <w:r w:rsidRPr="00DA293A">
        <w:rPr>
          <w:rFonts w:ascii="Cambria" w:eastAsia="MS Mincho" w:hAnsi="Cambria"/>
          <w:i/>
          <w:noProof/>
          <w:color w:val="8E0000"/>
          <w:sz w:val="20"/>
          <w:szCs w:val="20"/>
          <w:lang w:val="sq-AL"/>
        </w:rPr>
        <w:t xml:space="preserve"> norm</w:t>
      </w:r>
      <w:r w:rsidR="00556CFC" w:rsidRPr="00DA293A">
        <w:rPr>
          <w:rFonts w:ascii="Cambria" w:eastAsia="MS Mincho" w:hAnsi="Cambria"/>
          <w:i/>
          <w:noProof/>
          <w:color w:val="8E0000"/>
          <w:sz w:val="20"/>
          <w:szCs w:val="20"/>
          <w:lang w:val="sq-AL"/>
        </w:rPr>
        <w:t>ë</w:t>
      </w:r>
      <w:r w:rsidRPr="00DA293A">
        <w:rPr>
          <w:rFonts w:ascii="Cambria" w:eastAsia="MS Mincho" w:hAnsi="Cambria"/>
          <w:i/>
          <w:noProof/>
          <w:color w:val="8E0000"/>
          <w:sz w:val="20"/>
          <w:szCs w:val="20"/>
          <w:lang w:val="sq-AL"/>
        </w:rPr>
        <w:t>s s</w:t>
      </w:r>
      <w:r w:rsidR="00556CFC" w:rsidRPr="00DA293A">
        <w:rPr>
          <w:rFonts w:ascii="Cambria" w:eastAsia="MS Mincho" w:hAnsi="Cambria"/>
          <w:i/>
          <w:noProof/>
          <w:color w:val="8E0000"/>
          <w:sz w:val="20"/>
          <w:szCs w:val="20"/>
          <w:lang w:val="sq-AL"/>
        </w:rPr>
        <w:t>ë</w:t>
      </w:r>
      <w:r w:rsidRPr="00DA293A">
        <w:rPr>
          <w:rFonts w:ascii="Cambria" w:eastAsia="MS Mincho" w:hAnsi="Cambria"/>
          <w:i/>
          <w:noProof/>
          <w:color w:val="8E0000"/>
          <w:sz w:val="20"/>
          <w:szCs w:val="20"/>
          <w:lang w:val="sq-AL"/>
        </w:rPr>
        <w:t xml:space="preserve"> interesit t</w:t>
      </w:r>
      <w:r w:rsidR="00556CFC" w:rsidRPr="00DA293A">
        <w:rPr>
          <w:rFonts w:ascii="Cambria" w:eastAsia="MS Mincho" w:hAnsi="Cambria"/>
          <w:i/>
          <w:noProof/>
          <w:color w:val="8E0000"/>
          <w:sz w:val="20"/>
          <w:szCs w:val="20"/>
          <w:lang w:val="sq-AL"/>
        </w:rPr>
        <w:t>ë</w:t>
      </w:r>
      <w:r w:rsidR="009A07CC" w:rsidRPr="00DA293A">
        <w:rPr>
          <w:rFonts w:ascii="Cambria" w:eastAsia="MS Mincho" w:hAnsi="Cambria"/>
          <w:i/>
          <w:noProof/>
          <w:color w:val="8E0000"/>
          <w:sz w:val="20"/>
          <w:szCs w:val="20"/>
          <w:lang w:val="sq-AL"/>
        </w:rPr>
        <w:t xml:space="preserve"> </w:t>
      </w:r>
      <w:r w:rsidRPr="00DA293A">
        <w:rPr>
          <w:rFonts w:ascii="Cambria" w:eastAsia="MS Mincho" w:hAnsi="Cambria"/>
          <w:i/>
          <w:noProof/>
          <w:color w:val="8E0000"/>
          <w:sz w:val="20"/>
          <w:szCs w:val="20"/>
          <w:lang w:val="sq-AL"/>
        </w:rPr>
        <w:t>titujve afatgjat</w:t>
      </w:r>
      <w:r w:rsidR="00556CFC" w:rsidRPr="00DA293A">
        <w:rPr>
          <w:rFonts w:ascii="Cambria" w:eastAsia="MS Mincho" w:hAnsi="Cambria"/>
          <w:i/>
          <w:noProof/>
          <w:color w:val="8E0000"/>
          <w:sz w:val="20"/>
          <w:szCs w:val="20"/>
          <w:lang w:val="sq-AL"/>
        </w:rPr>
        <w:t>ë</w:t>
      </w:r>
      <w:r w:rsidRPr="00DA293A">
        <w:rPr>
          <w:rFonts w:ascii="Cambria" w:eastAsia="MS Mincho" w:hAnsi="Cambria"/>
          <w:i/>
          <w:noProof/>
          <w:color w:val="8E0000"/>
          <w:sz w:val="20"/>
          <w:szCs w:val="20"/>
          <w:lang w:val="sq-AL"/>
        </w:rPr>
        <w:t xml:space="preserve"> </w:t>
      </w:r>
      <w:r w:rsidR="00AC43FE" w:rsidRPr="00DA293A">
        <w:rPr>
          <w:rFonts w:ascii="Cambria" w:eastAsia="MS Mincho" w:hAnsi="Cambria"/>
          <w:i/>
          <w:noProof/>
          <w:color w:val="8E0000"/>
          <w:sz w:val="20"/>
          <w:szCs w:val="20"/>
          <w:lang w:val="sq-AL"/>
        </w:rPr>
        <w:t>(2015</w:t>
      </w:r>
      <w:r w:rsidR="00E64285" w:rsidRPr="00DA293A">
        <w:rPr>
          <w:rFonts w:ascii="Cambria" w:eastAsia="MS Mincho" w:hAnsi="Cambria"/>
          <w:i/>
          <w:noProof/>
          <w:color w:val="8E0000"/>
          <w:sz w:val="20"/>
          <w:szCs w:val="20"/>
          <w:lang w:val="sq-AL"/>
        </w:rPr>
        <w:t>-2019</w:t>
      </w:r>
      <w:r w:rsidR="003E4E64" w:rsidRPr="00DA293A">
        <w:rPr>
          <w:rFonts w:ascii="Cambria" w:eastAsia="MS Mincho" w:hAnsi="Cambria"/>
          <w:i/>
          <w:noProof/>
          <w:color w:val="8E0000"/>
          <w:sz w:val="20"/>
          <w:szCs w:val="20"/>
          <w:lang w:val="sq-AL"/>
        </w:rPr>
        <w:t>)</w:t>
      </w:r>
    </w:p>
    <w:p w14:paraId="71DF5C0C" w14:textId="77777777" w:rsidR="001F27E7" w:rsidRPr="00DA293A" w:rsidRDefault="00DA293A" w:rsidP="00D1443F">
      <w:pPr>
        <w:spacing w:after="0" w:line="276" w:lineRule="auto"/>
        <w:rPr>
          <w:rFonts w:ascii="Cambria" w:eastAsia="Calibri" w:hAnsi="Cambria" w:cs="Times New Roman"/>
          <w:b/>
          <w:noProof/>
          <w:color w:val="8E0000"/>
          <w:sz w:val="20"/>
          <w:szCs w:val="20"/>
          <w:lang w:val="sq-AL"/>
        </w:rPr>
      </w:pPr>
      <w:r w:rsidRPr="00DA293A">
        <w:rPr>
          <w:rFonts w:ascii="Cambria" w:eastAsia="Calibri" w:hAnsi="Cambria" w:cs="Times New Roman"/>
          <w:b/>
          <w:noProof/>
          <w:color w:val="8E0000"/>
          <w:sz w:val="20"/>
          <w:szCs w:val="20"/>
        </w:rPr>
        <w:drawing>
          <wp:inline distT="0" distB="0" distL="0" distR="0" wp14:anchorId="71DF5F69" wp14:editId="71DF5F6A">
            <wp:extent cx="5543550" cy="1895475"/>
            <wp:effectExtent l="19050" t="19050" r="19050" b="285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3550" cy="1895475"/>
                    </a:xfrm>
                    <a:prstGeom prst="rect">
                      <a:avLst/>
                    </a:prstGeom>
                    <a:noFill/>
                    <a:ln>
                      <a:solidFill>
                        <a:schemeClr val="bg1">
                          <a:lumMod val="75000"/>
                        </a:schemeClr>
                      </a:solidFill>
                    </a:ln>
                  </pic:spPr>
                </pic:pic>
              </a:graphicData>
            </a:graphic>
          </wp:inline>
        </w:drawing>
      </w:r>
    </w:p>
    <w:p w14:paraId="71DF5C0D" w14:textId="77777777" w:rsidR="00622AF0" w:rsidRPr="000F5C13" w:rsidRDefault="00622AF0" w:rsidP="00594635">
      <w:pPr>
        <w:spacing w:after="0" w:line="276" w:lineRule="auto"/>
        <w:jc w:val="center"/>
        <w:rPr>
          <w:rFonts w:ascii="Cambria" w:eastAsia="Calibri" w:hAnsi="Cambria" w:cs="Times New Roman"/>
          <w:i/>
          <w:noProof/>
          <w:color w:val="8E0000"/>
          <w:sz w:val="20"/>
          <w:szCs w:val="20"/>
          <w:lang w:val="sq-AL"/>
        </w:rPr>
      </w:pPr>
      <w:r w:rsidRPr="00DA293A">
        <w:rPr>
          <w:rFonts w:ascii="Cambria" w:eastAsia="Calibri" w:hAnsi="Cambria" w:cs="Times New Roman"/>
          <w:b/>
          <w:noProof/>
          <w:color w:val="8E0000"/>
          <w:sz w:val="20"/>
          <w:szCs w:val="20"/>
          <w:lang w:val="sq-AL"/>
        </w:rPr>
        <w:t xml:space="preserve">Burimi: </w:t>
      </w:r>
      <w:r w:rsidRPr="00DA293A">
        <w:rPr>
          <w:rFonts w:ascii="Cambria" w:eastAsia="Calibri" w:hAnsi="Cambria" w:cs="Times New Roman"/>
          <w:i/>
          <w:noProof/>
          <w:color w:val="8E0000"/>
          <w:sz w:val="20"/>
          <w:szCs w:val="20"/>
          <w:lang w:val="sq-AL"/>
        </w:rPr>
        <w:t>Ministria</w:t>
      </w:r>
      <w:r w:rsidR="00AC43FE" w:rsidRPr="00DA293A">
        <w:rPr>
          <w:rFonts w:ascii="Cambria" w:eastAsia="Calibri" w:hAnsi="Cambria" w:cs="Times New Roman"/>
          <w:i/>
          <w:noProof/>
          <w:color w:val="8E0000"/>
          <w:sz w:val="20"/>
          <w:szCs w:val="20"/>
          <w:lang w:val="sq-AL"/>
        </w:rPr>
        <w:t xml:space="preserve"> e Financave dhe Ekonomisë (2019</w:t>
      </w:r>
      <w:r w:rsidRPr="00DA293A">
        <w:rPr>
          <w:rFonts w:ascii="Cambria" w:eastAsia="Calibri" w:hAnsi="Cambria" w:cs="Times New Roman"/>
          <w:i/>
          <w:noProof/>
          <w:color w:val="8E0000"/>
          <w:sz w:val="20"/>
          <w:szCs w:val="20"/>
          <w:lang w:val="sq-AL"/>
        </w:rPr>
        <w:t>)</w:t>
      </w:r>
    </w:p>
    <w:p w14:paraId="71DF5C0E" w14:textId="77777777" w:rsidR="00594635" w:rsidRPr="000F5C13" w:rsidRDefault="00594635" w:rsidP="00856F6A">
      <w:pPr>
        <w:tabs>
          <w:tab w:val="left" w:pos="270"/>
        </w:tabs>
        <w:spacing w:after="0" w:line="240" w:lineRule="auto"/>
        <w:ind w:right="295"/>
        <w:contextualSpacing/>
        <w:jc w:val="both"/>
        <w:rPr>
          <w:rFonts w:ascii="Times New Roman" w:eastAsia="Calibri" w:hAnsi="Times New Roman" w:cs="Times New Roman"/>
          <w:noProof/>
          <w:sz w:val="20"/>
          <w:szCs w:val="16"/>
          <w:lang w:val="sq-AL"/>
        </w:rPr>
      </w:pPr>
    </w:p>
    <w:p w14:paraId="71DF5C0F" w14:textId="77777777" w:rsidR="000D239F" w:rsidRPr="000F5C13" w:rsidRDefault="009B24CE" w:rsidP="004A70BC">
      <w:pPr>
        <w:pStyle w:val="Heading2"/>
        <w:numPr>
          <w:ilvl w:val="1"/>
          <w:numId w:val="8"/>
        </w:numPr>
        <w:spacing w:before="0" w:line="240" w:lineRule="auto"/>
        <w:ind w:left="709" w:hanging="709"/>
        <w:rPr>
          <w:noProof/>
          <w:lang w:val="sq-AL"/>
        </w:rPr>
      </w:pPr>
      <w:bookmarkStart w:id="12" w:name="_Toc491860985"/>
      <w:bookmarkStart w:id="13" w:name="_Toc491954298"/>
      <w:bookmarkStart w:id="14" w:name="_Toc524506531"/>
      <w:r w:rsidRPr="000F5C13">
        <w:rPr>
          <w:noProof/>
          <w:lang w:val="sq-AL"/>
        </w:rPr>
        <w:t>Huamarrja e Huaj</w:t>
      </w:r>
      <w:bookmarkEnd w:id="12"/>
      <w:bookmarkEnd w:id="13"/>
      <w:bookmarkEnd w:id="14"/>
    </w:p>
    <w:p w14:paraId="71DF5C10" w14:textId="77777777" w:rsidR="00594635" w:rsidRDefault="00594635" w:rsidP="00856F6A">
      <w:pPr>
        <w:spacing w:after="0" w:line="276" w:lineRule="auto"/>
        <w:ind w:left="272" w:right="272"/>
        <w:jc w:val="both"/>
        <w:rPr>
          <w:sz w:val="20"/>
          <w:lang w:val="sq-AL"/>
        </w:rPr>
      </w:pPr>
    </w:p>
    <w:p w14:paraId="71DF5C11" w14:textId="77777777" w:rsidR="00BF3BA0" w:rsidRDefault="00097511" w:rsidP="004D47F2">
      <w:pPr>
        <w:spacing w:after="0" w:line="276" w:lineRule="auto"/>
        <w:ind w:right="272"/>
        <w:jc w:val="both"/>
        <w:rPr>
          <w:rFonts w:ascii="Times New Roman" w:eastAsia="Batang" w:hAnsi="Times New Roman" w:cs="Times New Roman"/>
          <w:noProof/>
          <w:sz w:val="24"/>
          <w:szCs w:val="24"/>
          <w:lang w:val="sq-AL"/>
        </w:rPr>
      </w:pPr>
      <w:r w:rsidRPr="0070449B">
        <w:rPr>
          <w:rFonts w:ascii="Times New Roman" w:eastAsia="Calibri" w:hAnsi="Times New Roman" w:cs="Times New Roman"/>
          <w:noProof/>
          <w:sz w:val="24"/>
          <w:szCs w:val="24"/>
          <w:lang w:val="sq-AL"/>
        </w:rPr>
        <w:t xml:space="preserve">Gjatë </w:t>
      </w:r>
      <w:r w:rsidR="004304E8" w:rsidRPr="0070449B">
        <w:rPr>
          <w:rFonts w:ascii="Times New Roman" w:eastAsia="Calibri" w:hAnsi="Times New Roman" w:cs="Times New Roman"/>
          <w:noProof/>
          <w:sz w:val="24"/>
          <w:szCs w:val="24"/>
          <w:lang w:val="sq-AL"/>
        </w:rPr>
        <w:t>pes</w:t>
      </w:r>
      <w:r w:rsidR="00D83D44" w:rsidRPr="0070449B">
        <w:rPr>
          <w:rFonts w:ascii="Times New Roman" w:eastAsia="Calibri" w:hAnsi="Times New Roman" w:cs="Times New Roman"/>
          <w:noProof/>
          <w:sz w:val="24"/>
          <w:szCs w:val="24"/>
          <w:lang w:val="sq-AL"/>
        </w:rPr>
        <w:t>ë</w:t>
      </w:r>
      <w:r w:rsidR="004304E8" w:rsidRPr="0070449B">
        <w:rPr>
          <w:rFonts w:ascii="Times New Roman" w:eastAsia="Calibri" w:hAnsi="Times New Roman" w:cs="Times New Roman"/>
          <w:noProof/>
          <w:sz w:val="24"/>
          <w:szCs w:val="24"/>
          <w:lang w:val="sq-AL"/>
        </w:rPr>
        <w:t xml:space="preserve"> viteve t</w:t>
      </w:r>
      <w:r w:rsidR="00D83D44" w:rsidRPr="0070449B">
        <w:rPr>
          <w:rFonts w:ascii="Times New Roman" w:eastAsia="Calibri" w:hAnsi="Times New Roman" w:cs="Times New Roman"/>
          <w:noProof/>
          <w:sz w:val="24"/>
          <w:szCs w:val="24"/>
          <w:lang w:val="sq-AL"/>
        </w:rPr>
        <w:t>ë</w:t>
      </w:r>
      <w:r w:rsidR="004304E8" w:rsidRPr="0070449B">
        <w:rPr>
          <w:rFonts w:ascii="Times New Roman" w:eastAsia="Calibri" w:hAnsi="Times New Roman" w:cs="Times New Roman"/>
          <w:noProof/>
          <w:sz w:val="24"/>
          <w:szCs w:val="24"/>
          <w:lang w:val="sq-AL"/>
        </w:rPr>
        <w:t xml:space="preserve"> fundit</w:t>
      </w:r>
      <w:r w:rsidRPr="0070449B">
        <w:rPr>
          <w:rFonts w:ascii="Times New Roman" w:eastAsia="Calibri" w:hAnsi="Times New Roman" w:cs="Times New Roman"/>
          <w:noProof/>
          <w:sz w:val="24"/>
          <w:szCs w:val="24"/>
          <w:lang w:val="sq-AL"/>
        </w:rPr>
        <w:t xml:space="preserve"> huamarrja e huaj </w:t>
      </w:r>
      <w:r w:rsidR="004304E8" w:rsidRPr="0070449B">
        <w:rPr>
          <w:rFonts w:ascii="Times New Roman" w:eastAsia="Calibri" w:hAnsi="Times New Roman" w:cs="Times New Roman"/>
          <w:noProof/>
          <w:sz w:val="24"/>
          <w:szCs w:val="24"/>
          <w:lang w:val="sq-AL"/>
        </w:rPr>
        <w:t>ka mbuluar mesatarisht rreth 15% t</w:t>
      </w:r>
      <w:r w:rsidR="00D83D44" w:rsidRPr="0070449B">
        <w:rPr>
          <w:rFonts w:ascii="Times New Roman" w:eastAsia="Calibri" w:hAnsi="Times New Roman" w:cs="Times New Roman"/>
          <w:noProof/>
          <w:sz w:val="24"/>
          <w:szCs w:val="24"/>
          <w:lang w:val="sq-AL"/>
        </w:rPr>
        <w:t>ë</w:t>
      </w:r>
      <w:r w:rsidR="004304E8" w:rsidRPr="0070449B">
        <w:rPr>
          <w:rFonts w:ascii="Times New Roman" w:eastAsia="Calibri" w:hAnsi="Times New Roman" w:cs="Times New Roman"/>
          <w:noProof/>
          <w:sz w:val="24"/>
          <w:szCs w:val="24"/>
          <w:lang w:val="sq-AL"/>
        </w:rPr>
        <w:t xml:space="preserve"> nevojave t</w:t>
      </w:r>
      <w:r w:rsidR="00D83D44" w:rsidRPr="0070449B">
        <w:rPr>
          <w:rFonts w:ascii="Times New Roman" w:eastAsia="Calibri" w:hAnsi="Times New Roman" w:cs="Times New Roman"/>
          <w:noProof/>
          <w:sz w:val="24"/>
          <w:szCs w:val="24"/>
          <w:lang w:val="sq-AL"/>
        </w:rPr>
        <w:t>ë</w:t>
      </w:r>
      <w:r w:rsidR="004304E8" w:rsidRPr="0070449B">
        <w:rPr>
          <w:rFonts w:ascii="Times New Roman" w:eastAsia="Calibri" w:hAnsi="Times New Roman" w:cs="Times New Roman"/>
          <w:noProof/>
          <w:sz w:val="24"/>
          <w:szCs w:val="24"/>
          <w:lang w:val="sq-AL"/>
        </w:rPr>
        <w:t xml:space="preserve"> p</w:t>
      </w:r>
      <w:r w:rsidR="00D83D44" w:rsidRPr="0070449B">
        <w:rPr>
          <w:rFonts w:ascii="Times New Roman" w:eastAsia="Calibri" w:hAnsi="Times New Roman" w:cs="Times New Roman"/>
          <w:noProof/>
          <w:sz w:val="24"/>
          <w:szCs w:val="24"/>
          <w:lang w:val="sq-AL"/>
        </w:rPr>
        <w:t>ë</w:t>
      </w:r>
      <w:r w:rsidR="004304E8" w:rsidRPr="0070449B">
        <w:rPr>
          <w:rFonts w:ascii="Times New Roman" w:eastAsia="Calibri" w:hAnsi="Times New Roman" w:cs="Times New Roman"/>
          <w:noProof/>
          <w:sz w:val="24"/>
          <w:szCs w:val="24"/>
          <w:lang w:val="sq-AL"/>
        </w:rPr>
        <w:t>rgjithshme</w:t>
      </w:r>
      <w:r w:rsidR="002B2397" w:rsidRPr="0070449B">
        <w:rPr>
          <w:rFonts w:ascii="Times New Roman" w:eastAsia="Calibri" w:hAnsi="Times New Roman" w:cs="Times New Roman"/>
          <w:noProof/>
          <w:sz w:val="24"/>
          <w:szCs w:val="24"/>
          <w:lang w:val="sq-AL"/>
        </w:rPr>
        <w:t xml:space="preserve"> </w:t>
      </w:r>
      <w:r w:rsidR="004F461A" w:rsidRPr="0070449B">
        <w:rPr>
          <w:rFonts w:ascii="Times New Roman" w:eastAsia="Calibri" w:hAnsi="Times New Roman" w:cs="Times New Roman"/>
          <w:noProof/>
          <w:sz w:val="24"/>
          <w:szCs w:val="24"/>
          <w:lang w:val="sq-AL"/>
        </w:rPr>
        <w:t>t</w:t>
      </w:r>
      <w:r w:rsidR="00464BF2" w:rsidRPr="0070449B">
        <w:rPr>
          <w:rFonts w:ascii="Times New Roman" w:eastAsia="Calibri" w:hAnsi="Times New Roman" w:cs="Times New Roman"/>
          <w:noProof/>
          <w:sz w:val="24"/>
          <w:szCs w:val="24"/>
          <w:lang w:val="sq-AL"/>
        </w:rPr>
        <w:t>ë</w:t>
      </w:r>
      <w:r w:rsidR="004F461A" w:rsidRPr="0070449B">
        <w:rPr>
          <w:rFonts w:ascii="Times New Roman" w:eastAsia="Calibri" w:hAnsi="Times New Roman" w:cs="Times New Roman"/>
          <w:noProof/>
          <w:sz w:val="24"/>
          <w:szCs w:val="24"/>
          <w:lang w:val="sq-AL"/>
        </w:rPr>
        <w:t xml:space="preserve"> </w:t>
      </w:r>
      <w:r w:rsidR="002B2397" w:rsidRPr="0070449B">
        <w:rPr>
          <w:rFonts w:ascii="Times New Roman" w:eastAsia="Calibri" w:hAnsi="Times New Roman" w:cs="Times New Roman"/>
          <w:noProof/>
          <w:sz w:val="24"/>
          <w:szCs w:val="24"/>
          <w:lang w:val="sq-AL"/>
        </w:rPr>
        <w:t>qeveris</w:t>
      </w:r>
      <w:r w:rsidR="00D83D44" w:rsidRPr="0070449B">
        <w:rPr>
          <w:rFonts w:ascii="Times New Roman" w:eastAsia="Calibri" w:hAnsi="Times New Roman" w:cs="Times New Roman"/>
          <w:noProof/>
          <w:sz w:val="24"/>
          <w:szCs w:val="24"/>
          <w:lang w:val="sq-AL"/>
        </w:rPr>
        <w:t>ë</w:t>
      </w:r>
      <w:r w:rsidR="002B2397" w:rsidRPr="0070449B">
        <w:rPr>
          <w:rFonts w:ascii="Times New Roman" w:eastAsia="Calibri" w:hAnsi="Times New Roman" w:cs="Times New Roman"/>
          <w:noProof/>
          <w:sz w:val="24"/>
          <w:szCs w:val="24"/>
          <w:lang w:val="sq-AL"/>
        </w:rPr>
        <w:t xml:space="preserve"> p</w:t>
      </w:r>
      <w:r w:rsidR="00D83D44" w:rsidRPr="0070449B">
        <w:rPr>
          <w:rFonts w:ascii="Times New Roman" w:eastAsia="Calibri" w:hAnsi="Times New Roman" w:cs="Times New Roman"/>
          <w:noProof/>
          <w:sz w:val="24"/>
          <w:szCs w:val="24"/>
          <w:lang w:val="sq-AL"/>
        </w:rPr>
        <w:t>ë</w:t>
      </w:r>
      <w:r w:rsidR="002B2397" w:rsidRPr="0070449B">
        <w:rPr>
          <w:rFonts w:ascii="Times New Roman" w:eastAsia="Calibri" w:hAnsi="Times New Roman" w:cs="Times New Roman"/>
          <w:noProof/>
          <w:sz w:val="24"/>
          <w:szCs w:val="24"/>
          <w:lang w:val="sq-AL"/>
        </w:rPr>
        <w:t>r hua</w:t>
      </w:r>
      <w:r w:rsidR="004304E8" w:rsidRPr="0070449B">
        <w:rPr>
          <w:rFonts w:ascii="Times New Roman" w:eastAsia="Calibri" w:hAnsi="Times New Roman" w:cs="Times New Roman"/>
          <w:noProof/>
          <w:sz w:val="24"/>
          <w:szCs w:val="24"/>
          <w:lang w:val="sq-AL"/>
        </w:rPr>
        <w:t xml:space="preserve">. </w:t>
      </w:r>
      <w:r w:rsidR="005C73F0" w:rsidRPr="0070449B">
        <w:rPr>
          <w:rFonts w:ascii="Times New Roman" w:eastAsia="Batang" w:hAnsi="Times New Roman" w:cs="Times New Roman"/>
          <w:noProof/>
          <w:sz w:val="24"/>
          <w:szCs w:val="24"/>
          <w:lang w:val="sq-AL"/>
        </w:rPr>
        <w:t>Burimet kryesore të financimit mbeten burimet shumëpalëshe dhe ato dypalëshe, të cilat kryesisht janë përdorur p</w:t>
      </w:r>
      <w:r w:rsidR="00D83D44" w:rsidRPr="0070449B">
        <w:rPr>
          <w:rFonts w:ascii="Times New Roman" w:eastAsia="Batang" w:hAnsi="Times New Roman" w:cs="Times New Roman"/>
          <w:noProof/>
          <w:sz w:val="24"/>
          <w:szCs w:val="24"/>
          <w:lang w:val="sq-AL"/>
        </w:rPr>
        <w:t>ë</w:t>
      </w:r>
      <w:r w:rsidR="005C73F0" w:rsidRPr="0070449B">
        <w:rPr>
          <w:rFonts w:ascii="Times New Roman" w:eastAsia="Batang" w:hAnsi="Times New Roman" w:cs="Times New Roman"/>
          <w:noProof/>
          <w:sz w:val="24"/>
          <w:szCs w:val="24"/>
          <w:lang w:val="sq-AL"/>
        </w:rPr>
        <w:t>r t</w:t>
      </w:r>
      <w:r w:rsidR="00D83D44" w:rsidRPr="0070449B">
        <w:rPr>
          <w:rFonts w:ascii="Times New Roman" w:eastAsia="Batang" w:hAnsi="Times New Roman" w:cs="Times New Roman"/>
          <w:noProof/>
          <w:sz w:val="24"/>
          <w:szCs w:val="24"/>
          <w:lang w:val="sq-AL"/>
        </w:rPr>
        <w:t>ë</w:t>
      </w:r>
      <w:r w:rsidR="005C73F0" w:rsidRPr="0070449B">
        <w:rPr>
          <w:rFonts w:ascii="Times New Roman" w:eastAsia="Batang" w:hAnsi="Times New Roman" w:cs="Times New Roman"/>
          <w:noProof/>
          <w:sz w:val="24"/>
          <w:szCs w:val="24"/>
          <w:lang w:val="sq-AL"/>
        </w:rPr>
        <w:t xml:space="preserve"> financuar projektet </w:t>
      </w:r>
      <w:r w:rsidR="000D239F" w:rsidRPr="0070449B">
        <w:rPr>
          <w:rFonts w:ascii="Times New Roman" w:eastAsia="Batang" w:hAnsi="Times New Roman" w:cs="Times New Roman"/>
          <w:noProof/>
          <w:sz w:val="24"/>
          <w:szCs w:val="24"/>
          <w:lang w:val="sq-AL"/>
        </w:rPr>
        <w:t>prioritare, si edhe politikat zhvillimore dhe reformat e nd</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rmarra nga qeveria. K</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to burime kan</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 xml:space="preserve"> pasur nj</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 xml:space="preserve"> ndikim t</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 xml:space="preserve"> r</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nd</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sish</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m kryesisht n</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 xml:space="preserve"> aspektin e optimizimit t</w:t>
      </w:r>
      <w:r w:rsidR="00D83D44" w:rsidRPr="0070449B">
        <w:rPr>
          <w:rFonts w:ascii="Times New Roman" w:eastAsia="Batang" w:hAnsi="Times New Roman" w:cs="Times New Roman"/>
          <w:noProof/>
          <w:sz w:val="24"/>
          <w:szCs w:val="24"/>
          <w:lang w:val="sq-AL"/>
        </w:rPr>
        <w:t>ë</w:t>
      </w:r>
      <w:r w:rsidR="000D239F" w:rsidRPr="0070449B">
        <w:rPr>
          <w:rFonts w:ascii="Times New Roman" w:eastAsia="Batang" w:hAnsi="Times New Roman" w:cs="Times New Roman"/>
          <w:noProof/>
          <w:sz w:val="24"/>
          <w:szCs w:val="24"/>
          <w:lang w:val="sq-AL"/>
        </w:rPr>
        <w:t xml:space="preserve"> kostove t</w:t>
      </w:r>
      <w:r w:rsidR="00D83D44"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 xml:space="preserve"> borxhit dhe sigurimit t</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 xml:space="preserve"> valut</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s s</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 xml:space="preserve"> nevojshme p</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r t</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 xml:space="preserve"> sh</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rbyer detyrimet e borxhit n</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 xml:space="preserve"> valut</w:t>
      </w:r>
      <w:r w:rsidR="00982338" w:rsidRPr="0070449B">
        <w:rPr>
          <w:rFonts w:ascii="Times New Roman" w:eastAsia="Batang" w:hAnsi="Times New Roman" w:cs="Times New Roman"/>
          <w:noProof/>
          <w:sz w:val="24"/>
          <w:szCs w:val="24"/>
          <w:lang w:val="sq-AL"/>
        </w:rPr>
        <w:t>ë</w:t>
      </w:r>
      <w:r w:rsidR="00D10799" w:rsidRPr="0070449B">
        <w:rPr>
          <w:rFonts w:ascii="Times New Roman" w:eastAsia="Batang" w:hAnsi="Times New Roman" w:cs="Times New Roman"/>
          <w:noProof/>
          <w:sz w:val="24"/>
          <w:szCs w:val="24"/>
          <w:lang w:val="sq-AL"/>
        </w:rPr>
        <w:t>.</w:t>
      </w:r>
    </w:p>
    <w:p w14:paraId="71DF5C12" w14:textId="77777777" w:rsidR="004D47F2" w:rsidRDefault="004D47F2" w:rsidP="004D47F2">
      <w:pPr>
        <w:spacing w:after="0" w:line="276" w:lineRule="auto"/>
        <w:ind w:right="272"/>
        <w:jc w:val="both"/>
        <w:rPr>
          <w:rFonts w:ascii="Times New Roman" w:eastAsia="Batang" w:hAnsi="Times New Roman" w:cs="Times New Roman"/>
          <w:noProof/>
          <w:sz w:val="24"/>
          <w:szCs w:val="24"/>
          <w:lang w:val="sq-AL"/>
        </w:rPr>
      </w:pPr>
    </w:p>
    <w:p w14:paraId="71DF5C13" w14:textId="77777777" w:rsidR="004D47F2" w:rsidRDefault="004D47F2" w:rsidP="004D47F2">
      <w:pPr>
        <w:spacing w:after="0" w:line="276" w:lineRule="auto"/>
        <w:ind w:right="272"/>
        <w:jc w:val="both"/>
        <w:rPr>
          <w:rFonts w:ascii="Times New Roman" w:eastAsia="Batang" w:hAnsi="Times New Roman" w:cs="Times New Roman"/>
          <w:noProof/>
          <w:sz w:val="24"/>
          <w:szCs w:val="24"/>
          <w:lang w:val="sq-AL"/>
        </w:rPr>
      </w:pPr>
    </w:p>
    <w:p w14:paraId="71DF5C14" w14:textId="77777777" w:rsidR="00DA293A" w:rsidRPr="004D47F2" w:rsidRDefault="00DA293A" w:rsidP="004D47F2">
      <w:pPr>
        <w:spacing w:after="0" w:line="276" w:lineRule="auto"/>
        <w:ind w:right="272"/>
        <w:jc w:val="both"/>
        <w:rPr>
          <w:rFonts w:ascii="Times New Roman" w:eastAsia="Batang" w:hAnsi="Times New Roman" w:cs="Times New Roman"/>
          <w:noProof/>
          <w:sz w:val="24"/>
          <w:szCs w:val="24"/>
          <w:lang w:val="sq-AL"/>
        </w:rPr>
      </w:pPr>
    </w:p>
    <w:p w14:paraId="71DF5C15" w14:textId="77777777" w:rsidR="00E22811" w:rsidRDefault="00E22811" w:rsidP="00EB73B2">
      <w:pPr>
        <w:spacing w:after="0" w:line="276" w:lineRule="auto"/>
        <w:ind w:left="270" w:right="270"/>
        <w:jc w:val="center"/>
        <w:rPr>
          <w:rFonts w:ascii="Cambria" w:eastAsia="Calibri" w:hAnsi="Cambria" w:cs="Times New Roman"/>
          <w:b/>
          <w:noProof/>
          <w:color w:val="8E0000"/>
          <w:sz w:val="20"/>
          <w:szCs w:val="20"/>
          <w:lang w:val="sq-AL"/>
        </w:rPr>
      </w:pPr>
    </w:p>
    <w:p w14:paraId="71DF5C16" w14:textId="77777777" w:rsidR="00EB73B2" w:rsidRDefault="008C219C" w:rsidP="00DD2747">
      <w:pPr>
        <w:spacing w:after="0" w:line="276" w:lineRule="auto"/>
        <w:ind w:right="270"/>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lastRenderedPageBreak/>
        <w:t>Paraqitje Grafike 2.2:</w:t>
      </w:r>
      <w:r w:rsidRPr="000F5C13">
        <w:rPr>
          <w:rFonts w:ascii="Cambria" w:eastAsia="MS Mincho" w:hAnsi="Cambria" w:cs="Times New Roman"/>
          <w:b/>
          <w:noProof/>
          <w:sz w:val="20"/>
          <w:szCs w:val="20"/>
          <w:lang w:val="sq-AL"/>
        </w:rPr>
        <w:t xml:space="preserve"> </w:t>
      </w:r>
      <w:r w:rsidRPr="000F5C13">
        <w:rPr>
          <w:rFonts w:ascii="Cambria" w:eastAsia="Calibri" w:hAnsi="Cambria" w:cs="Times New Roman"/>
          <w:i/>
          <w:noProof/>
          <w:color w:val="8E0000"/>
          <w:sz w:val="20"/>
          <w:szCs w:val="20"/>
          <w:lang w:val="sq-AL"/>
        </w:rPr>
        <w:t>Huamarrja e huaj bru</w:t>
      </w:r>
      <w:r w:rsidR="00EC2610">
        <w:rPr>
          <w:rFonts w:ascii="Cambria" w:eastAsia="Calibri" w:hAnsi="Cambria" w:cs="Times New Roman"/>
          <w:i/>
          <w:noProof/>
          <w:color w:val="8E0000"/>
          <w:sz w:val="20"/>
          <w:szCs w:val="20"/>
          <w:lang w:val="sq-AL"/>
        </w:rPr>
        <w:t>to sipas koncesi</w:t>
      </w:r>
      <w:r w:rsidR="00EB73B2">
        <w:rPr>
          <w:rFonts w:ascii="Cambria" w:eastAsia="Calibri" w:hAnsi="Cambria" w:cs="Times New Roman"/>
          <w:i/>
          <w:noProof/>
          <w:color w:val="8E0000"/>
          <w:sz w:val="20"/>
          <w:szCs w:val="20"/>
          <w:lang w:val="sq-AL"/>
        </w:rPr>
        <w:t>onalitetit (2015</w:t>
      </w:r>
      <w:r w:rsidR="00EC2610">
        <w:rPr>
          <w:rFonts w:ascii="Cambria" w:eastAsia="Calibri" w:hAnsi="Cambria" w:cs="Times New Roman"/>
          <w:i/>
          <w:noProof/>
          <w:color w:val="8E0000"/>
          <w:sz w:val="20"/>
          <w:szCs w:val="20"/>
          <w:lang w:val="sq-AL"/>
        </w:rPr>
        <w:t>-</w:t>
      </w:r>
      <w:r w:rsidR="004A4DC5">
        <w:rPr>
          <w:rFonts w:ascii="Cambria" w:eastAsia="Calibri" w:hAnsi="Cambria" w:cs="Times New Roman"/>
          <w:i/>
          <w:noProof/>
          <w:color w:val="8E0000"/>
          <w:sz w:val="20"/>
          <w:szCs w:val="20"/>
          <w:lang w:val="sq-AL"/>
        </w:rPr>
        <w:t>9</w:t>
      </w:r>
      <w:r w:rsidR="00EC2610">
        <w:rPr>
          <w:rFonts w:ascii="Cambria" w:eastAsia="Calibri" w:hAnsi="Cambria" w:cs="Times New Roman"/>
          <w:i/>
          <w:noProof/>
          <w:color w:val="8E0000"/>
          <w:sz w:val="20"/>
          <w:szCs w:val="20"/>
          <w:lang w:val="sq-AL"/>
        </w:rPr>
        <w:t>m 2019</w:t>
      </w:r>
      <w:r w:rsidRPr="000F5C13">
        <w:rPr>
          <w:rFonts w:ascii="Cambria" w:eastAsia="Calibri" w:hAnsi="Cambria" w:cs="Times New Roman"/>
          <w:i/>
          <w:noProof/>
          <w:color w:val="8E0000"/>
          <w:sz w:val="20"/>
          <w:szCs w:val="20"/>
          <w:lang w:val="sq-AL"/>
        </w:rPr>
        <w:t>)</w:t>
      </w:r>
    </w:p>
    <w:p w14:paraId="71DF5C17" w14:textId="77777777" w:rsidR="00BF3BA0" w:rsidRPr="00EB73B2" w:rsidRDefault="00DA293A" w:rsidP="001F1680">
      <w:pPr>
        <w:spacing w:after="0" w:line="276" w:lineRule="auto"/>
        <w:ind w:right="270"/>
        <w:rPr>
          <w:rFonts w:ascii="Times New Roman" w:eastAsia="Batang" w:hAnsi="Times New Roman" w:cs="Times New Roman"/>
          <w:noProof/>
          <w:sz w:val="24"/>
          <w:szCs w:val="24"/>
          <w:lang w:val="sq-AL"/>
        </w:rPr>
      </w:pPr>
      <w:r>
        <w:rPr>
          <w:noProof/>
        </w:rPr>
        <w:drawing>
          <wp:inline distT="0" distB="0" distL="0" distR="0" wp14:anchorId="71DF5F6B" wp14:editId="71DF5F6C">
            <wp:extent cx="5543550" cy="2152650"/>
            <wp:effectExtent l="19050" t="19050" r="19050" b="190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3550" cy="2152650"/>
                    </a:xfrm>
                    <a:prstGeom prst="rect">
                      <a:avLst/>
                    </a:prstGeom>
                    <a:noFill/>
                    <a:ln>
                      <a:solidFill>
                        <a:schemeClr val="bg1">
                          <a:lumMod val="75000"/>
                        </a:schemeClr>
                      </a:solidFill>
                    </a:ln>
                  </pic:spPr>
                </pic:pic>
              </a:graphicData>
            </a:graphic>
          </wp:inline>
        </w:drawing>
      </w:r>
    </w:p>
    <w:p w14:paraId="71DF5C18" w14:textId="77777777" w:rsidR="008C219C" w:rsidRPr="00EC2610" w:rsidRDefault="008C219C" w:rsidP="00EC2610">
      <w:pPr>
        <w:spacing w:after="0" w:line="276" w:lineRule="auto"/>
        <w:ind w:right="270"/>
        <w:jc w:val="center"/>
        <w:rPr>
          <w:rFonts w:ascii="Times New Roman" w:eastAsia="Batang" w:hAnsi="Times New Roman" w:cs="Times New Roman"/>
          <w:noProof/>
          <w:sz w:val="24"/>
          <w:szCs w:val="24"/>
          <w:lang w:val="sq-AL"/>
        </w:rPr>
      </w:pPr>
      <w:r w:rsidRPr="000F5C13">
        <w:rPr>
          <w:rFonts w:ascii="Cambria" w:eastAsia="Calibri" w:hAnsi="Cambria" w:cs="Times New Roman"/>
          <w:b/>
          <w:noProof/>
          <w:color w:val="8E0000"/>
          <w:sz w:val="20"/>
          <w:szCs w:val="20"/>
          <w:lang w:val="sq-AL"/>
        </w:rPr>
        <w:t>Burimi:</w:t>
      </w:r>
      <w:r w:rsidRPr="000F5C13">
        <w:rPr>
          <w:rFonts w:ascii="Cambria" w:eastAsia="MS Mincho" w:hAnsi="Cambria" w:cs="Times New Roman"/>
          <w:b/>
          <w:noProof/>
          <w:sz w:val="20"/>
          <w:szCs w:val="20"/>
          <w:lang w:val="sq-AL"/>
        </w:rPr>
        <w:t xml:space="preserve"> </w:t>
      </w:r>
      <w:r w:rsidRPr="000F5C13">
        <w:rPr>
          <w:rFonts w:ascii="Cambria" w:eastAsia="Calibri" w:hAnsi="Cambria" w:cs="Times New Roman"/>
          <w:i/>
          <w:noProof/>
          <w:color w:val="8E0000"/>
          <w:sz w:val="20"/>
          <w:szCs w:val="20"/>
          <w:lang w:val="sq-AL"/>
        </w:rPr>
        <w:t>Ministria</w:t>
      </w:r>
      <w:r w:rsidR="00EC2610">
        <w:rPr>
          <w:rFonts w:ascii="Cambria" w:eastAsia="Calibri" w:hAnsi="Cambria" w:cs="Times New Roman"/>
          <w:i/>
          <w:noProof/>
          <w:color w:val="8E0000"/>
          <w:sz w:val="20"/>
          <w:szCs w:val="20"/>
          <w:lang w:val="sq-AL"/>
        </w:rPr>
        <w:t xml:space="preserve"> e Financave dhe Ekonomisë (2019</w:t>
      </w:r>
      <w:r w:rsidRPr="000F5C13">
        <w:rPr>
          <w:rFonts w:ascii="Cambria" w:eastAsia="Calibri" w:hAnsi="Cambria" w:cs="Times New Roman"/>
          <w:i/>
          <w:noProof/>
          <w:color w:val="8E0000"/>
          <w:sz w:val="20"/>
          <w:szCs w:val="20"/>
          <w:lang w:val="sq-AL"/>
        </w:rPr>
        <w:t>)</w:t>
      </w:r>
    </w:p>
    <w:p w14:paraId="71DF5C19" w14:textId="77777777" w:rsidR="008C219C" w:rsidRPr="000F5C13" w:rsidRDefault="008C219C" w:rsidP="008C219C">
      <w:pPr>
        <w:spacing w:after="0" w:line="276" w:lineRule="auto"/>
        <w:ind w:left="270" w:right="270"/>
        <w:jc w:val="both"/>
        <w:rPr>
          <w:rFonts w:ascii="Times New Roman" w:eastAsia="Batang" w:hAnsi="Times New Roman" w:cs="Times New Roman"/>
          <w:noProof/>
          <w:sz w:val="16"/>
          <w:szCs w:val="24"/>
          <w:lang w:val="sq-AL"/>
        </w:rPr>
      </w:pPr>
    </w:p>
    <w:p w14:paraId="71DF5C1A" w14:textId="77777777" w:rsidR="00594635" w:rsidRPr="00E22811" w:rsidRDefault="00CD3FEB" w:rsidP="00594635">
      <w:pPr>
        <w:autoSpaceDE w:val="0"/>
        <w:autoSpaceDN w:val="0"/>
        <w:adjustRightInd w:val="0"/>
        <w:spacing w:after="0" w:line="276" w:lineRule="auto"/>
        <w:ind w:right="237"/>
        <w:contextualSpacing/>
        <w:jc w:val="both"/>
        <w:rPr>
          <w:rFonts w:ascii="Times New Roman" w:eastAsia="Batang" w:hAnsi="Times New Roman" w:cs="Times New Roman"/>
          <w:noProof/>
          <w:sz w:val="24"/>
          <w:szCs w:val="24"/>
          <w:lang w:val="sq-AL"/>
        </w:rPr>
      </w:pPr>
      <w:r w:rsidRPr="00E22811">
        <w:rPr>
          <w:rFonts w:ascii="Times New Roman" w:eastAsia="Batang" w:hAnsi="Times New Roman" w:cs="Times New Roman"/>
          <w:noProof/>
          <w:sz w:val="24"/>
          <w:szCs w:val="24"/>
          <w:lang w:val="sq-AL"/>
        </w:rPr>
        <w:t>Gjithashtu edhe huamarrja n</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p</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rmjet burimeve private, n</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 xml:space="preserve"> form</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n e Eurobond-it</w:t>
      </w:r>
      <w:r w:rsidR="008C219C" w:rsidRPr="00E22811">
        <w:rPr>
          <w:rFonts w:ascii="Times New Roman" w:eastAsia="Batang" w:hAnsi="Times New Roman" w:cs="Times New Roman"/>
          <w:noProof/>
          <w:sz w:val="24"/>
          <w:szCs w:val="24"/>
          <w:lang w:val="sq-AL"/>
        </w:rPr>
        <w:t xml:space="preserve"> dhe PBG </w:t>
      </w:r>
      <w:r w:rsidR="00856F6A" w:rsidRPr="00E22811">
        <w:rPr>
          <w:rFonts w:ascii="Times New Roman" w:eastAsia="Batang" w:hAnsi="Times New Roman" w:cs="Times New Roman"/>
          <w:noProof/>
          <w:sz w:val="24"/>
          <w:szCs w:val="24"/>
          <w:lang w:val="sq-AL"/>
        </w:rPr>
        <w:t xml:space="preserve">(në vitet 2015 dhe 2018) </w:t>
      </w:r>
      <w:r w:rsidRPr="00E22811">
        <w:rPr>
          <w:rFonts w:ascii="Times New Roman" w:eastAsia="Batang" w:hAnsi="Times New Roman" w:cs="Times New Roman"/>
          <w:noProof/>
          <w:sz w:val="24"/>
          <w:szCs w:val="24"/>
          <w:lang w:val="sq-AL"/>
        </w:rPr>
        <w:t>k</w:t>
      </w:r>
      <w:r w:rsidR="002B2397" w:rsidRPr="00E22811">
        <w:rPr>
          <w:rFonts w:ascii="Times New Roman" w:eastAsia="Batang" w:hAnsi="Times New Roman" w:cs="Times New Roman"/>
          <w:noProof/>
          <w:sz w:val="24"/>
          <w:szCs w:val="24"/>
          <w:lang w:val="sq-AL"/>
        </w:rPr>
        <w:t>a</w:t>
      </w:r>
      <w:r w:rsidR="008C219C" w:rsidRPr="00E22811">
        <w:rPr>
          <w:rFonts w:ascii="Times New Roman" w:eastAsia="Batang" w:hAnsi="Times New Roman" w:cs="Times New Roman"/>
          <w:noProof/>
          <w:sz w:val="24"/>
          <w:szCs w:val="24"/>
          <w:lang w:val="sq-AL"/>
        </w:rPr>
        <w:t>n</w:t>
      </w:r>
      <w:r w:rsidR="00856F6A" w:rsidRPr="00E22811">
        <w:rPr>
          <w:rFonts w:ascii="Times New Roman" w:eastAsia="Batang" w:hAnsi="Times New Roman" w:cs="Times New Roman"/>
          <w:noProof/>
          <w:sz w:val="24"/>
          <w:szCs w:val="24"/>
          <w:lang w:val="sq-AL"/>
        </w:rPr>
        <w:t>ë</w:t>
      </w:r>
      <w:r w:rsidR="002B2397" w:rsidRPr="00E22811">
        <w:rPr>
          <w:rFonts w:ascii="Times New Roman" w:eastAsia="Batang" w:hAnsi="Times New Roman" w:cs="Times New Roman"/>
          <w:noProof/>
          <w:sz w:val="24"/>
          <w:szCs w:val="24"/>
          <w:lang w:val="sq-AL"/>
        </w:rPr>
        <w:t xml:space="preserve"> luajtur</w:t>
      </w:r>
      <w:r w:rsidRPr="00E22811">
        <w:rPr>
          <w:rFonts w:ascii="Times New Roman" w:eastAsia="Batang" w:hAnsi="Times New Roman" w:cs="Times New Roman"/>
          <w:noProof/>
          <w:sz w:val="24"/>
          <w:szCs w:val="24"/>
          <w:lang w:val="sq-AL"/>
        </w:rPr>
        <w:t xml:space="preserve"> nj</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 xml:space="preserve"> rol t</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 xml:space="preserve"> r</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nd</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sish</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m n</w:t>
      </w:r>
      <w:r w:rsidR="00856F6A" w:rsidRPr="00E22811">
        <w:rPr>
          <w:rFonts w:ascii="Times New Roman" w:eastAsia="Batang" w:hAnsi="Times New Roman" w:cs="Times New Roman"/>
          <w:noProof/>
          <w:sz w:val="24"/>
          <w:szCs w:val="24"/>
          <w:lang w:val="sq-AL"/>
        </w:rPr>
        <w:t>ë</w:t>
      </w:r>
      <w:r w:rsidRPr="00E22811">
        <w:rPr>
          <w:rFonts w:ascii="Times New Roman" w:eastAsia="Batang" w:hAnsi="Times New Roman" w:cs="Times New Roman"/>
          <w:noProof/>
          <w:sz w:val="24"/>
          <w:szCs w:val="24"/>
          <w:lang w:val="sq-AL"/>
        </w:rPr>
        <w:t xml:space="preserve"> </w:t>
      </w:r>
      <w:r w:rsidR="002B2397" w:rsidRPr="00E22811">
        <w:rPr>
          <w:rFonts w:ascii="Times New Roman" w:eastAsia="Batang" w:hAnsi="Times New Roman" w:cs="Times New Roman"/>
          <w:noProof/>
          <w:sz w:val="24"/>
          <w:szCs w:val="24"/>
          <w:lang w:val="sq-AL"/>
        </w:rPr>
        <w:t>plot</w:t>
      </w:r>
      <w:r w:rsidR="00856F6A" w:rsidRPr="00E22811">
        <w:rPr>
          <w:rFonts w:ascii="Times New Roman" w:eastAsia="Batang" w:hAnsi="Times New Roman" w:cs="Times New Roman"/>
          <w:noProof/>
          <w:sz w:val="24"/>
          <w:szCs w:val="24"/>
          <w:lang w:val="sq-AL"/>
        </w:rPr>
        <w:t>ë</w:t>
      </w:r>
      <w:r w:rsidR="002B2397" w:rsidRPr="00E22811">
        <w:rPr>
          <w:rFonts w:ascii="Times New Roman" w:eastAsia="Batang" w:hAnsi="Times New Roman" w:cs="Times New Roman"/>
          <w:noProof/>
          <w:sz w:val="24"/>
          <w:szCs w:val="24"/>
          <w:lang w:val="sq-AL"/>
        </w:rPr>
        <w:t>simin e nevojave p</w:t>
      </w:r>
      <w:r w:rsidR="00856F6A" w:rsidRPr="00E22811">
        <w:rPr>
          <w:rFonts w:ascii="Times New Roman" w:eastAsia="Batang" w:hAnsi="Times New Roman" w:cs="Times New Roman"/>
          <w:noProof/>
          <w:sz w:val="24"/>
          <w:szCs w:val="24"/>
          <w:lang w:val="sq-AL"/>
        </w:rPr>
        <w:t>ë</w:t>
      </w:r>
      <w:r w:rsidR="002B2397" w:rsidRPr="00E22811">
        <w:rPr>
          <w:rFonts w:ascii="Times New Roman" w:eastAsia="Batang" w:hAnsi="Times New Roman" w:cs="Times New Roman"/>
          <w:noProof/>
          <w:sz w:val="24"/>
          <w:szCs w:val="24"/>
          <w:lang w:val="sq-AL"/>
        </w:rPr>
        <w:t>r hua, si edhe n</w:t>
      </w:r>
      <w:r w:rsidR="00856F6A" w:rsidRPr="00E22811">
        <w:rPr>
          <w:rFonts w:ascii="Times New Roman" w:eastAsia="Batang" w:hAnsi="Times New Roman" w:cs="Times New Roman"/>
          <w:noProof/>
          <w:sz w:val="24"/>
          <w:szCs w:val="24"/>
          <w:lang w:val="sq-AL"/>
        </w:rPr>
        <w:t>ë</w:t>
      </w:r>
      <w:r w:rsidR="002B2397" w:rsidRPr="00E22811">
        <w:rPr>
          <w:rFonts w:ascii="Times New Roman" w:eastAsia="Batang" w:hAnsi="Times New Roman" w:cs="Times New Roman"/>
          <w:noProof/>
          <w:sz w:val="24"/>
          <w:szCs w:val="24"/>
          <w:lang w:val="sq-AL"/>
        </w:rPr>
        <w:t xml:space="preserve"> menaxhimin </w:t>
      </w:r>
      <w:r w:rsidR="00002034" w:rsidRPr="00E22811">
        <w:rPr>
          <w:rFonts w:ascii="Times New Roman" w:eastAsia="Batang" w:hAnsi="Times New Roman" w:cs="Times New Roman"/>
          <w:noProof/>
          <w:sz w:val="24"/>
          <w:szCs w:val="24"/>
          <w:lang w:val="sq-AL"/>
        </w:rPr>
        <w:t>aktiv t</w:t>
      </w:r>
      <w:r w:rsidR="00856F6A" w:rsidRPr="00E22811">
        <w:rPr>
          <w:rFonts w:ascii="Times New Roman" w:eastAsia="Batang" w:hAnsi="Times New Roman" w:cs="Times New Roman"/>
          <w:noProof/>
          <w:sz w:val="24"/>
          <w:szCs w:val="24"/>
          <w:lang w:val="sq-AL"/>
        </w:rPr>
        <w:t>ë</w:t>
      </w:r>
      <w:r w:rsidR="00002034" w:rsidRPr="00E22811">
        <w:rPr>
          <w:rFonts w:ascii="Times New Roman" w:eastAsia="Batang" w:hAnsi="Times New Roman" w:cs="Times New Roman"/>
          <w:noProof/>
          <w:sz w:val="24"/>
          <w:szCs w:val="24"/>
          <w:lang w:val="sq-AL"/>
        </w:rPr>
        <w:t xml:space="preserve"> likuiditetit dhe</w:t>
      </w:r>
      <w:r w:rsidR="00856F6A" w:rsidRPr="00E22811">
        <w:rPr>
          <w:rFonts w:ascii="Times New Roman" w:eastAsia="Batang" w:hAnsi="Times New Roman" w:cs="Times New Roman"/>
          <w:noProof/>
          <w:sz w:val="24"/>
          <w:szCs w:val="24"/>
          <w:lang w:val="sq-AL"/>
        </w:rPr>
        <w:t xml:space="preserve"> detyrimeve të borxhit.</w:t>
      </w:r>
      <w:bookmarkStart w:id="15" w:name="_Toc483994727"/>
      <w:bookmarkStart w:id="16" w:name="_Toc491860986"/>
      <w:bookmarkStart w:id="17" w:name="_Toc491954299"/>
      <w:r w:rsidR="00594635" w:rsidRPr="00E22811">
        <w:rPr>
          <w:rFonts w:ascii="Times New Roman" w:eastAsia="Batang" w:hAnsi="Times New Roman" w:cs="Times New Roman"/>
          <w:noProof/>
          <w:sz w:val="24"/>
          <w:szCs w:val="24"/>
          <w:lang w:val="sq-AL"/>
        </w:rPr>
        <w:t xml:space="preserve"> Emetimi i Eurobondit n</w:t>
      </w:r>
      <w:r w:rsidR="00AD7066" w:rsidRPr="00E22811">
        <w:rPr>
          <w:rFonts w:ascii="Times New Roman" w:eastAsia="Batang" w:hAnsi="Times New Roman" w:cs="Times New Roman"/>
          <w:noProof/>
          <w:sz w:val="24"/>
          <w:szCs w:val="24"/>
          <w:lang w:val="sq-AL"/>
        </w:rPr>
        <w:t>ë</w:t>
      </w:r>
      <w:r w:rsidR="00594635" w:rsidRPr="00E22811">
        <w:rPr>
          <w:rFonts w:ascii="Times New Roman" w:eastAsia="Batang" w:hAnsi="Times New Roman" w:cs="Times New Roman"/>
          <w:noProof/>
          <w:sz w:val="24"/>
          <w:szCs w:val="24"/>
          <w:lang w:val="sq-AL"/>
        </w:rPr>
        <w:t xml:space="preserve"> vler</w:t>
      </w:r>
      <w:r w:rsidR="00AD7066" w:rsidRPr="00E22811">
        <w:rPr>
          <w:rFonts w:ascii="Times New Roman" w:eastAsia="Batang" w:hAnsi="Times New Roman" w:cs="Times New Roman"/>
          <w:noProof/>
          <w:sz w:val="24"/>
          <w:szCs w:val="24"/>
          <w:lang w:val="sq-AL"/>
        </w:rPr>
        <w:t>ë</w:t>
      </w:r>
      <w:r w:rsidR="00594635" w:rsidRPr="00E22811">
        <w:rPr>
          <w:rFonts w:ascii="Times New Roman" w:eastAsia="Batang" w:hAnsi="Times New Roman" w:cs="Times New Roman"/>
          <w:noProof/>
          <w:sz w:val="24"/>
          <w:szCs w:val="24"/>
          <w:lang w:val="sq-AL"/>
        </w:rPr>
        <w:t>n 500 milion Euro n</w:t>
      </w:r>
      <w:r w:rsidR="00AD7066" w:rsidRPr="00E22811">
        <w:rPr>
          <w:rFonts w:ascii="Times New Roman" w:eastAsia="Batang" w:hAnsi="Times New Roman" w:cs="Times New Roman"/>
          <w:noProof/>
          <w:sz w:val="24"/>
          <w:szCs w:val="24"/>
          <w:lang w:val="sq-AL"/>
        </w:rPr>
        <w:t>ë</w:t>
      </w:r>
      <w:r w:rsidR="00594635" w:rsidRPr="00E22811">
        <w:rPr>
          <w:rFonts w:ascii="Times New Roman" w:eastAsia="Batang" w:hAnsi="Times New Roman" w:cs="Times New Roman"/>
          <w:noProof/>
          <w:sz w:val="24"/>
          <w:szCs w:val="24"/>
          <w:lang w:val="sq-AL"/>
        </w:rPr>
        <w:t xml:space="preserve"> vitin 2018, i cili u shoq</w:t>
      </w:r>
      <w:r w:rsidR="00AD7066" w:rsidRPr="00E22811">
        <w:rPr>
          <w:rFonts w:ascii="Times New Roman" w:eastAsia="Batang" w:hAnsi="Times New Roman" w:cs="Times New Roman"/>
          <w:noProof/>
          <w:sz w:val="24"/>
          <w:szCs w:val="24"/>
          <w:lang w:val="sq-AL"/>
        </w:rPr>
        <w:t>ë</w:t>
      </w:r>
      <w:r w:rsidR="00594635" w:rsidRPr="00E22811">
        <w:rPr>
          <w:rFonts w:ascii="Times New Roman" w:eastAsia="Batang" w:hAnsi="Times New Roman" w:cs="Times New Roman"/>
          <w:noProof/>
          <w:sz w:val="24"/>
          <w:szCs w:val="24"/>
          <w:lang w:val="sq-AL"/>
        </w:rPr>
        <w:t xml:space="preserve">rua me procesin e parablerjes së pjesshme </w:t>
      </w:r>
      <w:r w:rsidR="00594635" w:rsidRPr="006B1AF1">
        <w:rPr>
          <w:rFonts w:ascii="Times New Roman" w:eastAsia="Batang" w:hAnsi="Times New Roman" w:cs="Times New Roman"/>
          <w:i/>
          <w:noProof/>
          <w:sz w:val="24"/>
          <w:szCs w:val="24"/>
          <w:lang w:val="sq-AL"/>
        </w:rPr>
        <w:t xml:space="preserve">(buyback) </w:t>
      </w:r>
      <w:r w:rsidR="00594635" w:rsidRPr="00E22811">
        <w:rPr>
          <w:rFonts w:ascii="Times New Roman" w:eastAsia="Batang" w:hAnsi="Times New Roman" w:cs="Times New Roman"/>
          <w:noProof/>
          <w:sz w:val="24"/>
          <w:szCs w:val="24"/>
          <w:lang w:val="sq-AL"/>
        </w:rPr>
        <w:t>të Eurobond-it ekzistues në vlerën prej 200 milion Euro, mundësoi jo vetëm plotësimin e nevojave për likuiditet të vitit 2018 dhe vitit pasardhës, por edhe menaxhimin aktiv të detyrimeve të borxhit për të mbajtur nën kontroll riskun e rifinancimit dhe at</w:t>
      </w:r>
      <w:r w:rsidR="003466F9">
        <w:rPr>
          <w:rFonts w:ascii="Times New Roman" w:eastAsia="Batang" w:hAnsi="Times New Roman" w:cs="Times New Roman"/>
          <w:noProof/>
          <w:sz w:val="24"/>
          <w:szCs w:val="24"/>
          <w:lang w:val="sq-AL"/>
        </w:rPr>
        <w:t>ë</w:t>
      </w:r>
      <w:r w:rsidR="00594635" w:rsidRPr="00E22811">
        <w:rPr>
          <w:rFonts w:ascii="Times New Roman" w:eastAsia="Batang" w:hAnsi="Times New Roman" w:cs="Times New Roman"/>
          <w:noProof/>
          <w:sz w:val="24"/>
          <w:szCs w:val="24"/>
          <w:lang w:val="sq-AL"/>
        </w:rPr>
        <w:t xml:space="preserve"> të normave të interesit në periudhën afatshkurtër dhe afatmesme.</w:t>
      </w:r>
    </w:p>
    <w:p w14:paraId="71DF5C1B" w14:textId="77777777" w:rsidR="008F735C" w:rsidRPr="00E22811" w:rsidRDefault="008F735C" w:rsidP="00594635">
      <w:pPr>
        <w:spacing w:after="0" w:line="276" w:lineRule="auto"/>
        <w:ind w:right="270"/>
        <w:jc w:val="both"/>
        <w:rPr>
          <w:rFonts w:ascii="Times New Roman" w:eastAsia="Calibri" w:hAnsi="Times New Roman" w:cs="Times New Roman"/>
          <w:noProof/>
          <w:sz w:val="20"/>
          <w:szCs w:val="24"/>
          <w:lang w:val="sq-AL"/>
        </w:rPr>
      </w:pPr>
    </w:p>
    <w:p w14:paraId="71DF5C1C" w14:textId="77777777" w:rsidR="009B24CE" w:rsidRPr="00E22811" w:rsidRDefault="009B24CE" w:rsidP="004A70BC">
      <w:pPr>
        <w:pStyle w:val="Heading1"/>
        <w:numPr>
          <w:ilvl w:val="0"/>
          <w:numId w:val="8"/>
        </w:numPr>
        <w:spacing w:before="0" w:line="23" w:lineRule="atLeast"/>
        <w:ind w:left="567" w:hanging="567"/>
        <w:rPr>
          <w:noProof/>
          <w:lang w:val="sq-AL"/>
        </w:rPr>
      </w:pPr>
      <w:bookmarkStart w:id="18" w:name="_Toc524506532"/>
      <w:r w:rsidRPr="00E22811">
        <w:rPr>
          <w:noProof/>
          <w:lang w:val="sq-AL"/>
        </w:rPr>
        <w:t>Portofoli i Borxhit Shtetëror</w:t>
      </w:r>
      <w:bookmarkEnd w:id="15"/>
      <w:bookmarkEnd w:id="16"/>
      <w:bookmarkEnd w:id="17"/>
      <w:bookmarkEnd w:id="18"/>
    </w:p>
    <w:p w14:paraId="71DF5C1D" w14:textId="77777777" w:rsidR="000F2369" w:rsidRPr="00E22811" w:rsidRDefault="000F2369" w:rsidP="00594635">
      <w:pPr>
        <w:spacing w:after="0" w:line="276" w:lineRule="auto"/>
        <w:ind w:right="238"/>
        <w:jc w:val="both"/>
        <w:rPr>
          <w:rFonts w:ascii="Times New Roman" w:eastAsia="Batang" w:hAnsi="Times New Roman" w:cs="Times New Roman"/>
          <w:noProof/>
          <w:sz w:val="20"/>
          <w:szCs w:val="16"/>
          <w:lang w:val="sq-AL"/>
        </w:rPr>
      </w:pPr>
    </w:p>
    <w:p w14:paraId="71DF5C1E" w14:textId="77777777" w:rsidR="001241C0" w:rsidRPr="00E22811" w:rsidRDefault="009968C0" w:rsidP="00594635">
      <w:pPr>
        <w:spacing w:after="0" w:line="276" w:lineRule="auto"/>
        <w:ind w:right="238"/>
        <w:jc w:val="both"/>
        <w:rPr>
          <w:rFonts w:ascii="Times New Roman" w:eastAsia="Calibri" w:hAnsi="Times New Roman" w:cs="Times New Roman"/>
          <w:noProof/>
          <w:sz w:val="24"/>
          <w:szCs w:val="24"/>
          <w:lang w:val="sq-AL"/>
        </w:rPr>
      </w:pPr>
      <w:r w:rsidRPr="00E22811">
        <w:rPr>
          <w:rFonts w:ascii="Times New Roman" w:eastAsia="Calibri" w:hAnsi="Times New Roman" w:cs="Times New Roman"/>
          <w:noProof/>
          <w:sz w:val="24"/>
          <w:szCs w:val="24"/>
          <w:lang w:val="sq-AL"/>
        </w:rPr>
        <w:t>Nga pik</w:t>
      </w:r>
      <w:r w:rsidR="00DC648E"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pamja e kompozimit </w:t>
      </w:r>
      <w:r w:rsidR="00BC6E6F" w:rsidRPr="00E22811">
        <w:rPr>
          <w:rFonts w:ascii="Times New Roman" w:eastAsia="Calibri" w:hAnsi="Times New Roman" w:cs="Times New Roman"/>
          <w:noProof/>
          <w:sz w:val="24"/>
          <w:szCs w:val="24"/>
          <w:lang w:val="sq-AL"/>
        </w:rPr>
        <w:t>sipas instrumenteve</w:t>
      </w:r>
      <w:r w:rsidR="00670C66" w:rsidRPr="00E22811">
        <w:rPr>
          <w:rFonts w:ascii="Times New Roman" w:eastAsia="Calibri" w:hAnsi="Times New Roman" w:cs="Times New Roman"/>
          <w:noProof/>
          <w:sz w:val="24"/>
          <w:szCs w:val="24"/>
          <w:lang w:val="sq-AL"/>
        </w:rPr>
        <w:t>,</w:t>
      </w:r>
      <w:r w:rsidR="00BC6E6F" w:rsidRPr="00E22811">
        <w:rPr>
          <w:rFonts w:ascii="Times New Roman" w:eastAsia="Calibri" w:hAnsi="Times New Roman" w:cs="Times New Roman"/>
          <w:noProof/>
          <w:sz w:val="24"/>
          <w:szCs w:val="24"/>
          <w:lang w:val="sq-AL"/>
        </w:rPr>
        <w:t xml:space="preserve"> </w:t>
      </w:r>
      <w:r w:rsidR="00670C66" w:rsidRPr="00E22811">
        <w:rPr>
          <w:rFonts w:ascii="Times New Roman" w:eastAsia="Calibri" w:hAnsi="Times New Roman" w:cs="Times New Roman"/>
          <w:noProof/>
          <w:sz w:val="24"/>
          <w:szCs w:val="24"/>
          <w:lang w:val="sq-AL"/>
        </w:rPr>
        <w:t>titujt shtet</w:t>
      </w:r>
      <w:r w:rsidR="00982338" w:rsidRPr="00E22811">
        <w:rPr>
          <w:rFonts w:ascii="Times New Roman" w:eastAsia="Calibri" w:hAnsi="Times New Roman" w:cs="Times New Roman"/>
          <w:noProof/>
          <w:sz w:val="24"/>
          <w:szCs w:val="24"/>
          <w:lang w:val="sq-AL"/>
        </w:rPr>
        <w:t>ë</w:t>
      </w:r>
      <w:r w:rsidR="00670C66" w:rsidRPr="00E22811">
        <w:rPr>
          <w:rFonts w:ascii="Times New Roman" w:eastAsia="Calibri" w:hAnsi="Times New Roman" w:cs="Times New Roman"/>
          <w:noProof/>
          <w:sz w:val="24"/>
          <w:szCs w:val="24"/>
          <w:lang w:val="sq-AL"/>
        </w:rPr>
        <w:t>ror</w:t>
      </w:r>
      <w:r w:rsidR="00982338" w:rsidRPr="00E22811">
        <w:rPr>
          <w:rFonts w:ascii="Times New Roman" w:eastAsia="Calibri" w:hAnsi="Times New Roman" w:cs="Times New Roman"/>
          <w:noProof/>
          <w:sz w:val="24"/>
          <w:szCs w:val="24"/>
          <w:lang w:val="sq-AL"/>
        </w:rPr>
        <w:t>ë</w:t>
      </w:r>
      <w:r w:rsidR="00670C66" w:rsidRPr="00E22811">
        <w:rPr>
          <w:rFonts w:ascii="Times New Roman" w:eastAsia="Calibri" w:hAnsi="Times New Roman" w:cs="Times New Roman"/>
          <w:noProof/>
          <w:sz w:val="24"/>
          <w:szCs w:val="24"/>
          <w:lang w:val="sq-AL"/>
        </w:rPr>
        <w:t xml:space="preserve"> vendas vijojn</w:t>
      </w:r>
      <w:r w:rsidR="00982338" w:rsidRPr="00E22811">
        <w:rPr>
          <w:rFonts w:ascii="Times New Roman" w:eastAsia="Calibri" w:hAnsi="Times New Roman" w:cs="Times New Roman"/>
          <w:noProof/>
          <w:sz w:val="24"/>
          <w:szCs w:val="24"/>
          <w:lang w:val="sq-AL"/>
        </w:rPr>
        <w:t>ë</w:t>
      </w:r>
      <w:r w:rsidR="00670C66" w:rsidRPr="00E22811">
        <w:rPr>
          <w:rFonts w:ascii="Times New Roman" w:eastAsia="Calibri" w:hAnsi="Times New Roman" w:cs="Times New Roman"/>
          <w:noProof/>
          <w:sz w:val="24"/>
          <w:szCs w:val="24"/>
          <w:lang w:val="sq-AL"/>
        </w:rPr>
        <w:t xml:space="preserve"> t</w:t>
      </w:r>
      <w:r w:rsidR="00982338" w:rsidRPr="00E22811">
        <w:rPr>
          <w:rFonts w:ascii="Times New Roman" w:eastAsia="Calibri" w:hAnsi="Times New Roman" w:cs="Times New Roman"/>
          <w:noProof/>
          <w:sz w:val="24"/>
          <w:szCs w:val="24"/>
          <w:lang w:val="sq-AL"/>
        </w:rPr>
        <w:t>ë</w:t>
      </w:r>
      <w:r w:rsidR="00670C66" w:rsidRPr="00E22811">
        <w:rPr>
          <w:rFonts w:ascii="Times New Roman" w:eastAsia="Calibri" w:hAnsi="Times New Roman" w:cs="Times New Roman"/>
          <w:noProof/>
          <w:sz w:val="24"/>
          <w:szCs w:val="24"/>
          <w:lang w:val="sq-AL"/>
        </w:rPr>
        <w:t xml:space="preserve"> dominojn</w:t>
      </w:r>
      <w:r w:rsidR="00982338"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w:t>
      </w:r>
      <w:r w:rsidR="00670C66" w:rsidRPr="00E22811">
        <w:rPr>
          <w:rFonts w:ascii="Times New Roman" w:eastAsia="Calibri" w:hAnsi="Times New Roman" w:cs="Times New Roman"/>
          <w:noProof/>
          <w:sz w:val="24"/>
          <w:szCs w:val="24"/>
          <w:lang w:val="sq-AL"/>
        </w:rPr>
        <w:t>m</w:t>
      </w:r>
      <w:r w:rsidR="00982338" w:rsidRPr="00E22811">
        <w:rPr>
          <w:rFonts w:ascii="Times New Roman" w:eastAsia="Calibri" w:hAnsi="Times New Roman" w:cs="Times New Roman"/>
          <w:noProof/>
          <w:sz w:val="24"/>
          <w:szCs w:val="24"/>
          <w:lang w:val="sq-AL"/>
        </w:rPr>
        <w:t>ë</w:t>
      </w:r>
      <w:r w:rsidR="00670C66" w:rsidRPr="00E22811">
        <w:rPr>
          <w:rFonts w:ascii="Times New Roman" w:eastAsia="Calibri" w:hAnsi="Times New Roman" w:cs="Times New Roman"/>
          <w:noProof/>
          <w:sz w:val="24"/>
          <w:szCs w:val="24"/>
          <w:lang w:val="sq-AL"/>
        </w:rPr>
        <w:t xml:space="preserve"> shum</w:t>
      </w:r>
      <w:r w:rsidR="00982338" w:rsidRPr="00E22811">
        <w:rPr>
          <w:rFonts w:ascii="Times New Roman" w:eastAsia="Calibri" w:hAnsi="Times New Roman" w:cs="Times New Roman"/>
          <w:noProof/>
          <w:sz w:val="24"/>
          <w:szCs w:val="24"/>
          <w:lang w:val="sq-AL"/>
        </w:rPr>
        <w:t>ë</w:t>
      </w:r>
      <w:r w:rsidR="00670C66" w:rsidRPr="00E22811">
        <w:rPr>
          <w:rFonts w:ascii="Times New Roman" w:eastAsia="Calibri" w:hAnsi="Times New Roman" w:cs="Times New Roman"/>
          <w:noProof/>
          <w:sz w:val="24"/>
          <w:szCs w:val="24"/>
          <w:lang w:val="sq-AL"/>
        </w:rPr>
        <w:t xml:space="preserve"> se gjysm</w:t>
      </w:r>
      <w:r w:rsidR="00982338" w:rsidRPr="00E22811">
        <w:rPr>
          <w:rFonts w:ascii="Times New Roman" w:eastAsia="Calibri" w:hAnsi="Times New Roman" w:cs="Times New Roman"/>
          <w:noProof/>
          <w:sz w:val="24"/>
          <w:szCs w:val="24"/>
          <w:lang w:val="sq-AL"/>
        </w:rPr>
        <w:t>ë</w:t>
      </w:r>
      <w:r w:rsidR="00670C66" w:rsidRPr="00E22811">
        <w:rPr>
          <w:rFonts w:ascii="Times New Roman" w:eastAsia="Calibri" w:hAnsi="Times New Roman" w:cs="Times New Roman"/>
          <w:noProof/>
          <w:sz w:val="24"/>
          <w:szCs w:val="24"/>
          <w:lang w:val="sq-AL"/>
        </w:rPr>
        <w:t>n e portofolit</w:t>
      </w:r>
      <w:r w:rsidR="00A439A3" w:rsidRPr="00E22811">
        <w:rPr>
          <w:rFonts w:ascii="Times New Roman" w:eastAsia="Calibri" w:hAnsi="Times New Roman" w:cs="Times New Roman"/>
          <w:noProof/>
          <w:sz w:val="24"/>
          <w:szCs w:val="24"/>
          <w:lang w:val="sq-AL"/>
        </w:rPr>
        <w:t xml:space="preserve"> të borxhit shtetëror</w:t>
      </w:r>
      <w:r w:rsidR="00670C66" w:rsidRPr="00E22811">
        <w:rPr>
          <w:rFonts w:ascii="Times New Roman" w:eastAsia="Calibri" w:hAnsi="Times New Roman" w:cs="Times New Roman"/>
          <w:noProof/>
          <w:sz w:val="24"/>
          <w:szCs w:val="24"/>
          <w:lang w:val="sq-AL"/>
        </w:rPr>
        <w:t xml:space="preserve">. </w:t>
      </w:r>
      <w:r w:rsidR="00A439A3" w:rsidRPr="00E22811">
        <w:rPr>
          <w:rFonts w:ascii="Times New Roman" w:eastAsia="Calibri" w:hAnsi="Times New Roman" w:cs="Times New Roman"/>
          <w:noProof/>
          <w:sz w:val="24"/>
          <w:szCs w:val="24"/>
          <w:lang w:val="sq-AL"/>
        </w:rPr>
        <w:t>N</w:t>
      </w:r>
      <w:r w:rsidR="00CD7B7D" w:rsidRPr="00E22811">
        <w:rPr>
          <w:rFonts w:ascii="Times New Roman" w:eastAsia="Calibri" w:hAnsi="Times New Roman" w:cs="Times New Roman"/>
          <w:noProof/>
          <w:sz w:val="24"/>
          <w:szCs w:val="24"/>
          <w:lang w:val="sq-AL"/>
        </w:rPr>
        <w:t>d</w:t>
      </w:r>
      <w:r w:rsidR="00982338" w:rsidRPr="00E22811">
        <w:rPr>
          <w:rFonts w:ascii="Times New Roman" w:eastAsia="Calibri" w:hAnsi="Times New Roman" w:cs="Times New Roman"/>
          <w:noProof/>
          <w:sz w:val="24"/>
          <w:szCs w:val="24"/>
          <w:lang w:val="sq-AL"/>
        </w:rPr>
        <w:t>ë</w:t>
      </w:r>
      <w:r w:rsidR="00CD7B7D" w:rsidRPr="00E22811">
        <w:rPr>
          <w:rFonts w:ascii="Times New Roman" w:eastAsia="Calibri" w:hAnsi="Times New Roman" w:cs="Times New Roman"/>
          <w:noProof/>
          <w:sz w:val="24"/>
          <w:szCs w:val="24"/>
          <w:lang w:val="sq-AL"/>
        </w:rPr>
        <w:t>rkoh</w:t>
      </w:r>
      <w:r w:rsidR="00982338" w:rsidRPr="00E22811">
        <w:rPr>
          <w:rFonts w:ascii="Times New Roman" w:eastAsia="Calibri" w:hAnsi="Times New Roman" w:cs="Times New Roman"/>
          <w:noProof/>
          <w:sz w:val="24"/>
          <w:szCs w:val="24"/>
          <w:lang w:val="sq-AL"/>
        </w:rPr>
        <w:t>ë</w:t>
      </w:r>
      <w:r w:rsidR="00CD7B7D" w:rsidRPr="00E22811">
        <w:rPr>
          <w:rFonts w:ascii="Times New Roman" w:eastAsia="Calibri" w:hAnsi="Times New Roman" w:cs="Times New Roman"/>
          <w:noProof/>
          <w:sz w:val="24"/>
          <w:szCs w:val="24"/>
          <w:lang w:val="sq-AL"/>
        </w:rPr>
        <w:t>, n</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 xml:space="preserve"> portofolin e borxhit t</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 xml:space="preserve"> jasht</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m ka nj</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 xml:space="preserve"> tendenc</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 xml:space="preserve"> </w:t>
      </w:r>
      <w:r w:rsidR="00CD7B7D" w:rsidRPr="00E22811">
        <w:rPr>
          <w:rFonts w:ascii="Times New Roman" w:eastAsia="Calibri" w:hAnsi="Times New Roman" w:cs="Times New Roman"/>
          <w:noProof/>
          <w:sz w:val="24"/>
          <w:szCs w:val="24"/>
          <w:lang w:val="sq-AL"/>
        </w:rPr>
        <w:t>n</w:t>
      </w:r>
      <w:r w:rsidR="00982338" w:rsidRPr="00E22811">
        <w:rPr>
          <w:rFonts w:ascii="Times New Roman" w:eastAsia="Calibri" w:hAnsi="Times New Roman" w:cs="Times New Roman"/>
          <w:noProof/>
          <w:sz w:val="24"/>
          <w:szCs w:val="24"/>
          <w:lang w:val="sq-AL"/>
        </w:rPr>
        <w:t>ë</w:t>
      </w:r>
      <w:r w:rsidR="00CD7B7D" w:rsidRPr="00E22811">
        <w:rPr>
          <w:rFonts w:ascii="Times New Roman" w:eastAsia="Calibri" w:hAnsi="Times New Roman" w:cs="Times New Roman"/>
          <w:noProof/>
          <w:sz w:val="24"/>
          <w:szCs w:val="24"/>
          <w:lang w:val="sq-AL"/>
        </w:rPr>
        <w:t xml:space="preserve"> drejtim t</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 xml:space="preserve"> rritjes s</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 xml:space="preserve"> p</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rqendrimit t</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 xml:space="preserve"> titujve nd</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rkomb</w:t>
      </w:r>
      <w:r w:rsidR="00982338" w:rsidRPr="00E22811">
        <w:rPr>
          <w:rFonts w:ascii="Times New Roman" w:eastAsia="Calibri" w:hAnsi="Times New Roman" w:cs="Times New Roman"/>
          <w:noProof/>
          <w:sz w:val="24"/>
          <w:szCs w:val="24"/>
          <w:lang w:val="sq-AL"/>
        </w:rPr>
        <w:t>ë</w:t>
      </w:r>
      <w:r w:rsidR="00A439A3" w:rsidRPr="00E22811">
        <w:rPr>
          <w:rFonts w:ascii="Times New Roman" w:eastAsia="Calibri" w:hAnsi="Times New Roman" w:cs="Times New Roman"/>
          <w:noProof/>
          <w:sz w:val="24"/>
          <w:szCs w:val="24"/>
          <w:lang w:val="sq-AL"/>
        </w:rPr>
        <w:t>tar</w:t>
      </w:r>
      <w:r w:rsidR="00982338" w:rsidRPr="00E22811">
        <w:rPr>
          <w:rFonts w:ascii="Times New Roman" w:eastAsia="Calibri" w:hAnsi="Times New Roman" w:cs="Times New Roman"/>
          <w:noProof/>
          <w:sz w:val="24"/>
          <w:szCs w:val="24"/>
          <w:lang w:val="sq-AL"/>
        </w:rPr>
        <w:t>ë</w:t>
      </w:r>
      <w:r w:rsidR="00CD7B7D" w:rsidRPr="00E22811">
        <w:rPr>
          <w:rFonts w:ascii="Times New Roman" w:eastAsia="Calibri" w:hAnsi="Times New Roman" w:cs="Times New Roman"/>
          <w:noProof/>
          <w:sz w:val="24"/>
          <w:szCs w:val="24"/>
          <w:lang w:val="sq-AL"/>
        </w:rPr>
        <w:t>,</w:t>
      </w:r>
      <w:r w:rsidR="00A439A3" w:rsidRPr="00E22811">
        <w:rPr>
          <w:rFonts w:ascii="Times New Roman" w:eastAsia="Calibri" w:hAnsi="Times New Roman" w:cs="Times New Roman"/>
          <w:noProof/>
          <w:sz w:val="24"/>
          <w:szCs w:val="24"/>
          <w:lang w:val="sq-AL"/>
        </w:rPr>
        <w:t xml:space="preserve"> duke</w:t>
      </w:r>
      <w:r w:rsidR="00BC6E6F" w:rsidRPr="00E22811">
        <w:rPr>
          <w:rFonts w:ascii="Times New Roman" w:eastAsia="Calibri" w:hAnsi="Times New Roman" w:cs="Times New Roman"/>
          <w:noProof/>
          <w:sz w:val="24"/>
          <w:szCs w:val="24"/>
          <w:lang w:val="sq-AL"/>
        </w:rPr>
        <w:t xml:space="preserve"> ref</w:t>
      </w:r>
      <w:r w:rsidR="00D86FB0" w:rsidRPr="00E22811">
        <w:rPr>
          <w:rFonts w:ascii="Times New Roman" w:eastAsia="Calibri" w:hAnsi="Times New Roman" w:cs="Times New Roman"/>
          <w:noProof/>
          <w:sz w:val="24"/>
          <w:szCs w:val="24"/>
          <w:lang w:val="sq-AL"/>
        </w:rPr>
        <w:t>l</w:t>
      </w:r>
      <w:r w:rsidR="009E6AD6" w:rsidRPr="00E22811">
        <w:rPr>
          <w:rFonts w:ascii="Times New Roman" w:eastAsia="Calibri" w:hAnsi="Times New Roman" w:cs="Times New Roman"/>
          <w:noProof/>
          <w:sz w:val="24"/>
          <w:szCs w:val="24"/>
          <w:lang w:val="sq-AL"/>
        </w:rPr>
        <w:t>ek</w:t>
      </w:r>
      <w:r w:rsidR="00BC6E6F" w:rsidRPr="00E22811">
        <w:rPr>
          <w:rFonts w:ascii="Times New Roman" w:eastAsia="Calibri" w:hAnsi="Times New Roman" w:cs="Times New Roman"/>
          <w:noProof/>
          <w:sz w:val="24"/>
          <w:szCs w:val="24"/>
          <w:lang w:val="sq-AL"/>
        </w:rPr>
        <w:t>t</w:t>
      </w:r>
      <w:r w:rsidR="00A439A3" w:rsidRPr="00E22811">
        <w:rPr>
          <w:rFonts w:ascii="Times New Roman" w:eastAsia="Calibri" w:hAnsi="Times New Roman" w:cs="Times New Roman"/>
          <w:noProof/>
          <w:sz w:val="24"/>
          <w:szCs w:val="24"/>
          <w:lang w:val="sq-AL"/>
        </w:rPr>
        <w:t>uar</w:t>
      </w:r>
      <w:r w:rsidR="00BC6E6F" w:rsidRPr="00E22811">
        <w:rPr>
          <w:rFonts w:ascii="Times New Roman" w:eastAsia="Calibri" w:hAnsi="Times New Roman" w:cs="Times New Roman"/>
          <w:noProof/>
          <w:sz w:val="24"/>
          <w:szCs w:val="24"/>
          <w:lang w:val="sq-AL"/>
        </w:rPr>
        <w:t xml:space="preserve"> politikat e huamarrjes gjat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viteve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fundit,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cilat nisur edhe nga kufizimet e tregut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brendsh</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m kan</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pasur si q</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llim uljen e presionit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huamarrjes </w:t>
      </w:r>
      <w:r w:rsidR="002E7A0A" w:rsidRPr="00E22811">
        <w:rPr>
          <w:rFonts w:ascii="Times New Roman" w:eastAsia="Calibri" w:hAnsi="Times New Roman" w:cs="Times New Roman"/>
          <w:noProof/>
          <w:sz w:val="24"/>
          <w:szCs w:val="24"/>
          <w:lang w:val="sq-AL"/>
        </w:rPr>
        <w:t>s</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brendsh</w:t>
      </w:r>
      <w:r w:rsidR="002E7A0A" w:rsidRPr="00E22811">
        <w:rPr>
          <w:rFonts w:ascii="Times New Roman" w:eastAsia="Calibri" w:hAnsi="Times New Roman" w:cs="Times New Roman"/>
          <w:noProof/>
          <w:sz w:val="24"/>
          <w:szCs w:val="24"/>
          <w:lang w:val="sq-AL"/>
        </w:rPr>
        <w:t>me</w:t>
      </w:r>
      <w:r w:rsidR="00BC6E6F" w:rsidRPr="00E22811">
        <w:rPr>
          <w:rFonts w:ascii="Times New Roman" w:eastAsia="Calibri" w:hAnsi="Times New Roman" w:cs="Times New Roman"/>
          <w:noProof/>
          <w:sz w:val="24"/>
          <w:szCs w:val="24"/>
          <w:lang w:val="sq-AL"/>
        </w:rPr>
        <w:t xml:space="preserve"> p</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r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leht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suar procesin e ristrukturimit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porto</w:t>
      </w:r>
      <w:r w:rsidR="00B935CC">
        <w:rPr>
          <w:rFonts w:ascii="Times New Roman" w:eastAsia="Calibri" w:hAnsi="Times New Roman" w:cs="Times New Roman"/>
          <w:noProof/>
          <w:sz w:val="24"/>
          <w:szCs w:val="24"/>
          <w:lang w:val="sq-AL"/>
        </w:rPr>
        <w:t>f</w:t>
      </w:r>
      <w:r w:rsidR="00BC6E6F" w:rsidRPr="00E22811">
        <w:rPr>
          <w:rFonts w:ascii="Times New Roman" w:eastAsia="Calibri" w:hAnsi="Times New Roman" w:cs="Times New Roman"/>
          <w:noProof/>
          <w:sz w:val="24"/>
          <w:szCs w:val="24"/>
          <w:lang w:val="sq-AL"/>
        </w:rPr>
        <w:t>olit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borxhit t</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 xml:space="preserve"> brendsh</w:t>
      </w:r>
      <w:r w:rsidR="00E21B09" w:rsidRPr="00E22811">
        <w:rPr>
          <w:rFonts w:ascii="Times New Roman" w:eastAsia="Calibri" w:hAnsi="Times New Roman" w:cs="Times New Roman"/>
          <w:noProof/>
          <w:sz w:val="24"/>
          <w:szCs w:val="24"/>
          <w:lang w:val="sq-AL"/>
        </w:rPr>
        <w:t>ë</w:t>
      </w:r>
      <w:r w:rsidR="00BC6E6F" w:rsidRPr="00E22811">
        <w:rPr>
          <w:rFonts w:ascii="Times New Roman" w:eastAsia="Calibri" w:hAnsi="Times New Roman" w:cs="Times New Roman"/>
          <w:noProof/>
          <w:sz w:val="24"/>
          <w:szCs w:val="24"/>
          <w:lang w:val="sq-AL"/>
        </w:rPr>
        <w:t>m</w:t>
      </w:r>
      <w:r w:rsidR="001D2AA9" w:rsidRPr="00E22811">
        <w:rPr>
          <w:rFonts w:ascii="Times New Roman" w:eastAsia="Calibri" w:hAnsi="Times New Roman" w:cs="Times New Roman"/>
          <w:noProof/>
          <w:sz w:val="24"/>
          <w:szCs w:val="24"/>
          <w:lang w:val="sq-AL"/>
        </w:rPr>
        <w:t xml:space="preserve"> dhe stimuluar kreditmin e sektorit privat</w:t>
      </w:r>
    </w:p>
    <w:p w14:paraId="71DF5C1F" w14:textId="77777777" w:rsidR="002E7A0A" w:rsidRPr="00E22811" w:rsidRDefault="002E7A0A" w:rsidP="00594635">
      <w:pPr>
        <w:spacing w:after="0" w:line="23" w:lineRule="atLeast"/>
        <w:ind w:right="237"/>
        <w:jc w:val="both"/>
        <w:rPr>
          <w:rFonts w:ascii="Times New Roman" w:eastAsia="Calibri" w:hAnsi="Times New Roman" w:cs="Times New Roman"/>
          <w:noProof/>
          <w:sz w:val="16"/>
          <w:szCs w:val="24"/>
          <w:lang w:val="sq-AL"/>
        </w:rPr>
      </w:pPr>
    </w:p>
    <w:p w14:paraId="71DF5C20" w14:textId="77777777" w:rsidR="00BC6E6F" w:rsidRDefault="0071591E" w:rsidP="000F2369">
      <w:pPr>
        <w:spacing w:after="0" w:line="276" w:lineRule="auto"/>
        <w:ind w:left="2977" w:right="237" w:hanging="2693"/>
        <w:rPr>
          <w:rFonts w:ascii="Cambria" w:eastAsia="Calibri" w:hAnsi="Cambria" w:cs="Times New Roman"/>
          <w:i/>
          <w:noProof/>
          <w:color w:val="8E0000"/>
          <w:sz w:val="20"/>
          <w:szCs w:val="20"/>
          <w:lang w:val="sq-AL"/>
        </w:rPr>
      </w:pPr>
      <w:r w:rsidRPr="00E22811">
        <w:rPr>
          <w:rFonts w:ascii="Cambria" w:eastAsia="Calibri" w:hAnsi="Cambria" w:cs="Times New Roman"/>
          <w:b/>
          <w:noProof/>
          <w:color w:val="C00000"/>
          <w:sz w:val="20"/>
          <w:szCs w:val="20"/>
          <w:lang w:val="sq-AL"/>
        </w:rPr>
        <w:t xml:space="preserve">          </w:t>
      </w:r>
      <w:r w:rsidR="005E44E0" w:rsidRPr="00E22811">
        <w:rPr>
          <w:rFonts w:ascii="Cambria" w:eastAsia="Calibri" w:hAnsi="Cambria" w:cs="Times New Roman"/>
          <w:b/>
          <w:noProof/>
          <w:color w:val="C00000"/>
          <w:sz w:val="20"/>
          <w:szCs w:val="20"/>
          <w:lang w:val="sq-AL"/>
        </w:rPr>
        <w:t xml:space="preserve">   </w:t>
      </w:r>
      <w:r w:rsidR="002E7A0A" w:rsidRPr="00E22811">
        <w:rPr>
          <w:rFonts w:ascii="Cambria" w:eastAsia="Calibri" w:hAnsi="Cambria" w:cs="Times New Roman"/>
          <w:b/>
          <w:noProof/>
          <w:color w:val="8E0000"/>
          <w:sz w:val="20"/>
          <w:szCs w:val="20"/>
          <w:lang w:val="sq-AL"/>
        </w:rPr>
        <w:t>Paraqitje Grafike 3</w:t>
      </w:r>
      <w:r w:rsidRPr="00E22811">
        <w:rPr>
          <w:rFonts w:ascii="Cambria" w:eastAsia="Calibri" w:hAnsi="Cambria" w:cs="Times New Roman"/>
          <w:b/>
          <w:noProof/>
          <w:color w:val="8E0000"/>
          <w:sz w:val="20"/>
          <w:szCs w:val="20"/>
          <w:lang w:val="sq-AL"/>
        </w:rPr>
        <w:t>(a)</w:t>
      </w:r>
      <w:r w:rsidR="002E7A0A" w:rsidRPr="00E22811">
        <w:rPr>
          <w:rFonts w:ascii="Cambria" w:eastAsia="Calibri" w:hAnsi="Cambria" w:cs="Times New Roman"/>
          <w:b/>
          <w:noProof/>
          <w:color w:val="8E0000"/>
          <w:sz w:val="20"/>
          <w:szCs w:val="20"/>
          <w:lang w:val="sq-AL"/>
        </w:rPr>
        <w:t>:</w:t>
      </w:r>
      <w:r w:rsidR="002E7A0A" w:rsidRPr="00E22811">
        <w:rPr>
          <w:rFonts w:ascii="Cambria" w:eastAsia="MS Mincho" w:hAnsi="Cambria" w:cs="Times New Roman"/>
          <w:b/>
          <w:noProof/>
          <w:color w:val="C00000"/>
          <w:sz w:val="20"/>
          <w:szCs w:val="20"/>
          <w:lang w:val="sq-AL"/>
        </w:rPr>
        <w:t xml:space="preserve"> </w:t>
      </w:r>
      <w:r w:rsidR="002E7A0A" w:rsidRPr="00E22811">
        <w:rPr>
          <w:rFonts w:ascii="Cambria" w:eastAsia="Calibri" w:hAnsi="Cambria" w:cs="Times New Roman"/>
          <w:i/>
          <w:noProof/>
          <w:color w:val="8E0000"/>
          <w:sz w:val="20"/>
          <w:szCs w:val="20"/>
          <w:lang w:val="sq-AL"/>
        </w:rPr>
        <w:t>Kompozimi i portofolit t</w:t>
      </w:r>
      <w:r w:rsidR="00E21B09" w:rsidRPr="00E22811">
        <w:rPr>
          <w:rFonts w:ascii="Cambria" w:eastAsia="Calibri" w:hAnsi="Cambria" w:cs="Times New Roman"/>
          <w:i/>
          <w:noProof/>
          <w:color w:val="8E0000"/>
          <w:sz w:val="20"/>
          <w:szCs w:val="20"/>
          <w:lang w:val="sq-AL"/>
        </w:rPr>
        <w:t>ë</w:t>
      </w:r>
      <w:r w:rsidR="002E7A0A" w:rsidRPr="00E22811">
        <w:rPr>
          <w:rFonts w:ascii="Cambria" w:eastAsia="Calibri" w:hAnsi="Cambria" w:cs="Times New Roman"/>
          <w:i/>
          <w:noProof/>
          <w:color w:val="8E0000"/>
          <w:sz w:val="20"/>
          <w:szCs w:val="20"/>
          <w:lang w:val="sq-AL"/>
        </w:rPr>
        <w:t xml:space="preserve"> borxhit shtet</w:t>
      </w:r>
      <w:r w:rsidR="00E21B09" w:rsidRPr="00E22811">
        <w:rPr>
          <w:rFonts w:ascii="Cambria" w:eastAsia="Calibri" w:hAnsi="Cambria" w:cs="Times New Roman"/>
          <w:i/>
          <w:noProof/>
          <w:color w:val="8E0000"/>
          <w:sz w:val="20"/>
          <w:szCs w:val="20"/>
          <w:lang w:val="sq-AL"/>
        </w:rPr>
        <w:t>ë</w:t>
      </w:r>
      <w:r w:rsidR="002E7A0A" w:rsidRPr="00E22811">
        <w:rPr>
          <w:rFonts w:ascii="Cambria" w:eastAsia="Calibri" w:hAnsi="Cambria" w:cs="Times New Roman"/>
          <w:i/>
          <w:noProof/>
          <w:color w:val="8E0000"/>
          <w:sz w:val="20"/>
          <w:szCs w:val="20"/>
          <w:lang w:val="sq-AL"/>
        </w:rPr>
        <w:t xml:space="preserve">ror sipas instrumenteve </w:t>
      </w:r>
      <w:r w:rsidRPr="00E22811">
        <w:rPr>
          <w:rFonts w:ascii="Cambria" w:eastAsia="Calibri" w:hAnsi="Cambria" w:cs="Times New Roman"/>
          <w:i/>
          <w:noProof/>
          <w:color w:val="8E0000"/>
          <w:sz w:val="20"/>
          <w:szCs w:val="20"/>
          <w:lang w:val="sq-AL"/>
        </w:rPr>
        <w:t xml:space="preserve">                     </w:t>
      </w:r>
      <w:r w:rsidR="00C43C4B" w:rsidRPr="00E22811">
        <w:rPr>
          <w:rFonts w:ascii="Cambria" w:eastAsia="Calibri" w:hAnsi="Cambria" w:cs="Times New Roman"/>
          <w:i/>
          <w:noProof/>
          <w:color w:val="8E0000"/>
          <w:sz w:val="20"/>
          <w:szCs w:val="20"/>
          <w:lang w:val="sq-AL"/>
        </w:rPr>
        <w:t>(2015</w:t>
      </w:r>
      <w:r w:rsidR="00EC2610" w:rsidRPr="00E22811">
        <w:rPr>
          <w:rFonts w:ascii="Cambria" w:eastAsia="Calibri" w:hAnsi="Cambria" w:cs="Times New Roman"/>
          <w:i/>
          <w:noProof/>
          <w:color w:val="8E0000"/>
          <w:sz w:val="20"/>
          <w:szCs w:val="20"/>
          <w:lang w:val="sq-AL"/>
        </w:rPr>
        <w:t>–</w:t>
      </w:r>
      <w:r w:rsidR="002C0F00" w:rsidRPr="00E22811">
        <w:rPr>
          <w:rFonts w:ascii="Cambria" w:eastAsia="Calibri" w:hAnsi="Cambria" w:cs="Times New Roman"/>
          <w:i/>
          <w:noProof/>
          <w:color w:val="8E0000"/>
          <w:sz w:val="20"/>
          <w:szCs w:val="20"/>
          <w:lang w:val="sq-AL"/>
        </w:rPr>
        <w:t>Shtator</w:t>
      </w:r>
      <w:r w:rsidRPr="00E22811">
        <w:rPr>
          <w:rFonts w:ascii="Cambria" w:eastAsia="Calibri" w:hAnsi="Cambria" w:cs="Times New Roman"/>
          <w:i/>
          <w:noProof/>
          <w:color w:val="8E0000"/>
          <w:sz w:val="20"/>
          <w:szCs w:val="20"/>
          <w:lang w:val="sq-AL"/>
        </w:rPr>
        <w:t xml:space="preserve"> </w:t>
      </w:r>
      <w:r w:rsidR="00EC2610" w:rsidRPr="00E22811">
        <w:rPr>
          <w:rFonts w:ascii="Cambria" w:eastAsia="Calibri" w:hAnsi="Cambria" w:cs="Times New Roman"/>
          <w:i/>
          <w:noProof/>
          <w:color w:val="8E0000"/>
          <w:sz w:val="20"/>
          <w:szCs w:val="20"/>
          <w:lang w:val="sq-AL"/>
        </w:rPr>
        <w:t>2019</w:t>
      </w:r>
      <w:r w:rsidR="002E7A0A" w:rsidRPr="00E22811">
        <w:rPr>
          <w:rFonts w:ascii="Cambria" w:eastAsia="Calibri" w:hAnsi="Cambria" w:cs="Times New Roman"/>
          <w:i/>
          <w:noProof/>
          <w:color w:val="8E0000"/>
          <w:sz w:val="20"/>
          <w:szCs w:val="20"/>
          <w:lang w:val="sq-AL"/>
        </w:rPr>
        <w:t>)</w:t>
      </w:r>
    </w:p>
    <w:p w14:paraId="71DF5C21" w14:textId="77777777" w:rsidR="001D2AA9" w:rsidRPr="000F2369" w:rsidRDefault="00E22811" w:rsidP="001D2AA9">
      <w:pPr>
        <w:spacing w:after="0" w:line="276" w:lineRule="auto"/>
        <w:ind w:left="2977" w:right="237" w:hanging="2977"/>
        <w:jc w:val="both"/>
        <w:rPr>
          <w:rFonts w:ascii="Times New Roman" w:eastAsia="Calibri" w:hAnsi="Times New Roman" w:cs="Times New Roman"/>
          <w:noProof/>
          <w:color w:val="C00000"/>
          <w:sz w:val="24"/>
          <w:szCs w:val="24"/>
          <w:lang w:val="sq-AL"/>
        </w:rPr>
      </w:pPr>
      <w:r>
        <w:rPr>
          <w:rFonts w:ascii="Times New Roman" w:eastAsia="Calibri" w:hAnsi="Times New Roman" w:cs="Times New Roman"/>
          <w:noProof/>
          <w:color w:val="C00000"/>
          <w:sz w:val="24"/>
          <w:szCs w:val="24"/>
        </w:rPr>
        <w:drawing>
          <wp:inline distT="0" distB="0" distL="0" distR="0" wp14:anchorId="71DF5F6D" wp14:editId="71DF5F6E">
            <wp:extent cx="5553075" cy="1943100"/>
            <wp:effectExtent l="19050" t="19050" r="28575" b="190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3075" cy="1943100"/>
                    </a:xfrm>
                    <a:prstGeom prst="rect">
                      <a:avLst/>
                    </a:prstGeom>
                    <a:noFill/>
                    <a:ln>
                      <a:solidFill>
                        <a:schemeClr val="bg1">
                          <a:lumMod val="75000"/>
                        </a:schemeClr>
                      </a:solidFill>
                    </a:ln>
                  </pic:spPr>
                </pic:pic>
              </a:graphicData>
            </a:graphic>
          </wp:inline>
        </w:drawing>
      </w:r>
    </w:p>
    <w:p w14:paraId="71DF5C22" w14:textId="77777777" w:rsidR="00BC6E6F" w:rsidRPr="00EA5091" w:rsidRDefault="00D11602" w:rsidP="00EA5091">
      <w:pPr>
        <w:tabs>
          <w:tab w:val="left" w:pos="1182"/>
        </w:tabs>
        <w:spacing w:after="0" w:line="276" w:lineRule="auto"/>
        <w:ind w:right="-46"/>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Burimi:</w:t>
      </w:r>
      <w:r w:rsidRPr="000F5C13">
        <w:rPr>
          <w:rFonts w:ascii="Cambria" w:eastAsia="MS Mincho" w:hAnsi="Cambria" w:cs="Times New Roman"/>
          <w:b/>
          <w:noProof/>
          <w:sz w:val="20"/>
          <w:szCs w:val="20"/>
          <w:lang w:val="sq-AL"/>
        </w:rPr>
        <w:t xml:space="preserve"> </w:t>
      </w:r>
      <w:r w:rsidRPr="000F5C13">
        <w:rPr>
          <w:rFonts w:ascii="Cambria" w:eastAsia="Calibri" w:hAnsi="Cambria" w:cs="Times New Roman"/>
          <w:i/>
          <w:noProof/>
          <w:color w:val="8E0000"/>
          <w:sz w:val="20"/>
          <w:szCs w:val="20"/>
          <w:lang w:val="sq-AL"/>
        </w:rPr>
        <w:t>Ministria</w:t>
      </w:r>
      <w:r w:rsidR="00EC2610">
        <w:rPr>
          <w:rFonts w:ascii="Cambria" w:eastAsia="Calibri" w:hAnsi="Cambria" w:cs="Times New Roman"/>
          <w:i/>
          <w:noProof/>
          <w:color w:val="8E0000"/>
          <w:sz w:val="20"/>
          <w:szCs w:val="20"/>
          <w:lang w:val="sq-AL"/>
        </w:rPr>
        <w:t xml:space="preserve"> e Financave dhe Ekonomisë (2019</w:t>
      </w:r>
      <w:r w:rsidRPr="000F5C13">
        <w:rPr>
          <w:rFonts w:ascii="Cambria" w:eastAsia="Calibri" w:hAnsi="Cambria" w:cs="Times New Roman"/>
          <w:i/>
          <w:noProof/>
          <w:color w:val="8E0000"/>
          <w:sz w:val="20"/>
          <w:szCs w:val="20"/>
          <w:lang w:val="sq-AL"/>
        </w:rPr>
        <w:t>)</w:t>
      </w:r>
    </w:p>
    <w:p w14:paraId="71DF5C23" w14:textId="77777777" w:rsidR="00750F32" w:rsidRPr="00E22811" w:rsidRDefault="00DF50FD" w:rsidP="000F2369">
      <w:pPr>
        <w:spacing w:after="0" w:line="276" w:lineRule="auto"/>
        <w:ind w:right="237"/>
        <w:jc w:val="both"/>
        <w:rPr>
          <w:rFonts w:ascii="Times New Roman" w:eastAsia="Calibri" w:hAnsi="Times New Roman" w:cs="Times New Roman"/>
          <w:noProof/>
          <w:sz w:val="24"/>
          <w:szCs w:val="24"/>
          <w:lang w:val="sq-AL"/>
        </w:rPr>
      </w:pPr>
      <w:r w:rsidRPr="00E22811">
        <w:rPr>
          <w:rFonts w:ascii="Times New Roman" w:eastAsia="Calibri" w:hAnsi="Times New Roman" w:cs="Times New Roman"/>
          <w:noProof/>
          <w:sz w:val="24"/>
          <w:szCs w:val="24"/>
          <w:lang w:val="sq-AL"/>
        </w:rPr>
        <w:lastRenderedPageBreak/>
        <w:t>P</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w:t>
      </w:r>
      <w:r w:rsidR="00370CB7" w:rsidRPr="00E22811">
        <w:rPr>
          <w:rFonts w:ascii="Times New Roman" w:eastAsia="Calibri" w:hAnsi="Times New Roman" w:cs="Times New Roman"/>
          <w:noProof/>
          <w:sz w:val="24"/>
          <w:szCs w:val="24"/>
          <w:lang w:val="sq-AL"/>
        </w:rPr>
        <w:t xml:space="preserve"> </w:t>
      </w:r>
      <w:r w:rsidRPr="00E22811">
        <w:rPr>
          <w:rFonts w:ascii="Times New Roman" w:eastAsia="Calibri" w:hAnsi="Times New Roman" w:cs="Times New Roman"/>
          <w:noProof/>
          <w:sz w:val="24"/>
          <w:szCs w:val="24"/>
          <w:lang w:val="sq-AL"/>
        </w:rPr>
        <w:t>sa i p</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rket</w:t>
      </w:r>
      <w:r w:rsidR="00B843CB" w:rsidRPr="00E22811">
        <w:rPr>
          <w:rFonts w:ascii="Times New Roman" w:eastAsia="Calibri" w:hAnsi="Times New Roman" w:cs="Times New Roman"/>
          <w:noProof/>
          <w:sz w:val="24"/>
          <w:szCs w:val="24"/>
          <w:lang w:val="sq-AL"/>
        </w:rPr>
        <w:t xml:space="preserve"> kompozimit t</w:t>
      </w:r>
      <w:r w:rsidR="00754CBC" w:rsidRPr="00E22811">
        <w:rPr>
          <w:rFonts w:ascii="Times New Roman" w:eastAsia="Calibri" w:hAnsi="Times New Roman" w:cs="Times New Roman"/>
          <w:noProof/>
          <w:sz w:val="24"/>
          <w:szCs w:val="24"/>
          <w:lang w:val="sq-AL"/>
        </w:rPr>
        <w:t>ë</w:t>
      </w:r>
      <w:r w:rsidR="00B843CB" w:rsidRPr="00E22811">
        <w:rPr>
          <w:rFonts w:ascii="Times New Roman" w:eastAsia="Calibri" w:hAnsi="Times New Roman" w:cs="Times New Roman"/>
          <w:noProof/>
          <w:sz w:val="24"/>
          <w:szCs w:val="24"/>
          <w:lang w:val="sq-AL"/>
        </w:rPr>
        <w:t xml:space="preserve"> portofolit t</w:t>
      </w:r>
      <w:r w:rsidR="00754CBC" w:rsidRPr="00E22811">
        <w:rPr>
          <w:rFonts w:ascii="Times New Roman" w:eastAsia="Calibri" w:hAnsi="Times New Roman" w:cs="Times New Roman"/>
          <w:noProof/>
          <w:sz w:val="24"/>
          <w:szCs w:val="24"/>
          <w:lang w:val="sq-AL"/>
        </w:rPr>
        <w:t>ë</w:t>
      </w:r>
      <w:r w:rsidR="00B843CB" w:rsidRPr="00E22811">
        <w:rPr>
          <w:rFonts w:ascii="Times New Roman" w:eastAsia="Calibri" w:hAnsi="Times New Roman" w:cs="Times New Roman"/>
          <w:noProof/>
          <w:sz w:val="24"/>
          <w:szCs w:val="24"/>
          <w:lang w:val="sq-AL"/>
        </w:rPr>
        <w:t xml:space="preserve"> borxhit shtet</w:t>
      </w:r>
      <w:r w:rsidR="00754CBC" w:rsidRPr="00E22811">
        <w:rPr>
          <w:rFonts w:ascii="Times New Roman" w:eastAsia="Calibri" w:hAnsi="Times New Roman" w:cs="Times New Roman"/>
          <w:noProof/>
          <w:sz w:val="24"/>
          <w:szCs w:val="24"/>
          <w:lang w:val="sq-AL"/>
        </w:rPr>
        <w:t>ë</w:t>
      </w:r>
      <w:r w:rsidR="00B843CB" w:rsidRPr="00E22811">
        <w:rPr>
          <w:rFonts w:ascii="Times New Roman" w:eastAsia="Calibri" w:hAnsi="Times New Roman" w:cs="Times New Roman"/>
          <w:noProof/>
          <w:sz w:val="24"/>
          <w:szCs w:val="24"/>
          <w:lang w:val="sq-AL"/>
        </w:rPr>
        <w:t>ror sipas</w:t>
      </w:r>
      <w:r w:rsidRPr="00E22811">
        <w:rPr>
          <w:rFonts w:ascii="Times New Roman" w:eastAsia="Calibri" w:hAnsi="Times New Roman" w:cs="Times New Roman"/>
          <w:noProof/>
          <w:sz w:val="24"/>
          <w:szCs w:val="24"/>
          <w:lang w:val="sq-AL"/>
        </w:rPr>
        <w:t xml:space="preserve"> maturitetit </w:t>
      </w:r>
      <w:r w:rsidR="00B843CB" w:rsidRPr="007C5DFA">
        <w:rPr>
          <w:rFonts w:ascii="Times New Roman" w:eastAsia="Calibri" w:hAnsi="Times New Roman" w:cs="Times New Roman"/>
          <w:noProof/>
          <w:sz w:val="24"/>
          <w:szCs w:val="24"/>
          <w:lang w:val="sq-AL"/>
        </w:rPr>
        <w:t>(</w:t>
      </w:r>
      <w:r w:rsidRPr="007C5DFA">
        <w:rPr>
          <w:rFonts w:ascii="Times New Roman" w:eastAsia="Calibri" w:hAnsi="Times New Roman" w:cs="Times New Roman"/>
          <w:noProof/>
          <w:sz w:val="24"/>
          <w:szCs w:val="24"/>
          <w:lang w:val="sq-AL"/>
        </w:rPr>
        <w:t>origj</w:t>
      </w:r>
      <w:r w:rsidR="00B843CB" w:rsidRPr="007C5DFA">
        <w:rPr>
          <w:rFonts w:ascii="Times New Roman" w:eastAsia="Calibri" w:hAnsi="Times New Roman" w:cs="Times New Roman"/>
          <w:noProof/>
          <w:sz w:val="24"/>
          <w:szCs w:val="24"/>
          <w:lang w:val="sq-AL"/>
        </w:rPr>
        <w:t>inal)</w:t>
      </w:r>
      <w:r w:rsidR="00B843CB" w:rsidRPr="00E22811">
        <w:rPr>
          <w:rFonts w:ascii="Times New Roman" w:eastAsia="Calibri" w:hAnsi="Times New Roman" w:cs="Times New Roman"/>
          <w:noProof/>
          <w:sz w:val="24"/>
          <w:szCs w:val="24"/>
          <w:lang w:val="sq-AL"/>
        </w:rPr>
        <w:t xml:space="preserve"> </w:t>
      </w:r>
      <w:r w:rsidRPr="00E22811">
        <w:rPr>
          <w:rFonts w:ascii="Times New Roman" w:eastAsia="Calibri" w:hAnsi="Times New Roman" w:cs="Times New Roman"/>
          <w:noProof/>
          <w:sz w:val="24"/>
          <w:szCs w:val="24"/>
          <w:lang w:val="sq-AL"/>
        </w:rPr>
        <w:t>t</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instrumenteve t</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huas</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v</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rehet nj</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reduktim gradual i </w:t>
      </w:r>
      <w:r w:rsidR="00251E13" w:rsidRPr="00E22811">
        <w:rPr>
          <w:rFonts w:ascii="Times New Roman" w:eastAsia="Calibri" w:hAnsi="Times New Roman" w:cs="Times New Roman"/>
          <w:noProof/>
          <w:sz w:val="24"/>
          <w:szCs w:val="24"/>
          <w:lang w:val="sq-AL"/>
        </w:rPr>
        <w:t>p</w:t>
      </w:r>
      <w:r w:rsidR="00754CBC" w:rsidRPr="00E22811">
        <w:rPr>
          <w:rFonts w:ascii="Times New Roman" w:eastAsia="Calibri" w:hAnsi="Times New Roman" w:cs="Times New Roman"/>
          <w:noProof/>
          <w:sz w:val="24"/>
          <w:szCs w:val="24"/>
          <w:lang w:val="sq-AL"/>
        </w:rPr>
        <w:t>ë</w:t>
      </w:r>
      <w:r w:rsidR="00D11602" w:rsidRPr="00E22811">
        <w:rPr>
          <w:rFonts w:ascii="Times New Roman" w:eastAsia="Calibri" w:hAnsi="Times New Roman" w:cs="Times New Roman"/>
          <w:noProof/>
          <w:sz w:val="24"/>
          <w:szCs w:val="24"/>
          <w:lang w:val="sq-AL"/>
        </w:rPr>
        <w:t>rqendrimit</w:t>
      </w:r>
      <w:r w:rsidR="00251E13" w:rsidRPr="00E22811">
        <w:rPr>
          <w:rFonts w:ascii="Times New Roman" w:eastAsia="Calibri" w:hAnsi="Times New Roman" w:cs="Times New Roman"/>
          <w:noProof/>
          <w:sz w:val="24"/>
          <w:szCs w:val="24"/>
          <w:lang w:val="sq-AL"/>
        </w:rPr>
        <w:t xml:space="preserve"> t</w:t>
      </w:r>
      <w:r w:rsidR="00754CBC" w:rsidRPr="00E22811">
        <w:rPr>
          <w:rFonts w:ascii="Times New Roman" w:eastAsia="Calibri" w:hAnsi="Times New Roman" w:cs="Times New Roman"/>
          <w:noProof/>
          <w:sz w:val="24"/>
          <w:szCs w:val="24"/>
          <w:lang w:val="sq-AL"/>
        </w:rPr>
        <w:t>ë</w:t>
      </w:r>
      <w:r w:rsidR="00251E13" w:rsidRPr="00E22811">
        <w:rPr>
          <w:rFonts w:ascii="Times New Roman" w:eastAsia="Calibri" w:hAnsi="Times New Roman" w:cs="Times New Roman"/>
          <w:noProof/>
          <w:sz w:val="24"/>
          <w:szCs w:val="24"/>
          <w:lang w:val="sq-AL"/>
        </w:rPr>
        <w:t xml:space="preserve"> </w:t>
      </w:r>
      <w:r w:rsidRPr="00E22811">
        <w:rPr>
          <w:rFonts w:ascii="Times New Roman" w:eastAsia="Calibri" w:hAnsi="Times New Roman" w:cs="Times New Roman"/>
          <w:noProof/>
          <w:sz w:val="24"/>
          <w:szCs w:val="24"/>
          <w:lang w:val="sq-AL"/>
        </w:rPr>
        <w:t xml:space="preserve">instrumenteve afatshkurtra, </w:t>
      </w:r>
      <w:r w:rsidR="00D11602" w:rsidRPr="00E22811">
        <w:rPr>
          <w:rFonts w:ascii="Times New Roman" w:eastAsia="Calibri" w:hAnsi="Times New Roman" w:cs="Times New Roman"/>
          <w:noProof/>
          <w:sz w:val="24"/>
          <w:szCs w:val="24"/>
          <w:lang w:val="sq-AL"/>
        </w:rPr>
        <w:t>duke</w:t>
      </w:r>
      <w:r w:rsidRPr="00E22811">
        <w:rPr>
          <w:rFonts w:ascii="Times New Roman" w:eastAsia="Calibri" w:hAnsi="Times New Roman" w:cs="Times New Roman"/>
          <w:noProof/>
          <w:sz w:val="24"/>
          <w:szCs w:val="24"/>
          <w:lang w:val="sq-AL"/>
        </w:rPr>
        <w:t xml:space="preserve"> ref</w:t>
      </w:r>
      <w:r w:rsidR="00D86FB0" w:rsidRPr="00E22811">
        <w:rPr>
          <w:rFonts w:ascii="Times New Roman" w:eastAsia="Calibri" w:hAnsi="Times New Roman" w:cs="Times New Roman"/>
          <w:noProof/>
          <w:sz w:val="24"/>
          <w:szCs w:val="24"/>
          <w:lang w:val="sq-AL"/>
        </w:rPr>
        <w:t>lek</w:t>
      </w:r>
      <w:r w:rsidRPr="00E22811">
        <w:rPr>
          <w:rFonts w:ascii="Times New Roman" w:eastAsia="Calibri" w:hAnsi="Times New Roman" w:cs="Times New Roman"/>
          <w:noProof/>
          <w:sz w:val="24"/>
          <w:szCs w:val="24"/>
          <w:lang w:val="sq-AL"/>
        </w:rPr>
        <w:t>t</w:t>
      </w:r>
      <w:r w:rsidR="00D11602" w:rsidRPr="00E22811">
        <w:rPr>
          <w:rFonts w:ascii="Times New Roman" w:eastAsia="Calibri" w:hAnsi="Times New Roman" w:cs="Times New Roman"/>
          <w:noProof/>
          <w:sz w:val="24"/>
          <w:szCs w:val="24"/>
          <w:lang w:val="sq-AL"/>
        </w:rPr>
        <w:t xml:space="preserve">uar </w:t>
      </w:r>
      <w:r w:rsidRPr="00E22811">
        <w:rPr>
          <w:rFonts w:ascii="Times New Roman" w:eastAsia="Calibri" w:hAnsi="Times New Roman" w:cs="Times New Roman"/>
          <w:noProof/>
          <w:sz w:val="24"/>
          <w:szCs w:val="24"/>
          <w:lang w:val="sq-AL"/>
        </w:rPr>
        <w:t>politikat e nd</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rmarra n</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kuad</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 t</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w:t>
      </w:r>
      <w:r w:rsidR="008B4594" w:rsidRPr="00E22811">
        <w:rPr>
          <w:rFonts w:ascii="Times New Roman" w:eastAsia="Calibri" w:hAnsi="Times New Roman" w:cs="Times New Roman"/>
          <w:noProof/>
          <w:sz w:val="24"/>
          <w:szCs w:val="24"/>
          <w:lang w:val="sq-AL"/>
        </w:rPr>
        <w:t>menaxhimit t</w:t>
      </w:r>
      <w:r w:rsidR="00E21B09" w:rsidRPr="00E22811">
        <w:rPr>
          <w:rFonts w:ascii="Times New Roman" w:eastAsia="Calibri" w:hAnsi="Times New Roman" w:cs="Times New Roman"/>
          <w:noProof/>
          <w:sz w:val="24"/>
          <w:szCs w:val="24"/>
          <w:lang w:val="sq-AL"/>
        </w:rPr>
        <w:t>ë</w:t>
      </w:r>
      <w:r w:rsidR="008B4594" w:rsidRPr="00E22811">
        <w:rPr>
          <w:rFonts w:ascii="Times New Roman" w:eastAsia="Calibri" w:hAnsi="Times New Roman" w:cs="Times New Roman"/>
          <w:noProof/>
          <w:sz w:val="24"/>
          <w:szCs w:val="24"/>
          <w:lang w:val="sq-AL"/>
        </w:rPr>
        <w:t xml:space="preserve"> risqeve</w:t>
      </w:r>
      <w:r w:rsidRPr="00E22811">
        <w:rPr>
          <w:rFonts w:ascii="Times New Roman" w:eastAsia="Calibri" w:hAnsi="Times New Roman" w:cs="Times New Roman"/>
          <w:noProof/>
          <w:sz w:val="24"/>
          <w:szCs w:val="24"/>
          <w:lang w:val="sq-AL"/>
        </w:rPr>
        <w:t xml:space="preserve"> n</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portofolin e borxhit t</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brendsh</w:t>
      </w:r>
      <w:r w:rsidR="00E21B09"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m.</w:t>
      </w:r>
    </w:p>
    <w:p w14:paraId="71DF5C24" w14:textId="77777777" w:rsidR="00750F32" w:rsidRPr="00E22811" w:rsidRDefault="00750F32" w:rsidP="00D11602">
      <w:pPr>
        <w:tabs>
          <w:tab w:val="left" w:pos="2977"/>
          <w:tab w:val="left" w:pos="8647"/>
        </w:tabs>
        <w:spacing w:after="0" w:line="240" w:lineRule="auto"/>
        <w:ind w:left="2552" w:right="96" w:hanging="2268"/>
        <w:contextualSpacing/>
        <w:rPr>
          <w:rFonts w:ascii="Cambria" w:eastAsia="Calibri" w:hAnsi="Cambria" w:cs="Times New Roman"/>
          <w:b/>
          <w:noProof/>
          <w:color w:val="8E0000"/>
          <w:sz w:val="16"/>
          <w:szCs w:val="20"/>
          <w:lang w:val="sq-AL"/>
        </w:rPr>
      </w:pPr>
    </w:p>
    <w:p w14:paraId="71DF5C25" w14:textId="77777777" w:rsidR="002A1625" w:rsidRDefault="0071591E" w:rsidP="00504965">
      <w:pPr>
        <w:tabs>
          <w:tab w:val="left" w:pos="2977"/>
          <w:tab w:val="left" w:pos="8647"/>
        </w:tabs>
        <w:spacing w:after="0" w:line="240" w:lineRule="auto"/>
        <w:ind w:left="2552" w:right="96" w:hanging="2268"/>
        <w:contextualSpacing/>
        <w:rPr>
          <w:rFonts w:ascii="Cambria" w:eastAsia="Calibri" w:hAnsi="Cambria" w:cs="Times New Roman"/>
          <w:i/>
          <w:noProof/>
          <w:color w:val="8E0000"/>
          <w:sz w:val="20"/>
          <w:szCs w:val="20"/>
          <w:lang w:val="sq-AL"/>
        </w:rPr>
      </w:pPr>
      <w:r w:rsidRPr="00E22811">
        <w:rPr>
          <w:rFonts w:ascii="Cambria" w:eastAsia="Calibri" w:hAnsi="Cambria" w:cs="Times New Roman"/>
          <w:b/>
          <w:noProof/>
          <w:color w:val="8E0000"/>
          <w:sz w:val="20"/>
          <w:szCs w:val="20"/>
          <w:lang w:val="sq-AL"/>
        </w:rPr>
        <w:t xml:space="preserve"> </w:t>
      </w:r>
      <w:r w:rsidR="0032278B" w:rsidRPr="00E22811">
        <w:rPr>
          <w:rFonts w:ascii="Cambria" w:eastAsia="Calibri" w:hAnsi="Cambria" w:cs="Times New Roman"/>
          <w:b/>
          <w:noProof/>
          <w:color w:val="8E0000"/>
          <w:sz w:val="20"/>
          <w:szCs w:val="20"/>
          <w:lang w:val="sq-AL"/>
        </w:rPr>
        <w:t xml:space="preserve">  </w:t>
      </w:r>
      <w:r w:rsidR="007D5222" w:rsidRPr="00E22811">
        <w:rPr>
          <w:rFonts w:ascii="Cambria" w:eastAsia="Calibri" w:hAnsi="Cambria" w:cs="Times New Roman"/>
          <w:b/>
          <w:noProof/>
          <w:color w:val="8E0000"/>
          <w:sz w:val="20"/>
          <w:szCs w:val="20"/>
          <w:lang w:val="sq-AL"/>
        </w:rPr>
        <w:t>Paraqitje Grafike 3</w:t>
      </w:r>
      <w:r w:rsidR="009B24CE" w:rsidRPr="00E22811">
        <w:rPr>
          <w:rFonts w:ascii="Cambria" w:eastAsia="Calibri" w:hAnsi="Cambria" w:cs="Times New Roman"/>
          <w:b/>
          <w:noProof/>
          <w:color w:val="8E0000"/>
          <w:sz w:val="20"/>
          <w:szCs w:val="20"/>
          <w:lang w:val="sq-AL"/>
        </w:rPr>
        <w:t>(</w:t>
      </w:r>
      <w:r w:rsidRPr="00E22811">
        <w:rPr>
          <w:rFonts w:ascii="Cambria" w:eastAsia="Calibri" w:hAnsi="Cambria" w:cs="Times New Roman"/>
          <w:b/>
          <w:noProof/>
          <w:color w:val="8E0000"/>
          <w:sz w:val="20"/>
          <w:szCs w:val="20"/>
          <w:lang w:val="sq-AL"/>
        </w:rPr>
        <w:t>b</w:t>
      </w:r>
      <w:r w:rsidR="009B24CE" w:rsidRPr="00E22811">
        <w:rPr>
          <w:rFonts w:ascii="Cambria" w:eastAsia="Calibri" w:hAnsi="Cambria" w:cs="Times New Roman"/>
          <w:b/>
          <w:noProof/>
          <w:color w:val="8E0000"/>
          <w:sz w:val="20"/>
          <w:szCs w:val="20"/>
          <w:lang w:val="sq-AL"/>
        </w:rPr>
        <w:t xml:space="preserve">): </w:t>
      </w:r>
      <w:r w:rsidR="005A6271" w:rsidRPr="00E22811">
        <w:rPr>
          <w:rFonts w:ascii="Cambria" w:eastAsia="Calibri" w:hAnsi="Cambria" w:cs="Times New Roman"/>
          <w:i/>
          <w:noProof/>
          <w:color w:val="8E0000"/>
          <w:sz w:val="20"/>
          <w:szCs w:val="20"/>
          <w:lang w:val="sq-AL"/>
        </w:rPr>
        <w:t xml:space="preserve">Kompozimi i </w:t>
      </w:r>
      <w:r w:rsidR="00DA41EC" w:rsidRPr="00E22811">
        <w:rPr>
          <w:rFonts w:ascii="Cambria" w:eastAsia="Calibri" w:hAnsi="Cambria" w:cs="Times New Roman"/>
          <w:i/>
          <w:noProof/>
          <w:color w:val="8E0000"/>
          <w:sz w:val="20"/>
          <w:szCs w:val="20"/>
          <w:lang w:val="sq-AL"/>
        </w:rPr>
        <w:t xml:space="preserve">portofolit </w:t>
      </w:r>
      <w:r w:rsidR="008C24E1">
        <w:rPr>
          <w:rFonts w:ascii="Cambria" w:eastAsia="Calibri" w:hAnsi="Cambria" w:cs="Times New Roman"/>
          <w:i/>
          <w:noProof/>
          <w:color w:val="8E0000"/>
          <w:sz w:val="20"/>
          <w:szCs w:val="20"/>
          <w:lang w:val="sq-AL"/>
        </w:rPr>
        <w:t xml:space="preserve">të borxhit </w:t>
      </w:r>
      <w:r w:rsidR="005A6271" w:rsidRPr="00E22811">
        <w:rPr>
          <w:rFonts w:ascii="Cambria" w:eastAsia="Calibri" w:hAnsi="Cambria" w:cs="Times New Roman"/>
          <w:i/>
          <w:noProof/>
          <w:color w:val="8E0000"/>
          <w:sz w:val="20"/>
          <w:szCs w:val="20"/>
          <w:lang w:val="sq-AL"/>
        </w:rPr>
        <w:t xml:space="preserve">shtetëror </w:t>
      </w:r>
      <w:r w:rsidR="00DA41EC" w:rsidRPr="00E22811">
        <w:rPr>
          <w:rFonts w:ascii="Cambria" w:eastAsia="Calibri" w:hAnsi="Cambria" w:cs="Times New Roman"/>
          <w:i/>
          <w:noProof/>
          <w:color w:val="8E0000"/>
          <w:sz w:val="20"/>
          <w:szCs w:val="20"/>
          <w:lang w:val="sq-AL"/>
        </w:rPr>
        <w:t xml:space="preserve">sipas </w:t>
      </w:r>
      <w:r w:rsidR="008B4594" w:rsidRPr="00E22811">
        <w:rPr>
          <w:rFonts w:ascii="Cambria" w:eastAsia="Calibri" w:hAnsi="Cambria" w:cs="Times New Roman"/>
          <w:i/>
          <w:noProof/>
          <w:color w:val="8E0000"/>
          <w:sz w:val="20"/>
          <w:szCs w:val="20"/>
          <w:lang w:val="sq-AL"/>
        </w:rPr>
        <w:t>maturitetit origjinal t</w:t>
      </w:r>
      <w:r w:rsidR="00E21B09" w:rsidRPr="00E22811">
        <w:rPr>
          <w:rFonts w:ascii="Cambria" w:eastAsia="Calibri" w:hAnsi="Cambria" w:cs="Times New Roman"/>
          <w:i/>
          <w:noProof/>
          <w:color w:val="8E0000"/>
          <w:sz w:val="20"/>
          <w:szCs w:val="20"/>
          <w:lang w:val="sq-AL"/>
        </w:rPr>
        <w:t>ë</w:t>
      </w:r>
      <w:r w:rsidR="008B4594" w:rsidRPr="00E22811">
        <w:rPr>
          <w:rFonts w:ascii="Cambria" w:eastAsia="Calibri" w:hAnsi="Cambria" w:cs="Times New Roman"/>
          <w:i/>
          <w:noProof/>
          <w:color w:val="8E0000"/>
          <w:sz w:val="20"/>
          <w:szCs w:val="20"/>
          <w:lang w:val="sq-AL"/>
        </w:rPr>
        <w:t xml:space="preserve"> </w:t>
      </w:r>
      <w:r w:rsidR="001F3444" w:rsidRPr="00E22811">
        <w:rPr>
          <w:rFonts w:ascii="Cambria" w:eastAsia="Calibri" w:hAnsi="Cambria" w:cs="Times New Roman"/>
          <w:i/>
          <w:noProof/>
          <w:color w:val="8E0000"/>
          <w:sz w:val="20"/>
          <w:szCs w:val="20"/>
          <w:lang w:val="sq-AL"/>
        </w:rPr>
        <w:t xml:space="preserve">     </w:t>
      </w:r>
      <w:r w:rsidR="0032278B" w:rsidRPr="00E22811">
        <w:rPr>
          <w:rFonts w:ascii="Cambria" w:eastAsia="Calibri" w:hAnsi="Cambria" w:cs="Times New Roman"/>
          <w:i/>
          <w:noProof/>
          <w:color w:val="8E0000"/>
          <w:sz w:val="20"/>
          <w:szCs w:val="20"/>
          <w:lang w:val="sq-AL"/>
        </w:rPr>
        <w:t xml:space="preserve"> </w:t>
      </w:r>
      <w:r w:rsidR="008B4594" w:rsidRPr="00E22811">
        <w:rPr>
          <w:rFonts w:ascii="Cambria" w:eastAsia="Calibri" w:hAnsi="Cambria" w:cs="Times New Roman"/>
          <w:i/>
          <w:noProof/>
          <w:color w:val="8E0000"/>
          <w:sz w:val="20"/>
          <w:szCs w:val="20"/>
          <w:lang w:val="sq-AL"/>
        </w:rPr>
        <w:t>instrumenteve t</w:t>
      </w:r>
      <w:r w:rsidR="00E21B09" w:rsidRPr="00E22811">
        <w:rPr>
          <w:rFonts w:ascii="Cambria" w:eastAsia="Calibri" w:hAnsi="Cambria" w:cs="Times New Roman"/>
          <w:i/>
          <w:noProof/>
          <w:color w:val="8E0000"/>
          <w:sz w:val="20"/>
          <w:szCs w:val="20"/>
          <w:lang w:val="sq-AL"/>
        </w:rPr>
        <w:t>ë</w:t>
      </w:r>
      <w:r w:rsidR="008B4594" w:rsidRPr="00E22811">
        <w:rPr>
          <w:rFonts w:ascii="Cambria" w:eastAsia="Calibri" w:hAnsi="Cambria" w:cs="Times New Roman"/>
          <w:i/>
          <w:noProof/>
          <w:color w:val="8E0000"/>
          <w:sz w:val="20"/>
          <w:szCs w:val="20"/>
          <w:lang w:val="sq-AL"/>
        </w:rPr>
        <w:t xml:space="preserve"> huas</w:t>
      </w:r>
      <w:r w:rsidR="00E21B09" w:rsidRPr="00E22811">
        <w:rPr>
          <w:rFonts w:ascii="Cambria" w:eastAsia="Calibri" w:hAnsi="Cambria" w:cs="Times New Roman"/>
          <w:i/>
          <w:noProof/>
          <w:color w:val="8E0000"/>
          <w:sz w:val="20"/>
          <w:szCs w:val="20"/>
          <w:lang w:val="sq-AL"/>
        </w:rPr>
        <w:t>ë</w:t>
      </w:r>
      <w:r w:rsidR="00DA41EC" w:rsidRPr="00E22811">
        <w:rPr>
          <w:rFonts w:ascii="Cambria" w:eastAsia="Calibri" w:hAnsi="Cambria" w:cs="Times New Roman"/>
          <w:i/>
          <w:noProof/>
          <w:color w:val="8E0000"/>
          <w:sz w:val="20"/>
          <w:szCs w:val="20"/>
          <w:lang w:val="sq-AL"/>
        </w:rPr>
        <w:t xml:space="preserve"> </w:t>
      </w:r>
      <w:r w:rsidR="001D43A4" w:rsidRPr="00E22811">
        <w:rPr>
          <w:rFonts w:ascii="Cambria" w:eastAsia="Calibri" w:hAnsi="Cambria" w:cs="Times New Roman"/>
          <w:i/>
          <w:noProof/>
          <w:color w:val="8E0000"/>
          <w:sz w:val="20"/>
          <w:szCs w:val="20"/>
          <w:lang w:val="sq-AL"/>
        </w:rPr>
        <w:t>(201</w:t>
      </w:r>
      <w:r w:rsidR="007336DD" w:rsidRPr="00E22811">
        <w:rPr>
          <w:rFonts w:ascii="Cambria" w:eastAsia="Calibri" w:hAnsi="Cambria" w:cs="Times New Roman"/>
          <w:i/>
          <w:noProof/>
          <w:color w:val="8E0000"/>
          <w:sz w:val="20"/>
          <w:szCs w:val="20"/>
          <w:lang w:val="sq-AL"/>
        </w:rPr>
        <w:t>5</w:t>
      </w:r>
      <w:r w:rsidR="00114228" w:rsidRPr="00E22811">
        <w:rPr>
          <w:rFonts w:ascii="Cambria" w:eastAsia="Calibri" w:hAnsi="Cambria" w:cs="Times New Roman"/>
          <w:i/>
          <w:noProof/>
          <w:color w:val="8E0000"/>
          <w:sz w:val="20"/>
          <w:szCs w:val="20"/>
          <w:lang w:val="sq-AL"/>
        </w:rPr>
        <w:t>-</w:t>
      </w:r>
      <w:r w:rsidR="001D43A4" w:rsidRPr="00E22811">
        <w:rPr>
          <w:rFonts w:ascii="Cambria" w:eastAsia="Calibri" w:hAnsi="Cambria" w:cs="Times New Roman"/>
          <w:i/>
          <w:noProof/>
          <w:color w:val="8E0000"/>
          <w:sz w:val="20"/>
          <w:szCs w:val="20"/>
          <w:lang w:val="sq-AL"/>
        </w:rPr>
        <w:t xml:space="preserve"> </w:t>
      </w:r>
      <w:r w:rsidR="00580852" w:rsidRPr="00E22811">
        <w:rPr>
          <w:rFonts w:ascii="Cambria" w:eastAsia="Calibri" w:hAnsi="Cambria" w:cs="Times New Roman"/>
          <w:i/>
          <w:noProof/>
          <w:color w:val="8E0000"/>
          <w:sz w:val="20"/>
          <w:szCs w:val="20"/>
          <w:lang w:val="sq-AL"/>
        </w:rPr>
        <w:t>Shtator</w:t>
      </w:r>
      <w:r w:rsidR="001D43A4" w:rsidRPr="00E22811">
        <w:rPr>
          <w:rFonts w:ascii="Cambria" w:eastAsia="Calibri" w:hAnsi="Cambria" w:cs="Times New Roman"/>
          <w:i/>
          <w:noProof/>
          <w:color w:val="8E0000"/>
          <w:sz w:val="20"/>
          <w:szCs w:val="20"/>
          <w:lang w:val="sq-AL"/>
        </w:rPr>
        <w:t xml:space="preserve"> 2019</w:t>
      </w:r>
      <w:r w:rsidR="00114228" w:rsidRPr="00E22811">
        <w:rPr>
          <w:rFonts w:ascii="Cambria" w:eastAsia="Calibri" w:hAnsi="Cambria" w:cs="Times New Roman"/>
          <w:i/>
          <w:noProof/>
          <w:color w:val="8E0000"/>
          <w:sz w:val="20"/>
          <w:szCs w:val="20"/>
          <w:lang w:val="sq-AL"/>
        </w:rPr>
        <w:t>)</w:t>
      </w:r>
    </w:p>
    <w:p w14:paraId="71DF5C26" w14:textId="77777777" w:rsidR="00504965" w:rsidRPr="00504965" w:rsidRDefault="00504965" w:rsidP="00504965">
      <w:pPr>
        <w:tabs>
          <w:tab w:val="left" w:pos="2977"/>
          <w:tab w:val="left" w:pos="8647"/>
        </w:tabs>
        <w:spacing w:after="0" w:line="240" w:lineRule="auto"/>
        <w:ind w:left="2552" w:right="96" w:hanging="2552"/>
        <w:contextualSpacing/>
        <w:jc w:val="both"/>
        <w:rPr>
          <w:rFonts w:ascii="Cambria" w:eastAsia="Calibri" w:hAnsi="Cambria" w:cs="Times New Roman"/>
          <w:i/>
          <w:noProof/>
          <w:color w:val="8E0000"/>
          <w:sz w:val="20"/>
          <w:szCs w:val="20"/>
          <w:lang w:val="sq-AL"/>
        </w:rPr>
      </w:pPr>
      <w:r>
        <w:rPr>
          <w:rFonts w:ascii="Cambria" w:eastAsia="Calibri" w:hAnsi="Cambria" w:cs="Times New Roman"/>
          <w:i/>
          <w:noProof/>
          <w:color w:val="8E0000"/>
          <w:sz w:val="20"/>
          <w:szCs w:val="20"/>
        </w:rPr>
        <w:drawing>
          <wp:inline distT="0" distB="0" distL="0" distR="0" wp14:anchorId="71DF5F6F" wp14:editId="71DF5F70">
            <wp:extent cx="5553075" cy="2651760"/>
            <wp:effectExtent l="19050" t="19050" r="28575" b="152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3075" cy="2651760"/>
                    </a:xfrm>
                    <a:prstGeom prst="rect">
                      <a:avLst/>
                    </a:prstGeom>
                    <a:noFill/>
                    <a:ln>
                      <a:solidFill>
                        <a:schemeClr val="bg1">
                          <a:lumMod val="65000"/>
                        </a:schemeClr>
                      </a:solidFill>
                    </a:ln>
                  </pic:spPr>
                </pic:pic>
              </a:graphicData>
            </a:graphic>
          </wp:inline>
        </w:drawing>
      </w:r>
    </w:p>
    <w:p w14:paraId="71DF5C27" w14:textId="77777777" w:rsidR="00816F91" w:rsidRPr="00E22811" w:rsidRDefault="008B4594" w:rsidP="002A1625">
      <w:pPr>
        <w:tabs>
          <w:tab w:val="left" w:pos="1182"/>
        </w:tabs>
        <w:spacing w:after="0" w:line="276" w:lineRule="auto"/>
        <w:ind w:right="-46"/>
        <w:jc w:val="center"/>
        <w:rPr>
          <w:rFonts w:ascii="Cambria" w:eastAsia="Calibri" w:hAnsi="Cambria" w:cs="Times New Roman"/>
          <w:i/>
          <w:noProof/>
          <w:color w:val="8E0000"/>
          <w:sz w:val="20"/>
          <w:szCs w:val="20"/>
          <w:lang w:val="sq-AL"/>
        </w:rPr>
      </w:pPr>
      <w:r w:rsidRPr="00E22811">
        <w:rPr>
          <w:rFonts w:ascii="Cambria" w:eastAsia="Calibri" w:hAnsi="Cambria" w:cs="Times New Roman"/>
          <w:b/>
          <w:noProof/>
          <w:color w:val="8E0000"/>
          <w:sz w:val="20"/>
          <w:szCs w:val="20"/>
          <w:lang w:val="sq-AL"/>
        </w:rPr>
        <w:t>Burimi:</w:t>
      </w:r>
      <w:r w:rsidRPr="00E22811">
        <w:rPr>
          <w:rFonts w:ascii="Cambria" w:eastAsia="MS Mincho" w:hAnsi="Cambria" w:cs="Times New Roman"/>
          <w:b/>
          <w:noProof/>
          <w:sz w:val="20"/>
          <w:szCs w:val="20"/>
          <w:lang w:val="sq-AL"/>
        </w:rPr>
        <w:t xml:space="preserve"> </w:t>
      </w:r>
      <w:r w:rsidRPr="00E22811">
        <w:rPr>
          <w:rFonts w:ascii="Cambria" w:eastAsia="Calibri" w:hAnsi="Cambria" w:cs="Times New Roman"/>
          <w:i/>
          <w:noProof/>
          <w:color w:val="8E0000"/>
          <w:sz w:val="20"/>
          <w:szCs w:val="20"/>
          <w:lang w:val="sq-AL"/>
        </w:rPr>
        <w:t>Ministria e Financave dhe Ekonom</w:t>
      </w:r>
      <w:r w:rsidR="001D43A4" w:rsidRPr="00E22811">
        <w:rPr>
          <w:rFonts w:ascii="Cambria" w:eastAsia="Calibri" w:hAnsi="Cambria" w:cs="Times New Roman"/>
          <w:i/>
          <w:noProof/>
          <w:color w:val="8E0000"/>
          <w:sz w:val="20"/>
          <w:szCs w:val="20"/>
          <w:lang w:val="sq-AL"/>
        </w:rPr>
        <w:t>isë (2019</w:t>
      </w:r>
      <w:r w:rsidRPr="00E22811">
        <w:rPr>
          <w:rFonts w:ascii="Cambria" w:eastAsia="Calibri" w:hAnsi="Cambria" w:cs="Times New Roman"/>
          <w:i/>
          <w:noProof/>
          <w:color w:val="8E0000"/>
          <w:sz w:val="20"/>
          <w:szCs w:val="20"/>
          <w:lang w:val="sq-AL"/>
        </w:rPr>
        <w:t>)</w:t>
      </w:r>
    </w:p>
    <w:p w14:paraId="71DF5C28" w14:textId="77777777" w:rsidR="002A1625" w:rsidRPr="00E22811" w:rsidRDefault="002A1625" w:rsidP="002A1625">
      <w:pPr>
        <w:tabs>
          <w:tab w:val="left" w:pos="1182"/>
        </w:tabs>
        <w:spacing w:after="0" w:line="276" w:lineRule="auto"/>
        <w:ind w:right="-46"/>
        <w:jc w:val="center"/>
        <w:rPr>
          <w:rFonts w:ascii="Cambria" w:eastAsia="Calibri" w:hAnsi="Cambria" w:cs="Times New Roman"/>
          <w:i/>
          <w:noProof/>
          <w:color w:val="8E0000"/>
          <w:sz w:val="16"/>
          <w:szCs w:val="20"/>
          <w:lang w:val="sq-AL"/>
        </w:rPr>
      </w:pPr>
    </w:p>
    <w:p w14:paraId="71DF5C29" w14:textId="77777777" w:rsidR="008B4594" w:rsidRPr="000F5C13" w:rsidRDefault="00BA3461" w:rsidP="000F2369">
      <w:pPr>
        <w:spacing w:after="0" w:line="276" w:lineRule="auto"/>
        <w:ind w:right="237"/>
        <w:jc w:val="both"/>
        <w:rPr>
          <w:rFonts w:ascii="Times New Roman" w:eastAsia="Calibri" w:hAnsi="Times New Roman" w:cs="Times New Roman"/>
          <w:noProof/>
          <w:sz w:val="24"/>
          <w:szCs w:val="24"/>
          <w:lang w:val="sq-AL"/>
        </w:rPr>
      </w:pPr>
      <w:r w:rsidRPr="00E22811">
        <w:rPr>
          <w:rFonts w:ascii="Times New Roman" w:eastAsia="Calibri" w:hAnsi="Times New Roman" w:cs="Times New Roman"/>
          <w:noProof/>
          <w:sz w:val="24"/>
          <w:szCs w:val="24"/>
          <w:lang w:val="sq-AL"/>
        </w:rPr>
        <w:t>Mbi 70% e portofolit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borxhit shtet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ror p</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rb</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het nga i</w:t>
      </w:r>
      <w:r w:rsidR="002258BF" w:rsidRPr="00E22811">
        <w:rPr>
          <w:rFonts w:ascii="Times New Roman" w:eastAsia="Calibri" w:hAnsi="Times New Roman" w:cs="Times New Roman"/>
          <w:noProof/>
          <w:sz w:val="24"/>
          <w:szCs w:val="24"/>
          <w:lang w:val="sq-AL"/>
        </w:rPr>
        <w:t xml:space="preserve">nstrumente me norma interesi </w:t>
      </w:r>
      <w:r w:rsidRPr="00E22811">
        <w:rPr>
          <w:rFonts w:ascii="Times New Roman" w:eastAsia="Calibri" w:hAnsi="Times New Roman" w:cs="Times New Roman"/>
          <w:noProof/>
          <w:sz w:val="24"/>
          <w:szCs w:val="24"/>
          <w:lang w:val="sq-AL"/>
        </w:rPr>
        <w:t>fikse. Gjat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viteve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fundit ka pasur nj</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tendenc</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n</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drejtim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w:t>
      </w:r>
      <w:r w:rsidR="009343D1" w:rsidRPr="00E22811">
        <w:rPr>
          <w:rFonts w:ascii="Times New Roman" w:eastAsia="Calibri" w:hAnsi="Times New Roman" w:cs="Times New Roman"/>
          <w:noProof/>
          <w:sz w:val="24"/>
          <w:szCs w:val="24"/>
          <w:lang w:val="sq-AL"/>
        </w:rPr>
        <w:t>uljes</w:t>
      </w:r>
      <w:r w:rsidRPr="00E22811">
        <w:rPr>
          <w:rFonts w:ascii="Times New Roman" w:eastAsia="Calibri" w:hAnsi="Times New Roman" w:cs="Times New Roman"/>
          <w:noProof/>
          <w:sz w:val="24"/>
          <w:szCs w:val="24"/>
          <w:lang w:val="sq-AL"/>
        </w:rPr>
        <w:t xml:space="preserve"> s</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p</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rqendrimit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instrumenteve me norma interesi </w:t>
      </w:r>
      <w:r w:rsidR="009343D1" w:rsidRPr="00E22811">
        <w:rPr>
          <w:rFonts w:ascii="Times New Roman" w:eastAsia="Calibri" w:hAnsi="Times New Roman" w:cs="Times New Roman"/>
          <w:noProof/>
          <w:sz w:val="24"/>
          <w:szCs w:val="24"/>
          <w:lang w:val="sq-AL"/>
        </w:rPr>
        <w:t>t</w:t>
      </w:r>
      <w:r w:rsidR="00754CBC" w:rsidRPr="00E22811">
        <w:rPr>
          <w:rFonts w:ascii="Times New Roman" w:eastAsia="Calibri" w:hAnsi="Times New Roman" w:cs="Times New Roman"/>
          <w:noProof/>
          <w:sz w:val="24"/>
          <w:szCs w:val="24"/>
          <w:lang w:val="sq-AL"/>
        </w:rPr>
        <w:t>ë</w:t>
      </w:r>
      <w:r w:rsidR="009343D1" w:rsidRPr="00E22811">
        <w:rPr>
          <w:rFonts w:ascii="Times New Roman" w:eastAsia="Calibri" w:hAnsi="Times New Roman" w:cs="Times New Roman"/>
          <w:noProof/>
          <w:sz w:val="24"/>
          <w:szCs w:val="24"/>
          <w:lang w:val="sq-AL"/>
        </w:rPr>
        <w:t xml:space="preserve"> ndryshueshme</w:t>
      </w:r>
      <w:r w:rsidR="00C01911" w:rsidRPr="00E22811">
        <w:rPr>
          <w:rFonts w:ascii="Times New Roman" w:eastAsia="Calibri" w:hAnsi="Times New Roman" w:cs="Times New Roman"/>
          <w:noProof/>
          <w:sz w:val="24"/>
          <w:szCs w:val="24"/>
          <w:lang w:val="sq-AL"/>
        </w:rPr>
        <w:t xml:space="preserve"> n</w:t>
      </w:r>
      <w:r w:rsidR="00754CBC" w:rsidRPr="00E22811">
        <w:rPr>
          <w:rFonts w:ascii="Times New Roman" w:eastAsia="Calibri" w:hAnsi="Times New Roman" w:cs="Times New Roman"/>
          <w:noProof/>
          <w:sz w:val="24"/>
          <w:szCs w:val="24"/>
          <w:lang w:val="sq-AL"/>
        </w:rPr>
        <w:t>ë</w:t>
      </w:r>
      <w:r w:rsidR="00C01911" w:rsidRPr="00E22811">
        <w:rPr>
          <w:rFonts w:ascii="Times New Roman" w:eastAsia="Calibri" w:hAnsi="Times New Roman" w:cs="Times New Roman"/>
          <w:noProof/>
          <w:sz w:val="24"/>
          <w:szCs w:val="24"/>
          <w:lang w:val="sq-AL"/>
        </w:rPr>
        <w:t xml:space="preserve"> portofolin e borxhit t</w:t>
      </w:r>
      <w:r w:rsidR="00754CBC" w:rsidRPr="00E22811">
        <w:rPr>
          <w:rFonts w:ascii="Times New Roman" w:eastAsia="Calibri" w:hAnsi="Times New Roman" w:cs="Times New Roman"/>
          <w:noProof/>
          <w:sz w:val="24"/>
          <w:szCs w:val="24"/>
          <w:lang w:val="sq-AL"/>
        </w:rPr>
        <w:t>ë</w:t>
      </w:r>
      <w:r w:rsidR="00C01911" w:rsidRPr="00E22811">
        <w:rPr>
          <w:rFonts w:ascii="Times New Roman" w:eastAsia="Calibri" w:hAnsi="Times New Roman" w:cs="Times New Roman"/>
          <w:noProof/>
          <w:sz w:val="24"/>
          <w:szCs w:val="24"/>
          <w:lang w:val="sq-AL"/>
        </w:rPr>
        <w:t xml:space="preserve"> brendsh</w:t>
      </w:r>
      <w:r w:rsidR="00754CBC" w:rsidRPr="00E22811">
        <w:rPr>
          <w:rFonts w:ascii="Times New Roman" w:eastAsia="Calibri" w:hAnsi="Times New Roman" w:cs="Times New Roman"/>
          <w:noProof/>
          <w:sz w:val="24"/>
          <w:szCs w:val="24"/>
          <w:lang w:val="sq-AL"/>
        </w:rPr>
        <w:t>ë</w:t>
      </w:r>
      <w:r w:rsidR="00C01911" w:rsidRPr="00E22811">
        <w:rPr>
          <w:rFonts w:ascii="Times New Roman" w:eastAsia="Calibri" w:hAnsi="Times New Roman" w:cs="Times New Roman"/>
          <w:noProof/>
          <w:sz w:val="24"/>
          <w:szCs w:val="24"/>
          <w:lang w:val="sq-AL"/>
        </w:rPr>
        <w:t>m</w:t>
      </w:r>
      <w:r w:rsidRPr="00E22811">
        <w:rPr>
          <w:rFonts w:ascii="Times New Roman" w:eastAsia="Calibri" w:hAnsi="Times New Roman" w:cs="Times New Roman"/>
          <w:noProof/>
          <w:sz w:val="24"/>
          <w:szCs w:val="24"/>
          <w:lang w:val="sq-AL"/>
        </w:rPr>
        <w:t xml:space="preserve">, </w:t>
      </w:r>
      <w:r w:rsidR="00686ACB" w:rsidRPr="00E22811">
        <w:rPr>
          <w:rFonts w:ascii="Times New Roman" w:eastAsia="Calibri" w:hAnsi="Times New Roman" w:cs="Times New Roman"/>
          <w:noProof/>
          <w:sz w:val="24"/>
          <w:szCs w:val="24"/>
          <w:lang w:val="sq-AL"/>
        </w:rPr>
        <w:t>duke reflektuar</w:t>
      </w:r>
      <w:r w:rsidRPr="00E22811">
        <w:rPr>
          <w:rFonts w:ascii="Times New Roman" w:eastAsia="Calibri" w:hAnsi="Times New Roman" w:cs="Times New Roman"/>
          <w:noProof/>
          <w:sz w:val="24"/>
          <w:szCs w:val="24"/>
          <w:lang w:val="sq-AL"/>
        </w:rPr>
        <w:t xml:space="preserve"> politika</w:t>
      </w:r>
      <w:r w:rsidR="00686ACB" w:rsidRPr="00E22811">
        <w:rPr>
          <w:rFonts w:ascii="Times New Roman" w:eastAsia="Calibri" w:hAnsi="Times New Roman" w:cs="Times New Roman"/>
          <w:noProof/>
          <w:sz w:val="24"/>
          <w:szCs w:val="24"/>
          <w:lang w:val="sq-AL"/>
        </w:rPr>
        <w:t>t e nd</w:t>
      </w:r>
      <w:r w:rsidR="00982338" w:rsidRPr="00E22811">
        <w:rPr>
          <w:rFonts w:ascii="Times New Roman" w:eastAsia="Calibri" w:hAnsi="Times New Roman" w:cs="Times New Roman"/>
          <w:noProof/>
          <w:sz w:val="24"/>
          <w:szCs w:val="24"/>
          <w:lang w:val="sq-AL"/>
        </w:rPr>
        <w:t>ë</w:t>
      </w:r>
      <w:r w:rsidR="00686ACB" w:rsidRPr="00E22811">
        <w:rPr>
          <w:rFonts w:ascii="Times New Roman" w:eastAsia="Calibri" w:hAnsi="Times New Roman" w:cs="Times New Roman"/>
          <w:noProof/>
          <w:sz w:val="24"/>
          <w:szCs w:val="24"/>
          <w:lang w:val="sq-AL"/>
        </w:rPr>
        <w:t>rmarra</w:t>
      </w:r>
      <w:r w:rsidRPr="00E22811">
        <w:rPr>
          <w:rFonts w:ascii="Times New Roman" w:eastAsia="Calibri" w:hAnsi="Times New Roman" w:cs="Times New Roman"/>
          <w:noProof/>
          <w:sz w:val="24"/>
          <w:szCs w:val="24"/>
          <w:lang w:val="sq-AL"/>
        </w:rPr>
        <w:t xml:space="preserve"> n</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kuad</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r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menaxhimit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riskut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normave t</w:t>
      </w:r>
      <w:r w:rsidR="00754CBC" w:rsidRPr="00E22811">
        <w:rPr>
          <w:rFonts w:ascii="Times New Roman" w:eastAsia="Calibri" w:hAnsi="Times New Roman" w:cs="Times New Roman"/>
          <w:noProof/>
          <w:sz w:val="24"/>
          <w:szCs w:val="24"/>
          <w:lang w:val="sq-AL"/>
        </w:rPr>
        <w:t>ë</w:t>
      </w:r>
      <w:r w:rsidRPr="00E22811">
        <w:rPr>
          <w:rFonts w:ascii="Times New Roman" w:eastAsia="Calibri" w:hAnsi="Times New Roman" w:cs="Times New Roman"/>
          <w:noProof/>
          <w:sz w:val="24"/>
          <w:szCs w:val="24"/>
          <w:lang w:val="sq-AL"/>
        </w:rPr>
        <w:t xml:space="preserve"> interesit.</w:t>
      </w:r>
      <w:r w:rsidRPr="000F5C13">
        <w:rPr>
          <w:rFonts w:ascii="Times New Roman" w:eastAsia="Calibri" w:hAnsi="Times New Roman" w:cs="Times New Roman"/>
          <w:noProof/>
          <w:sz w:val="24"/>
          <w:szCs w:val="24"/>
          <w:lang w:val="sq-AL"/>
        </w:rPr>
        <w:t xml:space="preserve"> </w:t>
      </w:r>
    </w:p>
    <w:p w14:paraId="71DF5C2A" w14:textId="77777777" w:rsidR="00D756A6" w:rsidRPr="000F5C13" w:rsidRDefault="00D756A6" w:rsidP="008B4594">
      <w:pPr>
        <w:spacing w:after="0" w:line="276" w:lineRule="auto"/>
        <w:ind w:left="284" w:right="237"/>
        <w:jc w:val="both"/>
        <w:rPr>
          <w:rFonts w:ascii="Times New Roman" w:eastAsia="Batang" w:hAnsi="Times New Roman" w:cs="Times New Roman"/>
          <w:noProof/>
          <w:sz w:val="16"/>
          <w:szCs w:val="24"/>
          <w:lang w:val="sq-AL"/>
        </w:rPr>
      </w:pPr>
    </w:p>
    <w:p w14:paraId="71DF5C2B" w14:textId="77777777" w:rsidR="008B4594" w:rsidRPr="000F5C13" w:rsidRDefault="00937FEA" w:rsidP="00D11602">
      <w:pPr>
        <w:tabs>
          <w:tab w:val="left" w:pos="2977"/>
          <w:tab w:val="left" w:pos="8647"/>
        </w:tabs>
        <w:spacing w:after="0" w:line="240" w:lineRule="auto"/>
        <w:ind w:left="2694" w:right="96" w:hanging="2410"/>
        <w:contextualSpacing/>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 xml:space="preserve">    </w:t>
      </w:r>
      <w:r w:rsidR="00D11602" w:rsidRPr="000F5C13">
        <w:rPr>
          <w:rFonts w:ascii="Cambria" w:eastAsia="Calibri" w:hAnsi="Cambria" w:cs="Times New Roman"/>
          <w:b/>
          <w:noProof/>
          <w:color w:val="8E0000"/>
          <w:sz w:val="20"/>
          <w:szCs w:val="20"/>
          <w:lang w:val="sq-AL"/>
        </w:rPr>
        <w:t xml:space="preserve">   </w:t>
      </w:r>
      <w:r w:rsidR="00D756A6" w:rsidRPr="000F5C13">
        <w:rPr>
          <w:rFonts w:ascii="Cambria" w:eastAsia="Calibri" w:hAnsi="Cambria" w:cs="Times New Roman"/>
          <w:b/>
          <w:noProof/>
          <w:color w:val="8E0000"/>
          <w:sz w:val="20"/>
          <w:szCs w:val="20"/>
          <w:lang w:val="sq-AL"/>
        </w:rPr>
        <w:t>Paraqitje Grafike 3(</w:t>
      </w:r>
      <w:r w:rsidRPr="000F5C13">
        <w:rPr>
          <w:rFonts w:ascii="Cambria" w:eastAsia="Calibri" w:hAnsi="Cambria" w:cs="Times New Roman"/>
          <w:b/>
          <w:noProof/>
          <w:color w:val="8E0000"/>
          <w:sz w:val="20"/>
          <w:szCs w:val="20"/>
          <w:lang w:val="sq-AL"/>
        </w:rPr>
        <w:t>c</w:t>
      </w:r>
      <w:r w:rsidR="00D756A6" w:rsidRPr="000F5C13">
        <w:rPr>
          <w:rFonts w:ascii="Cambria" w:eastAsia="Calibri" w:hAnsi="Cambria" w:cs="Times New Roman"/>
          <w:b/>
          <w:noProof/>
          <w:color w:val="8E0000"/>
          <w:sz w:val="20"/>
          <w:szCs w:val="20"/>
          <w:lang w:val="sq-AL"/>
        </w:rPr>
        <w:t xml:space="preserve">): </w:t>
      </w:r>
      <w:r w:rsidR="00D11602" w:rsidRPr="000F5C13">
        <w:rPr>
          <w:rFonts w:ascii="Cambria" w:eastAsia="Calibri" w:hAnsi="Cambria" w:cs="Times New Roman"/>
          <w:i/>
          <w:noProof/>
          <w:color w:val="8E0000"/>
          <w:sz w:val="20"/>
          <w:szCs w:val="20"/>
          <w:lang w:val="sq-AL"/>
        </w:rPr>
        <w:t xml:space="preserve">Kompozimi i portofolit të borxhit </w:t>
      </w:r>
      <w:r w:rsidR="00D756A6" w:rsidRPr="000F5C13">
        <w:rPr>
          <w:rFonts w:ascii="Cambria" w:eastAsia="Calibri" w:hAnsi="Cambria" w:cs="Times New Roman"/>
          <w:i/>
          <w:noProof/>
          <w:color w:val="8E0000"/>
          <w:sz w:val="20"/>
          <w:szCs w:val="20"/>
          <w:lang w:val="sq-AL"/>
        </w:rPr>
        <w:t xml:space="preserve">shtetëror sipas </w:t>
      </w:r>
      <w:r w:rsidRPr="000F5C13">
        <w:rPr>
          <w:rFonts w:ascii="Cambria" w:eastAsia="Calibri" w:hAnsi="Cambria" w:cs="Times New Roman"/>
          <w:i/>
          <w:noProof/>
          <w:color w:val="8E0000"/>
          <w:sz w:val="20"/>
          <w:szCs w:val="20"/>
          <w:lang w:val="sq-AL"/>
        </w:rPr>
        <w:t xml:space="preserve">tipit </w:t>
      </w:r>
      <w:r w:rsidR="00D756A6" w:rsidRPr="000F5C13">
        <w:rPr>
          <w:rFonts w:ascii="Cambria" w:eastAsia="Calibri" w:hAnsi="Cambria" w:cs="Times New Roman"/>
          <w:i/>
          <w:noProof/>
          <w:color w:val="8E0000"/>
          <w:sz w:val="20"/>
          <w:szCs w:val="20"/>
          <w:lang w:val="sq-AL"/>
        </w:rPr>
        <w:t xml:space="preserve">të </w:t>
      </w:r>
      <w:r w:rsidRPr="000F5C13">
        <w:rPr>
          <w:rFonts w:ascii="Cambria" w:eastAsia="Calibri" w:hAnsi="Cambria" w:cs="Times New Roman"/>
          <w:i/>
          <w:noProof/>
          <w:color w:val="8E0000"/>
          <w:sz w:val="20"/>
          <w:szCs w:val="20"/>
          <w:lang w:val="sq-AL"/>
        </w:rPr>
        <w:t>interesit t</w:t>
      </w:r>
      <w:r w:rsidR="00754CBC" w:rsidRPr="000F5C13">
        <w:rPr>
          <w:rFonts w:ascii="Cambria" w:eastAsia="Calibri" w:hAnsi="Cambria" w:cs="Times New Roman"/>
          <w:i/>
          <w:noProof/>
          <w:color w:val="8E0000"/>
          <w:sz w:val="20"/>
          <w:szCs w:val="20"/>
          <w:lang w:val="sq-AL"/>
        </w:rPr>
        <w:t>ë</w:t>
      </w:r>
      <w:r w:rsidR="001D43A4">
        <w:rPr>
          <w:rFonts w:ascii="Cambria" w:eastAsia="Calibri" w:hAnsi="Cambria" w:cs="Times New Roman"/>
          <w:i/>
          <w:noProof/>
          <w:color w:val="8E0000"/>
          <w:sz w:val="20"/>
          <w:szCs w:val="20"/>
          <w:lang w:val="sq-AL"/>
        </w:rPr>
        <w:t xml:space="preserve">    instrumenteve të huasë (2015</w:t>
      </w:r>
      <w:r w:rsidR="00EC2610">
        <w:rPr>
          <w:rFonts w:ascii="Cambria" w:eastAsia="Calibri" w:hAnsi="Cambria" w:cs="Times New Roman"/>
          <w:i/>
          <w:noProof/>
          <w:color w:val="8E0000"/>
          <w:sz w:val="20"/>
          <w:szCs w:val="20"/>
          <w:lang w:val="sq-AL"/>
        </w:rPr>
        <w:t>-</w:t>
      </w:r>
      <w:r w:rsidR="002A1625">
        <w:rPr>
          <w:rFonts w:ascii="Cambria" w:eastAsia="Calibri" w:hAnsi="Cambria" w:cs="Times New Roman"/>
          <w:i/>
          <w:noProof/>
          <w:color w:val="8E0000"/>
          <w:sz w:val="20"/>
          <w:szCs w:val="20"/>
          <w:lang w:val="sq-AL"/>
        </w:rPr>
        <w:t>Shtator</w:t>
      </w:r>
      <w:r w:rsidR="00EC2610">
        <w:rPr>
          <w:rFonts w:ascii="Cambria" w:eastAsia="Calibri" w:hAnsi="Cambria" w:cs="Times New Roman"/>
          <w:i/>
          <w:noProof/>
          <w:color w:val="8E0000"/>
          <w:sz w:val="20"/>
          <w:szCs w:val="20"/>
          <w:lang w:val="sq-AL"/>
        </w:rPr>
        <w:t xml:space="preserve"> 2019</w:t>
      </w:r>
      <w:r w:rsidR="00D756A6" w:rsidRPr="000F5C13">
        <w:rPr>
          <w:rFonts w:ascii="Cambria" w:eastAsia="Calibri" w:hAnsi="Cambria" w:cs="Times New Roman"/>
          <w:i/>
          <w:noProof/>
          <w:color w:val="8E0000"/>
          <w:sz w:val="20"/>
          <w:szCs w:val="20"/>
          <w:lang w:val="sq-AL"/>
        </w:rPr>
        <w:t>)</w:t>
      </w:r>
    </w:p>
    <w:p w14:paraId="71DF5C2C" w14:textId="77777777" w:rsidR="00D57D63" w:rsidRDefault="00B074FA" w:rsidP="00286532">
      <w:pPr>
        <w:tabs>
          <w:tab w:val="left" w:pos="284"/>
        </w:tabs>
        <w:spacing w:after="0" w:line="276" w:lineRule="auto"/>
        <w:ind w:right="237"/>
        <w:contextualSpacing/>
        <w:rPr>
          <w:rFonts w:ascii="Cambria" w:eastAsia="Calibri" w:hAnsi="Cambria" w:cs="Times New Roman"/>
          <w:b/>
          <w:noProof/>
          <w:color w:val="8E0000"/>
          <w:sz w:val="20"/>
          <w:szCs w:val="20"/>
          <w:lang w:val="sq-AL"/>
        </w:rPr>
      </w:pPr>
      <w:r>
        <w:rPr>
          <w:rFonts w:ascii="Cambria" w:eastAsia="Calibri" w:hAnsi="Cambria" w:cs="Times New Roman"/>
          <w:b/>
          <w:noProof/>
          <w:color w:val="8E0000"/>
          <w:sz w:val="20"/>
          <w:szCs w:val="20"/>
        </w:rPr>
        <w:drawing>
          <wp:inline distT="0" distB="0" distL="0" distR="0" wp14:anchorId="71DF5F71" wp14:editId="71DF5F72">
            <wp:extent cx="5543550" cy="2486025"/>
            <wp:effectExtent l="19050" t="19050" r="19050" b="285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3550" cy="2486025"/>
                    </a:xfrm>
                    <a:prstGeom prst="rect">
                      <a:avLst/>
                    </a:prstGeom>
                    <a:noFill/>
                    <a:ln>
                      <a:solidFill>
                        <a:schemeClr val="bg1">
                          <a:lumMod val="65000"/>
                        </a:schemeClr>
                      </a:solidFill>
                    </a:ln>
                  </pic:spPr>
                </pic:pic>
              </a:graphicData>
            </a:graphic>
          </wp:inline>
        </w:drawing>
      </w:r>
    </w:p>
    <w:p w14:paraId="71DF5C2D" w14:textId="77777777" w:rsidR="00D756A6" w:rsidRDefault="00D756A6" w:rsidP="00EC2610">
      <w:pPr>
        <w:tabs>
          <w:tab w:val="left" w:pos="284"/>
        </w:tabs>
        <w:spacing w:after="0" w:line="276" w:lineRule="auto"/>
        <w:ind w:right="237"/>
        <w:contextualSpacing/>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Burimi:</w:t>
      </w:r>
      <w:r w:rsidRPr="000F5C13">
        <w:rPr>
          <w:rFonts w:ascii="Cambria" w:eastAsia="MS Mincho" w:hAnsi="Cambria" w:cs="Times New Roman"/>
          <w:b/>
          <w:noProof/>
          <w:sz w:val="20"/>
          <w:szCs w:val="20"/>
          <w:lang w:val="sq-AL"/>
        </w:rPr>
        <w:t xml:space="preserve"> </w:t>
      </w:r>
      <w:r w:rsidRPr="000F5C13">
        <w:rPr>
          <w:rFonts w:ascii="Cambria" w:eastAsia="Calibri" w:hAnsi="Cambria" w:cs="Times New Roman"/>
          <w:i/>
          <w:noProof/>
          <w:color w:val="8E0000"/>
          <w:sz w:val="20"/>
          <w:szCs w:val="20"/>
          <w:lang w:val="sq-AL"/>
        </w:rPr>
        <w:t>Ministria e Fin</w:t>
      </w:r>
      <w:r w:rsidR="00EC2610">
        <w:rPr>
          <w:rFonts w:ascii="Cambria" w:eastAsia="Calibri" w:hAnsi="Cambria" w:cs="Times New Roman"/>
          <w:i/>
          <w:noProof/>
          <w:color w:val="8E0000"/>
          <w:sz w:val="20"/>
          <w:szCs w:val="20"/>
          <w:lang w:val="sq-AL"/>
        </w:rPr>
        <w:t>ancave dhe Ekonomisë (2019</w:t>
      </w:r>
      <w:r w:rsidRPr="000F5C13">
        <w:rPr>
          <w:rFonts w:ascii="Cambria" w:eastAsia="Calibri" w:hAnsi="Cambria" w:cs="Times New Roman"/>
          <w:i/>
          <w:noProof/>
          <w:color w:val="8E0000"/>
          <w:sz w:val="20"/>
          <w:szCs w:val="20"/>
          <w:lang w:val="sq-AL"/>
        </w:rPr>
        <w:t>)</w:t>
      </w:r>
    </w:p>
    <w:p w14:paraId="71DF5C2E" w14:textId="77777777" w:rsidR="009168E9" w:rsidRPr="00EC2610" w:rsidRDefault="009168E9" w:rsidP="00D57D63">
      <w:pPr>
        <w:tabs>
          <w:tab w:val="left" w:pos="284"/>
        </w:tabs>
        <w:spacing w:after="0" w:line="276" w:lineRule="auto"/>
        <w:ind w:right="237"/>
        <w:contextualSpacing/>
        <w:rPr>
          <w:rFonts w:ascii="Times New Roman" w:eastAsia="Calibri" w:hAnsi="Times New Roman" w:cs="Times New Roman"/>
          <w:noProof/>
          <w:sz w:val="24"/>
          <w:szCs w:val="24"/>
          <w:lang w:val="sq-AL"/>
        </w:rPr>
      </w:pPr>
    </w:p>
    <w:p w14:paraId="71DF5C2F" w14:textId="77777777" w:rsidR="00C24315" w:rsidRPr="005E35D3" w:rsidRDefault="00913922" w:rsidP="000F2369">
      <w:pPr>
        <w:spacing w:after="0" w:line="276" w:lineRule="auto"/>
        <w:ind w:right="237"/>
        <w:jc w:val="both"/>
        <w:rPr>
          <w:rFonts w:ascii="Times New Roman" w:eastAsia="Batang" w:hAnsi="Times New Roman" w:cs="Times New Roman"/>
          <w:noProof/>
          <w:sz w:val="24"/>
          <w:szCs w:val="24"/>
          <w:lang w:val="sq-AL"/>
        </w:rPr>
      </w:pPr>
      <w:r w:rsidRPr="005E35D3">
        <w:rPr>
          <w:rFonts w:ascii="Times New Roman" w:eastAsia="Batang" w:hAnsi="Times New Roman" w:cs="Times New Roman"/>
          <w:noProof/>
          <w:sz w:val="24"/>
          <w:szCs w:val="24"/>
          <w:lang w:val="sq-AL"/>
        </w:rPr>
        <w:lastRenderedPageBreak/>
        <w:t>Portofoli i borxhit shtet</w:t>
      </w:r>
      <w:r w:rsidR="00C24315"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ror vazhdon t</w:t>
      </w:r>
      <w:r w:rsidR="00C24315"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mbizot</w:t>
      </w:r>
      <w:r w:rsidR="00C24315"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rohet n</w:t>
      </w:r>
      <w:r w:rsidR="00C24315"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mbi 5</w:t>
      </w:r>
      <w:r w:rsidR="008C24E1">
        <w:rPr>
          <w:rFonts w:ascii="Times New Roman" w:eastAsia="Batang" w:hAnsi="Times New Roman" w:cs="Times New Roman"/>
          <w:noProof/>
          <w:sz w:val="24"/>
          <w:szCs w:val="24"/>
          <w:lang w:val="sq-AL"/>
        </w:rPr>
        <w:t>0</w:t>
      </w:r>
      <w:r w:rsidRPr="005E35D3">
        <w:rPr>
          <w:rFonts w:ascii="Times New Roman" w:eastAsia="Batang" w:hAnsi="Times New Roman" w:cs="Times New Roman"/>
          <w:noProof/>
          <w:sz w:val="24"/>
          <w:szCs w:val="24"/>
          <w:lang w:val="sq-AL"/>
        </w:rPr>
        <w:t>% nga monedha vendase</w:t>
      </w:r>
      <w:r w:rsidR="00C24315" w:rsidRPr="005E35D3">
        <w:rPr>
          <w:rFonts w:ascii="Times New Roman" w:eastAsia="Batang" w:hAnsi="Times New Roman" w:cs="Times New Roman"/>
          <w:noProof/>
          <w:sz w:val="24"/>
          <w:szCs w:val="24"/>
          <w:lang w:val="sq-AL"/>
        </w:rPr>
        <w:t>,</w:t>
      </w:r>
      <w:r w:rsidRPr="005E35D3">
        <w:rPr>
          <w:rFonts w:ascii="Times New Roman" w:eastAsia="Batang" w:hAnsi="Times New Roman" w:cs="Times New Roman"/>
          <w:noProof/>
          <w:sz w:val="24"/>
          <w:szCs w:val="24"/>
          <w:lang w:val="sq-AL"/>
        </w:rPr>
        <w:t xml:space="preserve"> nd</w:t>
      </w:r>
      <w:r w:rsidR="00C24315"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rkoh</w:t>
      </w:r>
      <w:r w:rsidR="00C24315"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q</w:t>
      </w:r>
      <w:r w:rsidR="00C24315"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ndiqet nga monedha Euro dhe USD.  </w:t>
      </w:r>
    </w:p>
    <w:p w14:paraId="71DF5C30" w14:textId="77777777" w:rsidR="00C24315" w:rsidRPr="005E35D3" w:rsidRDefault="009B24CE" w:rsidP="000F2369">
      <w:pPr>
        <w:spacing w:after="0" w:line="276" w:lineRule="auto"/>
        <w:ind w:right="237"/>
        <w:jc w:val="both"/>
        <w:rPr>
          <w:rFonts w:ascii="Times New Roman" w:eastAsia="Batang" w:hAnsi="Times New Roman" w:cs="Times New Roman"/>
          <w:noProof/>
          <w:sz w:val="24"/>
          <w:szCs w:val="24"/>
          <w:lang w:val="sq-AL"/>
        </w:rPr>
      </w:pPr>
      <w:r w:rsidRPr="005E35D3">
        <w:rPr>
          <w:rFonts w:ascii="Times New Roman" w:eastAsia="Batang" w:hAnsi="Times New Roman" w:cs="Times New Roman"/>
          <w:noProof/>
          <w:sz w:val="24"/>
          <w:szCs w:val="24"/>
          <w:lang w:val="sq-AL"/>
        </w:rPr>
        <w:t xml:space="preserve">Portofoli i borxhit të brendshëm përbëhet </w:t>
      </w:r>
      <w:r w:rsidR="00686ACB" w:rsidRPr="005E35D3">
        <w:rPr>
          <w:rFonts w:ascii="Times New Roman" w:eastAsia="Batang" w:hAnsi="Times New Roman" w:cs="Times New Roman"/>
          <w:noProof/>
          <w:sz w:val="24"/>
          <w:szCs w:val="24"/>
          <w:lang w:val="sq-AL"/>
        </w:rPr>
        <w:t>t</w:t>
      </w:r>
      <w:r w:rsidR="00982338" w:rsidRPr="005E35D3">
        <w:rPr>
          <w:rFonts w:ascii="Times New Roman" w:eastAsia="Batang" w:hAnsi="Times New Roman" w:cs="Times New Roman"/>
          <w:noProof/>
          <w:sz w:val="24"/>
          <w:szCs w:val="24"/>
          <w:lang w:val="sq-AL"/>
        </w:rPr>
        <w:t>ë</w:t>
      </w:r>
      <w:r w:rsidR="00686ACB" w:rsidRPr="005E35D3">
        <w:rPr>
          <w:rFonts w:ascii="Times New Roman" w:eastAsia="Batang" w:hAnsi="Times New Roman" w:cs="Times New Roman"/>
          <w:noProof/>
          <w:sz w:val="24"/>
          <w:szCs w:val="24"/>
          <w:lang w:val="sq-AL"/>
        </w:rPr>
        <w:t>r</w:t>
      </w:r>
      <w:r w:rsidR="00982338" w:rsidRPr="005E35D3">
        <w:rPr>
          <w:rFonts w:ascii="Times New Roman" w:eastAsia="Batang" w:hAnsi="Times New Roman" w:cs="Times New Roman"/>
          <w:noProof/>
          <w:sz w:val="24"/>
          <w:szCs w:val="24"/>
          <w:lang w:val="sq-AL"/>
        </w:rPr>
        <w:t>ë</w:t>
      </w:r>
      <w:r w:rsidR="00686ACB" w:rsidRPr="005E35D3">
        <w:rPr>
          <w:rFonts w:ascii="Times New Roman" w:eastAsia="Batang" w:hAnsi="Times New Roman" w:cs="Times New Roman"/>
          <w:noProof/>
          <w:sz w:val="24"/>
          <w:szCs w:val="24"/>
          <w:lang w:val="sq-AL"/>
        </w:rPr>
        <w:t>sisht</w:t>
      </w:r>
      <w:r w:rsidRPr="005E35D3">
        <w:rPr>
          <w:rFonts w:ascii="Times New Roman" w:eastAsia="Batang" w:hAnsi="Times New Roman" w:cs="Times New Roman"/>
          <w:noProof/>
          <w:sz w:val="24"/>
          <w:szCs w:val="24"/>
          <w:lang w:val="sq-AL"/>
        </w:rPr>
        <w:t xml:space="preserve"> nga</w:t>
      </w:r>
      <w:r w:rsidR="00C24315" w:rsidRPr="005E35D3">
        <w:rPr>
          <w:rFonts w:ascii="Times New Roman" w:eastAsia="Batang" w:hAnsi="Times New Roman" w:cs="Times New Roman"/>
          <w:noProof/>
          <w:sz w:val="24"/>
          <w:szCs w:val="24"/>
          <w:lang w:val="sq-AL"/>
        </w:rPr>
        <w:t xml:space="preserve"> tituj të denominuar në monedhë</w:t>
      </w:r>
      <w:r w:rsidRPr="005E35D3">
        <w:rPr>
          <w:rFonts w:ascii="Times New Roman" w:eastAsia="Batang" w:hAnsi="Times New Roman" w:cs="Times New Roman"/>
          <w:noProof/>
          <w:sz w:val="24"/>
          <w:szCs w:val="24"/>
          <w:lang w:val="sq-AL"/>
        </w:rPr>
        <w:t xml:space="preserve"> vendase</w:t>
      </w:r>
      <w:r w:rsidR="00C24315" w:rsidRPr="005E35D3">
        <w:rPr>
          <w:rFonts w:ascii="Times New Roman" w:eastAsia="Batang" w:hAnsi="Times New Roman" w:cs="Times New Roman"/>
          <w:noProof/>
          <w:sz w:val="24"/>
          <w:szCs w:val="24"/>
          <w:lang w:val="sq-AL"/>
        </w:rPr>
        <w:t xml:space="preserve">, </w:t>
      </w:r>
      <w:r w:rsidR="00686ACB" w:rsidRPr="005E35D3">
        <w:rPr>
          <w:rFonts w:ascii="Times New Roman" w:eastAsia="Batang" w:hAnsi="Times New Roman" w:cs="Times New Roman"/>
          <w:noProof/>
          <w:sz w:val="24"/>
          <w:szCs w:val="24"/>
          <w:lang w:val="sq-AL"/>
        </w:rPr>
        <w:t>pasi gjat</w:t>
      </w:r>
      <w:r w:rsidR="00982338" w:rsidRPr="005E35D3">
        <w:rPr>
          <w:rFonts w:ascii="Times New Roman" w:eastAsia="Batang" w:hAnsi="Times New Roman" w:cs="Times New Roman"/>
          <w:noProof/>
          <w:sz w:val="24"/>
          <w:szCs w:val="24"/>
          <w:lang w:val="sq-AL"/>
        </w:rPr>
        <w:t>ë</w:t>
      </w:r>
      <w:r w:rsidR="00686ACB" w:rsidRPr="005E35D3">
        <w:rPr>
          <w:rFonts w:ascii="Times New Roman" w:eastAsia="Batang" w:hAnsi="Times New Roman" w:cs="Times New Roman"/>
          <w:noProof/>
          <w:sz w:val="24"/>
          <w:szCs w:val="24"/>
          <w:lang w:val="sq-AL"/>
        </w:rPr>
        <w:t xml:space="preserve"> dy viteve t</w:t>
      </w:r>
      <w:r w:rsidR="00982338" w:rsidRPr="005E35D3">
        <w:rPr>
          <w:rFonts w:ascii="Times New Roman" w:eastAsia="Batang" w:hAnsi="Times New Roman" w:cs="Times New Roman"/>
          <w:noProof/>
          <w:sz w:val="24"/>
          <w:szCs w:val="24"/>
          <w:lang w:val="sq-AL"/>
        </w:rPr>
        <w:t>ë</w:t>
      </w:r>
      <w:r w:rsidR="00686ACB" w:rsidRPr="005E35D3">
        <w:rPr>
          <w:rFonts w:ascii="Times New Roman" w:eastAsia="Batang" w:hAnsi="Times New Roman" w:cs="Times New Roman"/>
          <w:noProof/>
          <w:sz w:val="24"/>
          <w:szCs w:val="24"/>
          <w:lang w:val="sq-AL"/>
        </w:rPr>
        <w:t xml:space="preserve"> fundit nuk ka pasur emetim t</w:t>
      </w:r>
      <w:r w:rsidR="00982338" w:rsidRPr="005E35D3">
        <w:rPr>
          <w:rFonts w:ascii="Times New Roman" w:eastAsia="Batang" w:hAnsi="Times New Roman" w:cs="Times New Roman"/>
          <w:noProof/>
          <w:sz w:val="24"/>
          <w:szCs w:val="24"/>
          <w:lang w:val="sq-AL"/>
        </w:rPr>
        <w:t>ë</w:t>
      </w:r>
      <w:r w:rsidR="00686ACB" w:rsidRPr="005E35D3">
        <w:rPr>
          <w:rFonts w:ascii="Times New Roman" w:eastAsia="Batang" w:hAnsi="Times New Roman" w:cs="Times New Roman"/>
          <w:noProof/>
          <w:sz w:val="24"/>
          <w:szCs w:val="24"/>
          <w:lang w:val="sq-AL"/>
        </w:rPr>
        <w:t xml:space="preserve"> titujve vendas n</w:t>
      </w:r>
      <w:r w:rsidR="00982338" w:rsidRPr="005E35D3">
        <w:rPr>
          <w:rFonts w:ascii="Times New Roman" w:eastAsia="Batang" w:hAnsi="Times New Roman" w:cs="Times New Roman"/>
          <w:noProof/>
          <w:sz w:val="24"/>
          <w:szCs w:val="24"/>
          <w:lang w:val="sq-AL"/>
        </w:rPr>
        <w:t>ë</w:t>
      </w:r>
      <w:r w:rsidR="00686ACB" w:rsidRPr="005E35D3">
        <w:rPr>
          <w:rFonts w:ascii="Times New Roman" w:eastAsia="Batang" w:hAnsi="Times New Roman" w:cs="Times New Roman"/>
          <w:noProof/>
          <w:sz w:val="24"/>
          <w:szCs w:val="24"/>
          <w:lang w:val="sq-AL"/>
        </w:rPr>
        <w:t xml:space="preserve"> valut</w:t>
      </w:r>
      <w:r w:rsidR="00982338" w:rsidRPr="005E35D3">
        <w:rPr>
          <w:rFonts w:ascii="Times New Roman" w:eastAsia="Batang" w:hAnsi="Times New Roman" w:cs="Times New Roman"/>
          <w:noProof/>
          <w:sz w:val="24"/>
          <w:szCs w:val="24"/>
          <w:lang w:val="sq-AL"/>
        </w:rPr>
        <w:t>ë</w:t>
      </w:r>
      <w:r w:rsidR="00C24315" w:rsidRPr="005E35D3">
        <w:rPr>
          <w:rFonts w:ascii="Times New Roman" w:eastAsia="Batang" w:hAnsi="Times New Roman" w:cs="Times New Roman"/>
          <w:noProof/>
          <w:sz w:val="24"/>
          <w:szCs w:val="24"/>
          <w:lang w:val="sq-AL"/>
        </w:rPr>
        <w:t xml:space="preserve">. </w:t>
      </w:r>
    </w:p>
    <w:p w14:paraId="71DF5C31" w14:textId="77777777" w:rsidR="004E1A80" w:rsidRPr="005E35D3" w:rsidRDefault="00C24315" w:rsidP="000F2369">
      <w:pPr>
        <w:spacing w:after="0" w:line="276" w:lineRule="auto"/>
        <w:ind w:right="237"/>
        <w:jc w:val="both"/>
        <w:rPr>
          <w:rFonts w:ascii="Times New Roman" w:eastAsia="Batang" w:hAnsi="Times New Roman" w:cs="Times New Roman"/>
          <w:noProof/>
          <w:sz w:val="24"/>
          <w:szCs w:val="24"/>
          <w:lang w:val="sq-AL"/>
        </w:rPr>
      </w:pPr>
      <w:r w:rsidRPr="005E35D3">
        <w:rPr>
          <w:rFonts w:ascii="Times New Roman" w:eastAsia="Batang" w:hAnsi="Times New Roman" w:cs="Times New Roman"/>
          <w:noProof/>
          <w:sz w:val="24"/>
          <w:szCs w:val="24"/>
          <w:lang w:val="sq-AL"/>
        </w:rPr>
        <w:t>P</w:t>
      </w:r>
      <w:r w:rsidR="009B24CE" w:rsidRPr="005E35D3">
        <w:rPr>
          <w:rFonts w:ascii="Times New Roman" w:eastAsia="Batang" w:hAnsi="Times New Roman" w:cs="Times New Roman"/>
          <w:noProof/>
          <w:sz w:val="24"/>
          <w:szCs w:val="24"/>
          <w:lang w:val="sq-AL"/>
        </w:rPr>
        <w:t>ortofoli i borxhit të jashtëm</w:t>
      </w:r>
      <w:r w:rsidR="008E32B8" w:rsidRPr="005E35D3">
        <w:rPr>
          <w:rFonts w:ascii="Times New Roman" w:eastAsia="Batang" w:hAnsi="Times New Roman" w:cs="Times New Roman"/>
          <w:noProof/>
          <w:sz w:val="24"/>
          <w:szCs w:val="24"/>
          <w:lang w:val="sq-AL"/>
        </w:rPr>
        <w:t>,</w:t>
      </w:r>
      <w:r w:rsidR="00913922" w:rsidRPr="005E35D3">
        <w:rPr>
          <w:rFonts w:ascii="Times New Roman" w:eastAsia="Batang" w:hAnsi="Times New Roman" w:cs="Times New Roman"/>
          <w:noProof/>
          <w:sz w:val="24"/>
          <w:szCs w:val="24"/>
          <w:lang w:val="sq-AL"/>
        </w:rPr>
        <w:t xml:space="preserve"> pavar</w:t>
      </w:r>
      <w:r w:rsidRPr="005E35D3">
        <w:rPr>
          <w:rFonts w:ascii="Times New Roman" w:eastAsia="Batang" w:hAnsi="Times New Roman" w:cs="Times New Roman"/>
          <w:noProof/>
          <w:sz w:val="24"/>
          <w:szCs w:val="24"/>
          <w:lang w:val="sq-AL"/>
        </w:rPr>
        <w:t>ë</w:t>
      </w:r>
      <w:r w:rsidR="00913922" w:rsidRPr="005E35D3">
        <w:rPr>
          <w:rFonts w:ascii="Times New Roman" w:eastAsia="Batang" w:hAnsi="Times New Roman" w:cs="Times New Roman"/>
          <w:noProof/>
          <w:sz w:val="24"/>
          <w:szCs w:val="24"/>
          <w:lang w:val="sq-AL"/>
        </w:rPr>
        <w:t>sisht diversifikimit t</w:t>
      </w:r>
      <w:r w:rsidRPr="005E35D3">
        <w:rPr>
          <w:rFonts w:ascii="Times New Roman" w:eastAsia="Batang" w:hAnsi="Times New Roman" w:cs="Times New Roman"/>
          <w:noProof/>
          <w:sz w:val="24"/>
          <w:szCs w:val="24"/>
          <w:lang w:val="sq-AL"/>
        </w:rPr>
        <w:t>ë</w:t>
      </w:r>
      <w:r w:rsidR="00913922" w:rsidRPr="005E35D3">
        <w:rPr>
          <w:rFonts w:ascii="Times New Roman" w:eastAsia="Batang" w:hAnsi="Times New Roman" w:cs="Times New Roman"/>
          <w:noProof/>
          <w:sz w:val="24"/>
          <w:szCs w:val="24"/>
          <w:lang w:val="sq-AL"/>
        </w:rPr>
        <w:t xml:space="preserve"> viteve t</w:t>
      </w:r>
      <w:r w:rsidRPr="005E35D3">
        <w:rPr>
          <w:rFonts w:ascii="Times New Roman" w:eastAsia="Batang" w:hAnsi="Times New Roman" w:cs="Times New Roman"/>
          <w:noProof/>
          <w:sz w:val="24"/>
          <w:szCs w:val="24"/>
          <w:lang w:val="sq-AL"/>
        </w:rPr>
        <w:t>ë</w:t>
      </w:r>
      <w:r w:rsidR="00913922" w:rsidRPr="005E35D3">
        <w:rPr>
          <w:rFonts w:ascii="Times New Roman" w:eastAsia="Batang" w:hAnsi="Times New Roman" w:cs="Times New Roman"/>
          <w:noProof/>
          <w:sz w:val="24"/>
          <w:szCs w:val="24"/>
          <w:lang w:val="sq-AL"/>
        </w:rPr>
        <w:t xml:space="preserve"> fundit</w:t>
      </w:r>
      <w:r w:rsidR="00D26285" w:rsidRPr="005E35D3">
        <w:rPr>
          <w:rFonts w:ascii="Times New Roman" w:eastAsia="Batang" w:hAnsi="Times New Roman" w:cs="Times New Roman"/>
          <w:noProof/>
          <w:sz w:val="24"/>
          <w:szCs w:val="24"/>
          <w:lang w:val="sq-AL"/>
        </w:rPr>
        <w:t>,</w:t>
      </w:r>
      <w:r w:rsidR="00913922" w:rsidRPr="005E35D3">
        <w:rPr>
          <w:rFonts w:ascii="Times New Roman" w:eastAsia="Batang" w:hAnsi="Times New Roman" w:cs="Times New Roman"/>
          <w:noProof/>
          <w:sz w:val="24"/>
          <w:szCs w:val="24"/>
          <w:lang w:val="sq-AL"/>
        </w:rPr>
        <w:t xml:space="preserve"> vazhdon t</w:t>
      </w:r>
      <w:r w:rsidRPr="005E35D3">
        <w:rPr>
          <w:rFonts w:ascii="Times New Roman" w:eastAsia="Batang" w:hAnsi="Times New Roman" w:cs="Times New Roman"/>
          <w:noProof/>
          <w:sz w:val="24"/>
          <w:szCs w:val="24"/>
          <w:lang w:val="sq-AL"/>
        </w:rPr>
        <w:t>ë</w:t>
      </w:r>
      <w:r w:rsidR="00913922" w:rsidRPr="005E35D3">
        <w:rPr>
          <w:rFonts w:ascii="Times New Roman" w:eastAsia="Batang" w:hAnsi="Times New Roman" w:cs="Times New Roman"/>
          <w:noProof/>
          <w:sz w:val="24"/>
          <w:szCs w:val="24"/>
          <w:lang w:val="sq-AL"/>
        </w:rPr>
        <w:t xml:space="preserve"> dominohet n</w:t>
      </w:r>
      <w:r w:rsidRPr="005E35D3">
        <w:rPr>
          <w:rFonts w:ascii="Times New Roman" w:eastAsia="Batang" w:hAnsi="Times New Roman" w:cs="Times New Roman"/>
          <w:noProof/>
          <w:sz w:val="24"/>
          <w:szCs w:val="24"/>
          <w:lang w:val="sq-AL"/>
        </w:rPr>
        <w:t>ë</w:t>
      </w:r>
      <w:r w:rsidR="00913922" w:rsidRPr="005E35D3">
        <w:rPr>
          <w:rFonts w:ascii="Times New Roman" w:eastAsia="Batang" w:hAnsi="Times New Roman" w:cs="Times New Roman"/>
          <w:noProof/>
          <w:sz w:val="24"/>
          <w:szCs w:val="24"/>
          <w:lang w:val="sq-AL"/>
        </w:rPr>
        <w:t xml:space="preserve"> mbi 6</w:t>
      </w:r>
      <w:r w:rsidR="00703921" w:rsidRPr="005E35D3">
        <w:rPr>
          <w:rFonts w:ascii="Times New Roman" w:eastAsia="Batang" w:hAnsi="Times New Roman" w:cs="Times New Roman"/>
          <w:noProof/>
          <w:sz w:val="24"/>
          <w:szCs w:val="24"/>
          <w:lang w:val="sq-AL"/>
        </w:rPr>
        <w:t>5</w:t>
      </w:r>
      <w:r w:rsidR="00913922" w:rsidRPr="005E35D3">
        <w:rPr>
          <w:rFonts w:ascii="Times New Roman" w:eastAsia="Batang" w:hAnsi="Times New Roman" w:cs="Times New Roman"/>
          <w:noProof/>
          <w:sz w:val="24"/>
          <w:szCs w:val="24"/>
          <w:lang w:val="sq-AL"/>
        </w:rPr>
        <w:t>% nga monedha Euro</w:t>
      </w:r>
      <w:r w:rsidRPr="005E35D3">
        <w:rPr>
          <w:rFonts w:ascii="Times New Roman" w:eastAsia="Batang" w:hAnsi="Times New Roman" w:cs="Times New Roman"/>
          <w:noProof/>
          <w:sz w:val="24"/>
          <w:szCs w:val="24"/>
          <w:lang w:val="sq-AL"/>
        </w:rPr>
        <w:t>,</w:t>
      </w:r>
      <w:r w:rsidR="00163E1C" w:rsidRPr="005E35D3">
        <w:rPr>
          <w:rFonts w:ascii="Times New Roman" w:eastAsia="Batang" w:hAnsi="Times New Roman" w:cs="Times New Roman"/>
          <w:noProof/>
          <w:sz w:val="24"/>
          <w:szCs w:val="24"/>
          <w:lang w:val="sq-AL"/>
        </w:rPr>
        <w:t xml:space="preserve"> duke e bërë të ndjeshëm ndaj luhatjeve të kursit të këmbimit EUR/LEK.</w:t>
      </w:r>
      <w:r w:rsidRPr="005E35D3">
        <w:rPr>
          <w:rFonts w:ascii="Times New Roman" w:eastAsia="Batang" w:hAnsi="Times New Roman" w:cs="Times New Roman"/>
          <w:noProof/>
          <w:sz w:val="24"/>
          <w:szCs w:val="24"/>
          <w:lang w:val="sq-AL"/>
        </w:rPr>
        <w:t xml:space="preserve"> </w:t>
      </w:r>
      <w:r w:rsidR="00163E1C" w:rsidRPr="005E35D3">
        <w:rPr>
          <w:rFonts w:ascii="Times New Roman" w:eastAsia="Batang" w:hAnsi="Times New Roman" w:cs="Times New Roman"/>
          <w:noProof/>
          <w:sz w:val="24"/>
          <w:szCs w:val="24"/>
          <w:lang w:val="sq-AL"/>
        </w:rPr>
        <w:t>Megjithatë, përqendrimi i lartë i portofolit të borxhit të huaj në monedhën Euro është në përputhje me</w:t>
      </w:r>
      <w:r w:rsidRPr="005E35D3">
        <w:rPr>
          <w:rFonts w:ascii="Times New Roman" w:eastAsia="Batang" w:hAnsi="Times New Roman" w:cs="Times New Roman"/>
          <w:noProof/>
          <w:sz w:val="24"/>
          <w:szCs w:val="24"/>
          <w:lang w:val="sq-AL"/>
        </w:rPr>
        <w:t xml:space="preserve"> objektivat strategjik</w:t>
      </w:r>
      <w:r w:rsidR="00163E1C"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si edhe aspiratat e vendit p</w:t>
      </w:r>
      <w:r w:rsidR="00163E1C" w:rsidRPr="005E35D3">
        <w:rPr>
          <w:rFonts w:ascii="Times New Roman" w:eastAsia="Batang" w:hAnsi="Times New Roman" w:cs="Times New Roman"/>
          <w:noProof/>
          <w:sz w:val="24"/>
          <w:szCs w:val="24"/>
          <w:lang w:val="sq-AL"/>
        </w:rPr>
        <w:t>ë</w:t>
      </w:r>
      <w:r w:rsidR="00EF0F28" w:rsidRPr="005E35D3">
        <w:rPr>
          <w:rFonts w:ascii="Times New Roman" w:eastAsia="Batang" w:hAnsi="Times New Roman" w:cs="Times New Roman"/>
          <w:noProof/>
          <w:sz w:val="24"/>
          <w:szCs w:val="24"/>
          <w:lang w:val="sq-AL"/>
        </w:rPr>
        <w:t>r t’u integruar n</w:t>
      </w:r>
      <w:r w:rsidR="00163E1C" w:rsidRPr="005E35D3">
        <w:rPr>
          <w:rFonts w:ascii="Times New Roman" w:eastAsia="Batang" w:hAnsi="Times New Roman" w:cs="Times New Roman"/>
          <w:noProof/>
          <w:sz w:val="24"/>
          <w:szCs w:val="24"/>
          <w:lang w:val="sq-AL"/>
        </w:rPr>
        <w:t>ë</w:t>
      </w:r>
      <w:r w:rsidR="00EF0F28" w:rsidRPr="005E35D3">
        <w:rPr>
          <w:rFonts w:ascii="Times New Roman" w:eastAsia="Batang" w:hAnsi="Times New Roman" w:cs="Times New Roman"/>
          <w:noProof/>
          <w:sz w:val="24"/>
          <w:szCs w:val="24"/>
          <w:lang w:val="sq-AL"/>
        </w:rPr>
        <w:t xml:space="preserve"> </w:t>
      </w:r>
      <w:r w:rsidRPr="005E35D3">
        <w:rPr>
          <w:rFonts w:ascii="Times New Roman" w:eastAsia="Batang" w:hAnsi="Times New Roman" w:cs="Times New Roman"/>
          <w:noProof/>
          <w:sz w:val="24"/>
          <w:szCs w:val="24"/>
          <w:lang w:val="sq-AL"/>
        </w:rPr>
        <w:t>Bashkimi</w:t>
      </w:r>
      <w:r w:rsidR="00D26285" w:rsidRPr="005E35D3">
        <w:rPr>
          <w:rFonts w:ascii="Times New Roman" w:eastAsia="Batang" w:hAnsi="Times New Roman" w:cs="Times New Roman"/>
          <w:noProof/>
          <w:sz w:val="24"/>
          <w:szCs w:val="24"/>
          <w:lang w:val="sq-AL"/>
        </w:rPr>
        <w:t>n</w:t>
      </w:r>
      <w:r w:rsidRPr="005E35D3">
        <w:rPr>
          <w:rFonts w:ascii="Times New Roman" w:eastAsia="Batang" w:hAnsi="Times New Roman" w:cs="Times New Roman"/>
          <w:noProof/>
          <w:sz w:val="24"/>
          <w:szCs w:val="24"/>
          <w:lang w:val="sq-AL"/>
        </w:rPr>
        <w:t xml:space="preserve"> Evropian.</w:t>
      </w:r>
    </w:p>
    <w:p w14:paraId="71DF5C32" w14:textId="77777777" w:rsidR="00E16176" w:rsidRDefault="00E16176" w:rsidP="00E16176">
      <w:pPr>
        <w:spacing w:after="0" w:line="240" w:lineRule="auto"/>
        <w:contextualSpacing/>
        <w:rPr>
          <w:rFonts w:ascii="Times New Roman" w:eastAsia="Batang" w:hAnsi="Times New Roman" w:cs="Times New Roman"/>
          <w:noProof/>
          <w:sz w:val="16"/>
          <w:szCs w:val="24"/>
          <w:lang w:val="sq-AL"/>
        </w:rPr>
      </w:pPr>
    </w:p>
    <w:p w14:paraId="71DF5C33" w14:textId="77777777" w:rsidR="003045BC" w:rsidRPr="005E35D3" w:rsidRDefault="007D5222" w:rsidP="00E16176">
      <w:pPr>
        <w:spacing w:after="0" w:line="240" w:lineRule="auto"/>
        <w:ind w:right="238"/>
        <w:contextualSpacing/>
        <w:jc w:val="center"/>
        <w:rPr>
          <w:rFonts w:eastAsia="Batang"/>
          <w:noProof/>
          <w:color w:val="8E0000"/>
          <w:sz w:val="20"/>
          <w:szCs w:val="20"/>
          <w:lang w:val="sq-AL"/>
        </w:rPr>
      </w:pPr>
      <w:r w:rsidRPr="005E35D3">
        <w:rPr>
          <w:rFonts w:ascii="Cambria" w:eastAsia="Batang" w:hAnsi="Cambria"/>
          <w:b/>
          <w:noProof/>
          <w:color w:val="8E0000"/>
          <w:sz w:val="20"/>
          <w:szCs w:val="20"/>
          <w:lang w:val="sq-AL"/>
        </w:rPr>
        <w:t>Paraqitje Grafike 3</w:t>
      </w:r>
      <w:r w:rsidR="009B24CE" w:rsidRPr="005E35D3">
        <w:rPr>
          <w:rFonts w:ascii="Cambria" w:eastAsia="Batang" w:hAnsi="Cambria"/>
          <w:b/>
          <w:noProof/>
          <w:color w:val="8E0000"/>
          <w:sz w:val="20"/>
          <w:szCs w:val="20"/>
          <w:lang w:val="sq-AL"/>
        </w:rPr>
        <w:t>(</w:t>
      </w:r>
      <w:r w:rsidR="00D26285" w:rsidRPr="005E35D3">
        <w:rPr>
          <w:rFonts w:ascii="Cambria" w:eastAsia="Batang" w:hAnsi="Cambria"/>
          <w:b/>
          <w:noProof/>
          <w:color w:val="8E0000"/>
          <w:sz w:val="20"/>
          <w:szCs w:val="20"/>
          <w:lang w:val="sq-AL"/>
        </w:rPr>
        <w:t>d</w:t>
      </w:r>
      <w:r w:rsidR="009B24CE" w:rsidRPr="005E35D3">
        <w:rPr>
          <w:rFonts w:ascii="Cambria" w:eastAsia="Batang" w:hAnsi="Cambria"/>
          <w:b/>
          <w:noProof/>
          <w:color w:val="8E0000"/>
          <w:sz w:val="20"/>
          <w:szCs w:val="20"/>
          <w:lang w:val="sq-AL"/>
        </w:rPr>
        <w:t xml:space="preserve">): </w:t>
      </w:r>
      <w:r w:rsidR="009B24CE" w:rsidRPr="005E35D3">
        <w:rPr>
          <w:rFonts w:ascii="Cambria" w:eastAsia="Batang" w:hAnsi="Cambria"/>
          <w:i/>
          <w:noProof/>
          <w:color w:val="8E0000"/>
          <w:sz w:val="20"/>
          <w:szCs w:val="20"/>
          <w:lang w:val="sq-AL"/>
        </w:rPr>
        <w:t>Stoku i borxhit shtetëror sipas monedhave</w:t>
      </w:r>
      <w:r w:rsidR="00FB134C" w:rsidRPr="005E35D3">
        <w:rPr>
          <w:rFonts w:ascii="Cambria" w:eastAsia="Batang" w:hAnsi="Cambria"/>
          <w:i/>
          <w:noProof/>
          <w:color w:val="8E0000"/>
          <w:sz w:val="20"/>
          <w:szCs w:val="20"/>
          <w:lang w:val="sq-AL"/>
        </w:rPr>
        <w:t xml:space="preserve"> (</w:t>
      </w:r>
      <w:r w:rsidR="002D7263" w:rsidRPr="005E35D3">
        <w:rPr>
          <w:rFonts w:ascii="Cambria" w:eastAsia="Batang" w:hAnsi="Cambria"/>
          <w:i/>
          <w:noProof/>
          <w:color w:val="8E0000"/>
          <w:sz w:val="20"/>
          <w:szCs w:val="20"/>
          <w:lang w:val="sq-AL"/>
        </w:rPr>
        <w:t xml:space="preserve">Shtator </w:t>
      </w:r>
      <w:r w:rsidR="00FB134C" w:rsidRPr="005E35D3">
        <w:rPr>
          <w:rFonts w:ascii="Cambria" w:eastAsia="Batang" w:hAnsi="Cambria"/>
          <w:i/>
          <w:noProof/>
          <w:color w:val="8E0000"/>
          <w:sz w:val="20"/>
          <w:szCs w:val="20"/>
          <w:lang w:val="sq-AL"/>
        </w:rPr>
        <w:t>201</w:t>
      </w:r>
      <w:r w:rsidR="0046770E" w:rsidRPr="005E35D3">
        <w:rPr>
          <w:rFonts w:ascii="Cambria" w:eastAsia="Batang" w:hAnsi="Cambria"/>
          <w:i/>
          <w:noProof/>
          <w:color w:val="8E0000"/>
          <w:sz w:val="20"/>
          <w:szCs w:val="20"/>
          <w:lang w:val="sq-AL"/>
        </w:rPr>
        <w:t>9</w:t>
      </w:r>
      <w:r w:rsidR="00FB134C" w:rsidRPr="005E35D3">
        <w:rPr>
          <w:rFonts w:ascii="Cambria" w:eastAsia="Batang" w:hAnsi="Cambria"/>
          <w:i/>
          <w:noProof/>
          <w:color w:val="8E0000"/>
          <w:sz w:val="20"/>
          <w:szCs w:val="20"/>
          <w:lang w:val="sq-AL"/>
        </w:rPr>
        <w:t>)</w:t>
      </w:r>
    </w:p>
    <w:p w14:paraId="71DF5C34" w14:textId="77777777" w:rsidR="00D43026" w:rsidRPr="005E35D3" w:rsidRDefault="005E35D3" w:rsidP="005E35D3">
      <w:pPr>
        <w:spacing w:after="0" w:line="240" w:lineRule="auto"/>
        <w:ind w:right="237"/>
        <w:jc w:val="center"/>
        <w:rPr>
          <w:rFonts w:ascii="Times New Roman" w:eastAsia="Batang" w:hAnsi="Times New Roman" w:cs="Times New Roman"/>
          <w:noProof/>
          <w:sz w:val="24"/>
          <w:szCs w:val="24"/>
          <w:lang w:val="sq-AL"/>
        </w:rPr>
      </w:pPr>
      <w:r>
        <w:rPr>
          <w:rFonts w:ascii="Times New Roman" w:eastAsia="Batang" w:hAnsi="Times New Roman" w:cs="Times New Roman"/>
          <w:noProof/>
          <w:sz w:val="24"/>
          <w:szCs w:val="24"/>
        </w:rPr>
        <w:drawing>
          <wp:inline distT="0" distB="0" distL="0" distR="0" wp14:anchorId="71DF5F73" wp14:editId="71DF5F74">
            <wp:extent cx="5553075" cy="2642235"/>
            <wp:effectExtent l="19050" t="19050" r="28575" b="2476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53075" cy="2642235"/>
                    </a:xfrm>
                    <a:prstGeom prst="rect">
                      <a:avLst/>
                    </a:prstGeom>
                    <a:noFill/>
                    <a:ln>
                      <a:solidFill>
                        <a:schemeClr val="bg1">
                          <a:lumMod val="75000"/>
                        </a:schemeClr>
                      </a:solidFill>
                    </a:ln>
                  </pic:spPr>
                </pic:pic>
              </a:graphicData>
            </a:graphic>
          </wp:inline>
        </w:drawing>
      </w:r>
      <w:bookmarkStart w:id="19" w:name="_Toc516578290"/>
      <w:bookmarkStart w:id="20" w:name="_Toc524506259"/>
      <w:bookmarkStart w:id="21" w:name="_Toc524506534"/>
    </w:p>
    <w:p w14:paraId="71DF5C35" w14:textId="77777777" w:rsidR="00F47E5C" w:rsidRPr="005E35D3" w:rsidRDefault="00E1511C" w:rsidP="00F47E5C">
      <w:pPr>
        <w:keepNext/>
        <w:spacing w:after="0" w:line="240" w:lineRule="auto"/>
        <w:ind w:right="95"/>
        <w:jc w:val="center"/>
        <w:outlineLvl w:val="0"/>
        <w:rPr>
          <w:rFonts w:ascii="Cambria" w:eastAsia="Times New Roman" w:hAnsi="Cambria" w:cs="Times New Roman"/>
          <w:b/>
          <w:bCs/>
          <w:noProof/>
          <w:color w:val="943634"/>
          <w:kern w:val="32"/>
          <w:sz w:val="24"/>
          <w:szCs w:val="32"/>
          <w:lang w:val="sq-AL"/>
          <w14:textOutline w14:w="9525" w14:cap="rnd" w14:cmpd="sng" w14:algn="ctr">
            <w14:solidFill>
              <w14:schemeClr w14:val="bg1">
                <w14:lumMod w14:val="85000"/>
              </w14:schemeClr>
            </w14:solidFill>
            <w14:prstDash w14:val="solid"/>
            <w14:bevel/>
          </w14:textOutline>
        </w:rPr>
      </w:pPr>
      <w:r w:rsidRPr="005E35D3">
        <w:rPr>
          <w:rFonts w:ascii="Cambria" w:eastAsia="Calibri" w:hAnsi="Cambria" w:cs="Times New Roman"/>
          <w:b/>
          <w:noProof/>
          <w:color w:val="8E0000"/>
          <w:sz w:val="20"/>
          <w:szCs w:val="20"/>
          <w:lang w:val="sq-AL"/>
        </w:rPr>
        <w:t xml:space="preserve">Burimi: </w:t>
      </w:r>
      <w:r w:rsidRPr="005E35D3">
        <w:rPr>
          <w:rFonts w:ascii="Cambria" w:eastAsia="Calibri" w:hAnsi="Cambria" w:cs="Times New Roman"/>
          <w:i/>
          <w:noProof/>
          <w:color w:val="8E0000"/>
          <w:sz w:val="20"/>
          <w:szCs w:val="20"/>
          <w:lang w:val="sq-AL"/>
        </w:rPr>
        <w:t>Ministria</w:t>
      </w:r>
      <w:r w:rsidR="00703921" w:rsidRPr="005E35D3">
        <w:rPr>
          <w:rFonts w:ascii="Cambria" w:eastAsia="Calibri" w:hAnsi="Cambria" w:cs="Times New Roman"/>
          <w:i/>
          <w:noProof/>
          <w:color w:val="8E0000"/>
          <w:sz w:val="20"/>
          <w:szCs w:val="20"/>
          <w:lang w:val="sq-AL"/>
        </w:rPr>
        <w:t xml:space="preserve"> e Financave dhe Ekonomisë (2019</w:t>
      </w:r>
      <w:r w:rsidRPr="005E35D3">
        <w:rPr>
          <w:rFonts w:ascii="Cambria" w:eastAsia="Calibri" w:hAnsi="Cambria" w:cs="Times New Roman"/>
          <w:i/>
          <w:noProof/>
          <w:color w:val="8E0000"/>
          <w:sz w:val="20"/>
          <w:szCs w:val="20"/>
          <w:lang w:val="sq-AL"/>
        </w:rPr>
        <w:t>)</w:t>
      </w:r>
      <w:bookmarkEnd w:id="19"/>
      <w:bookmarkEnd w:id="20"/>
      <w:bookmarkEnd w:id="21"/>
    </w:p>
    <w:p w14:paraId="71DF5C36" w14:textId="77777777" w:rsidR="007106C9" w:rsidRPr="005E35D3" w:rsidRDefault="007106C9" w:rsidP="004A70BC">
      <w:pPr>
        <w:pStyle w:val="Heading1"/>
        <w:numPr>
          <w:ilvl w:val="0"/>
          <w:numId w:val="8"/>
        </w:numPr>
        <w:ind w:left="567" w:hanging="567"/>
        <w:rPr>
          <w:noProof/>
          <w:lang w:val="sq-AL"/>
        </w:rPr>
      </w:pPr>
      <w:bookmarkStart w:id="22" w:name="_Toc524506535"/>
      <w:bookmarkStart w:id="23" w:name="_Toc483994729"/>
      <w:bookmarkStart w:id="24" w:name="_Toc491860988"/>
      <w:bookmarkStart w:id="25" w:name="_Toc491954301"/>
      <w:r w:rsidRPr="005E35D3">
        <w:rPr>
          <w:noProof/>
          <w:lang w:val="sq-AL"/>
        </w:rPr>
        <w:t xml:space="preserve">Portofoli i Borxhit </w:t>
      </w:r>
      <w:r w:rsidR="009D6FE6" w:rsidRPr="005E35D3">
        <w:rPr>
          <w:noProof/>
          <w:lang w:val="sq-AL"/>
        </w:rPr>
        <w:t xml:space="preserve"> Shtet</w:t>
      </w:r>
      <w:r w:rsidR="00754CBC" w:rsidRPr="005E35D3">
        <w:rPr>
          <w:noProof/>
          <w:lang w:val="sq-AL"/>
        </w:rPr>
        <w:t>ë</w:t>
      </w:r>
      <w:r w:rsidR="009D6FE6" w:rsidRPr="005E35D3">
        <w:rPr>
          <w:noProof/>
          <w:lang w:val="sq-AL"/>
        </w:rPr>
        <w:t xml:space="preserve">ror </w:t>
      </w:r>
      <w:r w:rsidRPr="005E35D3">
        <w:rPr>
          <w:noProof/>
          <w:lang w:val="sq-AL"/>
        </w:rPr>
        <w:t>të Garantuar</w:t>
      </w:r>
      <w:bookmarkEnd w:id="22"/>
      <w:r w:rsidR="00D86FB0" w:rsidRPr="005E35D3">
        <w:rPr>
          <w:noProof/>
          <w:lang w:val="sq-AL"/>
        </w:rPr>
        <w:t xml:space="preserve"> </w:t>
      </w:r>
    </w:p>
    <w:p w14:paraId="71DF5C37" w14:textId="77777777" w:rsidR="007106C9" w:rsidRPr="000F5C13" w:rsidRDefault="007106C9" w:rsidP="007106C9">
      <w:pPr>
        <w:keepNext/>
        <w:keepLines/>
        <w:spacing w:before="40" w:after="0"/>
        <w:ind w:left="90"/>
        <w:outlineLvl w:val="2"/>
        <w:rPr>
          <w:rFonts w:ascii="Times New Roman" w:eastAsia="Calibri" w:hAnsi="Times New Roman" w:cs="Times New Roman"/>
          <w:noProof/>
          <w:sz w:val="20"/>
          <w:szCs w:val="24"/>
          <w:lang w:val="sq-AL"/>
        </w:rPr>
      </w:pPr>
    </w:p>
    <w:p w14:paraId="71DF5C38" w14:textId="77777777" w:rsidR="00287D0C" w:rsidRPr="005E35D3" w:rsidRDefault="007106C9" w:rsidP="000F2369">
      <w:pPr>
        <w:spacing w:after="0" w:line="276" w:lineRule="auto"/>
        <w:ind w:right="237"/>
        <w:jc w:val="both"/>
        <w:rPr>
          <w:rFonts w:ascii="Times New Roman" w:eastAsia="Batang" w:hAnsi="Times New Roman" w:cs="Times New Roman"/>
          <w:noProof/>
          <w:sz w:val="24"/>
          <w:szCs w:val="24"/>
          <w:lang w:val="sq-AL"/>
        </w:rPr>
      </w:pPr>
      <w:r w:rsidRPr="005E35D3">
        <w:rPr>
          <w:rFonts w:ascii="Times New Roman" w:eastAsia="Batang" w:hAnsi="Times New Roman" w:cs="Times New Roman"/>
          <w:noProof/>
          <w:sz w:val="24"/>
          <w:szCs w:val="24"/>
          <w:lang w:val="sq-AL"/>
        </w:rPr>
        <w:t xml:space="preserve">Në </w:t>
      </w:r>
      <w:r w:rsidR="00A7499E" w:rsidRPr="005E35D3">
        <w:rPr>
          <w:rFonts w:ascii="Times New Roman" w:eastAsia="Batang" w:hAnsi="Times New Roman" w:cs="Times New Roman"/>
          <w:noProof/>
          <w:sz w:val="24"/>
          <w:szCs w:val="24"/>
          <w:lang w:val="sq-AL"/>
        </w:rPr>
        <w:t>shtator</w:t>
      </w:r>
      <w:r w:rsidRPr="005E35D3">
        <w:rPr>
          <w:rFonts w:ascii="Times New Roman" w:eastAsia="Batang" w:hAnsi="Times New Roman" w:cs="Times New Roman"/>
          <w:noProof/>
          <w:sz w:val="24"/>
          <w:szCs w:val="24"/>
          <w:lang w:val="sq-AL"/>
        </w:rPr>
        <w:t xml:space="preserve"> 201</w:t>
      </w:r>
      <w:r w:rsidR="0005312B" w:rsidRPr="005E35D3">
        <w:rPr>
          <w:rFonts w:ascii="Times New Roman" w:eastAsia="Batang" w:hAnsi="Times New Roman" w:cs="Times New Roman"/>
          <w:noProof/>
          <w:sz w:val="24"/>
          <w:szCs w:val="24"/>
          <w:lang w:val="sq-AL"/>
        </w:rPr>
        <w:t>9</w:t>
      </w:r>
      <w:r w:rsidR="00C15BD5" w:rsidRPr="005E35D3">
        <w:rPr>
          <w:rFonts w:ascii="Times New Roman" w:eastAsia="Batang" w:hAnsi="Times New Roman" w:cs="Times New Roman"/>
          <w:noProof/>
          <w:sz w:val="24"/>
          <w:szCs w:val="24"/>
          <w:lang w:val="sq-AL"/>
        </w:rPr>
        <w:t>,</w:t>
      </w:r>
      <w:r w:rsidRPr="005E35D3">
        <w:rPr>
          <w:rFonts w:ascii="Times New Roman" w:eastAsia="Batang" w:hAnsi="Times New Roman" w:cs="Times New Roman"/>
          <w:noProof/>
          <w:sz w:val="24"/>
          <w:szCs w:val="24"/>
          <w:lang w:val="sq-AL"/>
        </w:rPr>
        <w:t xml:space="preserve"> portofoli i </w:t>
      </w:r>
      <w:r w:rsidR="005A3A21" w:rsidRPr="005E35D3">
        <w:rPr>
          <w:rFonts w:ascii="Times New Roman" w:eastAsia="Batang" w:hAnsi="Times New Roman" w:cs="Times New Roman"/>
          <w:noProof/>
          <w:sz w:val="24"/>
          <w:szCs w:val="24"/>
          <w:lang w:val="sq-AL"/>
        </w:rPr>
        <w:t>b</w:t>
      </w:r>
      <w:r w:rsidRPr="005E35D3">
        <w:rPr>
          <w:rFonts w:ascii="Times New Roman" w:eastAsia="Batang" w:hAnsi="Times New Roman" w:cs="Times New Roman"/>
          <w:noProof/>
          <w:sz w:val="24"/>
          <w:szCs w:val="24"/>
          <w:lang w:val="sq-AL"/>
        </w:rPr>
        <w:t xml:space="preserve">orxhit </w:t>
      </w:r>
      <w:r w:rsidR="005A3A21" w:rsidRPr="005E35D3">
        <w:rPr>
          <w:rFonts w:ascii="Times New Roman" w:eastAsia="Batang" w:hAnsi="Times New Roman" w:cs="Times New Roman"/>
          <w:noProof/>
          <w:sz w:val="24"/>
          <w:szCs w:val="24"/>
          <w:lang w:val="sq-AL"/>
        </w:rPr>
        <w:t>shtet</w:t>
      </w:r>
      <w:r w:rsidR="00754CBC" w:rsidRPr="005E35D3">
        <w:rPr>
          <w:rFonts w:ascii="Times New Roman" w:eastAsia="Batang" w:hAnsi="Times New Roman" w:cs="Times New Roman"/>
          <w:noProof/>
          <w:sz w:val="24"/>
          <w:szCs w:val="24"/>
          <w:lang w:val="sq-AL"/>
        </w:rPr>
        <w:t>ë</w:t>
      </w:r>
      <w:r w:rsidR="005A3A21" w:rsidRPr="005E35D3">
        <w:rPr>
          <w:rFonts w:ascii="Times New Roman" w:eastAsia="Batang" w:hAnsi="Times New Roman" w:cs="Times New Roman"/>
          <w:noProof/>
          <w:sz w:val="24"/>
          <w:szCs w:val="24"/>
          <w:lang w:val="sq-AL"/>
        </w:rPr>
        <w:t xml:space="preserve">ror </w:t>
      </w:r>
      <w:r w:rsidRPr="005E35D3">
        <w:rPr>
          <w:rFonts w:ascii="Times New Roman" w:eastAsia="Batang" w:hAnsi="Times New Roman" w:cs="Times New Roman"/>
          <w:noProof/>
          <w:sz w:val="24"/>
          <w:szCs w:val="24"/>
          <w:lang w:val="sq-AL"/>
        </w:rPr>
        <w:t xml:space="preserve">të </w:t>
      </w:r>
      <w:r w:rsidR="005A3A21" w:rsidRPr="005E35D3">
        <w:rPr>
          <w:rFonts w:ascii="Times New Roman" w:eastAsia="Batang" w:hAnsi="Times New Roman" w:cs="Times New Roman"/>
          <w:noProof/>
          <w:sz w:val="24"/>
          <w:szCs w:val="24"/>
          <w:lang w:val="sq-AL"/>
        </w:rPr>
        <w:t>g</w:t>
      </w:r>
      <w:r w:rsidRPr="005E35D3">
        <w:rPr>
          <w:rFonts w:ascii="Times New Roman" w:eastAsia="Batang" w:hAnsi="Times New Roman" w:cs="Times New Roman"/>
          <w:noProof/>
          <w:sz w:val="24"/>
          <w:szCs w:val="24"/>
          <w:lang w:val="sq-AL"/>
        </w:rPr>
        <w:t xml:space="preserve">arantuar </w:t>
      </w:r>
      <w:r w:rsidR="00257BF0" w:rsidRPr="005E35D3">
        <w:rPr>
          <w:rFonts w:ascii="Times New Roman" w:eastAsia="Batang" w:hAnsi="Times New Roman" w:cs="Times New Roman"/>
          <w:noProof/>
          <w:sz w:val="24"/>
          <w:szCs w:val="24"/>
          <w:lang w:val="sq-AL"/>
        </w:rPr>
        <w:t>vler</w:t>
      </w:r>
      <w:r w:rsidR="00754CBC" w:rsidRPr="005E35D3">
        <w:rPr>
          <w:rFonts w:ascii="Times New Roman" w:eastAsia="Batang" w:hAnsi="Times New Roman" w:cs="Times New Roman"/>
          <w:noProof/>
          <w:sz w:val="24"/>
          <w:szCs w:val="24"/>
          <w:lang w:val="sq-AL"/>
        </w:rPr>
        <w:t>ë</w:t>
      </w:r>
      <w:r w:rsidR="00257BF0" w:rsidRPr="005E35D3">
        <w:rPr>
          <w:rFonts w:ascii="Times New Roman" w:eastAsia="Batang" w:hAnsi="Times New Roman" w:cs="Times New Roman"/>
          <w:noProof/>
          <w:sz w:val="24"/>
          <w:szCs w:val="24"/>
          <w:lang w:val="sq-AL"/>
        </w:rPr>
        <w:t>sohet n</w:t>
      </w:r>
      <w:r w:rsidR="00754CBC"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rreth </w:t>
      </w:r>
      <w:r w:rsidR="0016197C" w:rsidRPr="005E35D3">
        <w:rPr>
          <w:rFonts w:ascii="Times New Roman" w:eastAsia="Batang" w:hAnsi="Times New Roman" w:cs="Times New Roman"/>
          <w:noProof/>
          <w:sz w:val="24"/>
          <w:szCs w:val="24"/>
          <w:lang w:val="sq-AL"/>
        </w:rPr>
        <w:t>3.9</w:t>
      </w:r>
      <w:r w:rsidRPr="005E35D3">
        <w:rPr>
          <w:rFonts w:ascii="Times New Roman" w:eastAsia="Batang" w:hAnsi="Times New Roman" w:cs="Times New Roman"/>
          <w:noProof/>
          <w:sz w:val="24"/>
          <w:szCs w:val="24"/>
          <w:lang w:val="sq-AL"/>
        </w:rPr>
        <w:t xml:space="preserve">% </w:t>
      </w:r>
      <w:r w:rsidR="005A3A21" w:rsidRPr="005E35D3">
        <w:rPr>
          <w:rFonts w:ascii="Times New Roman" w:eastAsia="Batang" w:hAnsi="Times New Roman" w:cs="Times New Roman"/>
          <w:noProof/>
          <w:sz w:val="24"/>
          <w:szCs w:val="24"/>
          <w:lang w:val="sq-AL"/>
        </w:rPr>
        <w:t>t</w:t>
      </w:r>
      <w:r w:rsidR="00754CBC"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portofolit të borxhit të </w:t>
      </w:r>
      <w:r w:rsidR="005A3A21" w:rsidRPr="005E35D3">
        <w:rPr>
          <w:rFonts w:ascii="Times New Roman" w:eastAsia="Batang" w:hAnsi="Times New Roman" w:cs="Times New Roman"/>
          <w:noProof/>
          <w:sz w:val="24"/>
          <w:szCs w:val="24"/>
          <w:lang w:val="sq-AL"/>
        </w:rPr>
        <w:t>q</w:t>
      </w:r>
      <w:r w:rsidRPr="005E35D3">
        <w:rPr>
          <w:rFonts w:ascii="Times New Roman" w:eastAsia="Batang" w:hAnsi="Times New Roman" w:cs="Times New Roman"/>
          <w:noProof/>
          <w:sz w:val="24"/>
          <w:szCs w:val="24"/>
          <w:lang w:val="sq-AL"/>
        </w:rPr>
        <w:t xml:space="preserve">everisjes </w:t>
      </w:r>
      <w:r w:rsidR="005A3A21" w:rsidRPr="005E35D3">
        <w:rPr>
          <w:rFonts w:ascii="Times New Roman" w:eastAsia="Batang" w:hAnsi="Times New Roman" w:cs="Times New Roman"/>
          <w:noProof/>
          <w:sz w:val="24"/>
          <w:szCs w:val="24"/>
          <w:lang w:val="sq-AL"/>
        </w:rPr>
        <w:t>q</w:t>
      </w:r>
      <w:r w:rsidRPr="005E35D3">
        <w:rPr>
          <w:rFonts w:ascii="Times New Roman" w:eastAsia="Batang" w:hAnsi="Times New Roman" w:cs="Times New Roman"/>
          <w:noProof/>
          <w:sz w:val="24"/>
          <w:szCs w:val="24"/>
          <w:lang w:val="sq-AL"/>
        </w:rPr>
        <w:t xml:space="preserve">endrore. </w:t>
      </w:r>
      <w:r w:rsidR="00B13954" w:rsidRPr="005E35D3">
        <w:rPr>
          <w:rFonts w:ascii="Times New Roman" w:eastAsia="Batang" w:hAnsi="Times New Roman" w:cs="Times New Roman"/>
          <w:noProof/>
          <w:sz w:val="24"/>
          <w:szCs w:val="24"/>
          <w:lang w:val="sq-AL"/>
        </w:rPr>
        <w:t>Borxhi i garantuar gjat</w:t>
      </w:r>
      <w:r w:rsidR="00754CBC" w:rsidRPr="005E35D3">
        <w:rPr>
          <w:rFonts w:ascii="Times New Roman" w:eastAsia="Batang" w:hAnsi="Times New Roman" w:cs="Times New Roman"/>
          <w:noProof/>
          <w:sz w:val="24"/>
          <w:szCs w:val="24"/>
          <w:lang w:val="sq-AL"/>
        </w:rPr>
        <w:t>ë</w:t>
      </w:r>
      <w:r w:rsidR="00B13954" w:rsidRPr="005E35D3">
        <w:rPr>
          <w:rFonts w:ascii="Times New Roman" w:eastAsia="Batang" w:hAnsi="Times New Roman" w:cs="Times New Roman"/>
          <w:noProof/>
          <w:sz w:val="24"/>
          <w:szCs w:val="24"/>
          <w:lang w:val="sq-AL"/>
        </w:rPr>
        <w:t xml:space="preserve"> viteve t</w:t>
      </w:r>
      <w:r w:rsidR="00754CBC" w:rsidRPr="005E35D3">
        <w:rPr>
          <w:rFonts w:ascii="Times New Roman" w:eastAsia="Batang" w:hAnsi="Times New Roman" w:cs="Times New Roman"/>
          <w:noProof/>
          <w:sz w:val="24"/>
          <w:szCs w:val="24"/>
          <w:lang w:val="sq-AL"/>
        </w:rPr>
        <w:t>ë</w:t>
      </w:r>
      <w:r w:rsidR="00B13954" w:rsidRPr="005E35D3">
        <w:rPr>
          <w:rFonts w:ascii="Times New Roman" w:eastAsia="Batang" w:hAnsi="Times New Roman" w:cs="Times New Roman"/>
          <w:noProof/>
          <w:sz w:val="24"/>
          <w:szCs w:val="24"/>
          <w:lang w:val="sq-AL"/>
        </w:rPr>
        <w:t xml:space="preserve"> fundit ka ardhur duke u reduktuar kryesisht p</w:t>
      </w:r>
      <w:r w:rsidR="00754CBC" w:rsidRPr="005E35D3">
        <w:rPr>
          <w:rFonts w:ascii="Times New Roman" w:eastAsia="Batang" w:hAnsi="Times New Roman" w:cs="Times New Roman"/>
          <w:noProof/>
          <w:sz w:val="24"/>
          <w:szCs w:val="24"/>
          <w:lang w:val="sq-AL"/>
        </w:rPr>
        <w:t>ë</w:t>
      </w:r>
      <w:r w:rsidR="00B13954" w:rsidRPr="005E35D3">
        <w:rPr>
          <w:rFonts w:ascii="Times New Roman" w:eastAsia="Batang" w:hAnsi="Times New Roman" w:cs="Times New Roman"/>
          <w:noProof/>
          <w:sz w:val="24"/>
          <w:szCs w:val="24"/>
          <w:lang w:val="sq-AL"/>
        </w:rPr>
        <w:t>r</w:t>
      </w:r>
      <w:r w:rsidR="00287D0C" w:rsidRPr="005E35D3">
        <w:rPr>
          <w:rFonts w:ascii="Times New Roman" w:eastAsia="Batang" w:hAnsi="Times New Roman" w:cs="Times New Roman"/>
          <w:noProof/>
          <w:sz w:val="24"/>
          <w:szCs w:val="24"/>
          <w:lang w:val="sq-AL"/>
        </w:rPr>
        <w:t xml:space="preserve"> shkak të nivelit relativisht më të lartë të ripagesave në raport me disbursimet</w:t>
      </w:r>
      <w:r w:rsidR="001D794E" w:rsidRPr="005E35D3">
        <w:rPr>
          <w:rFonts w:ascii="Times New Roman" w:eastAsia="Batang" w:hAnsi="Times New Roman" w:cs="Times New Roman"/>
          <w:noProof/>
          <w:sz w:val="24"/>
          <w:szCs w:val="24"/>
          <w:lang w:val="sq-AL"/>
        </w:rPr>
        <w:t xml:space="preserve"> e huave ekzistuese, si edhe p</w:t>
      </w:r>
      <w:r w:rsidR="00754CBC" w:rsidRPr="005E35D3">
        <w:rPr>
          <w:rFonts w:ascii="Times New Roman" w:eastAsia="Batang" w:hAnsi="Times New Roman" w:cs="Times New Roman"/>
          <w:noProof/>
          <w:sz w:val="24"/>
          <w:szCs w:val="24"/>
          <w:lang w:val="sq-AL"/>
        </w:rPr>
        <w:t>ë</w:t>
      </w:r>
      <w:r w:rsidR="001D794E" w:rsidRPr="005E35D3">
        <w:rPr>
          <w:rFonts w:ascii="Times New Roman" w:eastAsia="Batang" w:hAnsi="Times New Roman" w:cs="Times New Roman"/>
          <w:noProof/>
          <w:sz w:val="24"/>
          <w:szCs w:val="24"/>
          <w:lang w:val="sq-AL"/>
        </w:rPr>
        <w:t>r shkak t</w:t>
      </w:r>
      <w:r w:rsidR="00754CBC" w:rsidRPr="005E35D3">
        <w:rPr>
          <w:rFonts w:ascii="Times New Roman" w:eastAsia="Batang" w:hAnsi="Times New Roman" w:cs="Times New Roman"/>
          <w:noProof/>
          <w:sz w:val="24"/>
          <w:szCs w:val="24"/>
          <w:lang w:val="sq-AL"/>
        </w:rPr>
        <w:t>ë</w:t>
      </w:r>
      <w:r w:rsidR="001D794E" w:rsidRPr="005E35D3">
        <w:rPr>
          <w:rFonts w:ascii="Times New Roman" w:eastAsia="Batang" w:hAnsi="Times New Roman" w:cs="Times New Roman"/>
          <w:noProof/>
          <w:sz w:val="24"/>
          <w:szCs w:val="24"/>
          <w:lang w:val="sq-AL"/>
        </w:rPr>
        <w:t xml:space="preserve"> </w:t>
      </w:r>
      <w:r w:rsidR="00355378" w:rsidRPr="005E35D3">
        <w:rPr>
          <w:rFonts w:ascii="Times New Roman" w:eastAsia="Batang" w:hAnsi="Times New Roman" w:cs="Times New Roman"/>
          <w:noProof/>
          <w:sz w:val="24"/>
          <w:szCs w:val="24"/>
          <w:lang w:val="sq-AL"/>
        </w:rPr>
        <w:t>emetimeve n</w:t>
      </w:r>
      <w:r w:rsidR="004D1E37" w:rsidRPr="005E35D3">
        <w:rPr>
          <w:rFonts w:ascii="Times New Roman" w:eastAsia="Batang" w:hAnsi="Times New Roman" w:cs="Times New Roman"/>
          <w:noProof/>
          <w:sz w:val="24"/>
          <w:szCs w:val="24"/>
          <w:lang w:val="sq-AL"/>
        </w:rPr>
        <w:t>ë</w:t>
      </w:r>
      <w:r w:rsidR="00355378" w:rsidRPr="005E35D3">
        <w:rPr>
          <w:rFonts w:ascii="Times New Roman" w:eastAsia="Batang" w:hAnsi="Times New Roman" w:cs="Times New Roman"/>
          <w:noProof/>
          <w:sz w:val="24"/>
          <w:szCs w:val="24"/>
          <w:lang w:val="sq-AL"/>
        </w:rPr>
        <w:t xml:space="preserve"> mas</w:t>
      </w:r>
      <w:r w:rsidR="004D1E37" w:rsidRPr="005E35D3">
        <w:rPr>
          <w:rFonts w:ascii="Times New Roman" w:eastAsia="Batang" w:hAnsi="Times New Roman" w:cs="Times New Roman"/>
          <w:noProof/>
          <w:sz w:val="24"/>
          <w:szCs w:val="24"/>
          <w:lang w:val="sq-AL"/>
        </w:rPr>
        <w:t>ë</w:t>
      </w:r>
      <w:r w:rsidR="00355378" w:rsidRPr="005E35D3">
        <w:rPr>
          <w:rFonts w:ascii="Times New Roman" w:eastAsia="Batang" w:hAnsi="Times New Roman" w:cs="Times New Roman"/>
          <w:noProof/>
          <w:sz w:val="24"/>
          <w:szCs w:val="24"/>
          <w:lang w:val="sq-AL"/>
        </w:rPr>
        <w:t xml:space="preserve"> t</w:t>
      </w:r>
      <w:r w:rsidR="004D1E37" w:rsidRPr="005E35D3">
        <w:rPr>
          <w:rFonts w:ascii="Times New Roman" w:eastAsia="Batang" w:hAnsi="Times New Roman" w:cs="Times New Roman"/>
          <w:noProof/>
          <w:sz w:val="24"/>
          <w:szCs w:val="24"/>
          <w:lang w:val="sq-AL"/>
        </w:rPr>
        <w:t>ë</w:t>
      </w:r>
      <w:r w:rsidR="00355378" w:rsidRPr="005E35D3">
        <w:rPr>
          <w:rFonts w:ascii="Times New Roman" w:eastAsia="Batang" w:hAnsi="Times New Roman" w:cs="Times New Roman"/>
          <w:noProof/>
          <w:sz w:val="24"/>
          <w:szCs w:val="24"/>
          <w:lang w:val="sq-AL"/>
        </w:rPr>
        <w:t xml:space="preserve"> kufizuar t</w:t>
      </w:r>
      <w:r w:rsidR="004D1E37" w:rsidRPr="005E35D3">
        <w:rPr>
          <w:rFonts w:ascii="Times New Roman" w:eastAsia="Batang" w:hAnsi="Times New Roman" w:cs="Times New Roman"/>
          <w:noProof/>
          <w:sz w:val="24"/>
          <w:szCs w:val="24"/>
          <w:lang w:val="sq-AL"/>
        </w:rPr>
        <w:t>ë</w:t>
      </w:r>
      <w:r w:rsidR="001D794E" w:rsidRPr="005E35D3">
        <w:rPr>
          <w:rFonts w:ascii="Times New Roman" w:eastAsia="Batang" w:hAnsi="Times New Roman" w:cs="Times New Roman"/>
          <w:noProof/>
          <w:sz w:val="24"/>
          <w:szCs w:val="24"/>
          <w:lang w:val="sq-AL"/>
        </w:rPr>
        <w:t xml:space="preserve"> garancive t</w:t>
      </w:r>
      <w:r w:rsidR="00754CBC" w:rsidRPr="005E35D3">
        <w:rPr>
          <w:rFonts w:ascii="Times New Roman" w:eastAsia="Batang" w:hAnsi="Times New Roman" w:cs="Times New Roman"/>
          <w:noProof/>
          <w:sz w:val="24"/>
          <w:szCs w:val="24"/>
          <w:lang w:val="sq-AL"/>
        </w:rPr>
        <w:t>ë</w:t>
      </w:r>
      <w:r w:rsidR="001D794E" w:rsidRPr="005E35D3">
        <w:rPr>
          <w:rFonts w:ascii="Times New Roman" w:eastAsia="Batang" w:hAnsi="Times New Roman" w:cs="Times New Roman"/>
          <w:noProof/>
          <w:sz w:val="24"/>
          <w:szCs w:val="24"/>
          <w:lang w:val="sq-AL"/>
        </w:rPr>
        <w:t xml:space="preserve"> reja.</w:t>
      </w:r>
      <w:r w:rsidR="00287D0C" w:rsidRPr="005E35D3">
        <w:rPr>
          <w:rFonts w:ascii="Times New Roman" w:eastAsia="Batang" w:hAnsi="Times New Roman" w:cs="Times New Roman"/>
          <w:noProof/>
          <w:sz w:val="24"/>
          <w:szCs w:val="24"/>
          <w:lang w:val="sq-AL"/>
        </w:rPr>
        <w:t xml:space="preserve"> </w:t>
      </w:r>
    </w:p>
    <w:p w14:paraId="71DF5C39" w14:textId="77777777" w:rsidR="00886EBB" w:rsidRPr="005E35D3" w:rsidRDefault="00A40A11" w:rsidP="000F2369">
      <w:pPr>
        <w:spacing w:after="0" w:line="276" w:lineRule="auto"/>
        <w:ind w:right="237"/>
        <w:jc w:val="both"/>
        <w:rPr>
          <w:rFonts w:ascii="Times New Roman" w:eastAsia="Calibri" w:hAnsi="Times New Roman" w:cs="Times New Roman"/>
          <w:noProof/>
          <w:sz w:val="24"/>
          <w:szCs w:val="24"/>
          <w:lang w:val="sq-AL"/>
        </w:rPr>
      </w:pPr>
      <w:r w:rsidRPr="005E35D3">
        <w:rPr>
          <w:rFonts w:ascii="Times New Roman" w:eastAsia="Calibri" w:hAnsi="Times New Roman" w:cs="Times New Roman"/>
          <w:noProof/>
          <w:sz w:val="24"/>
          <w:szCs w:val="24"/>
          <w:lang w:val="sq-AL"/>
        </w:rPr>
        <w:t>Nd</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r vite portofoli i borxhit t</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 xml:space="preserve"> garantuar ka q</w:t>
      </w:r>
      <w:r w:rsidR="008C24E1">
        <w:rPr>
          <w:rFonts w:ascii="Times New Roman" w:eastAsia="Calibri" w:hAnsi="Times New Roman" w:cs="Times New Roman"/>
          <w:noProof/>
          <w:sz w:val="24"/>
          <w:szCs w:val="24"/>
          <w:lang w:val="sq-AL"/>
        </w:rPr>
        <w:t>e</w:t>
      </w:r>
      <w:r w:rsidRPr="005E35D3">
        <w:rPr>
          <w:rFonts w:ascii="Times New Roman" w:eastAsia="Calibri" w:hAnsi="Times New Roman" w:cs="Times New Roman"/>
          <w:noProof/>
          <w:sz w:val="24"/>
          <w:szCs w:val="24"/>
          <w:lang w:val="sq-AL"/>
        </w:rPr>
        <w:t>n</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 xml:space="preserve"> i dominuar nga g</w:t>
      </w:r>
      <w:r w:rsidR="0091491B" w:rsidRPr="005E35D3">
        <w:rPr>
          <w:rFonts w:ascii="Times New Roman" w:eastAsia="Calibri" w:hAnsi="Times New Roman" w:cs="Times New Roman"/>
          <w:noProof/>
          <w:sz w:val="24"/>
          <w:szCs w:val="24"/>
          <w:lang w:val="sq-AL"/>
        </w:rPr>
        <w:t xml:space="preserve">arancitë e </w:t>
      </w:r>
      <w:r w:rsidRPr="005E35D3">
        <w:rPr>
          <w:rFonts w:ascii="Times New Roman" w:eastAsia="Calibri" w:hAnsi="Times New Roman" w:cs="Times New Roman"/>
          <w:noProof/>
          <w:sz w:val="24"/>
          <w:szCs w:val="24"/>
          <w:lang w:val="sq-AL"/>
        </w:rPr>
        <w:t>emetuara n</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 xml:space="preserve"> favor t</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 xml:space="preserve"> tregut t</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 xml:space="preserve"> </w:t>
      </w:r>
      <w:r w:rsidR="0091491B" w:rsidRPr="005E35D3">
        <w:rPr>
          <w:rFonts w:ascii="Times New Roman" w:eastAsia="Calibri" w:hAnsi="Times New Roman" w:cs="Times New Roman"/>
          <w:noProof/>
          <w:sz w:val="24"/>
          <w:szCs w:val="24"/>
          <w:lang w:val="sq-AL"/>
        </w:rPr>
        <w:t>brendsh</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m.</w:t>
      </w:r>
      <w:r w:rsidR="0091491B" w:rsidRPr="005E35D3">
        <w:rPr>
          <w:rFonts w:ascii="Times New Roman" w:eastAsia="Calibri" w:hAnsi="Times New Roman" w:cs="Times New Roman"/>
          <w:noProof/>
          <w:sz w:val="24"/>
          <w:szCs w:val="24"/>
          <w:lang w:val="sq-AL"/>
        </w:rPr>
        <w:t xml:space="preserve"> </w:t>
      </w:r>
      <w:r w:rsidRPr="005E35D3">
        <w:rPr>
          <w:rFonts w:ascii="Times New Roman" w:eastAsia="Calibri" w:hAnsi="Times New Roman" w:cs="Times New Roman"/>
          <w:noProof/>
          <w:sz w:val="24"/>
          <w:szCs w:val="24"/>
          <w:lang w:val="sq-AL"/>
        </w:rPr>
        <w:t>K</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to garanci kan</w:t>
      </w:r>
      <w:r w:rsidR="00982338" w:rsidRPr="005E35D3">
        <w:rPr>
          <w:rFonts w:ascii="Times New Roman" w:eastAsia="Calibri" w:hAnsi="Times New Roman" w:cs="Times New Roman"/>
          <w:noProof/>
          <w:sz w:val="24"/>
          <w:szCs w:val="24"/>
          <w:lang w:val="sq-AL"/>
        </w:rPr>
        <w:t>ë</w:t>
      </w:r>
      <w:r w:rsidR="0091491B" w:rsidRPr="005E35D3">
        <w:rPr>
          <w:rFonts w:ascii="Times New Roman" w:eastAsia="Calibri" w:hAnsi="Times New Roman" w:cs="Times New Roman"/>
          <w:noProof/>
          <w:sz w:val="24"/>
          <w:szCs w:val="24"/>
          <w:lang w:val="sq-AL"/>
        </w:rPr>
        <w:t xml:space="preserve"> garantuar linja</w:t>
      </w:r>
      <w:r w:rsidRPr="005E35D3">
        <w:rPr>
          <w:rFonts w:ascii="Times New Roman" w:eastAsia="Calibri" w:hAnsi="Times New Roman" w:cs="Times New Roman"/>
          <w:noProof/>
          <w:sz w:val="24"/>
          <w:szCs w:val="24"/>
          <w:lang w:val="sq-AL"/>
        </w:rPr>
        <w:t>t</w:t>
      </w:r>
      <w:r w:rsidR="0091491B" w:rsidRPr="005E35D3">
        <w:rPr>
          <w:rFonts w:ascii="Times New Roman" w:eastAsia="Calibri" w:hAnsi="Times New Roman" w:cs="Times New Roman"/>
          <w:noProof/>
          <w:sz w:val="24"/>
          <w:szCs w:val="24"/>
          <w:lang w:val="sq-AL"/>
        </w:rPr>
        <w:t xml:space="preserve"> </w:t>
      </w:r>
      <w:r w:rsidRPr="005E35D3">
        <w:rPr>
          <w:rFonts w:ascii="Times New Roman" w:eastAsia="Calibri" w:hAnsi="Times New Roman" w:cs="Times New Roman"/>
          <w:noProof/>
          <w:sz w:val="24"/>
          <w:szCs w:val="24"/>
          <w:lang w:val="sq-AL"/>
        </w:rPr>
        <w:t>e huave</w:t>
      </w:r>
      <w:r w:rsidR="0091491B" w:rsidRPr="005E35D3">
        <w:rPr>
          <w:rFonts w:ascii="Times New Roman" w:eastAsia="Calibri" w:hAnsi="Times New Roman" w:cs="Times New Roman"/>
          <w:noProof/>
          <w:sz w:val="24"/>
          <w:szCs w:val="24"/>
          <w:lang w:val="sq-AL"/>
        </w:rPr>
        <w:t xml:space="preserve"> afatshkurtra t</w:t>
      </w:r>
      <w:r w:rsidR="00982338" w:rsidRPr="005E35D3">
        <w:rPr>
          <w:rFonts w:ascii="Times New Roman" w:eastAsia="Calibri" w:hAnsi="Times New Roman" w:cs="Times New Roman"/>
          <w:noProof/>
          <w:sz w:val="24"/>
          <w:szCs w:val="24"/>
          <w:lang w:val="sq-AL"/>
        </w:rPr>
        <w:t>ë</w:t>
      </w:r>
      <w:r w:rsidR="0091491B" w:rsidRPr="005E35D3">
        <w:rPr>
          <w:rFonts w:ascii="Times New Roman" w:eastAsia="Calibri" w:hAnsi="Times New Roman" w:cs="Times New Roman"/>
          <w:noProof/>
          <w:sz w:val="24"/>
          <w:szCs w:val="24"/>
          <w:lang w:val="sq-AL"/>
        </w:rPr>
        <w:t xml:space="preserve"> marra nga Korporata Elek</w:t>
      </w:r>
      <w:r w:rsidR="006B519A" w:rsidRPr="005E35D3">
        <w:rPr>
          <w:rFonts w:ascii="Times New Roman" w:eastAsia="Calibri" w:hAnsi="Times New Roman" w:cs="Times New Roman"/>
          <w:noProof/>
          <w:sz w:val="24"/>
          <w:szCs w:val="24"/>
          <w:lang w:val="sq-AL"/>
        </w:rPr>
        <w:t xml:space="preserve">troenergjitike </w:t>
      </w:r>
      <w:r w:rsidR="0091491B" w:rsidRPr="005E35D3">
        <w:rPr>
          <w:rFonts w:ascii="Times New Roman" w:eastAsia="Calibri" w:hAnsi="Times New Roman" w:cs="Times New Roman"/>
          <w:noProof/>
          <w:sz w:val="24"/>
          <w:szCs w:val="24"/>
          <w:lang w:val="sq-AL"/>
        </w:rPr>
        <w:t>Shqiptare (KESH sh.a.)</w:t>
      </w:r>
      <w:r w:rsidRPr="005E35D3">
        <w:rPr>
          <w:rFonts w:ascii="Times New Roman" w:eastAsia="Calibri" w:hAnsi="Times New Roman" w:cs="Times New Roman"/>
          <w:noProof/>
          <w:sz w:val="24"/>
          <w:szCs w:val="24"/>
          <w:lang w:val="sq-AL"/>
        </w:rPr>
        <w:t xml:space="preserve"> p</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r t</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 xml:space="preserve"> mund</w:t>
      </w:r>
      <w:r w:rsidR="00982338" w:rsidRPr="005E35D3">
        <w:rPr>
          <w:rFonts w:ascii="Times New Roman" w:eastAsia="Calibri" w:hAnsi="Times New Roman" w:cs="Times New Roman"/>
          <w:noProof/>
          <w:sz w:val="24"/>
          <w:szCs w:val="24"/>
          <w:lang w:val="sq-AL"/>
        </w:rPr>
        <w:t>ë</w:t>
      </w:r>
      <w:r w:rsidRPr="005E35D3">
        <w:rPr>
          <w:rFonts w:ascii="Times New Roman" w:eastAsia="Calibri" w:hAnsi="Times New Roman" w:cs="Times New Roman"/>
          <w:noProof/>
          <w:sz w:val="24"/>
          <w:szCs w:val="24"/>
          <w:lang w:val="sq-AL"/>
        </w:rPr>
        <w:t>suar aktivitetin e saj.</w:t>
      </w:r>
      <w:r w:rsidR="0091491B" w:rsidRPr="005E35D3">
        <w:rPr>
          <w:rFonts w:ascii="Times New Roman" w:eastAsia="Calibri" w:hAnsi="Times New Roman" w:cs="Times New Roman"/>
          <w:noProof/>
          <w:sz w:val="24"/>
          <w:szCs w:val="24"/>
          <w:lang w:val="sq-AL"/>
        </w:rPr>
        <w:t xml:space="preserve"> </w:t>
      </w:r>
      <w:r w:rsidR="006B519A" w:rsidRPr="005E35D3">
        <w:rPr>
          <w:rFonts w:ascii="Times New Roman" w:eastAsia="Calibri" w:hAnsi="Times New Roman" w:cs="Times New Roman"/>
          <w:noProof/>
          <w:sz w:val="24"/>
          <w:szCs w:val="24"/>
          <w:lang w:val="sq-AL"/>
        </w:rPr>
        <w:t>Maturiteti afatshkurt</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r dhe normat e interesit tregtare kan</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b</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r</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q</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k</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to hua t</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paraqesin nj</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risk rifinancimi relativisht t</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lart</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p</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r KESH sh.a. dhe rrjedhimisht edhe p</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r qeverin</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q</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sht</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garant i tyre. Megjithat</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q</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prej vitit 2018 risku </w:t>
      </w:r>
      <w:r w:rsidR="00B62690" w:rsidRPr="005E35D3">
        <w:rPr>
          <w:rFonts w:ascii="Times New Roman" w:eastAsia="Calibri" w:hAnsi="Times New Roman" w:cs="Times New Roman"/>
          <w:noProof/>
          <w:sz w:val="24"/>
          <w:szCs w:val="24"/>
          <w:lang w:val="sq-AL"/>
        </w:rPr>
        <w:t>i qeveris</w:t>
      </w:r>
      <w:r w:rsidR="00982338" w:rsidRPr="005E35D3">
        <w:rPr>
          <w:rFonts w:ascii="Times New Roman" w:eastAsia="Calibri" w:hAnsi="Times New Roman" w:cs="Times New Roman"/>
          <w:noProof/>
          <w:sz w:val="24"/>
          <w:szCs w:val="24"/>
          <w:lang w:val="sq-AL"/>
        </w:rPr>
        <w:t>ë</w:t>
      </w:r>
      <w:r w:rsidR="00B62690" w:rsidRPr="005E35D3">
        <w:rPr>
          <w:rFonts w:ascii="Times New Roman" w:eastAsia="Calibri" w:hAnsi="Times New Roman" w:cs="Times New Roman"/>
          <w:noProof/>
          <w:sz w:val="24"/>
          <w:szCs w:val="24"/>
          <w:lang w:val="sq-AL"/>
        </w:rPr>
        <w:t xml:space="preserve"> </w:t>
      </w:r>
      <w:r w:rsidR="006B519A" w:rsidRPr="005E35D3">
        <w:rPr>
          <w:rFonts w:ascii="Times New Roman" w:eastAsia="Calibri" w:hAnsi="Times New Roman" w:cs="Times New Roman"/>
          <w:noProof/>
          <w:sz w:val="24"/>
          <w:szCs w:val="24"/>
          <w:lang w:val="sq-AL"/>
        </w:rPr>
        <w:t>q</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buron nga k</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to garanci </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sht</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reduktuar ndjeshëm, si rezultat i bërjes efektive të marrëveshjes së huasë nd</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rmjet KESH sh.a. dhe BERZH. Kjo marr</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veshje mund</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soi r</w:t>
      </w:r>
      <w:r w:rsidR="0070423D" w:rsidRPr="005E35D3">
        <w:rPr>
          <w:rFonts w:ascii="Times New Roman" w:eastAsia="Calibri" w:hAnsi="Times New Roman" w:cs="Times New Roman"/>
          <w:noProof/>
          <w:sz w:val="24"/>
          <w:szCs w:val="24"/>
          <w:lang w:val="sq-AL"/>
        </w:rPr>
        <w:t xml:space="preserve">eduktimin </w:t>
      </w:r>
      <w:r w:rsidR="006B519A" w:rsidRPr="005E35D3">
        <w:rPr>
          <w:rFonts w:ascii="Times New Roman" w:eastAsia="Calibri" w:hAnsi="Times New Roman" w:cs="Times New Roman"/>
          <w:noProof/>
          <w:sz w:val="24"/>
          <w:szCs w:val="24"/>
          <w:lang w:val="sq-AL"/>
        </w:rPr>
        <w:t xml:space="preserve">e më shumë se gjysmës së portofolit të garancive të </w:t>
      </w:r>
      <w:r w:rsidR="00093AC7" w:rsidRPr="005E35D3">
        <w:rPr>
          <w:rFonts w:ascii="Times New Roman" w:eastAsia="Calibri" w:hAnsi="Times New Roman" w:cs="Times New Roman"/>
          <w:noProof/>
          <w:sz w:val="24"/>
          <w:szCs w:val="24"/>
          <w:lang w:val="sq-AL"/>
        </w:rPr>
        <w:t>brendshme, duke</w:t>
      </w:r>
      <w:r w:rsidR="006B519A" w:rsidRPr="005E35D3">
        <w:rPr>
          <w:rFonts w:ascii="Times New Roman" w:eastAsia="Calibri" w:hAnsi="Times New Roman" w:cs="Times New Roman"/>
          <w:noProof/>
          <w:sz w:val="24"/>
          <w:szCs w:val="24"/>
          <w:lang w:val="sq-AL"/>
        </w:rPr>
        <w:t xml:space="preserve"> zbutur ndjeshëm riskun e rifinancimit </w:t>
      </w:r>
      <w:r w:rsidR="00093AC7" w:rsidRPr="005E35D3">
        <w:rPr>
          <w:rFonts w:ascii="Times New Roman" w:eastAsia="Calibri" w:hAnsi="Times New Roman" w:cs="Times New Roman"/>
          <w:noProof/>
          <w:sz w:val="24"/>
          <w:szCs w:val="24"/>
          <w:lang w:val="sq-AL"/>
        </w:rPr>
        <w:t>q</w:t>
      </w:r>
      <w:r w:rsidR="00982338" w:rsidRPr="005E35D3">
        <w:rPr>
          <w:rFonts w:ascii="Times New Roman" w:eastAsia="Calibri" w:hAnsi="Times New Roman" w:cs="Times New Roman"/>
          <w:noProof/>
          <w:sz w:val="24"/>
          <w:szCs w:val="24"/>
          <w:lang w:val="sq-AL"/>
        </w:rPr>
        <w:t>ë</w:t>
      </w:r>
      <w:r w:rsidR="006B519A" w:rsidRPr="005E35D3">
        <w:rPr>
          <w:rFonts w:ascii="Times New Roman" w:eastAsia="Calibri" w:hAnsi="Times New Roman" w:cs="Times New Roman"/>
          <w:noProof/>
          <w:sz w:val="24"/>
          <w:szCs w:val="24"/>
          <w:lang w:val="sq-AL"/>
        </w:rPr>
        <w:t xml:space="preserve"> mund të buronte nga risku sistemik i sektorit bankar</w:t>
      </w:r>
      <w:r w:rsidR="00B62690" w:rsidRPr="005E35D3">
        <w:rPr>
          <w:rFonts w:ascii="Times New Roman" w:eastAsia="Calibri" w:hAnsi="Times New Roman" w:cs="Times New Roman"/>
          <w:noProof/>
          <w:sz w:val="24"/>
          <w:szCs w:val="24"/>
          <w:lang w:val="sq-AL"/>
        </w:rPr>
        <w:t xml:space="preserve"> vendas, </w:t>
      </w:r>
      <w:r w:rsidR="006B519A" w:rsidRPr="005E35D3">
        <w:rPr>
          <w:rFonts w:ascii="Times New Roman" w:eastAsia="Calibri" w:hAnsi="Times New Roman" w:cs="Times New Roman"/>
          <w:noProof/>
          <w:sz w:val="24"/>
          <w:szCs w:val="24"/>
          <w:lang w:val="sq-AL"/>
        </w:rPr>
        <w:t xml:space="preserve">ose ndryshimi i politikave investuese të bankave që kishin financuar </w:t>
      </w:r>
      <w:r w:rsidR="00093AC7" w:rsidRPr="005E35D3">
        <w:rPr>
          <w:rFonts w:ascii="Times New Roman" w:eastAsia="Calibri" w:hAnsi="Times New Roman" w:cs="Times New Roman"/>
          <w:noProof/>
          <w:sz w:val="24"/>
          <w:szCs w:val="24"/>
          <w:lang w:val="sq-AL"/>
        </w:rPr>
        <w:t>huat</w:t>
      </w:r>
      <w:r w:rsidR="00982338" w:rsidRPr="005E35D3">
        <w:rPr>
          <w:rFonts w:ascii="Times New Roman" w:eastAsia="Calibri" w:hAnsi="Times New Roman" w:cs="Times New Roman"/>
          <w:noProof/>
          <w:sz w:val="24"/>
          <w:szCs w:val="24"/>
          <w:lang w:val="sq-AL"/>
        </w:rPr>
        <w:t>ë</w:t>
      </w:r>
      <w:r w:rsidR="00093AC7" w:rsidRPr="005E35D3">
        <w:rPr>
          <w:rFonts w:ascii="Times New Roman" w:eastAsia="Calibri" w:hAnsi="Times New Roman" w:cs="Times New Roman"/>
          <w:noProof/>
          <w:sz w:val="24"/>
          <w:szCs w:val="24"/>
          <w:lang w:val="sq-AL"/>
        </w:rPr>
        <w:t xml:space="preserve"> e KESH sh.a.</w:t>
      </w:r>
      <w:r w:rsidR="00B62690" w:rsidRPr="005E35D3">
        <w:rPr>
          <w:rFonts w:ascii="Times New Roman" w:eastAsia="Calibri" w:hAnsi="Times New Roman" w:cs="Times New Roman"/>
          <w:noProof/>
          <w:sz w:val="24"/>
          <w:szCs w:val="24"/>
          <w:lang w:val="sq-AL"/>
        </w:rPr>
        <w:t>.</w:t>
      </w:r>
      <w:r w:rsidR="00886EBB" w:rsidRPr="005E35D3">
        <w:rPr>
          <w:rFonts w:ascii="Times New Roman" w:eastAsia="Calibri" w:hAnsi="Times New Roman" w:cs="Times New Roman"/>
          <w:noProof/>
          <w:sz w:val="24"/>
          <w:szCs w:val="24"/>
          <w:lang w:val="sq-AL"/>
        </w:rPr>
        <w:t xml:space="preserve"> Në dallim nga garancitë e brendshme, </w:t>
      </w:r>
      <w:r w:rsidR="00886EBB" w:rsidRPr="005E35D3">
        <w:rPr>
          <w:rFonts w:ascii="Times New Roman" w:eastAsia="Calibri" w:hAnsi="Times New Roman" w:cs="Times New Roman"/>
          <w:noProof/>
          <w:sz w:val="24"/>
          <w:szCs w:val="24"/>
          <w:lang w:val="sq-AL"/>
        </w:rPr>
        <w:lastRenderedPageBreak/>
        <w:t>garancitë e huaja paraqesin m</w:t>
      </w:r>
      <w:r w:rsidR="00982338" w:rsidRPr="005E35D3">
        <w:rPr>
          <w:rFonts w:ascii="Times New Roman" w:eastAsia="Calibri" w:hAnsi="Times New Roman" w:cs="Times New Roman"/>
          <w:noProof/>
          <w:sz w:val="24"/>
          <w:szCs w:val="24"/>
          <w:lang w:val="sq-AL"/>
        </w:rPr>
        <w:t>ë</w:t>
      </w:r>
      <w:r w:rsidR="00886EBB" w:rsidRPr="005E35D3">
        <w:rPr>
          <w:rFonts w:ascii="Times New Roman" w:eastAsia="Calibri" w:hAnsi="Times New Roman" w:cs="Times New Roman"/>
          <w:noProof/>
          <w:sz w:val="24"/>
          <w:szCs w:val="24"/>
          <w:lang w:val="sq-AL"/>
        </w:rPr>
        <w:t xml:space="preserve"> pak risk pasi garantojn</w:t>
      </w:r>
      <w:r w:rsidR="00982338" w:rsidRPr="005E35D3">
        <w:rPr>
          <w:rFonts w:ascii="Times New Roman" w:eastAsia="Calibri" w:hAnsi="Times New Roman" w:cs="Times New Roman"/>
          <w:noProof/>
          <w:sz w:val="24"/>
          <w:szCs w:val="24"/>
          <w:lang w:val="sq-AL"/>
        </w:rPr>
        <w:t>ë</w:t>
      </w:r>
      <w:r w:rsidR="00886EBB" w:rsidRPr="005E35D3">
        <w:rPr>
          <w:rFonts w:ascii="Times New Roman" w:eastAsia="Calibri" w:hAnsi="Times New Roman" w:cs="Times New Roman"/>
          <w:noProof/>
          <w:sz w:val="24"/>
          <w:szCs w:val="24"/>
          <w:lang w:val="sq-AL"/>
        </w:rPr>
        <w:t xml:space="preserve"> kryesisht hua afatgjata me norma interesi të favorshme. </w:t>
      </w:r>
    </w:p>
    <w:p w14:paraId="71DF5C3A" w14:textId="77777777" w:rsidR="0091491B" w:rsidRPr="000F5C13" w:rsidRDefault="00886EBB" w:rsidP="000F2369">
      <w:pPr>
        <w:spacing w:after="0" w:line="276" w:lineRule="auto"/>
        <w:ind w:right="237"/>
        <w:jc w:val="both"/>
        <w:rPr>
          <w:rFonts w:ascii="Times New Roman" w:eastAsia="Batang" w:hAnsi="Times New Roman" w:cs="Times New Roman"/>
          <w:noProof/>
          <w:sz w:val="24"/>
          <w:szCs w:val="24"/>
          <w:lang w:val="sq-AL"/>
        </w:rPr>
      </w:pPr>
      <w:r w:rsidRPr="005E35D3">
        <w:rPr>
          <w:rFonts w:ascii="Times New Roman" w:eastAsia="Batang" w:hAnsi="Times New Roman" w:cs="Times New Roman"/>
          <w:noProof/>
          <w:sz w:val="24"/>
          <w:szCs w:val="24"/>
          <w:lang w:val="sq-AL"/>
        </w:rPr>
        <w:t>Pavar</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sisht sa m</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sip</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r, garancit</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shtet</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rore t</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huas</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vazhdojn</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t</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paraqesin risqe, pasi m</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shum</w:t>
      </w:r>
      <w:r w:rsidR="00982338" w:rsidRPr="005E35D3">
        <w:rPr>
          <w:rFonts w:ascii="Times New Roman" w:eastAsia="Batang" w:hAnsi="Times New Roman" w:cs="Times New Roman"/>
          <w:noProof/>
          <w:sz w:val="24"/>
          <w:szCs w:val="24"/>
          <w:lang w:val="sq-AL"/>
        </w:rPr>
        <w:t>ë</w:t>
      </w:r>
      <w:r w:rsidRPr="005E35D3">
        <w:rPr>
          <w:rFonts w:ascii="Times New Roman" w:eastAsia="Batang" w:hAnsi="Times New Roman" w:cs="Times New Roman"/>
          <w:noProof/>
          <w:sz w:val="24"/>
          <w:szCs w:val="24"/>
          <w:lang w:val="sq-AL"/>
        </w:rPr>
        <w:t xml:space="preserve"> se 80%</w:t>
      </w:r>
      <w:r w:rsidR="006E6ED6" w:rsidRPr="005E35D3">
        <w:rPr>
          <w:rFonts w:ascii="Times New Roman" w:eastAsia="Batang" w:hAnsi="Times New Roman" w:cs="Times New Roman"/>
          <w:noProof/>
          <w:sz w:val="24"/>
          <w:szCs w:val="24"/>
          <w:lang w:val="sq-AL"/>
        </w:rPr>
        <w:t xml:space="preserve"> e tyre i përkasin sektorit të energjisë, duke e bërë buxhetin</w:t>
      </w:r>
      <w:r w:rsidR="0070423D" w:rsidRPr="005E35D3">
        <w:rPr>
          <w:rFonts w:ascii="Times New Roman" w:eastAsia="Batang" w:hAnsi="Times New Roman" w:cs="Times New Roman"/>
          <w:noProof/>
          <w:sz w:val="24"/>
          <w:szCs w:val="24"/>
          <w:lang w:val="sq-AL"/>
        </w:rPr>
        <w:t xml:space="preserve"> e shtetit</w:t>
      </w:r>
      <w:r w:rsidR="006E6ED6" w:rsidRPr="005E35D3">
        <w:rPr>
          <w:rFonts w:ascii="Times New Roman" w:eastAsia="Batang" w:hAnsi="Times New Roman" w:cs="Times New Roman"/>
          <w:noProof/>
          <w:sz w:val="24"/>
          <w:szCs w:val="24"/>
          <w:lang w:val="sq-AL"/>
        </w:rPr>
        <w:t xml:space="preserve"> të ndjeshëm ndaj çdo risku që mund të paraqesë ky sektor.</w:t>
      </w:r>
    </w:p>
    <w:bookmarkEnd w:id="23"/>
    <w:bookmarkEnd w:id="24"/>
    <w:bookmarkEnd w:id="25"/>
    <w:p w14:paraId="71DF5C3B" w14:textId="77777777" w:rsidR="00357A31" w:rsidRPr="000F5C13" w:rsidRDefault="00357A31" w:rsidP="007971E2">
      <w:pPr>
        <w:spacing w:after="0"/>
        <w:rPr>
          <w:rFonts w:ascii="Cambria" w:eastAsia="Calibri" w:hAnsi="Cambria" w:cs="Times New Roman"/>
          <w:b/>
          <w:noProof/>
          <w:color w:val="8E0000"/>
          <w:sz w:val="16"/>
          <w:szCs w:val="20"/>
          <w:lang w:val="sq-AL"/>
        </w:rPr>
      </w:pPr>
    </w:p>
    <w:p w14:paraId="71DF5C3C" w14:textId="77777777" w:rsidR="0008198F" w:rsidRDefault="00287D0C" w:rsidP="0008198F">
      <w:pPr>
        <w:spacing w:after="0"/>
        <w:ind w:left="284"/>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Paraqitje Grafike 4</w:t>
      </w:r>
      <w:r w:rsidR="009B24CE" w:rsidRPr="000F5C13">
        <w:rPr>
          <w:rFonts w:ascii="Cambria" w:eastAsia="Calibri" w:hAnsi="Cambria" w:cs="Times New Roman"/>
          <w:b/>
          <w:noProof/>
          <w:color w:val="8E0000"/>
          <w:sz w:val="20"/>
          <w:szCs w:val="20"/>
          <w:lang w:val="sq-AL"/>
        </w:rPr>
        <w:t>:</w:t>
      </w:r>
      <w:r w:rsidR="009B24CE" w:rsidRPr="000F5C13">
        <w:rPr>
          <w:rFonts w:eastAsia="Batang"/>
          <w:b/>
          <w:noProof/>
          <w:color w:val="8E0000"/>
          <w:lang w:val="sq-AL"/>
        </w:rPr>
        <w:t xml:space="preserve"> </w:t>
      </w:r>
      <w:r w:rsidR="004E4E42" w:rsidRPr="000F5C13">
        <w:rPr>
          <w:rFonts w:ascii="Cambria" w:eastAsia="Calibri" w:hAnsi="Cambria" w:cs="Times New Roman"/>
          <w:i/>
          <w:noProof/>
          <w:color w:val="8E0000"/>
          <w:sz w:val="20"/>
          <w:szCs w:val="20"/>
          <w:lang w:val="sq-AL"/>
        </w:rPr>
        <w:t xml:space="preserve">Kompozimi i </w:t>
      </w:r>
      <w:r w:rsidR="00C152A9" w:rsidRPr="000F5C13">
        <w:rPr>
          <w:rFonts w:ascii="Cambria" w:eastAsia="Calibri" w:hAnsi="Cambria" w:cs="Times New Roman"/>
          <w:i/>
          <w:noProof/>
          <w:color w:val="8E0000"/>
          <w:sz w:val="20"/>
          <w:szCs w:val="20"/>
          <w:lang w:val="sq-AL"/>
        </w:rPr>
        <w:t>g</w:t>
      </w:r>
      <w:r w:rsidR="004E4E42" w:rsidRPr="000F5C13">
        <w:rPr>
          <w:rFonts w:ascii="Cambria" w:eastAsia="Calibri" w:hAnsi="Cambria" w:cs="Times New Roman"/>
          <w:i/>
          <w:noProof/>
          <w:color w:val="8E0000"/>
          <w:sz w:val="20"/>
          <w:szCs w:val="20"/>
          <w:lang w:val="sq-AL"/>
        </w:rPr>
        <w:t>arancive</w:t>
      </w:r>
      <w:r w:rsidR="009B24CE" w:rsidRPr="000F5C13">
        <w:rPr>
          <w:rFonts w:ascii="Cambria" w:eastAsia="Calibri" w:hAnsi="Cambria" w:cs="Times New Roman"/>
          <w:i/>
          <w:noProof/>
          <w:color w:val="8E0000"/>
          <w:sz w:val="20"/>
          <w:szCs w:val="20"/>
          <w:lang w:val="sq-AL"/>
        </w:rPr>
        <w:t xml:space="preserve"> shtetërore</w:t>
      </w:r>
      <w:r w:rsidR="00C152A9" w:rsidRPr="000F5C13">
        <w:rPr>
          <w:rFonts w:ascii="Cambria" w:eastAsia="Calibri" w:hAnsi="Cambria" w:cs="Times New Roman"/>
          <w:i/>
          <w:noProof/>
          <w:color w:val="8E0000"/>
          <w:sz w:val="20"/>
          <w:szCs w:val="20"/>
          <w:lang w:val="sq-AL"/>
        </w:rPr>
        <w:t xml:space="preserve"> t</w:t>
      </w:r>
      <w:r w:rsidR="004D1E37" w:rsidRPr="000F5C13">
        <w:rPr>
          <w:rFonts w:ascii="Cambria" w:eastAsia="Calibri" w:hAnsi="Cambria" w:cs="Times New Roman"/>
          <w:i/>
          <w:noProof/>
          <w:color w:val="8E0000"/>
          <w:sz w:val="20"/>
          <w:szCs w:val="20"/>
          <w:lang w:val="sq-AL"/>
        </w:rPr>
        <w:t>ë</w:t>
      </w:r>
      <w:r w:rsidR="00C152A9" w:rsidRPr="000F5C13">
        <w:rPr>
          <w:rFonts w:ascii="Cambria" w:eastAsia="Calibri" w:hAnsi="Cambria" w:cs="Times New Roman"/>
          <w:i/>
          <w:noProof/>
          <w:color w:val="8E0000"/>
          <w:sz w:val="20"/>
          <w:szCs w:val="20"/>
          <w:lang w:val="sq-AL"/>
        </w:rPr>
        <w:t xml:space="preserve"> huas</w:t>
      </w:r>
      <w:r w:rsidR="004D1E37" w:rsidRPr="000F5C13">
        <w:rPr>
          <w:rFonts w:ascii="Cambria" w:eastAsia="Calibri" w:hAnsi="Cambria" w:cs="Times New Roman"/>
          <w:i/>
          <w:noProof/>
          <w:color w:val="8E0000"/>
          <w:sz w:val="20"/>
          <w:szCs w:val="20"/>
          <w:lang w:val="sq-AL"/>
        </w:rPr>
        <w:t>ë</w:t>
      </w:r>
      <w:r w:rsidR="009B24CE" w:rsidRPr="000F5C13">
        <w:rPr>
          <w:rFonts w:ascii="Cambria" w:eastAsia="Calibri" w:hAnsi="Cambria" w:cs="Times New Roman"/>
          <w:i/>
          <w:noProof/>
          <w:color w:val="8E0000"/>
          <w:sz w:val="20"/>
          <w:szCs w:val="20"/>
          <w:lang w:val="sq-AL"/>
        </w:rPr>
        <w:t xml:space="preserve"> </w:t>
      </w:r>
      <w:r w:rsidR="00D75461">
        <w:rPr>
          <w:rFonts w:ascii="Cambria" w:eastAsia="Calibri" w:hAnsi="Cambria" w:cs="Times New Roman"/>
          <w:i/>
          <w:noProof/>
          <w:color w:val="8E0000"/>
          <w:sz w:val="20"/>
          <w:szCs w:val="20"/>
          <w:lang w:val="sq-AL"/>
        </w:rPr>
        <w:t>(2015</w:t>
      </w:r>
      <w:r w:rsidR="00FB134C" w:rsidRPr="000F5C13">
        <w:rPr>
          <w:rFonts w:ascii="Cambria" w:eastAsia="Calibri" w:hAnsi="Cambria" w:cs="Times New Roman"/>
          <w:i/>
          <w:noProof/>
          <w:color w:val="8E0000"/>
          <w:sz w:val="20"/>
          <w:szCs w:val="20"/>
          <w:lang w:val="sq-AL"/>
        </w:rPr>
        <w:t>-</w:t>
      </w:r>
      <w:r w:rsidR="00F533CF">
        <w:rPr>
          <w:rFonts w:ascii="Cambria" w:eastAsia="Calibri" w:hAnsi="Cambria" w:cs="Times New Roman"/>
          <w:i/>
          <w:noProof/>
          <w:color w:val="8E0000"/>
          <w:sz w:val="20"/>
          <w:szCs w:val="20"/>
          <w:lang w:val="sq-AL"/>
        </w:rPr>
        <w:t>Shtator</w:t>
      </w:r>
      <w:r w:rsidR="00BE5550">
        <w:rPr>
          <w:rFonts w:ascii="Cambria" w:eastAsia="Calibri" w:hAnsi="Cambria" w:cs="Times New Roman"/>
          <w:i/>
          <w:noProof/>
          <w:color w:val="8E0000"/>
          <w:sz w:val="20"/>
          <w:szCs w:val="20"/>
          <w:lang w:val="sq-AL"/>
        </w:rPr>
        <w:t xml:space="preserve"> 2019</w:t>
      </w:r>
      <w:r w:rsidR="00FB134C" w:rsidRPr="000F5C13">
        <w:rPr>
          <w:rFonts w:ascii="Cambria" w:eastAsia="Calibri" w:hAnsi="Cambria" w:cs="Times New Roman"/>
          <w:i/>
          <w:noProof/>
          <w:color w:val="8E0000"/>
          <w:sz w:val="20"/>
          <w:szCs w:val="20"/>
          <w:lang w:val="sq-AL"/>
        </w:rPr>
        <w:t>)</w:t>
      </w:r>
    </w:p>
    <w:p w14:paraId="71DF5C3D" w14:textId="77777777" w:rsidR="00B050A6" w:rsidRPr="0008198F" w:rsidRDefault="005E35D3" w:rsidP="00CB01E3">
      <w:pPr>
        <w:spacing w:after="0"/>
        <w:rPr>
          <w:rFonts w:ascii="Cambria" w:eastAsia="Calibri" w:hAnsi="Cambria" w:cs="Times New Roman"/>
          <w:i/>
          <w:noProof/>
          <w:color w:val="8E0000"/>
          <w:sz w:val="20"/>
          <w:szCs w:val="20"/>
          <w:lang w:val="sq-AL"/>
        </w:rPr>
      </w:pPr>
      <w:r>
        <w:rPr>
          <w:rFonts w:ascii="Cambria" w:eastAsia="Calibri" w:hAnsi="Cambria" w:cs="Times New Roman"/>
          <w:i/>
          <w:noProof/>
          <w:color w:val="8E0000"/>
          <w:sz w:val="20"/>
          <w:szCs w:val="20"/>
        </w:rPr>
        <w:drawing>
          <wp:inline distT="0" distB="0" distL="0" distR="0" wp14:anchorId="71DF5F75" wp14:editId="71DF5F76">
            <wp:extent cx="5553075" cy="2438400"/>
            <wp:effectExtent l="19050" t="19050" r="28575" b="190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53075" cy="2438400"/>
                    </a:xfrm>
                    <a:prstGeom prst="rect">
                      <a:avLst/>
                    </a:prstGeom>
                    <a:noFill/>
                    <a:ln>
                      <a:solidFill>
                        <a:sysClr val="window" lastClr="FFFFFF">
                          <a:lumMod val="65000"/>
                        </a:sysClr>
                      </a:solidFill>
                    </a:ln>
                  </pic:spPr>
                </pic:pic>
              </a:graphicData>
            </a:graphic>
          </wp:inline>
        </w:drawing>
      </w:r>
    </w:p>
    <w:p w14:paraId="71DF5C3E" w14:textId="77777777" w:rsidR="009B24CE" w:rsidRPr="000F5C13" w:rsidRDefault="009B24CE" w:rsidP="00C152A9">
      <w:pPr>
        <w:spacing w:after="0"/>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Burimi:</w:t>
      </w:r>
      <w:r w:rsidRPr="000F5C13">
        <w:rPr>
          <w:rFonts w:eastAsia="Batang"/>
          <w:b/>
          <w:noProof/>
          <w:color w:val="8E0000"/>
          <w:lang w:val="sq-AL"/>
        </w:rPr>
        <w:t xml:space="preserve"> </w:t>
      </w:r>
      <w:r w:rsidRPr="000F5C13">
        <w:rPr>
          <w:rFonts w:ascii="Cambria" w:eastAsia="Calibri" w:hAnsi="Cambria" w:cs="Times New Roman"/>
          <w:i/>
          <w:noProof/>
          <w:color w:val="8E0000"/>
          <w:sz w:val="20"/>
          <w:szCs w:val="20"/>
          <w:lang w:val="sq-AL"/>
        </w:rPr>
        <w:t xml:space="preserve">Ministria e Financave dhe </w:t>
      </w:r>
      <w:r w:rsidR="00BE5550">
        <w:rPr>
          <w:rFonts w:ascii="Cambria" w:eastAsia="Calibri" w:hAnsi="Cambria" w:cs="Times New Roman"/>
          <w:i/>
          <w:noProof/>
          <w:color w:val="8E0000"/>
          <w:sz w:val="20"/>
          <w:szCs w:val="20"/>
          <w:lang w:val="sq-AL"/>
        </w:rPr>
        <w:t>Ekonomisë (2019</w:t>
      </w:r>
      <w:r w:rsidRPr="000F5C13">
        <w:rPr>
          <w:rFonts w:ascii="Cambria" w:eastAsia="Calibri" w:hAnsi="Cambria" w:cs="Times New Roman"/>
          <w:i/>
          <w:noProof/>
          <w:color w:val="8E0000"/>
          <w:sz w:val="20"/>
          <w:szCs w:val="20"/>
          <w:lang w:val="sq-AL"/>
        </w:rPr>
        <w:t>)</w:t>
      </w:r>
    </w:p>
    <w:p w14:paraId="71DF5C3F" w14:textId="77777777" w:rsidR="00C152A9" w:rsidRPr="000F5C13" w:rsidRDefault="00C152A9" w:rsidP="00C152A9">
      <w:pPr>
        <w:spacing w:after="0"/>
        <w:jc w:val="center"/>
        <w:rPr>
          <w:rFonts w:ascii="Cambria" w:eastAsia="Calibri" w:hAnsi="Cambria" w:cs="Times New Roman"/>
          <w:i/>
          <w:noProof/>
          <w:color w:val="8E0000"/>
          <w:sz w:val="20"/>
          <w:szCs w:val="20"/>
          <w:lang w:val="sq-AL"/>
        </w:rPr>
      </w:pPr>
    </w:p>
    <w:p w14:paraId="71DF5C40" w14:textId="77777777" w:rsidR="009B24CE" w:rsidRPr="000F5C13" w:rsidRDefault="009B24CE" w:rsidP="004A70BC">
      <w:pPr>
        <w:pStyle w:val="Heading1"/>
        <w:numPr>
          <w:ilvl w:val="0"/>
          <w:numId w:val="8"/>
        </w:numPr>
        <w:spacing w:before="0" w:line="240" w:lineRule="auto"/>
        <w:ind w:left="567" w:hanging="567"/>
        <w:rPr>
          <w:noProof/>
          <w:lang w:val="sq-AL"/>
        </w:rPr>
      </w:pPr>
      <w:bookmarkStart w:id="26" w:name="_Toc480457957"/>
      <w:bookmarkStart w:id="27" w:name="_Toc491860989"/>
      <w:bookmarkStart w:id="28" w:name="_Toc491954302"/>
      <w:bookmarkStart w:id="29" w:name="_Toc524506536"/>
      <w:r w:rsidRPr="000F5C13">
        <w:rPr>
          <w:noProof/>
          <w:lang w:val="sq-AL"/>
        </w:rPr>
        <w:t>Menaxhimi i</w:t>
      </w:r>
      <w:bookmarkEnd w:id="26"/>
      <w:r w:rsidRPr="000F5C13">
        <w:rPr>
          <w:noProof/>
          <w:lang w:val="sq-AL"/>
        </w:rPr>
        <w:t xml:space="preserve"> Kostove dhe </w:t>
      </w:r>
      <w:r w:rsidR="00F55A3D" w:rsidRPr="000F5C13">
        <w:rPr>
          <w:noProof/>
          <w:lang w:val="sq-AL"/>
        </w:rPr>
        <w:t>Ris</w:t>
      </w:r>
      <w:r w:rsidRPr="000F5C13">
        <w:rPr>
          <w:noProof/>
          <w:lang w:val="sq-AL"/>
        </w:rPr>
        <w:t>qeve</w:t>
      </w:r>
      <w:bookmarkEnd w:id="27"/>
      <w:bookmarkEnd w:id="28"/>
      <w:bookmarkEnd w:id="29"/>
      <w:r w:rsidRPr="000F5C13">
        <w:rPr>
          <w:noProof/>
          <w:lang w:val="sq-AL"/>
        </w:rPr>
        <w:t xml:space="preserve"> </w:t>
      </w:r>
    </w:p>
    <w:p w14:paraId="71DF5C41" w14:textId="77777777" w:rsidR="009B24CE" w:rsidRPr="000F5C13" w:rsidRDefault="009B24CE" w:rsidP="009B24CE">
      <w:pPr>
        <w:spacing w:after="0"/>
        <w:rPr>
          <w:rFonts w:ascii="Times New Roman" w:eastAsia="Batang" w:hAnsi="Times New Roman" w:cs="Times New Roman"/>
          <w:noProof/>
          <w:sz w:val="20"/>
          <w:szCs w:val="16"/>
          <w:lang w:val="sq-AL"/>
        </w:rPr>
      </w:pPr>
    </w:p>
    <w:p w14:paraId="71DF5C42" w14:textId="77777777" w:rsidR="000757B9" w:rsidRPr="001278E4" w:rsidRDefault="005D74CD" w:rsidP="000F2369">
      <w:pPr>
        <w:tabs>
          <w:tab w:val="left" w:pos="284"/>
        </w:tabs>
        <w:spacing w:after="0" w:line="276" w:lineRule="auto"/>
        <w:ind w:right="237"/>
        <w:jc w:val="both"/>
        <w:rPr>
          <w:rFonts w:ascii="Times New Roman" w:eastAsia="Batang" w:hAnsi="Times New Roman" w:cs="Times New Roman"/>
          <w:noProof/>
          <w:sz w:val="24"/>
          <w:szCs w:val="24"/>
          <w:lang w:val="sq-AL"/>
        </w:rPr>
      </w:pPr>
      <w:r w:rsidRPr="001278E4">
        <w:rPr>
          <w:rFonts w:ascii="Times New Roman" w:eastAsia="Batang" w:hAnsi="Times New Roman" w:cs="Times New Roman"/>
          <w:noProof/>
          <w:sz w:val="24"/>
          <w:szCs w:val="24"/>
          <w:lang w:val="sq-AL"/>
        </w:rPr>
        <w:t xml:space="preserve">Gjatë </w:t>
      </w:r>
      <w:r w:rsidR="000757B9" w:rsidRPr="001278E4">
        <w:rPr>
          <w:rFonts w:ascii="Times New Roman" w:eastAsia="Batang" w:hAnsi="Times New Roman" w:cs="Times New Roman"/>
          <w:noProof/>
          <w:sz w:val="24"/>
          <w:szCs w:val="24"/>
          <w:lang w:val="sq-AL"/>
        </w:rPr>
        <w:t>viteve t</w:t>
      </w:r>
      <w:r w:rsidR="00754CBC" w:rsidRPr="001278E4">
        <w:rPr>
          <w:rFonts w:ascii="Times New Roman" w:eastAsia="Batang" w:hAnsi="Times New Roman" w:cs="Times New Roman"/>
          <w:noProof/>
          <w:sz w:val="24"/>
          <w:szCs w:val="24"/>
          <w:lang w:val="sq-AL"/>
        </w:rPr>
        <w:t>ë</w:t>
      </w:r>
      <w:r w:rsidR="000757B9" w:rsidRPr="001278E4">
        <w:rPr>
          <w:rFonts w:ascii="Times New Roman" w:eastAsia="Batang" w:hAnsi="Times New Roman" w:cs="Times New Roman"/>
          <w:noProof/>
          <w:sz w:val="24"/>
          <w:szCs w:val="24"/>
          <w:lang w:val="sq-AL"/>
        </w:rPr>
        <w:t xml:space="preserve"> fundit</w:t>
      </w:r>
      <w:r w:rsidR="00DA5BA8" w:rsidRPr="001278E4">
        <w:rPr>
          <w:rFonts w:ascii="Times New Roman" w:eastAsia="Batang" w:hAnsi="Times New Roman" w:cs="Times New Roman"/>
          <w:noProof/>
          <w:sz w:val="24"/>
          <w:szCs w:val="24"/>
          <w:lang w:val="sq-AL"/>
        </w:rPr>
        <w:t>,</w:t>
      </w:r>
      <w:r w:rsidR="009B24CE" w:rsidRPr="001278E4">
        <w:rPr>
          <w:rFonts w:ascii="Times New Roman" w:eastAsia="Batang" w:hAnsi="Times New Roman" w:cs="Times New Roman"/>
          <w:noProof/>
          <w:sz w:val="24"/>
          <w:szCs w:val="24"/>
          <w:lang w:val="sq-AL"/>
        </w:rPr>
        <w:t xml:space="preserve"> portofoli i </w:t>
      </w:r>
      <w:r w:rsidR="0077520F" w:rsidRPr="001278E4">
        <w:rPr>
          <w:rFonts w:ascii="Times New Roman" w:eastAsia="Batang" w:hAnsi="Times New Roman" w:cs="Times New Roman"/>
          <w:noProof/>
          <w:sz w:val="24"/>
          <w:szCs w:val="24"/>
          <w:lang w:val="sq-AL"/>
        </w:rPr>
        <w:t>b</w:t>
      </w:r>
      <w:r w:rsidR="009B24CE" w:rsidRPr="001278E4">
        <w:rPr>
          <w:rFonts w:ascii="Times New Roman" w:eastAsia="Batang" w:hAnsi="Times New Roman" w:cs="Times New Roman"/>
          <w:noProof/>
          <w:sz w:val="24"/>
          <w:szCs w:val="24"/>
          <w:lang w:val="sq-AL"/>
        </w:rPr>
        <w:t xml:space="preserve">orxhit </w:t>
      </w:r>
      <w:r w:rsidR="0077520F" w:rsidRPr="001278E4">
        <w:rPr>
          <w:rFonts w:ascii="Times New Roman" w:eastAsia="Batang" w:hAnsi="Times New Roman" w:cs="Times New Roman"/>
          <w:noProof/>
          <w:sz w:val="24"/>
          <w:szCs w:val="24"/>
          <w:lang w:val="sq-AL"/>
        </w:rPr>
        <w:t>s</w:t>
      </w:r>
      <w:r w:rsidR="009B24CE" w:rsidRPr="001278E4">
        <w:rPr>
          <w:rFonts w:ascii="Times New Roman" w:eastAsia="Batang" w:hAnsi="Times New Roman" w:cs="Times New Roman"/>
          <w:noProof/>
          <w:sz w:val="24"/>
          <w:szCs w:val="24"/>
          <w:lang w:val="sq-AL"/>
        </w:rPr>
        <w:t xml:space="preserve">htetëror </w:t>
      </w:r>
      <w:r w:rsidR="00754CBC" w:rsidRPr="001278E4">
        <w:rPr>
          <w:rFonts w:ascii="Times New Roman" w:eastAsia="Batang" w:hAnsi="Times New Roman" w:cs="Times New Roman"/>
          <w:noProof/>
          <w:sz w:val="24"/>
          <w:szCs w:val="24"/>
          <w:lang w:val="sq-AL"/>
        </w:rPr>
        <w:t>ë</w:t>
      </w:r>
      <w:r w:rsidR="000757B9" w:rsidRPr="001278E4">
        <w:rPr>
          <w:rFonts w:ascii="Times New Roman" w:eastAsia="Batang" w:hAnsi="Times New Roman" w:cs="Times New Roman"/>
          <w:noProof/>
          <w:sz w:val="24"/>
          <w:szCs w:val="24"/>
          <w:lang w:val="sq-AL"/>
        </w:rPr>
        <w:t>sht</w:t>
      </w:r>
      <w:r w:rsidR="00754CBC" w:rsidRPr="001278E4">
        <w:rPr>
          <w:rFonts w:ascii="Times New Roman" w:eastAsia="Batang" w:hAnsi="Times New Roman" w:cs="Times New Roman"/>
          <w:noProof/>
          <w:sz w:val="24"/>
          <w:szCs w:val="24"/>
          <w:lang w:val="sq-AL"/>
        </w:rPr>
        <w:t>ë</w:t>
      </w:r>
      <w:r w:rsidR="009B24CE" w:rsidRPr="001278E4">
        <w:rPr>
          <w:rFonts w:ascii="Times New Roman" w:eastAsia="Batang" w:hAnsi="Times New Roman" w:cs="Times New Roman"/>
          <w:noProof/>
          <w:sz w:val="24"/>
          <w:szCs w:val="24"/>
          <w:lang w:val="sq-AL"/>
        </w:rPr>
        <w:t xml:space="preserve"> karakterizua</w:t>
      </w:r>
      <w:r w:rsidR="000757B9" w:rsidRPr="001278E4">
        <w:rPr>
          <w:rFonts w:ascii="Times New Roman" w:eastAsia="Batang" w:hAnsi="Times New Roman" w:cs="Times New Roman"/>
          <w:noProof/>
          <w:sz w:val="24"/>
          <w:szCs w:val="24"/>
          <w:lang w:val="sq-AL"/>
        </w:rPr>
        <w:t>r</w:t>
      </w:r>
      <w:r w:rsidR="009B24CE" w:rsidRPr="001278E4">
        <w:rPr>
          <w:rFonts w:ascii="Times New Roman" w:eastAsia="Batang" w:hAnsi="Times New Roman" w:cs="Times New Roman"/>
          <w:noProof/>
          <w:sz w:val="24"/>
          <w:szCs w:val="24"/>
          <w:lang w:val="sq-AL"/>
        </w:rPr>
        <w:t xml:space="preserve"> nga përmirësimi i raportit midis kostos dhe </w:t>
      </w:r>
      <w:r w:rsidR="00F55A3D" w:rsidRPr="001278E4">
        <w:rPr>
          <w:rFonts w:ascii="Times New Roman" w:eastAsia="Batang" w:hAnsi="Times New Roman" w:cs="Times New Roman"/>
          <w:noProof/>
          <w:sz w:val="24"/>
          <w:szCs w:val="24"/>
          <w:lang w:val="sq-AL"/>
        </w:rPr>
        <w:t>ris</w:t>
      </w:r>
      <w:r w:rsidR="0077520F" w:rsidRPr="001278E4">
        <w:rPr>
          <w:rFonts w:ascii="Times New Roman" w:eastAsia="Batang" w:hAnsi="Times New Roman" w:cs="Times New Roman"/>
          <w:noProof/>
          <w:sz w:val="24"/>
          <w:szCs w:val="24"/>
          <w:lang w:val="sq-AL"/>
        </w:rPr>
        <w:t>qeve. Kosto</w:t>
      </w:r>
      <w:r w:rsidR="009B24CE" w:rsidRPr="001278E4">
        <w:rPr>
          <w:rFonts w:ascii="Times New Roman" w:eastAsia="Batang" w:hAnsi="Times New Roman" w:cs="Times New Roman"/>
          <w:noProof/>
          <w:sz w:val="24"/>
          <w:szCs w:val="24"/>
          <w:lang w:val="sq-AL"/>
        </w:rPr>
        <w:t xml:space="preserve"> e borxhit </w:t>
      </w:r>
      <w:r w:rsidR="00982338" w:rsidRPr="001278E4">
        <w:rPr>
          <w:rFonts w:ascii="Times New Roman" w:eastAsia="Batang" w:hAnsi="Times New Roman" w:cs="Times New Roman"/>
          <w:noProof/>
          <w:sz w:val="24"/>
          <w:szCs w:val="24"/>
          <w:lang w:val="sq-AL"/>
        </w:rPr>
        <w:t>ë</w:t>
      </w:r>
      <w:r w:rsidR="0077520F" w:rsidRPr="001278E4">
        <w:rPr>
          <w:rFonts w:ascii="Times New Roman" w:eastAsia="Batang" w:hAnsi="Times New Roman" w:cs="Times New Roman"/>
          <w:noProof/>
          <w:sz w:val="24"/>
          <w:szCs w:val="24"/>
          <w:lang w:val="sq-AL"/>
        </w:rPr>
        <w:t>sht</w:t>
      </w:r>
      <w:r w:rsidR="00982338" w:rsidRPr="001278E4">
        <w:rPr>
          <w:rFonts w:ascii="Times New Roman" w:eastAsia="Batang" w:hAnsi="Times New Roman" w:cs="Times New Roman"/>
          <w:noProof/>
          <w:sz w:val="24"/>
          <w:szCs w:val="24"/>
          <w:lang w:val="sq-AL"/>
        </w:rPr>
        <w:t>ë</w:t>
      </w:r>
      <w:r w:rsidR="009B24CE" w:rsidRPr="001278E4">
        <w:rPr>
          <w:rFonts w:ascii="Times New Roman" w:eastAsia="Batang" w:hAnsi="Times New Roman" w:cs="Times New Roman"/>
          <w:noProof/>
          <w:sz w:val="24"/>
          <w:szCs w:val="24"/>
          <w:lang w:val="sq-AL"/>
        </w:rPr>
        <w:t xml:space="preserve"> ul</w:t>
      </w:r>
      <w:r w:rsidR="000757B9" w:rsidRPr="001278E4">
        <w:rPr>
          <w:rFonts w:ascii="Times New Roman" w:eastAsia="Batang" w:hAnsi="Times New Roman" w:cs="Times New Roman"/>
          <w:noProof/>
          <w:sz w:val="24"/>
          <w:szCs w:val="24"/>
          <w:lang w:val="sq-AL"/>
        </w:rPr>
        <w:t>ur</w:t>
      </w:r>
      <w:r w:rsidR="009B24CE" w:rsidRPr="001278E4">
        <w:rPr>
          <w:rFonts w:ascii="Times New Roman" w:eastAsia="Batang" w:hAnsi="Times New Roman" w:cs="Times New Roman"/>
          <w:noProof/>
          <w:sz w:val="24"/>
          <w:szCs w:val="24"/>
          <w:lang w:val="sq-AL"/>
        </w:rPr>
        <w:t xml:space="preserve"> ndjeshëm dhe struktura e borxhit </w:t>
      </w:r>
      <w:r w:rsidR="00754CBC" w:rsidRPr="001278E4">
        <w:rPr>
          <w:rFonts w:ascii="Times New Roman" w:eastAsia="Batang" w:hAnsi="Times New Roman" w:cs="Times New Roman"/>
          <w:noProof/>
          <w:sz w:val="24"/>
          <w:szCs w:val="24"/>
          <w:lang w:val="sq-AL"/>
        </w:rPr>
        <w:t>ë</w:t>
      </w:r>
      <w:r w:rsidR="000757B9" w:rsidRPr="001278E4">
        <w:rPr>
          <w:rFonts w:ascii="Times New Roman" w:eastAsia="Batang" w:hAnsi="Times New Roman" w:cs="Times New Roman"/>
          <w:noProof/>
          <w:sz w:val="24"/>
          <w:szCs w:val="24"/>
          <w:lang w:val="sq-AL"/>
        </w:rPr>
        <w:t>sht</w:t>
      </w:r>
      <w:r w:rsidR="00754CBC" w:rsidRPr="001278E4">
        <w:rPr>
          <w:rFonts w:ascii="Times New Roman" w:eastAsia="Batang" w:hAnsi="Times New Roman" w:cs="Times New Roman"/>
          <w:noProof/>
          <w:sz w:val="24"/>
          <w:szCs w:val="24"/>
          <w:lang w:val="sq-AL"/>
        </w:rPr>
        <w:t>ë</w:t>
      </w:r>
      <w:r w:rsidR="009B24CE" w:rsidRPr="001278E4">
        <w:rPr>
          <w:rFonts w:ascii="Times New Roman" w:eastAsia="Batang" w:hAnsi="Times New Roman" w:cs="Times New Roman"/>
          <w:noProof/>
          <w:sz w:val="24"/>
          <w:szCs w:val="24"/>
          <w:lang w:val="sq-AL"/>
        </w:rPr>
        <w:t xml:space="preserve"> përmirësua</w:t>
      </w:r>
      <w:r w:rsidR="000757B9" w:rsidRPr="001278E4">
        <w:rPr>
          <w:rFonts w:ascii="Times New Roman" w:eastAsia="Batang" w:hAnsi="Times New Roman" w:cs="Times New Roman"/>
          <w:noProof/>
          <w:sz w:val="24"/>
          <w:szCs w:val="24"/>
          <w:lang w:val="sq-AL"/>
        </w:rPr>
        <w:t>r</w:t>
      </w:r>
      <w:r w:rsidR="009B24CE" w:rsidRPr="001278E4">
        <w:rPr>
          <w:rFonts w:ascii="Times New Roman" w:eastAsia="Batang" w:hAnsi="Times New Roman" w:cs="Times New Roman"/>
          <w:noProof/>
          <w:sz w:val="24"/>
          <w:szCs w:val="24"/>
          <w:lang w:val="sq-AL"/>
        </w:rPr>
        <w:t>, kryesisht në aspektin e reduktimit të ekspozimit ndaj r</w:t>
      </w:r>
      <w:r w:rsidR="00146007" w:rsidRPr="001278E4">
        <w:rPr>
          <w:rFonts w:ascii="Times New Roman" w:eastAsia="Batang" w:hAnsi="Times New Roman" w:cs="Times New Roman"/>
          <w:noProof/>
          <w:sz w:val="24"/>
          <w:szCs w:val="24"/>
          <w:lang w:val="sq-AL"/>
        </w:rPr>
        <w:t>iskut</w:t>
      </w:r>
      <w:r w:rsidR="009B24CE" w:rsidRPr="001278E4">
        <w:rPr>
          <w:rFonts w:ascii="Times New Roman" w:eastAsia="Batang" w:hAnsi="Times New Roman" w:cs="Times New Roman"/>
          <w:noProof/>
          <w:sz w:val="24"/>
          <w:szCs w:val="24"/>
          <w:lang w:val="sq-AL"/>
        </w:rPr>
        <w:t xml:space="preserve"> të rifinancimit dhe r</w:t>
      </w:r>
      <w:r w:rsidR="00146007" w:rsidRPr="001278E4">
        <w:rPr>
          <w:rFonts w:ascii="Times New Roman" w:eastAsia="Batang" w:hAnsi="Times New Roman" w:cs="Times New Roman"/>
          <w:noProof/>
          <w:sz w:val="24"/>
          <w:szCs w:val="24"/>
          <w:lang w:val="sq-AL"/>
        </w:rPr>
        <w:t>iskut</w:t>
      </w:r>
      <w:r w:rsidR="009B24CE" w:rsidRPr="001278E4">
        <w:rPr>
          <w:rFonts w:ascii="Times New Roman" w:eastAsia="Batang" w:hAnsi="Times New Roman" w:cs="Times New Roman"/>
          <w:noProof/>
          <w:sz w:val="24"/>
          <w:szCs w:val="24"/>
          <w:lang w:val="sq-AL"/>
        </w:rPr>
        <w:t xml:space="preserve"> të normave të interesit. </w:t>
      </w:r>
    </w:p>
    <w:p w14:paraId="71DF5C43" w14:textId="77777777" w:rsidR="009B24CE" w:rsidRPr="001278E4" w:rsidRDefault="000757B9" w:rsidP="000F2369">
      <w:pPr>
        <w:tabs>
          <w:tab w:val="left" w:pos="284"/>
        </w:tabs>
        <w:spacing w:after="0" w:line="276" w:lineRule="auto"/>
        <w:ind w:right="237"/>
        <w:jc w:val="both"/>
        <w:rPr>
          <w:rFonts w:ascii="Times New Roman" w:eastAsia="Batang" w:hAnsi="Times New Roman" w:cs="Times New Roman"/>
          <w:noProof/>
          <w:sz w:val="24"/>
          <w:szCs w:val="24"/>
          <w:lang w:val="sq-AL"/>
        </w:rPr>
      </w:pPr>
      <w:r w:rsidRPr="001278E4">
        <w:rPr>
          <w:rFonts w:ascii="Times New Roman" w:eastAsia="Batang" w:hAnsi="Times New Roman" w:cs="Times New Roman"/>
          <w:noProof/>
          <w:sz w:val="24"/>
          <w:szCs w:val="24"/>
          <w:lang w:val="sq-AL"/>
        </w:rPr>
        <w:t>P</w:t>
      </w:r>
      <w:r w:rsidR="009B24CE" w:rsidRPr="001278E4">
        <w:rPr>
          <w:rFonts w:ascii="Times New Roman" w:eastAsia="Batang" w:hAnsi="Times New Roman" w:cs="Times New Roman"/>
          <w:noProof/>
          <w:sz w:val="24"/>
          <w:szCs w:val="24"/>
          <w:lang w:val="sq-AL"/>
        </w:rPr>
        <w:t xml:space="preserve">ërmirësimi i raportit ndërmjet kostos dhe </w:t>
      </w:r>
      <w:r w:rsidR="00F55A3D" w:rsidRPr="001278E4">
        <w:rPr>
          <w:rFonts w:ascii="Times New Roman" w:eastAsia="Batang" w:hAnsi="Times New Roman" w:cs="Times New Roman"/>
          <w:noProof/>
          <w:sz w:val="24"/>
          <w:szCs w:val="24"/>
          <w:lang w:val="sq-AL"/>
        </w:rPr>
        <w:t>ris</w:t>
      </w:r>
      <w:r w:rsidR="009B24CE" w:rsidRPr="001278E4">
        <w:rPr>
          <w:rFonts w:ascii="Times New Roman" w:eastAsia="Batang" w:hAnsi="Times New Roman" w:cs="Times New Roman"/>
          <w:noProof/>
          <w:sz w:val="24"/>
          <w:szCs w:val="24"/>
          <w:lang w:val="sq-AL"/>
        </w:rPr>
        <w:t>kut ka ardhur jo vetëm si rezultat i mirëmenaxhimit në përputhje me objektivat strategjikë, por edhe si rezultat i kushteve të favorshme të treg</w:t>
      </w:r>
      <w:r w:rsidR="00754633" w:rsidRPr="001278E4">
        <w:rPr>
          <w:rFonts w:ascii="Times New Roman" w:eastAsia="Batang" w:hAnsi="Times New Roman" w:cs="Times New Roman"/>
          <w:noProof/>
          <w:sz w:val="24"/>
          <w:szCs w:val="24"/>
          <w:lang w:val="sq-AL"/>
        </w:rPr>
        <w:t>jeve</w:t>
      </w:r>
      <w:r w:rsidR="009B24CE" w:rsidRPr="001278E4">
        <w:rPr>
          <w:rFonts w:ascii="Times New Roman" w:eastAsia="Batang" w:hAnsi="Times New Roman" w:cs="Times New Roman"/>
          <w:noProof/>
          <w:sz w:val="24"/>
          <w:szCs w:val="24"/>
          <w:lang w:val="sq-AL"/>
        </w:rPr>
        <w:t xml:space="preserve"> dhe faktorëve makroekonomik</w:t>
      </w:r>
      <w:r w:rsidR="00B22154" w:rsidRPr="001278E4">
        <w:rPr>
          <w:rFonts w:ascii="Times New Roman" w:eastAsia="Batang" w:hAnsi="Times New Roman" w:cs="Times New Roman"/>
          <w:noProof/>
          <w:sz w:val="24"/>
          <w:szCs w:val="24"/>
          <w:lang w:val="sq-AL"/>
        </w:rPr>
        <w:t>ë</w:t>
      </w:r>
      <w:r w:rsidR="009B24CE" w:rsidRPr="001278E4">
        <w:rPr>
          <w:rFonts w:ascii="Times New Roman" w:eastAsia="Batang" w:hAnsi="Times New Roman" w:cs="Times New Roman"/>
          <w:noProof/>
          <w:sz w:val="24"/>
          <w:szCs w:val="24"/>
          <w:lang w:val="sq-AL"/>
        </w:rPr>
        <w:t xml:space="preserve"> të vendit, të till</w:t>
      </w:r>
      <w:r w:rsidR="00847F46" w:rsidRPr="001278E4">
        <w:rPr>
          <w:rFonts w:ascii="Times New Roman" w:eastAsia="Batang" w:hAnsi="Times New Roman" w:cs="Times New Roman"/>
          <w:noProof/>
          <w:sz w:val="24"/>
          <w:szCs w:val="24"/>
          <w:lang w:val="sq-AL"/>
        </w:rPr>
        <w:t>ë</w:t>
      </w:r>
      <w:r w:rsidR="009B24CE" w:rsidRPr="001278E4">
        <w:rPr>
          <w:rFonts w:ascii="Times New Roman" w:eastAsia="Batang" w:hAnsi="Times New Roman" w:cs="Times New Roman"/>
          <w:noProof/>
          <w:sz w:val="24"/>
          <w:szCs w:val="24"/>
          <w:lang w:val="sq-AL"/>
        </w:rPr>
        <w:t xml:space="preserve"> si:</w:t>
      </w:r>
    </w:p>
    <w:p w14:paraId="71DF5C44" w14:textId="77777777" w:rsidR="009B24CE" w:rsidRPr="001278E4" w:rsidRDefault="009B24CE" w:rsidP="009B24CE">
      <w:pPr>
        <w:tabs>
          <w:tab w:val="left" w:pos="284"/>
        </w:tabs>
        <w:spacing w:after="0" w:line="276" w:lineRule="auto"/>
        <w:ind w:right="237"/>
        <w:jc w:val="both"/>
        <w:rPr>
          <w:rFonts w:ascii="Times New Roman" w:eastAsia="Batang" w:hAnsi="Times New Roman" w:cs="Times New Roman"/>
          <w:noProof/>
          <w:sz w:val="16"/>
          <w:szCs w:val="12"/>
          <w:lang w:val="sq-AL"/>
        </w:rPr>
      </w:pPr>
    </w:p>
    <w:p w14:paraId="71DF5C45" w14:textId="77777777" w:rsidR="009B24CE" w:rsidRPr="001278E4" w:rsidRDefault="00DA5BA8" w:rsidP="007C5DFA">
      <w:pPr>
        <w:numPr>
          <w:ilvl w:val="0"/>
          <w:numId w:val="4"/>
        </w:numPr>
        <w:tabs>
          <w:tab w:val="left" w:pos="0"/>
        </w:tabs>
        <w:spacing w:after="0" w:line="276" w:lineRule="auto"/>
        <w:ind w:left="284" w:right="237" w:hanging="284"/>
        <w:contextualSpacing/>
        <w:jc w:val="both"/>
        <w:rPr>
          <w:rFonts w:ascii="Times New Roman" w:eastAsia="Batang" w:hAnsi="Times New Roman" w:cs="Times New Roman"/>
          <w:noProof/>
          <w:sz w:val="24"/>
          <w:szCs w:val="24"/>
          <w:lang w:val="sq-AL"/>
        </w:rPr>
      </w:pPr>
      <w:r w:rsidRPr="001278E4">
        <w:rPr>
          <w:rFonts w:ascii="Times New Roman" w:eastAsia="Batang" w:hAnsi="Times New Roman" w:cs="Times New Roman"/>
          <w:noProof/>
          <w:sz w:val="24"/>
          <w:szCs w:val="24"/>
          <w:lang w:val="sq-AL"/>
        </w:rPr>
        <w:t>Ulja e norm</w:t>
      </w:r>
      <w:r w:rsidR="0070423D" w:rsidRPr="001278E4">
        <w:rPr>
          <w:rFonts w:ascii="Times New Roman" w:eastAsia="Batang" w:hAnsi="Times New Roman" w:cs="Times New Roman"/>
          <w:noProof/>
          <w:sz w:val="24"/>
          <w:szCs w:val="24"/>
          <w:lang w:val="sq-AL"/>
        </w:rPr>
        <w:t>ave</w:t>
      </w:r>
      <w:r w:rsidRPr="001278E4">
        <w:rPr>
          <w:rFonts w:ascii="Times New Roman" w:eastAsia="Batang" w:hAnsi="Times New Roman" w:cs="Times New Roman"/>
          <w:noProof/>
          <w:sz w:val="24"/>
          <w:szCs w:val="24"/>
          <w:lang w:val="sq-AL"/>
        </w:rPr>
        <w:t xml:space="preserve"> bazë të interesit në tregun e brendshëm dhe atë të huaj, si rezultat i politikave monetare lehtësuese të bankave qendrore;</w:t>
      </w:r>
    </w:p>
    <w:p w14:paraId="71DF5C46" w14:textId="0167E9C0" w:rsidR="009B24CE" w:rsidRPr="001278E4" w:rsidRDefault="009B24CE" w:rsidP="007C5DFA">
      <w:pPr>
        <w:numPr>
          <w:ilvl w:val="0"/>
          <w:numId w:val="4"/>
        </w:numPr>
        <w:tabs>
          <w:tab w:val="left" w:pos="0"/>
        </w:tabs>
        <w:spacing w:after="0" w:line="276" w:lineRule="auto"/>
        <w:ind w:left="284" w:right="237" w:hanging="284"/>
        <w:contextualSpacing/>
        <w:jc w:val="both"/>
        <w:rPr>
          <w:rFonts w:ascii="Times New Roman" w:eastAsia="Batang" w:hAnsi="Times New Roman" w:cs="Times New Roman"/>
          <w:noProof/>
          <w:sz w:val="24"/>
          <w:szCs w:val="24"/>
          <w:lang w:val="sq-AL"/>
        </w:rPr>
      </w:pPr>
      <w:r w:rsidRPr="001278E4">
        <w:rPr>
          <w:rFonts w:ascii="Times New Roman" w:eastAsia="Batang" w:hAnsi="Times New Roman" w:cs="Times New Roman"/>
          <w:noProof/>
          <w:sz w:val="24"/>
          <w:szCs w:val="24"/>
          <w:lang w:val="sq-AL"/>
        </w:rPr>
        <w:t xml:space="preserve">Disponueshmëria në nivele të konsiderueshme e burimeve të huaja të financimit me norma interesi </w:t>
      </w:r>
      <w:r w:rsidR="00EA299E">
        <w:rPr>
          <w:rFonts w:ascii="Times New Roman" w:eastAsia="Batang" w:hAnsi="Times New Roman" w:cs="Times New Roman"/>
          <w:noProof/>
          <w:sz w:val="24"/>
          <w:szCs w:val="24"/>
          <w:lang w:val="sq-AL"/>
        </w:rPr>
        <w:t>të</w:t>
      </w:r>
      <w:r w:rsidR="00680E19">
        <w:rPr>
          <w:rFonts w:ascii="Times New Roman" w:eastAsia="Batang" w:hAnsi="Times New Roman" w:cs="Times New Roman"/>
          <w:noProof/>
          <w:sz w:val="24"/>
          <w:szCs w:val="24"/>
          <w:lang w:val="sq-AL"/>
        </w:rPr>
        <w:t xml:space="preserve"> favorshme (koncesionale)</w:t>
      </w:r>
      <w:r w:rsidRPr="001278E4">
        <w:rPr>
          <w:rFonts w:ascii="Times New Roman" w:eastAsia="Batang" w:hAnsi="Times New Roman" w:cs="Times New Roman"/>
          <w:noProof/>
          <w:sz w:val="24"/>
          <w:szCs w:val="24"/>
          <w:lang w:val="sq-AL"/>
        </w:rPr>
        <w:t>;</w:t>
      </w:r>
      <w:r w:rsidR="007F1351" w:rsidRPr="001278E4">
        <w:rPr>
          <w:rFonts w:ascii="Times New Roman" w:eastAsia="Batang" w:hAnsi="Times New Roman" w:cs="Times New Roman"/>
          <w:noProof/>
          <w:sz w:val="24"/>
          <w:szCs w:val="24"/>
          <w:lang w:val="sq-AL"/>
        </w:rPr>
        <w:t xml:space="preserve"> </w:t>
      </w:r>
    </w:p>
    <w:p w14:paraId="71DF5C47" w14:textId="77777777" w:rsidR="009B24CE" w:rsidRPr="001278E4" w:rsidRDefault="00DA5BA8" w:rsidP="007C5DFA">
      <w:pPr>
        <w:numPr>
          <w:ilvl w:val="0"/>
          <w:numId w:val="4"/>
        </w:numPr>
        <w:tabs>
          <w:tab w:val="left" w:pos="0"/>
        </w:tabs>
        <w:spacing w:after="0" w:line="276" w:lineRule="auto"/>
        <w:ind w:left="284" w:right="237" w:hanging="284"/>
        <w:contextualSpacing/>
        <w:jc w:val="both"/>
        <w:rPr>
          <w:rFonts w:ascii="Times New Roman" w:eastAsia="Batang" w:hAnsi="Times New Roman" w:cs="Times New Roman"/>
          <w:noProof/>
          <w:sz w:val="24"/>
          <w:szCs w:val="24"/>
          <w:lang w:val="sq-AL"/>
        </w:rPr>
      </w:pPr>
      <w:r w:rsidRPr="001278E4">
        <w:rPr>
          <w:rFonts w:ascii="Times New Roman" w:eastAsia="Batang" w:hAnsi="Times New Roman" w:cs="Times New Roman"/>
          <w:noProof/>
          <w:sz w:val="24"/>
          <w:szCs w:val="24"/>
          <w:lang w:val="sq-AL"/>
        </w:rPr>
        <w:t xml:space="preserve">Kërkesa </w:t>
      </w:r>
      <w:r w:rsidR="00276D9F" w:rsidRPr="001278E4">
        <w:rPr>
          <w:rFonts w:ascii="Times New Roman" w:eastAsia="Batang" w:hAnsi="Times New Roman" w:cs="Times New Roman"/>
          <w:noProof/>
          <w:sz w:val="24"/>
          <w:szCs w:val="24"/>
          <w:lang w:val="sq-AL"/>
        </w:rPr>
        <w:t>e k</w:t>
      </w:r>
      <w:r w:rsidR="00872B40" w:rsidRPr="001278E4">
        <w:rPr>
          <w:rFonts w:ascii="Times New Roman" w:eastAsia="Batang" w:hAnsi="Times New Roman" w:cs="Times New Roman"/>
          <w:noProof/>
          <w:sz w:val="24"/>
          <w:szCs w:val="24"/>
          <w:lang w:val="sq-AL"/>
        </w:rPr>
        <w:t>ë</w:t>
      </w:r>
      <w:r w:rsidR="00276D9F" w:rsidRPr="001278E4">
        <w:rPr>
          <w:rFonts w:ascii="Times New Roman" w:eastAsia="Batang" w:hAnsi="Times New Roman" w:cs="Times New Roman"/>
          <w:noProof/>
          <w:sz w:val="24"/>
          <w:szCs w:val="24"/>
          <w:lang w:val="sq-AL"/>
        </w:rPr>
        <w:t>naqshme</w:t>
      </w:r>
      <w:r w:rsidRPr="001278E4">
        <w:rPr>
          <w:rFonts w:ascii="Times New Roman" w:eastAsia="Batang" w:hAnsi="Times New Roman" w:cs="Times New Roman"/>
          <w:noProof/>
          <w:sz w:val="24"/>
          <w:szCs w:val="24"/>
          <w:lang w:val="sq-AL"/>
        </w:rPr>
        <w:t xml:space="preserve"> për titujt </w:t>
      </w:r>
      <w:r w:rsidR="00276D9F" w:rsidRPr="001278E4">
        <w:rPr>
          <w:rFonts w:ascii="Times New Roman" w:eastAsia="Batang" w:hAnsi="Times New Roman" w:cs="Times New Roman"/>
          <w:noProof/>
          <w:sz w:val="24"/>
          <w:szCs w:val="24"/>
          <w:lang w:val="sq-AL"/>
        </w:rPr>
        <w:t>shtet</w:t>
      </w:r>
      <w:r w:rsidR="00872B40" w:rsidRPr="001278E4">
        <w:rPr>
          <w:rFonts w:ascii="Times New Roman" w:eastAsia="Batang" w:hAnsi="Times New Roman" w:cs="Times New Roman"/>
          <w:noProof/>
          <w:sz w:val="24"/>
          <w:szCs w:val="24"/>
          <w:lang w:val="sq-AL"/>
        </w:rPr>
        <w:t>ë</w:t>
      </w:r>
      <w:r w:rsidR="00276D9F" w:rsidRPr="001278E4">
        <w:rPr>
          <w:rFonts w:ascii="Times New Roman" w:eastAsia="Batang" w:hAnsi="Times New Roman" w:cs="Times New Roman"/>
          <w:noProof/>
          <w:sz w:val="24"/>
          <w:szCs w:val="24"/>
          <w:lang w:val="sq-AL"/>
        </w:rPr>
        <w:t>ror</w:t>
      </w:r>
      <w:r w:rsidR="00872B40" w:rsidRPr="001278E4">
        <w:rPr>
          <w:rFonts w:ascii="Times New Roman" w:eastAsia="Batang" w:hAnsi="Times New Roman" w:cs="Times New Roman"/>
          <w:noProof/>
          <w:sz w:val="24"/>
          <w:szCs w:val="24"/>
          <w:lang w:val="sq-AL"/>
        </w:rPr>
        <w:t>ë</w:t>
      </w:r>
      <w:r w:rsidR="00276D9F" w:rsidRPr="001278E4">
        <w:rPr>
          <w:rFonts w:ascii="Times New Roman" w:eastAsia="Batang" w:hAnsi="Times New Roman" w:cs="Times New Roman"/>
          <w:noProof/>
          <w:sz w:val="24"/>
          <w:szCs w:val="24"/>
          <w:lang w:val="sq-AL"/>
        </w:rPr>
        <w:t xml:space="preserve"> </w:t>
      </w:r>
      <w:r w:rsidRPr="001278E4">
        <w:rPr>
          <w:rFonts w:ascii="Times New Roman" w:eastAsia="Batang" w:hAnsi="Times New Roman" w:cs="Times New Roman"/>
          <w:noProof/>
          <w:sz w:val="24"/>
          <w:szCs w:val="24"/>
          <w:lang w:val="sq-AL"/>
        </w:rPr>
        <w:t>afatgjatë me norma interesi fikse</w:t>
      </w:r>
      <w:r w:rsidR="009B24CE" w:rsidRPr="001278E4">
        <w:rPr>
          <w:rFonts w:ascii="Times New Roman" w:eastAsia="Batang" w:hAnsi="Times New Roman" w:cs="Times New Roman"/>
          <w:noProof/>
          <w:sz w:val="24"/>
          <w:szCs w:val="24"/>
          <w:lang w:val="sq-AL"/>
        </w:rPr>
        <w:t>;</w:t>
      </w:r>
    </w:p>
    <w:p w14:paraId="71DF5C48" w14:textId="77777777" w:rsidR="009B24CE" w:rsidRPr="001278E4" w:rsidRDefault="00680E19" w:rsidP="007C5DFA">
      <w:pPr>
        <w:numPr>
          <w:ilvl w:val="0"/>
          <w:numId w:val="4"/>
        </w:numPr>
        <w:tabs>
          <w:tab w:val="left" w:pos="0"/>
        </w:tabs>
        <w:spacing w:after="0" w:line="276" w:lineRule="auto"/>
        <w:ind w:left="284" w:right="237" w:hanging="284"/>
        <w:contextualSpacing/>
        <w:jc w:val="both"/>
        <w:rPr>
          <w:rFonts w:ascii="Times New Roman" w:eastAsia="Batang" w:hAnsi="Times New Roman" w:cs="Times New Roman"/>
          <w:noProof/>
          <w:sz w:val="24"/>
          <w:szCs w:val="24"/>
          <w:lang w:val="sq-AL"/>
        </w:rPr>
      </w:pPr>
      <w:r>
        <w:rPr>
          <w:rFonts w:ascii="Times New Roman" w:eastAsia="Batang" w:hAnsi="Times New Roman" w:cs="Times New Roman"/>
          <w:noProof/>
          <w:sz w:val="24"/>
          <w:szCs w:val="24"/>
          <w:lang w:val="sq-AL"/>
        </w:rPr>
        <w:t xml:space="preserve">Ulja e kursit të këmbimit </w:t>
      </w:r>
      <w:r w:rsidR="00C42AC5" w:rsidRPr="001278E4">
        <w:rPr>
          <w:rFonts w:ascii="Times New Roman" w:eastAsia="Batang" w:hAnsi="Times New Roman" w:cs="Times New Roman"/>
          <w:noProof/>
          <w:sz w:val="24"/>
          <w:szCs w:val="24"/>
          <w:lang w:val="sq-AL"/>
        </w:rPr>
        <w:t xml:space="preserve"> EUR/LEK</w:t>
      </w:r>
      <w:r w:rsidR="009B24CE" w:rsidRPr="001278E4">
        <w:rPr>
          <w:rFonts w:ascii="Times New Roman" w:eastAsia="Batang" w:hAnsi="Times New Roman" w:cs="Times New Roman"/>
          <w:noProof/>
          <w:sz w:val="24"/>
          <w:szCs w:val="24"/>
          <w:lang w:val="sq-AL"/>
        </w:rPr>
        <w:t xml:space="preserve"> dh</w:t>
      </w:r>
      <w:r w:rsidR="00F665FE" w:rsidRPr="001278E4">
        <w:rPr>
          <w:rFonts w:ascii="Times New Roman" w:eastAsia="Batang" w:hAnsi="Times New Roman" w:cs="Times New Roman"/>
          <w:noProof/>
          <w:sz w:val="24"/>
          <w:szCs w:val="24"/>
          <w:lang w:val="sq-AL"/>
        </w:rPr>
        <w:t xml:space="preserve">e lëvizja </w:t>
      </w:r>
      <w:r w:rsidR="00276D9F" w:rsidRPr="001278E4">
        <w:rPr>
          <w:rFonts w:ascii="Times New Roman" w:eastAsia="Batang" w:hAnsi="Times New Roman" w:cs="Times New Roman"/>
          <w:noProof/>
          <w:sz w:val="24"/>
          <w:szCs w:val="24"/>
          <w:lang w:val="sq-AL"/>
        </w:rPr>
        <w:t>e k</w:t>
      </w:r>
      <w:r w:rsidR="00872B40" w:rsidRPr="001278E4">
        <w:rPr>
          <w:rFonts w:ascii="Times New Roman" w:eastAsia="Batang" w:hAnsi="Times New Roman" w:cs="Times New Roman"/>
          <w:noProof/>
          <w:sz w:val="24"/>
          <w:szCs w:val="24"/>
          <w:lang w:val="sq-AL"/>
        </w:rPr>
        <w:t>ë</w:t>
      </w:r>
      <w:r w:rsidR="00276D9F" w:rsidRPr="001278E4">
        <w:rPr>
          <w:rFonts w:ascii="Times New Roman" w:eastAsia="Batang" w:hAnsi="Times New Roman" w:cs="Times New Roman"/>
          <w:noProof/>
          <w:sz w:val="24"/>
          <w:szCs w:val="24"/>
          <w:lang w:val="sq-AL"/>
        </w:rPr>
        <w:t xml:space="preserve">tij kursi përgjithësisht në </w:t>
      </w:r>
      <w:r w:rsidR="000757B9" w:rsidRPr="001278E4">
        <w:rPr>
          <w:rFonts w:ascii="Times New Roman" w:eastAsia="Batang" w:hAnsi="Times New Roman" w:cs="Times New Roman"/>
          <w:noProof/>
          <w:sz w:val="24"/>
          <w:szCs w:val="24"/>
          <w:lang w:val="sq-AL"/>
        </w:rPr>
        <w:t>drejtim</w:t>
      </w:r>
      <w:r w:rsidR="00276D9F" w:rsidRPr="001278E4">
        <w:rPr>
          <w:rFonts w:ascii="Times New Roman" w:eastAsia="Batang" w:hAnsi="Times New Roman" w:cs="Times New Roman"/>
          <w:noProof/>
          <w:sz w:val="24"/>
          <w:szCs w:val="24"/>
          <w:lang w:val="sq-AL"/>
        </w:rPr>
        <w:t xml:space="preserve"> të kundërt me kursin USD/</w:t>
      </w:r>
      <w:r w:rsidR="009E6AD6" w:rsidRPr="001278E4">
        <w:rPr>
          <w:rFonts w:ascii="Times New Roman" w:eastAsia="Batang" w:hAnsi="Times New Roman" w:cs="Times New Roman"/>
          <w:noProof/>
          <w:sz w:val="24"/>
          <w:szCs w:val="24"/>
          <w:lang w:val="sq-AL"/>
        </w:rPr>
        <w:t>LEK</w:t>
      </w:r>
      <w:r w:rsidR="00A76856" w:rsidRPr="001278E4">
        <w:rPr>
          <w:rFonts w:ascii="Times New Roman" w:eastAsia="Batang" w:hAnsi="Times New Roman" w:cs="Times New Roman"/>
          <w:noProof/>
          <w:sz w:val="24"/>
          <w:szCs w:val="24"/>
          <w:lang w:val="sq-AL"/>
        </w:rPr>
        <w:t>.</w:t>
      </w:r>
    </w:p>
    <w:p w14:paraId="71DF5C49" w14:textId="77777777" w:rsidR="00671C07" w:rsidRPr="001278E4" w:rsidRDefault="00671C07" w:rsidP="00671C07">
      <w:pPr>
        <w:tabs>
          <w:tab w:val="left" w:pos="0"/>
        </w:tabs>
        <w:spacing w:after="0" w:line="276" w:lineRule="auto"/>
        <w:ind w:right="237"/>
        <w:contextualSpacing/>
        <w:jc w:val="both"/>
        <w:rPr>
          <w:rFonts w:ascii="Times New Roman" w:eastAsia="Batang" w:hAnsi="Times New Roman" w:cs="Times New Roman"/>
          <w:noProof/>
          <w:sz w:val="16"/>
          <w:szCs w:val="24"/>
          <w:lang w:val="sq-AL"/>
        </w:rPr>
      </w:pPr>
    </w:p>
    <w:p w14:paraId="71DF5C4A" w14:textId="77777777" w:rsidR="009D3F0B" w:rsidRPr="001278E4" w:rsidRDefault="00671C07" w:rsidP="001D5476">
      <w:pPr>
        <w:tabs>
          <w:tab w:val="left" w:pos="0"/>
        </w:tabs>
        <w:spacing w:after="0" w:line="276" w:lineRule="auto"/>
        <w:ind w:right="237"/>
        <w:contextualSpacing/>
        <w:jc w:val="both"/>
        <w:rPr>
          <w:rFonts w:ascii="Times New Roman" w:eastAsia="Batang" w:hAnsi="Times New Roman" w:cs="Times New Roman"/>
          <w:noProof/>
          <w:sz w:val="24"/>
          <w:szCs w:val="24"/>
          <w:lang w:val="sq-AL"/>
        </w:rPr>
      </w:pPr>
      <w:r w:rsidRPr="001278E4">
        <w:rPr>
          <w:rFonts w:ascii="Times New Roman" w:eastAsia="Batang" w:hAnsi="Times New Roman" w:cs="Times New Roman"/>
          <w:noProof/>
          <w:sz w:val="24"/>
          <w:szCs w:val="24"/>
          <w:lang w:val="sq-AL"/>
        </w:rPr>
        <w:t>Pavar</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sisht p</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rmir</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simeve t</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 xml:space="preserve"> m</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sip</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rme, niveli relativisht i lart</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 xml:space="preserve"> i borxhit shoq</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ruar me ndjeshm</w:t>
      </w:r>
      <w:r w:rsidR="00414B96">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rin</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 xml:space="preserve"> nga faktor</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t e jasht</w:t>
      </w:r>
      <w:r w:rsidR="00556CFC" w:rsidRPr="001278E4">
        <w:rPr>
          <w:rFonts w:ascii="Times New Roman" w:eastAsia="Batang" w:hAnsi="Times New Roman" w:cs="Times New Roman"/>
          <w:noProof/>
          <w:sz w:val="24"/>
          <w:szCs w:val="24"/>
          <w:lang w:val="sq-AL"/>
        </w:rPr>
        <w:t>ë</w:t>
      </w:r>
      <w:r w:rsidRPr="001278E4">
        <w:rPr>
          <w:rFonts w:ascii="Times New Roman" w:eastAsia="Batang" w:hAnsi="Times New Roman" w:cs="Times New Roman"/>
          <w:noProof/>
          <w:sz w:val="24"/>
          <w:szCs w:val="24"/>
          <w:lang w:val="sq-AL"/>
        </w:rPr>
        <w:t>m</w:t>
      </w:r>
      <w:r w:rsidR="009D3F0B" w:rsidRPr="001278E4">
        <w:rPr>
          <w:rFonts w:ascii="Times New Roman" w:eastAsia="Batang" w:hAnsi="Times New Roman" w:cs="Times New Roman"/>
          <w:noProof/>
          <w:sz w:val="24"/>
          <w:szCs w:val="24"/>
          <w:lang w:val="sq-AL"/>
        </w:rPr>
        <w:t>, b</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jn</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q</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risqet t</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jen</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ende t</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konsiderueshme dhe masat p</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r reduktimin e m</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tejsh</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m t</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jen</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t</w:t>
      </w:r>
      <w:r w:rsidR="00556CFC" w:rsidRPr="001278E4">
        <w:rPr>
          <w:rFonts w:ascii="Times New Roman" w:eastAsia="Batang" w:hAnsi="Times New Roman" w:cs="Times New Roman"/>
          <w:noProof/>
          <w:sz w:val="24"/>
          <w:szCs w:val="24"/>
          <w:lang w:val="sq-AL"/>
        </w:rPr>
        <w:t>ë</w:t>
      </w:r>
      <w:r w:rsidR="009D3F0B" w:rsidRPr="001278E4">
        <w:rPr>
          <w:rFonts w:ascii="Times New Roman" w:eastAsia="Batang" w:hAnsi="Times New Roman" w:cs="Times New Roman"/>
          <w:noProof/>
          <w:sz w:val="24"/>
          <w:szCs w:val="24"/>
          <w:lang w:val="sq-AL"/>
        </w:rPr>
        <w:t xml:space="preserve"> nevojshme.</w:t>
      </w:r>
    </w:p>
    <w:p w14:paraId="71DF5C4B" w14:textId="77777777" w:rsidR="001D5476" w:rsidRDefault="001D5476" w:rsidP="001D5476">
      <w:pPr>
        <w:tabs>
          <w:tab w:val="left" w:pos="0"/>
        </w:tabs>
        <w:spacing w:after="0" w:line="276" w:lineRule="auto"/>
        <w:ind w:right="237"/>
        <w:contextualSpacing/>
        <w:jc w:val="both"/>
        <w:rPr>
          <w:rFonts w:ascii="Times New Roman" w:eastAsia="Batang" w:hAnsi="Times New Roman" w:cs="Times New Roman"/>
          <w:noProof/>
          <w:sz w:val="24"/>
          <w:szCs w:val="24"/>
          <w:highlight w:val="yellow"/>
          <w:lang w:val="sq-AL"/>
        </w:rPr>
      </w:pPr>
    </w:p>
    <w:p w14:paraId="71DF5C4C" w14:textId="77777777" w:rsidR="001D5476" w:rsidRDefault="001D5476" w:rsidP="001D5476">
      <w:pPr>
        <w:tabs>
          <w:tab w:val="left" w:pos="0"/>
        </w:tabs>
        <w:spacing w:after="0" w:line="276" w:lineRule="auto"/>
        <w:ind w:right="237"/>
        <w:contextualSpacing/>
        <w:jc w:val="both"/>
        <w:rPr>
          <w:rFonts w:ascii="Times New Roman" w:eastAsia="Batang" w:hAnsi="Times New Roman" w:cs="Times New Roman"/>
          <w:noProof/>
          <w:sz w:val="24"/>
          <w:szCs w:val="24"/>
          <w:highlight w:val="yellow"/>
          <w:lang w:val="sq-AL"/>
        </w:rPr>
      </w:pPr>
    </w:p>
    <w:p w14:paraId="71DF5C4D" w14:textId="77777777" w:rsidR="001D5476" w:rsidRPr="001D5476" w:rsidRDefault="001D5476" w:rsidP="001D5476">
      <w:pPr>
        <w:tabs>
          <w:tab w:val="left" w:pos="0"/>
        </w:tabs>
        <w:spacing w:after="0" w:line="276" w:lineRule="auto"/>
        <w:ind w:right="237"/>
        <w:contextualSpacing/>
        <w:jc w:val="both"/>
        <w:rPr>
          <w:rFonts w:ascii="Times New Roman" w:eastAsia="Batang" w:hAnsi="Times New Roman" w:cs="Times New Roman"/>
          <w:noProof/>
          <w:sz w:val="24"/>
          <w:szCs w:val="24"/>
          <w:highlight w:val="yellow"/>
          <w:lang w:val="sq-AL"/>
        </w:rPr>
      </w:pPr>
    </w:p>
    <w:p w14:paraId="71DF5C4E" w14:textId="77777777" w:rsidR="009B24CE" w:rsidRPr="00B04C23" w:rsidRDefault="009B24CE" w:rsidP="004A70BC">
      <w:pPr>
        <w:pStyle w:val="Heading2"/>
        <w:numPr>
          <w:ilvl w:val="1"/>
          <w:numId w:val="8"/>
        </w:numPr>
        <w:ind w:left="709" w:hanging="619"/>
        <w:rPr>
          <w:noProof/>
          <w:lang w:val="sq-AL"/>
        </w:rPr>
      </w:pPr>
      <w:bookmarkStart w:id="30" w:name="_Toc491860990"/>
      <w:bookmarkStart w:id="31" w:name="_Toc491954303"/>
      <w:bookmarkStart w:id="32" w:name="_Toc524506537"/>
      <w:r w:rsidRPr="00B04C23">
        <w:rPr>
          <w:noProof/>
          <w:lang w:val="sq-AL"/>
        </w:rPr>
        <w:lastRenderedPageBreak/>
        <w:t>Kostot</w:t>
      </w:r>
      <w:bookmarkEnd w:id="30"/>
      <w:bookmarkEnd w:id="31"/>
      <w:bookmarkEnd w:id="32"/>
      <w:r w:rsidRPr="00B04C23">
        <w:rPr>
          <w:noProof/>
          <w:lang w:val="sq-AL"/>
        </w:rPr>
        <w:t xml:space="preserve"> </w:t>
      </w:r>
    </w:p>
    <w:p w14:paraId="71DF5C4F" w14:textId="77777777" w:rsidR="009B24CE" w:rsidRPr="00C05937" w:rsidRDefault="009B24CE" w:rsidP="009B24CE">
      <w:pPr>
        <w:spacing w:after="0" w:line="276" w:lineRule="auto"/>
        <w:jc w:val="both"/>
        <w:rPr>
          <w:rFonts w:ascii="Times New Roman" w:eastAsia="Batang" w:hAnsi="Times New Roman" w:cs="Times New Roman"/>
          <w:b/>
          <w:noProof/>
          <w:sz w:val="20"/>
          <w:szCs w:val="12"/>
          <w:highlight w:val="yellow"/>
          <w:lang w:val="sq-AL"/>
        </w:rPr>
      </w:pPr>
    </w:p>
    <w:p w14:paraId="71DF5C50" w14:textId="77777777" w:rsidR="000F2369" w:rsidRPr="00B04C23" w:rsidRDefault="00C54C7D" w:rsidP="004339F0">
      <w:pPr>
        <w:spacing w:after="0" w:line="276" w:lineRule="auto"/>
        <w:ind w:right="237"/>
        <w:jc w:val="both"/>
        <w:rPr>
          <w:rFonts w:ascii="Times New Roman" w:eastAsia="Batang" w:hAnsi="Times New Roman" w:cs="Times New Roman"/>
          <w:noProof/>
          <w:sz w:val="24"/>
          <w:szCs w:val="24"/>
          <w:lang w:val="sq-AL"/>
        </w:rPr>
      </w:pPr>
      <w:r w:rsidRPr="00B04C23">
        <w:rPr>
          <w:rFonts w:ascii="Times New Roman" w:eastAsia="Batang" w:hAnsi="Times New Roman" w:cs="Times New Roman"/>
          <w:noProof/>
          <w:sz w:val="24"/>
          <w:szCs w:val="24"/>
          <w:lang w:val="sq-AL"/>
        </w:rPr>
        <w:t>S</w:t>
      </w:r>
      <w:r w:rsidR="002647C1" w:rsidRPr="00B04C23">
        <w:rPr>
          <w:rFonts w:ascii="Times New Roman" w:eastAsia="Batang" w:hAnsi="Times New Roman" w:cs="Times New Roman"/>
          <w:noProof/>
          <w:sz w:val="24"/>
          <w:szCs w:val="24"/>
          <w:lang w:val="sq-AL"/>
        </w:rPr>
        <w:t xml:space="preserve">hpenzimet për interesa të </w:t>
      </w:r>
      <w:r w:rsidR="00652C9E" w:rsidRPr="00B04C23">
        <w:rPr>
          <w:rFonts w:ascii="Times New Roman" w:eastAsia="Batang" w:hAnsi="Times New Roman" w:cs="Times New Roman"/>
          <w:noProof/>
          <w:sz w:val="24"/>
          <w:szCs w:val="24"/>
          <w:lang w:val="sq-AL"/>
        </w:rPr>
        <w:t>b</w:t>
      </w:r>
      <w:r w:rsidR="002647C1" w:rsidRPr="00B04C23">
        <w:rPr>
          <w:rFonts w:ascii="Times New Roman" w:eastAsia="Batang" w:hAnsi="Times New Roman" w:cs="Times New Roman"/>
          <w:noProof/>
          <w:sz w:val="24"/>
          <w:szCs w:val="24"/>
          <w:lang w:val="sq-AL"/>
        </w:rPr>
        <w:t>orxhit</w:t>
      </w:r>
      <w:r w:rsidR="00DA5BA8" w:rsidRPr="00B04C23">
        <w:rPr>
          <w:rFonts w:ascii="Times New Roman" w:eastAsia="Batang" w:hAnsi="Times New Roman" w:cs="Times New Roman"/>
          <w:noProof/>
          <w:sz w:val="24"/>
          <w:szCs w:val="24"/>
          <w:lang w:val="sq-AL"/>
        </w:rPr>
        <w:t xml:space="preserve"> </w:t>
      </w:r>
      <w:r w:rsidR="00652C9E" w:rsidRPr="00B04C23">
        <w:rPr>
          <w:rFonts w:ascii="Times New Roman" w:eastAsia="Batang" w:hAnsi="Times New Roman" w:cs="Times New Roman"/>
          <w:noProof/>
          <w:sz w:val="24"/>
          <w:szCs w:val="24"/>
          <w:lang w:val="sq-AL"/>
        </w:rPr>
        <w:t>s</w:t>
      </w:r>
      <w:r w:rsidR="00DA5BA8" w:rsidRPr="00B04C23">
        <w:rPr>
          <w:rFonts w:ascii="Times New Roman" w:eastAsia="Batang" w:hAnsi="Times New Roman" w:cs="Times New Roman"/>
          <w:noProof/>
          <w:sz w:val="24"/>
          <w:szCs w:val="24"/>
          <w:lang w:val="sq-AL"/>
        </w:rPr>
        <w:t>htetëror</w:t>
      </w:r>
      <w:r w:rsidR="00652C9E" w:rsidRPr="00B04C23">
        <w:rPr>
          <w:rFonts w:ascii="Times New Roman" w:eastAsia="Batang" w:hAnsi="Times New Roman" w:cs="Times New Roman"/>
          <w:noProof/>
          <w:sz w:val="24"/>
          <w:szCs w:val="24"/>
          <w:lang w:val="sq-AL"/>
        </w:rPr>
        <w:t xml:space="preserve"> ndaj të ardhurave tatimore dhe PBB,</w:t>
      </w:r>
      <w:r w:rsidR="00DA5BA8" w:rsidRPr="00B04C23">
        <w:rPr>
          <w:rFonts w:ascii="Times New Roman" w:eastAsia="Batang" w:hAnsi="Times New Roman" w:cs="Times New Roman"/>
          <w:noProof/>
          <w:sz w:val="24"/>
          <w:szCs w:val="24"/>
          <w:lang w:val="sq-AL"/>
        </w:rPr>
        <w:t xml:space="preserve"> </w:t>
      </w:r>
      <w:r w:rsidRPr="00B04C23">
        <w:rPr>
          <w:rFonts w:ascii="Times New Roman" w:eastAsia="Batang" w:hAnsi="Times New Roman" w:cs="Times New Roman"/>
          <w:noProof/>
          <w:sz w:val="24"/>
          <w:szCs w:val="24"/>
          <w:lang w:val="sq-AL"/>
        </w:rPr>
        <w:t>gjat</w:t>
      </w:r>
      <w:r w:rsidR="00754CBC" w:rsidRPr="00B04C23">
        <w:rPr>
          <w:rFonts w:ascii="Times New Roman" w:eastAsia="Batang" w:hAnsi="Times New Roman" w:cs="Times New Roman"/>
          <w:noProof/>
          <w:sz w:val="24"/>
          <w:szCs w:val="24"/>
          <w:lang w:val="sq-AL"/>
        </w:rPr>
        <w:t>ë</w:t>
      </w:r>
      <w:r w:rsidRPr="00B04C23">
        <w:rPr>
          <w:rFonts w:ascii="Times New Roman" w:eastAsia="Batang" w:hAnsi="Times New Roman" w:cs="Times New Roman"/>
          <w:noProof/>
          <w:sz w:val="24"/>
          <w:szCs w:val="24"/>
          <w:lang w:val="sq-AL"/>
        </w:rPr>
        <w:t xml:space="preserve"> viteve t</w:t>
      </w:r>
      <w:r w:rsidR="00754CBC" w:rsidRPr="00B04C23">
        <w:rPr>
          <w:rFonts w:ascii="Times New Roman" w:eastAsia="Batang" w:hAnsi="Times New Roman" w:cs="Times New Roman"/>
          <w:noProof/>
          <w:sz w:val="24"/>
          <w:szCs w:val="24"/>
          <w:lang w:val="sq-AL"/>
        </w:rPr>
        <w:t>ë</w:t>
      </w:r>
      <w:r w:rsidRPr="00B04C23">
        <w:rPr>
          <w:rFonts w:ascii="Times New Roman" w:eastAsia="Batang" w:hAnsi="Times New Roman" w:cs="Times New Roman"/>
          <w:noProof/>
          <w:sz w:val="24"/>
          <w:szCs w:val="24"/>
          <w:lang w:val="sq-AL"/>
        </w:rPr>
        <w:t xml:space="preserve"> fundit kan</w:t>
      </w:r>
      <w:r w:rsidR="00754CBC" w:rsidRPr="00B04C23">
        <w:rPr>
          <w:rFonts w:ascii="Times New Roman" w:eastAsia="Batang" w:hAnsi="Times New Roman" w:cs="Times New Roman"/>
          <w:noProof/>
          <w:sz w:val="24"/>
          <w:szCs w:val="24"/>
          <w:lang w:val="sq-AL"/>
        </w:rPr>
        <w:t>ë</w:t>
      </w:r>
      <w:r w:rsidRPr="00B04C23">
        <w:rPr>
          <w:rFonts w:ascii="Times New Roman" w:eastAsia="Batang" w:hAnsi="Times New Roman" w:cs="Times New Roman"/>
          <w:noProof/>
          <w:sz w:val="24"/>
          <w:szCs w:val="24"/>
          <w:lang w:val="sq-AL"/>
        </w:rPr>
        <w:t xml:space="preserve"> ndjekur nj</w:t>
      </w:r>
      <w:r w:rsidR="00754CBC" w:rsidRPr="00B04C23">
        <w:rPr>
          <w:rFonts w:ascii="Times New Roman" w:eastAsia="Batang" w:hAnsi="Times New Roman" w:cs="Times New Roman"/>
          <w:noProof/>
          <w:sz w:val="24"/>
          <w:szCs w:val="24"/>
          <w:lang w:val="sq-AL"/>
        </w:rPr>
        <w:t>ë</w:t>
      </w:r>
      <w:r w:rsidR="00652C9E" w:rsidRPr="00B04C23">
        <w:rPr>
          <w:rFonts w:ascii="Times New Roman" w:eastAsia="Batang" w:hAnsi="Times New Roman" w:cs="Times New Roman"/>
          <w:noProof/>
          <w:sz w:val="24"/>
          <w:szCs w:val="24"/>
          <w:lang w:val="sq-AL"/>
        </w:rPr>
        <w:t xml:space="preserve"> tra</w:t>
      </w:r>
      <w:r w:rsidRPr="00B04C23">
        <w:rPr>
          <w:rFonts w:ascii="Times New Roman" w:eastAsia="Batang" w:hAnsi="Times New Roman" w:cs="Times New Roman"/>
          <w:noProof/>
          <w:sz w:val="24"/>
          <w:szCs w:val="24"/>
          <w:lang w:val="sq-AL"/>
        </w:rPr>
        <w:t>jektore r</w:t>
      </w:r>
      <w:r w:rsidR="00754CBC" w:rsidRPr="00B04C23">
        <w:rPr>
          <w:rFonts w:ascii="Times New Roman" w:eastAsia="Batang" w:hAnsi="Times New Roman" w:cs="Times New Roman"/>
          <w:noProof/>
          <w:sz w:val="24"/>
          <w:szCs w:val="24"/>
          <w:lang w:val="sq-AL"/>
        </w:rPr>
        <w:t>ë</w:t>
      </w:r>
      <w:r w:rsidRPr="00B04C23">
        <w:rPr>
          <w:rFonts w:ascii="Times New Roman" w:eastAsia="Batang" w:hAnsi="Times New Roman" w:cs="Times New Roman"/>
          <w:noProof/>
          <w:sz w:val="24"/>
          <w:szCs w:val="24"/>
          <w:lang w:val="sq-AL"/>
        </w:rPr>
        <w:t>n</w:t>
      </w:r>
      <w:r w:rsidR="00754CBC" w:rsidRPr="00B04C23">
        <w:rPr>
          <w:rFonts w:ascii="Times New Roman" w:eastAsia="Batang" w:hAnsi="Times New Roman" w:cs="Times New Roman"/>
          <w:noProof/>
          <w:sz w:val="24"/>
          <w:szCs w:val="24"/>
          <w:lang w:val="sq-AL"/>
        </w:rPr>
        <w:t>ë</w:t>
      </w:r>
      <w:r w:rsidRPr="00B04C23">
        <w:rPr>
          <w:rFonts w:ascii="Times New Roman" w:eastAsia="Batang" w:hAnsi="Times New Roman" w:cs="Times New Roman"/>
          <w:noProof/>
          <w:sz w:val="24"/>
          <w:szCs w:val="24"/>
          <w:lang w:val="sq-AL"/>
        </w:rPr>
        <w:t>se</w:t>
      </w:r>
      <w:r w:rsidR="004339F0" w:rsidRPr="00B04C23">
        <w:rPr>
          <w:rFonts w:ascii="Times New Roman" w:eastAsia="Batang" w:hAnsi="Times New Roman" w:cs="Times New Roman"/>
          <w:noProof/>
          <w:sz w:val="24"/>
          <w:szCs w:val="24"/>
          <w:lang w:val="sq-AL"/>
        </w:rPr>
        <w:t>, duke pa</w:t>
      </w:r>
      <w:r w:rsidR="006E2914" w:rsidRPr="00B04C23">
        <w:rPr>
          <w:rFonts w:ascii="Times New Roman" w:eastAsia="Batang" w:hAnsi="Times New Roman" w:cs="Times New Roman"/>
          <w:noProof/>
          <w:sz w:val="24"/>
          <w:szCs w:val="24"/>
          <w:lang w:val="sq-AL"/>
        </w:rPr>
        <w:t>t</w:t>
      </w:r>
      <w:r w:rsidR="004339F0" w:rsidRPr="00B04C23">
        <w:rPr>
          <w:rFonts w:ascii="Times New Roman" w:eastAsia="Batang" w:hAnsi="Times New Roman" w:cs="Times New Roman"/>
          <w:noProof/>
          <w:sz w:val="24"/>
          <w:szCs w:val="24"/>
          <w:lang w:val="sq-AL"/>
        </w:rPr>
        <w:t>ur nj</w:t>
      </w:r>
      <w:r w:rsidR="00982338" w:rsidRPr="00B04C23">
        <w:rPr>
          <w:rFonts w:ascii="Times New Roman" w:eastAsia="Batang" w:hAnsi="Times New Roman" w:cs="Times New Roman"/>
          <w:noProof/>
          <w:sz w:val="24"/>
          <w:szCs w:val="24"/>
          <w:lang w:val="sq-AL"/>
        </w:rPr>
        <w:t>ë</w:t>
      </w:r>
      <w:r w:rsidR="004339F0" w:rsidRPr="00B04C23">
        <w:rPr>
          <w:rFonts w:ascii="Times New Roman" w:eastAsia="Batang" w:hAnsi="Times New Roman" w:cs="Times New Roman"/>
          <w:noProof/>
          <w:sz w:val="24"/>
          <w:szCs w:val="24"/>
          <w:lang w:val="sq-AL"/>
        </w:rPr>
        <w:t xml:space="preserve"> rritje gjat</w:t>
      </w:r>
      <w:r w:rsidR="00982338" w:rsidRPr="00B04C23">
        <w:rPr>
          <w:rFonts w:ascii="Times New Roman" w:eastAsia="Batang" w:hAnsi="Times New Roman" w:cs="Times New Roman"/>
          <w:noProof/>
          <w:sz w:val="24"/>
          <w:szCs w:val="24"/>
          <w:lang w:val="sq-AL"/>
        </w:rPr>
        <w:t>ë</w:t>
      </w:r>
      <w:r w:rsidR="0008198F" w:rsidRPr="00B04C23">
        <w:rPr>
          <w:rFonts w:ascii="Times New Roman" w:eastAsia="Batang" w:hAnsi="Times New Roman" w:cs="Times New Roman"/>
          <w:noProof/>
          <w:sz w:val="24"/>
          <w:szCs w:val="24"/>
          <w:lang w:val="sq-AL"/>
        </w:rPr>
        <w:t xml:space="preserve"> viti</w:t>
      </w:r>
      <w:r w:rsidR="004339F0" w:rsidRPr="00B04C23">
        <w:rPr>
          <w:rFonts w:ascii="Times New Roman" w:eastAsia="Batang" w:hAnsi="Times New Roman" w:cs="Times New Roman"/>
          <w:noProof/>
          <w:sz w:val="24"/>
          <w:szCs w:val="24"/>
          <w:lang w:val="sq-AL"/>
        </w:rPr>
        <w:t>t</w:t>
      </w:r>
      <w:r w:rsidR="0008198F" w:rsidRPr="00B04C23">
        <w:rPr>
          <w:rFonts w:ascii="Times New Roman" w:eastAsia="Batang" w:hAnsi="Times New Roman" w:cs="Times New Roman"/>
          <w:noProof/>
          <w:sz w:val="24"/>
          <w:szCs w:val="24"/>
          <w:lang w:val="sq-AL"/>
        </w:rPr>
        <w:t xml:space="preserve"> 2018</w:t>
      </w:r>
      <w:r w:rsidR="006E2914" w:rsidRPr="00B04C23">
        <w:rPr>
          <w:rFonts w:ascii="Times New Roman" w:eastAsia="Batang" w:hAnsi="Times New Roman" w:cs="Times New Roman"/>
          <w:noProof/>
          <w:sz w:val="24"/>
          <w:szCs w:val="24"/>
          <w:lang w:val="sq-AL"/>
        </w:rPr>
        <w:t>,</w:t>
      </w:r>
      <w:r w:rsidR="0008198F" w:rsidRPr="00B04C23">
        <w:rPr>
          <w:rFonts w:ascii="Times New Roman" w:eastAsia="Batang" w:hAnsi="Times New Roman" w:cs="Times New Roman"/>
          <w:noProof/>
          <w:sz w:val="24"/>
          <w:szCs w:val="24"/>
          <w:lang w:val="sq-AL"/>
        </w:rPr>
        <w:t xml:space="preserve"> </w:t>
      </w:r>
      <w:r w:rsidR="004339F0" w:rsidRPr="00B04C23">
        <w:rPr>
          <w:rFonts w:ascii="Times New Roman" w:eastAsia="Batang" w:hAnsi="Times New Roman" w:cs="Times New Roman"/>
          <w:noProof/>
          <w:sz w:val="24"/>
          <w:szCs w:val="24"/>
          <w:lang w:val="sq-AL"/>
        </w:rPr>
        <w:t>t</w:t>
      </w:r>
      <w:r w:rsidR="00982338" w:rsidRPr="00B04C23">
        <w:rPr>
          <w:rFonts w:ascii="Times New Roman" w:eastAsia="Batang" w:hAnsi="Times New Roman" w:cs="Times New Roman"/>
          <w:noProof/>
          <w:sz w:val="24"/>
          <w:szCs w:val="24"/>
          <w:lang w:val="sq-AL"/>
        </w:rPr>
        <w:t>ë</w:t>
      </w:r>
      <w:r w:rsidR="004339F0" w:rsidRPr="00B04C23">
        <w:rPr>
          <w:rFonts w:ascii="Times New Roman" w:eastAsia="Batang" w:hAnsi="Times New Roman" w:cs="Times New Roman"/>
          <w:noProof/>
          <w:sz w:val="24"/>
          <w:szCs w:val="24"/>
          <w:lang w:val="sq-AL"/>
        </w:rPr>
        <w:t xml:space="preserve"> ndikuar kryesisht nga</w:t>
      </w:r>
      <w:r w:rsidR="0008198F" w:rsidRPr="00B04C23">
        <w:rPr>
          <w:rFonts w:ascii="Times New Roman" w:eastAsia="Batang" w:hAnsi="Times New Roman" w:cs="Times New Roman"/>
          <w:noProof/>
          <w:sz w:val="24"/>
          <w:szCs w:val="24"/>
          <w:lang w:val="sq-AL"/>
        </w:rPr>
        <w:t xml:space="preserve"> rritja e stokut të borxhit në vlerë absolute dhe efekti i parablerjes së Eurobond-it që maturohet në vitin 2020.</w:t>
      </w:r>
    </w:p>
    <w:p w14:paraId="71DF5C51" w14:textId="77777777" w:rsidR="001C7C7A" w:rsidRPr="00B04C23" w:rsidRDefault="001C7C7A" w:rsidP="004339F0">
      <w:pPr>
        <w:spacing w:after="0" w:line="276" w:lineRule="auto"/>
        <w:ind w:right="237"/>
        <w:jc w:val="both"/>
        <w:rPr>
          <w:rFonts w:ascii="Times New Roman" w:eastAsia="Batang" w:hAnsi="Times New Roman" w:cs="Times New Roman"/>
          <w:noProof/>
          <w:sz w:val="16"/>
          <w:szCs w:val="24"/>
          <w:lang w:val="sq-AL"/>
        </w:rPr>
      </w:pPr>
    </w:p>
    <w:p w14:paraId="71DF5C52" w14:textId="77777777" w:rsidR="00741959" w:rsidRPr="00B04C23" w:rsidRDefault="00237874" w:rsidP="000F2369">
      <w:pPr>
        <w:spacing w:after="0"/>
        <w:ind w:left="-851" w:right="237" w:firstLine="1135"/>
        <w:jc w:val="center"/>
        <w:rPr>
          <w:rFonts w:ascii="Cambria" w:eastAsia="Batang" w:hAnsi="Cambria" w:cs="Times New Roman"/>
          <w:i/>
          <w:noProof/>
          <w:color w:val="8E0000"/>
          <w:sz w:val="20"/>
          <w:szCs w:val="20"/>
          <w:lang w:val="sq-AL"/>
        </w:rPr>
      </w:pPr>
      <w:r w:rsidRPr="00B04C23">
        <w:rPr>
          <w:rFonts w:ascii="Cambria" w:eastAsia="Batang" w:hAnsi="Cambria" w:cs="Times New Roman"/>
          <w:b/>
          <w:noProof/>
          <w:color w:val="8E0000"/>
          <w:sz w:val="20"/>
          <w:szCs w:val="20"/>
          <w:lang w:val="sq-AL"/>
        </w:rPr>
        <w:t>Paraqitje Grafike 5</w:t>
      </w:r>
      <w:r w:rsidR="009B24CE" w:rsidRPr="00B04C23">
        <w:rPr>
          <w:rFonts w:ascii="Cambria" w:eastAsia="Batang" w:hAnsi="Cambria" w:cs="Times New Roman"/>
          <w:b/>
          <w:noProof/>
          <w:color w:val="8E0000"/>
          <w:sz w:val="20"/>
          <w:szCs w:val="20"/>
          <w:lang w:val="sq-AL"/>
        </w:rPr>
        <w:t xml:space="preserve">.1 (a): </w:t>
      </w:r>
      <w:r w:rsidR="009B24CE" w:rsidRPr="00B04C23">
        <w:rPr>
          <w:rFonts w:ascii="Cambria" w:eastAsia="Batang" w:hAnsi="Cambria" w:cs="Times New Roman"/>
          <w:i/>
          <w:noProof/>
          <w:color w:val="8E0000"/>
          <w:sz w:val="20"/>
          <w:szCs w:val="20"/>
          <w:lang w:val="sq-AL"/>
        </w:rPr>
        <w:t xml:space="preserve">Interesat e </w:t>
      </w:r>
      <w:r w:rsidR="00652C9E" w:rsidRPr="00B04C23">
        <w:rPr>
          <w:rFonts w:ascii="Cambria" w:eastAsia="Batang" w:hAnsi="Cambria" w:cs="Times New Roman"/>
          <w:i/>
          <w:noProof/>
          <w:color w:val="8E0000"/>
          <w:sz w:val="20"/>
          <w:szCs w:val="20"/>
          <w:lang w:val="sq-AL"/>
        </w:rPr>
        <w:t>b</w:t>
      </w:r>
      <w:r w:rsidR="009B24CE" w:rsidRPr="00B04C23">
        <w:rPr>
          <w:rFonts w:ascii="Cambria" w:eastAsia="Batang" w:hAnsi="Cambria" w:cs="Times New Roman"/>
          <w:i/>
          <w:noProof/>
          <w:color w:val="8E0000"/>
          <w:sz w:val="20"/>
          <w:szCs w:val="20"/>
          <w:lang w:val="sq-AL"/>
        </w:rPr>
        <w:t xml:space="preserve">orxhit </w:t>
      </w:r>
      <w:r w:rsidR="00652C9E" w:rsidRPr="00B04C23">
        <w:rPr>
          <w:rFonts w:ascii="Cambria" w:eastAsia="Batang" w:hAnsi="Cambria" w:cs="Times New Roman"/>
          <w:i/>
          <w:noProof/>
          <w:color w:val="8E0000"/>
          <w:sz w:val="20"/>
          <w:szCs w:val="20"/>
          <w:lang w:val="sq-AL"/>
        </w:rPr>
        <w:t>s</w:t>
      </w:r>
      <w:r w:rsidR="009B24CE" w:rsidRPr="00B04C23">
        <w:rPr>
          <w:rFonts w:ascii="Cambria" w:eastAsia="Batang" w:hAnsi="Cambria" w:cs="Times New Roman"/>
          <w:i/>
          <w:noProof/>
          <w:color w:val="8E0000"/>
          <w:sz w:val="20"/>
          <w:szCs w:val="20"/>
          <w:lang w:val="sq-AL"/>
        </w:rPr>
        <w:t>htetëror në vlerë absolute dhe relative ndaj PBB</w:t>
      </w:r>
      <w:r w:rsidR="00CE627E" w:rsidRPr="00B04C23">
        <w:rPr>
          <w:rFonts w:ascii="Cambria" w:eastAsia="Batang" w:hAnsi="Cambria" w:cs="Times New Roman"/>
          <w:i/>
          <w:noProof/>
          <w:color w:val="8E0000"/>
          <w:sz w:val="20"/>
          <w:szCs w:val="20"/>
          <w:lang w:val="sq-AL"/>
        </w:rPr>
        <w:t xml:space="preserve"> dhe të ardhurave t</w:t>
      </w:r>
      <w:r w:rsidR="00071C26" w:rsidRPr="00B04C23">
        <w:rPr>
          <w:rFonts w:ascii="Cambria" w:eastAsia="Batang" w:hAnsi="Cambria" w:cs="Times New Roman"/>
          <w:i/>
          <w:noProof/>
          <w:color w:val="8E0000"/>
          <w:sz w:val="20"/>
          <w:szCs w:val="20"/>
          <w:lang w:val="sq-AL"/>
        </w:rPr>
        <w:t xml:space="preserve">atimore </w:t>
      </w:r>
      <w:r w:rsidR="00D75461" w:rsidRPr="00B04C23">
        <w:rPr>
          <w:rFonts w:ascii="Cambria" w:eastAsia="Batang" w:hAnsi="Cambria" w:cs="Times New Roman"/>
          <w:i/>
          <w:noProof/>
          <w:color w:val="8E0000"/>
          <w:sz w:val="20"/>
          <w:szCs w:val="20"/>
          <w:lang w:val="sq-AL"/>
        </w:rPr>
        <w:t>(2015</w:t>
      </w:r>
      <w:r w:rsidR="00FB134C" w:rsidRPr="00B04C23">
        <w:rPr>
          <w:rFonts w:ascii="Cambria" w:eastAsia="Batang" w:hAnsi="Cambria" w:cs="Times New Roman"/>
          <w:i/>
          <w:noProof/>
          <w:color w:val="8E0000"/>
          <w:sz w:val="20"/>
          <w:szCs w:val="20"/>
          <w:lang w:val="sq-AL"/>
        </w:rPr>
        <w:t>-</w:t>
      </w:r>
      <w:r w:rsidR="00E25654" w:rsidRPr="00B04C23">
        <w:rPr>
          <w:rFonts w:ascii="Cambria" w:eastAsia="Batang" w:hAnsi="Cambria" w:cs="Times New Roman"/>
          <w:i/>
          <w:noProof/>
          <w:color w:val="8E0000"/>
          <w:sz w:val="20"/>
          <w:szCs w:val="20"/>
          <w:lang w:val="sq-AL"/>
        </w:rPr>
        <w:t>2019</w:t>
      </w:r>
      <w:r w:rsidR="00FB134C" w:rsidRPr="00B04C23">
        <w:rPr>
          <w:rFonts w:ascii="Cambria" w:eastAsia="Batang" w:hAnsi="Cambria" w:cs="Times New Roman"/>
          <w:i/>
          <w:noProof/>
          <w:color w:val="8E0000"/>
          <w:sz w:val="20"/>
          <w:szCs w:val="20"/>
          <w:lang w:val="sq-AL"/>
        </w:rPr>
        <w:t>)</w:t>
      </w:r>
    </w:p>
    <w:p w14:paraId="71DF5C53" w14:textId="77777777" w:rsidR="009A79B0" w:rsidRPr="00B04C23" w:rsidRDefault="002D0044" w:rsidP="009A79B0">
      <w:pPr>
        <w:spacing w:after="0"/>
        <w:ind w:right="237"/>
        <w:rPr>
          <w:rFonts w:ascii="Cambria" w:eastAsia="Batang" w:hAnsi="Cambria" w:cs="Times New Roman"/>
          <w:i/>
          <w:noProof/>
          <w:color w:val="8E0000"/>
          <w:sz w:val="20"/>
          <w:szCs w:val="20"/>
          <w:lang w:val="sq-AL"/>
        </w:rPr>
      </w:pPr>
      <w:r>
        <w:rPr>
          <w:rFonts w:ascii="Cambria" w:eastAsia="Batang" w:hAnsi="Cambria" w:cs="Times New Roman"/>
          <w:i/>
          <w:noProof/>
          <w:color w:val="8E0000"/>
          <w:sz w:val="20"/>
          <w:szCs w:val="20"/>
        </w:rPr>
        <w:drawing>
          <wp:inline distT="0" distB="0" distL="0" distR="0" wp14:anchorId="71DF5F77" wp14:editId="71DF5F78">
            <wp:extent cx="5543550" cy="19050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3550" cy="1905000"/>
                    </a:xfrm>
                    <a:prstGeom prst="rect">
                      <a:avLst/>
                    </a:prstGeom>
                    <a:noFill/>
                    <a:ln>
                      <a:solidFill>
                        <a:schemeClr val="bg1">
                          <a:lumMod val="75000"/>
                        </a:schemeClr>
                      </a:solidFill>
                    </a:ln>
                  </pic:spPr>
                </pic:pic>
              </a:graphicData>
            </a:graphic>
          </wp:inline>
        </w:drawing>
      </w:r>
    </w:p>
    <w:p w14:paraId="71DF5C54" w14:textId="77777777" w:rsidR="0008230D" w:rsidRPr="000F5C13" w:rsidRDefault="009B24CE" w:rsidP="0008230D">
      <w:pPr>
        <w:spacing w:after="0"/>
        <w:ind w:right="238"/>
        <w:jc w:val="center"/>
        <w:rPr>
          <w:rFonts w:ascii="Cambria" w:eastAsia="Batang" w:hAnsi="Cambria" w:cs="Times New Roman"/>
          <w:i/>
          <w:noProof/>
          <w:color w:val="8E0000"/>
          <w:sz w:val="20"/>
          <w:szCs w:val="20"/>
          <w:lang w:val="sq-AL"/>
        </w:rPr>
      </w:pPr>
      <w:r w:rsidRPr="00B04C23">
        <w:rPr>
          <w:rFonts w:ascii="Cambria" w:eastAsia="Batang" w:hAnsi="Cambria" w:cs="Times New Roman"/>
          <w:b/>
          <w:noProof/>
          <w:color w:val="8E0000"/>
          <w:sz w:val="20"/>
          <w:szCs w:val="20"/>
          <w:lang w:val="sq-AL"/>
        </w:rPr>
        <w:t>Burimi:</w:t>
      </w:r>
      <w:r w:rsidR="0069325B" w:rsidRPr="00B04C23">
        <w:rPr>
          <w:rFonts w:ascii="Cambria" w:eastAsia="Batang" w:hAnsi="Cambria" w:cs="Times New Roman"/>
          <w:b/>
          <w:noProof/>
          <w:color w:val="8E0000"/>
          <w:sz w:val="20"/>
          <w:szCs w:val="20"/>
          <w:lang w:val="sq-AL"/>
        </w:rPr>
        <w:t xml:space="preserve"> </w:t>
      </w:r>
      <w:r w:rsidRPr="00B04C23">
        <w:rPr>
          <w:rFonts w:ascii="Cambria" w:eastAsia="Batang" w:hAnsi="Cambria" w:cs="Times New Roman"/>
          <w:i/>
          <w:noProof/>
          <w:color w:val="8E0000"/>
          <w:sz w:val="20"/>
          <w:szCs w:val="20"/>
          <w:lang w:val="sq-AL"/>
        </w:rPr>
        <w:t>Ministria</w:t>
      </w:r>
      <w:r w:rsidR="00E25654" w:rsidRPr="00B04C23">
        <w:rPr>
          <w:rFonts w:ascii="Cambria" w:eastAsia="Batang" w:hAnsi="Cambria" w:cs="Times New Roman"/>
          <w:i/>
          <w:noProof/>
          <w:color w:val="8E0000"/>
          <w:sz w:val="20"/>
          <w:szCs w:val="20"/>
          <w:lang w:val="sq-AL"/>
        </w:rPr>
        <w:t xml:space="preserve"> e Financave dhe Ekonomisë (2019</w:t>
      </w:r>
      <w:r w:rsidR="0008230D" w:rsidRPr="00B04C23">
        <w:rPr>
          <w:rFonts w:ascii="Cambria" w:eastAsia="Batang" w:hAnsi="Cambria" w:cs="Times New Roman"/>
          <w:i/>
          <w:noProof/>
          <w:color w:val="8E0000"/>
          <w:sz w:val="20"/>
          <w:szCs w:val="20"/>
          <w:lang w:val="sq-AL"/>
        </w:rPr>
        <w:t>)</w:t>
      </w:r>
    </w:p>
    <w:p w14:paraId="71DF5C55" w14:textId="77777777" w:rsidR="000F2369" w:rsidRPr="001C7C7A" w:rsidRDefault="000F2369" w:rsidP="000F2369">
      <w:pPr>
        <w:spacing w:after="0" w:line="276" w:lineRule="auto"/>
        <w:ind w:right="237"/>
        <w:jc w:val="both"/>
        <w:rPr>
          <w:rFonts w:ascii="Times New Roman" w:eastAsia="Batang" w:hAnsi="Times New Roman" w:cs="Times New Roman"/>
          <w:noProof/>
          <w:sz w:val="16"/>
          <w:szCs w:val="24"/>
          <w:lang w:val="sq-AL"/>
        </w:rPr>
      </w:pPr>
    </w:p>
    <w:p w14:paraId="71DF5C56" w14:textId="77777777" w:rsidR="0008230D" w:rsidRPr="009256B7" w:rsidRDefault="0008230D" w:rsidP="000F2369">
      <w:pPr>
        <w:spacing w:after="0" w:line="276" w:lineRule="auto"/>
        <w:ind w:right="237"/>
        <w:jc w:val="both"/>
        <w:rPr>
          <w:rFonts w:ascii="Times New Roman" w:eastAsia="Batang" w:hAnsi="Times New Roman" w:cs="Times New Roman"/>
          <w:noProof/>
          <w:sz w:val="24"/>
          <w:szCs w:val="24"/>
          <w:lang w:val="sq-AL"/>
        </w:rPr>
      </w:pPr>
      <w:r w:rsidRPr="009256B7">
        <w:rPr>
          <w:rFonts w:ascii="Times New Roman" w:eastAsia="Batang" w:hAnsi="Times New Roman" w:cs="Times New Roman"/>
          <w:noProof/>
          <w:sz w:val="24"/>
          <w:szCs w:val="24"/>
          <w:lang w:val="sq-AL"/>
        </w:rPr>
        <w:t>Kosto mesatare e borxhit të brendshëm (</w:t>
      </w:r>
      <w:r w:rsidR="001A15D3" w:rsidRPr="009256B7">
        <w:rPr>
          <w:rFonts w:ascii="Times New Roman" w:eastAsia="Batang" w:hAnsi="Times New Roman" w:cs="Times New Roman"/>
          <w:noProof/>
          <w:sz w:val="24"/>
          <w:szCs w:val="24"/>
          <w:lang w:val="sq-AL"/>
        </w:rPr>
        <w:t>norma</w:t>
      </w:r>
      <w:r w:rsidRPr="009256B7">
        <w:rPr>
          <w:rFonts w:ascii="Times New Roman" w:eastAsia="Batang" w:hAnsi="Times New Roman" w:cs="Times New Roman"/>
          <w:noProof/>
          <w:sz w:val="24"/>
          <w:szCs w:val="24"/>
          <w:lang w:val="sq-AL"/>
        </w:rPr>
        <w:t xml:space="preserve"> mesatar</w:t>
      </w:r>
      <w:r w:rsidR="001A15D3" w:rsidRPr="009256B7">
        <w:rPr>
          <w:rFonts w:ascii="Times New Roman" w:eastAsia="Batang" w:hAnsi="Times New Roman" w:cs="Times New Roman"/>
          <w:noProof/>
          <w:sz w:val="24"/>
          <w:szCs w:val="24"/>
          <w:lang w:val="sq-AL"/>
        </w:rPr>
        <w:t>e</w:t>
      </w:r>
      <w:r w:rsidRPr="009256B7">
        <w:rPr>
          <w:rFonts w:ascii="Times New Roman" w:eastAsia="Batang" w:hAnsi="Times New Roman" w:cs="Times New Roman"/>
          <w:noProof/>
          <w:sz w:val="24"/>
          <w:szCs w:val="24"/>
          <w:lang w:val="sq-AL"/>
        </w:rPr>
        <w:t xml:space="preserve"> </w:t>
      </w:r>
      <w:r w:rsidR="001A15D3" w:rsidRPr="009256B7">
        <w:rPr>
          <w:rFonts w:ascii="Times New Roman" w:eastAsia="Batang" w:hAnsi="Times New Roman" w:cs="Times New Roman"/>
          <w:noProof/>
          <w:sz w:val="24"/>
          <w:szCs w:val="24"/>
          <w:lang w:val="sq-AL"/>
        </w:rPr>
        <w:t>e</w:t>
      </w:r>
      <w:r w:rsidRPr="009256B7">
        <w:rPr>
          <w:rFonts w:ascii="Times New Roman" w:eastAsia="Batang" w:hAnsi="Times New Roman" w:cs="Times New Roman"/>
          <w:noProof/>
          <w:sz w:val="24"/>
          <w:szCs w:val="24"/>
          <w:lang w:val="sq-AL"/>
        </w:rPr>
        <w:t xml:space="preserve"> ponderuar)</w:t>
      </w:r>
      <w:r w:rsidRPr="009256B7">
        <w:rPr>
          <w:rFonts w:ascii="Times New Roman" w:eastAsia="Batang" w:hAnsi="Times New Roman" w:cs="Times New Roman"/>
          <w:i/>
          <w:noProof/>
          <w:sz w:val="24"/>
          <w:szCs w:val="24"/>
          <w:lang w:val="sq-AL"/>
        </w:rPr>
        <w:t xml:space="preserve"> </w:t>
      </w:r>
      <w:r w:rsidRPr="009256B7">
        <w:rPr>
          <w:rFonts w:ascii="Times New Roman" w:eastAsia="Batang" w:hAnsi="Times New Roman" w:cs="Times New Roman"/>
          <w:noProof/>
          <w:sz w:val="24"/>
          <w:szCs w:val="24"/>
          <w:lang w:val="sq-AL"/>
        </w:rPr>
        <w:t>ka ardhur n</w:t>
      </w:r>
      <w:r w:rsidR="00754CB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r</w:t>
      </w:r>
      <w:r w:rsidR="00754CB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nie, megjith</w:t>
      </w:r>
      <w:r w:rsidR="00754CB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se n</w:t>
      </w:r>
      <w:r w:rsidR="00754CB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portofolin e borxhit është rritur ndjeshëm p</w:t>
      </w:r>
      <w:r w:rsidR="00754CB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rqendrimi i </w:t>
      </w:r>
      <w:r w:rsidR="001A15D3" w:rsidRPr="009256B7">
        <w:rPr>
          <w:rFonts w:ascii="Times New Roman" w:eastAsia="Batang" w:hAnsi="Times New Roman" w:cs="Times New Roman"/>
          <w:noProof/>
          <w:sz w:val="24"/>
          <w:szCs w:val="24"/>
          <w:lang w:val="sq-AL"/>
        </w:rPr>
        <w:t xml:space="preserve">titujve </w:t>
      </w:r>
      <w:r w:rsidRPr="009256B7">
        <w:rPr>
          <w:rFonts w:ascii="Times New Roman" w:eastAsia="Batang" w:hAnsi="Times New Roman" w:cs="Times New Roman"/>
          <w:noProof/>
          <w:sz w:val="24"/>
          <w:szCs w:val="24"/>
          <w:lang w:val="sq-AL"/>
        </w:rPr>
        <w:t>afatgjatë, duke ref</w:t>
      </w:r>
      <w:r w:rsidR="009E36AC" w:rsidRPr="009256B7">
        <w:rPr>
          <w:rFonts w:ascii="Times New Roman" w:eastAsia="Batang" w:hAnsi="Times New Roman" w:cs="Times New Roman"/>
          <w:noProof/>
          <w:sz w:val="24"/>
          <w:szCs w:val="24"/>
          <w:lang w:val="sq-AL"/>
        </w:rPr>
        <w:t>lek</w:t>
      </w:r>
      <w:r w:rsidRPr="009256B7">
        <w:rPr>
          <w:rFonts w:ascii="Times New Roman" w:eastAsia="Batang" w:hAnsi="Times New Roman" w:cs="Times New Roman"/>
          <w:noProof/>
          <w:sz w:val="24"/>
          <w:szCs w:val="24"/>
          <w:lang w:val="sq-AL"/>
        </w:rPr>
        <w:t>tuar një përmirësim në raportin ndërmjet kostos dhe riskut.</w:t>
      </w:r>
      <w:r w:rsidR="007244CD" w:rsidRPr="009256B7">
        <w:rPr>
          <w:rFonts w:ascii="Times New Roman" w:eastAsia="Batang" w:hAnsi="Times New Roman" w:cs="Times New Roman"/>
          <w:noProof/>
          <w:sz w:val="24"/>
          <w:szCs w:val="24"/>
          <w:lang w:val="sq-AL"/>
        </w:rPr>
        <w:t xml:space="preserve"> Ulja e kostos mesatare ka ardhur p</w:t>
      </w:r>
      <w:r w:rsidR="00754CBC" w:rsidRPr="009256B7">
        <w:rPr>
          <w:rFonts w:ascii="Times New Roman" w:eastAsia="Batang" w:hAnsi="Times New Roman" w:cs="Times New Roman"/>
          <w:noProof/>
          <w:sz w:val="24"/>
          <w:szCs w:val="24"/>
          <w:lang w:val="sq-AL"/>
        </w:rPr>
        <w:t>ë</w:t>
      </w:r>
      <w:r w:rsidR="007244CD" w:rsidRPr="009256B7">
        <w:rPr>
          <w:rFonts w:ascii="Times New Roman" w:eastAsia="Batang" w:hAnsi="Times New Roman" w:cs="Times New Roman"/>
          <w:noProof/>
          <w:sz w:val="24"/>
          <w:szCs w:val="24"/>
          <w:lang w:val="sq-AL"/>
        </w:rPr>
        <w:t xml:space="preserve">r shkak të rënies së </w:t>
      </w:r>
      <w:r w:rsidR="001C7C7A" w:rsidRPr="009256B7">
        <w:rPr>
          <w:rFonts w:ascii="Times New Roman" w:eastAsia="Batang" w:hAnsi="Times New Roman" w:cs="Times New Roman"/>
          <w:noProof/>
          <w:sz w:val="24"/>
          <w:szCs w:val="24"/>
          <w:lang w:val="sq-AL"/>
        </w:rPr>
        <w:t>vazhdueshme t</w:t>
      </w:r>
      <w:r w:rsidR="00556CFC" w:rsidRPr="009256B7">
        <w:rPr>
          <w:rFonts w:ascii="Times New Roman" w:eastAsia="Batang" w:hAnsi="Times New Roman" w:cs="Times New Roman"/>
          <w:noProof/>
          <w:sz w:val="24"/>
          <w:szCs w:val="24"/>
          <w:lang w:val="sq-AL"/>
        </w:rPr>
        <w:t>ë</w:t>
      </w:r>
      <w:r w:rsidR="001C7C7A" w:rsidRPr="009256B7">
        <w:rPr>
          <w:rFonts w:ascii="Times New Roman" w:eastAsia="Batang" w:hAnsi="Times New Roman" w:cs="Times New Roman"/>
          <w:noProof/>
          <w:sz w:val="24"/>
          <w:szCs w:val="24"/>
          <w:lang w:val="sq-AL"/>
        </w:rPr>
        <w:t xml:space="preserve"> </w:t>
      </w:r>
      <w:r w:rsidR="007244CD" w:rsidRPr="009256B7">
        <w:rPr>
          <w:rFonts w:ascii="Times New Roman" w:eastAsia="Batang" w:hAnsi="Times New Roman" w:cs="Times New Roman"/>
          <w:noProof/>
          <w:sz w:val="24"/>
          <w:szCs w:val="24"/>
          <w:lang w:val="sq-AL"/>
        </w:rPr>
        <w:t>normave të interesit në tregun e brendshëm dhe zëvendësimit të borxhit që maturohet me borxh me norma interesi më të favorshme.</w:t>
      </w:r>
    </w:p>
    <w:p w14:paraId="71DF5C57" w14:textId="77777777" w:rsidR="007244CD" w:rsidRPr="009256B7" w:rsidRDefault="00733697" w:rsidP="008F735C">
      <w:pPr>
        <w:spacing w:after="0" w:line="276" w:lineRule="auto"/>
        <w:ind w:right="237"/>
        <w:jc w:val="both"/>
        <w:rPr>
          <w:rFonts w:ascii="Times New Roman" w:eastAsia="Batang" w:hAnsi="Times New Roman" w:cs="Times New Roman"/>
          <w:noProof/>
          <w:sz w:val="24"/>
          <w:szCs w:val="24"/>
          <w:lang w:val="sq-AL"/>
        </w:rPr>
      </w:pPr>
      <w:r w:rsidRPr="009256B7">
        <w:rPr>
          <w:rFonts w:ascii="Times New Roman" w:eastAsia="Batang" w:hAnsi="Times New Roman" w:cs="Times New Roman"/>
          <w:noProof/>
          <w:sz w:val="24"/>
          <w:szCs w:val="24"/>
          <w:lang w:val="sq-AL"/>
        </w:rPr>
        <w:t>N</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dallim nga borxhi i brendsh</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m, k</w:t>
      </w:r>
      <w:r w:rsidR="007F7FBD" w:rsidRPr="009256B7">
        <w:rPr>
          <w:rFonts w:ascii="Times New Roman" w:eastAsia="Batang" w:hAnsi="Times New Roman" w:cs="Times New Roman"/>
          <w:noProof/>
          <w:sz w:val="24"/>
          <w:szCs w:val="24"/>
          <w:lang w:val="sq-AL"/>
        </w:rPr>
        <w:t xml:space="preserve">osto </w:t>
      </w:r>
      <w:r w:rsidRPr="009256B7">
        <w:rPr>
          <w:rFonts w:ascii="Times New Roman" w:eastAsia="Batang" w:hAnsi="Times New Roman" w:cs="Times New Roman"/>
          <w:noProof/>
          <w:sz w:val="24"/>
          <w:szCs w:val="24"/>
          <w:lang w:val="sq-AL"/>
        </w:rPr>
        <w:t xml:space="preserve">mesatare </w:t>
      </w:r>
      <w:r w:rsidR="007F7FBD" w:rsidRPr="009256B7">
        <w:rPr>
          <w:rFonts w:ascii="Times New Roman" w:eastAsia="Batang" w:hAnsi="Times New Roman" w:cs="Times New Roman"/>
          <w:noProof/>
          <w:sz w:val="24"/>
          <w:szCs w:val="24"/>
          <w:lang w:val="sq-AL"/>
        </w:rPr>
        <w:t>e borxhit t</w:t>
      </w:r>
      <w:r w:rsidR="00556CFC" w:rsidRPr="009256B7">
        <w:rPr>
          <w:rFonts w:ascii="Times New Roman" w:eastAsia="Batang" w:hAnsi="Times New Roman" w:cs="Times New Roman"/>
          <w:noProof/>
          <w:sz w:val="24"/>
          <w:szCs w:val="24"/>
          <w:lang w:val="sq-AL"/>
        </w:rPr>
        <w:t>ë</w:t>
      </w:r>
      <w:r w:rsidR="007F7FBD" w:rsidRPr="009256B7">
        <w:rPr>
          <w:rFonts w:ascii="Times New Roman" w:eastAsia="Batang" w:hAnsi="Times New Roman" w:cs="Times New Roman"/>
          <w:noProof/>
          <w:sz w:val="24"/>
          <w:szCs w:val="24"/>
          <w:lang w:val="sq-AL"/>
        </w:rPr>
        <w:t xml:space="preserve"> jasht</w:t>
      </w:r>
      <w:r w:rsidR="00556CFC" w:rsidRPr="009256B7">
        <w:rPr>
          <w:rFonts w:ascii="Times New Roman" w:eastAsia="Batang" w:hAnsi="Times New Roman" w:cs="Times New Roman"/>
          <w:noProof/>
          <w:sz w:val="24"/>
          <w:szCs w:val="24"/>
          <w:lang w:val="sq-AL"/>
        </w:rPr>
        <w:t>ë</w:t>
      </w:r>
      <w:r w:rsidR="007F7FBD" w:rsidRPr="009256B7">
        <w:rPr>
          <w:rFonts w:ascii="Times New Roman" w:eastAsia="Batang" w:hAnsi="Times New Roman" w:cs="Times New Roman"/>
          <w:noProof/>
          <w:sz w:val="24"/>
          <w:szCs w:val="24"/>
          <w:lang w:val="sq-AL"/>
        </w:rPr>
        <w:t xml:space="preserve">m </w:t>
      </w:r>
      <w:r w:rsidRPr="009256B7">
        <w:rPr>
          <w:rFonts w:ascii="Times New Roman" w:eastAsia="Batang" w:hAnsi="Times New Roman" w:cs="Times New Roman"/>
          <w:noProof/>
          <w:sz w:val="24"/>
          <w:szCs w:val="24"/>
          <w:lang w:val="sq-AL"/>
        </w:rPr>
        <w:t>nd</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r vite ka q</w:t>
      </w:r>
      <w:r w:rsidR="000F361F">
        <w:rPr>
          <w:rFonts w:ascii="Times New Roman" w:eastAsia="Batang" w:hAnsi="Times New Roman" w:cs="Times New Roman"/>
          <w:noProof/>
          <w:sz w:val="24"/>
          <w:szCs w:val="24"/>
          <w:lang w:val="sq-AL"/>
        </w:rPr>
        <w:t>e</w:t>
      </w:r>
      <w:r w:rsidRPr="009256B7">
        <w:rPr>
          <w:rFonts w:ascii="Times New Roman" w:eastAsia="Batang" w:hAnsi="Times New Roman" w:cs="Times New Roman"/>
          <w:noProof/>
          <w:sz w:val="24"/>
          <w:szCs w:val="24"/>
          <w:lang w:val="sq-AL"/>
        </w:rPr>
        <w:t>n</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m</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e q</w:t>
      </w:r>
      <w:r w:rsidR="00414B96">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ndrueshme, nd</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rkoh</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q</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gjat</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dy viteve t</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fundit paraqet nj</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tendenc</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t</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moderuar rrit</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se</w:t>
      </w:r>
      <w:r w:rsidR="00053BD8" w:rsidRPr="009256B7">
        <w:rPr>
          <w:rFonts w:ascii="Times New Roman" w:eastAsia="Batang" w:hAnsi="Times New Roman" w:cs="Times New Roman"/>
          <w:noProof/>
          <w:sz w:val="24"/>
          <w:szCs w:val="24"/>
          <w:lang w:val="sq-AL"/>
        </w:rPr>
        <w:t>,</w:t>
      </w:r>
      <w:r w:rsidRPr="009256B7">
        <w:rPr>
          <w:rFonts w:ascii="Times New Roman" w:eastAsia="Batang" w:hAnsi="Times New Roman" w:cs="Times New Roman"/>
          <w:noProof/>
          <w:sz w:val="24"/>
          <w:szCs w:val="24"/>
          <w:lang w:val="sq-AL"/>
        </w:rPr>
        <w:t xml:space="preserve"> t</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ndikuar kryesisht nga rritja e stokut me instrumente t</w:t>
      </w:r>
      <w:r w:rsidR="00556CFC" w:rsidRPr="009256B7">
        <w:rPr>
          <w:rFonts w:ascii="Times New Roman" w:eastAsia="Batang" w:hAnsi="Times New Roman" w:cs="Times New Roman"/>
          <w:noProof/>
          <w:sz w:val="24"/>
          <w:szCs w:val="24"/>
          <w:lang w:val="sq-AL"/>
        </w:rPr>
        <w:t>ë</w:t>
      </w:r>
      <w:r w:rsidRPr="009256B7">
        <w:rPr>
          <w:rFonts w:ascii="Times New Roman" w:eastAsia="Batang" w:hAnsi="Times New Roman" w:cs="Times New Roman"/>
          <w:noProof/>
          <w:sz w:val="24"/>
          <w:szCs w:val="24"/>
          <w:lang w:val="sq-AL"/>
        </w:rPr>
        <w:t xml:space="preserve"> tregtueshme.</w:t>
      </w:r>
      <w:r w:rsidR="007F7FBD" w:rsidRPr="009256B7">
        <w:rPr>
          <w:rFonts w:ascii="Times New Roman" w:eastAsia="Batang" w:hAnsi="Times New Roman" w:cs="Times New Roman"/>
          <w:noProof/>
          <w:sz w:val="24"/>
          <w:szCs w:val="24"/>
          <w:lang w:val="sq-AL"/>
        </w:rPr>
        <w:t xml:space="preserve"> </w:t>
      </w:r>
      <w:r w:rsidR="004565A6" w:rsidRPr="009256B7">
        <w:rPr>
          <w:rFonts w:ascii="Times New Roman" w:eastAsia="Batang" w:hAnsi="Times New Roman" w:cs="Times New Roman"/>
          <w:noProof/>
          <w:sz w:val="24"/>
          <w:szCs w:val="24"/>
          <w:lang w:val="sq-AL"/>
        </w:rPr>
        <w:t>Portofoli i b</w:t>
      </w:r>
      <w:r w:rsidR="009B24CE" w:rsidRPr="009256B7">
        <w:rPr>
          <w:rFonts w:ascii="Times New Roman" w:eastAsia="Batang" w:hAnsi="Times New Roman" w:cs="Times New Roman"/>
          <w:noProof/>
          <w:sz w:val="24"/>
          <w:szCs w:val="24"/>
          <w:lang w:val="sq-AL"/>
        </w:rPr>
        <w:t>orxhi</w:t>
      </w:r>
      <w:r w:rsidR="00E23191" w:rsidRPr="009256B7">
        <w:rPr>
          <w:rFonts w:ascii="Times New Roman" w:eastAsia="Batang" w:hAnsi="Times New Roman" w:cs="Times New Roman"/>
          <w:noProof/>
          <w:sz w:val="24"/>
          <w:szCs w:val="24"/>
          <w:lang w:val="sq-AL"/>
        </w:rPr>
        <w:t>t</w:t>
      </w:r>
      <w:r w:rsidR="009B24CE" w:rsidRPr="009256B7">
        <w:rPr>
          <w:rFonts w:ascii="Times New Roman" w:eastAsia="Batang" w:hAnsi="Times New Roman" w:cs="Times New Roman"/>
          <w:noProof/>
          <w:sz w:val="24"/>
          <w:szCs w:val="24"/>
          <w:lang w:val="sq-AL"/>
        </w:rPr>
        <w:t xml:space="preserve"> </w:t>
      </w:r>
      <w:r w:rsidR="004565A6" w:rsidRPr="009256B7">
        <w:rPr>
          <w:rFonts w:ascii="Times New Roman" w:eastAsia="Batang" w:hAnsi="Times New Roman" w:cs="Times New Roman"/>
          <w:noProof/>
          <w:sz w:val="24"/>
          <w:szCs w:val="24"/>
          <w:lang w:val="sq-AL"/>
        </w:rPr>
        <w:t>t</w:t>
      </w:r>
      <w:r w:rsidR="00754CBC" w:rsidRPr="009256B7">
        <w:rPr>
          <w:rFonts w:ascii="Times New Roman" w:eastAsia="Batang" w:hAnsi="Times New Roman" w:cs="Times New Roman"/>
          <w:noProof/>
          <w:sz w:val="24"/>
          <w:szCs w:val="24"/>
          <w:lang w:val="sq-AL"/>
        </w:rPr>
        <w:t>ë</w:t>
      </w:r>
      <w:r w:rsidR="009B24CE" w:rsidRPr="009256B7">
        <w:rPr>
          <w:rFonts w:ascii="Times New Roman" w:eastAsia="Batang" w:hAnsi="Times New Roman" w:cs="Times New Roman"/>
          <w:noProof/>
          <w:sz w:val="24"/>
          <w:szCs w:val="24"/>
          <w:lang w:val="sq-AL"/>
        </w:rPr>
        <w:t xml:space="preserve"> jashtëm</w:t>
      </w:r>
      <w:r w:rsidR="00567AF7" w:rsidRPr="009256B7">
        <w:rPr>
          <w:rFonts w:ascii="Times New Roman" w:eastAsia="Batang" w:hAnsi="Times New Roman" w:cs="Times New Roman"/>
          <w:noProof/>
          <w:sz w:val="24"/>
          <w:szCs w:val="24"/>
          <w:lang w:val="sq-AL"/>
        </w:rPr>
        <w:t xml:space="preserve"> ka kosto m</w:t>
      </w:r>
      <w:r w:rsidR="00754CBC" w:rsidRPr="009256B7">
        <w:rPr>
          <w:rFonts w:ascii="Times New Roman" w:eastAsia="Batang" w:hAnsi="Times New Roman" w:cs="Times New Roman"/>
          <w:noProof/>
          <w:sz w:val="24"/>
          <w:szCs w:val="24"/>
          <w:lang w:val="sq-AL"/>
        </w:rPr>
        <w:t>ë</w:t>
      </w:r>
      <w:r w:rsidR="00567AF7" w:rsidRPr="009256B7">
        <w:rPr>
          <w:rFonts w:ascii="Times New Roman" w:eastAsia="Batang" w:hAnsi="Times New Roman" w:cs="Times New Roman"/>
          <w:noProof/>
          <w:sz w:val="24"/>
          <w:szCs w:val="24"/>
          <w:lang w:val="sq-AL"/>
        </w:rPr>
        <w:t xml:space="preserve"> t</w:t>
      </w:r>
      <w:r w:rsidR="00754CBC" w:rsidRPr="009256B7">
        <w:rPr>
          <w:rFonts w:ascii="Times New Roman" w:eastAsia="Batang" w:hAnsi="Times New Roman" w:cs="Times New Roman"/>
          <w:noProof/>
          <w:sz w:val="24"/>
          <w:szCs w:val="24"/>
          <w:lang w:val="sq-AL"/>
        </w:rPr>
        <w:t>ë</w:t>
      </w:r>
      <w:r w:rsidR="00567AF7" w:rsidRPr="009256B7">
        <w:rPr>
          <w:rFonts w:ascii="Times New Roman" w:eastAsia="Batang" w:hAnsi="Times New Roman" w:cs="Times New Roman"/>
          <w:noProof/>
          <w:sz w:val="24"/>
          <w:szCs w:val="24"/>
          <w:lang w:val="sq-AL"/>
        </w:rPr>
        <w:t xml:space="preserve"> ul</w:t>
      </w:r>
      <w:r w:rsidR="00754CBC" w:rsidRPr="009256B7">
        <w:rPr>
          <w:rFonts w:ascii="Times New Roman" w:eastAsia="Batang" w:hAnsi="Times New Roman" w:cs="Times New Roman"/>
          <w:noProof/>
          <w:sz w:val="24"/>
          <w:szCs w:val="24"/>
          <w:lang w:val="sq-AL"/>
        </w:rPr>
        <w:t>ë</w:t>
      </w:r>
      <w:r w:rsidR="00567AF7" w:rsidRPr="009256B7">
        <w:rPr>
          <w:rFonts w:ascii="Times New Roman" w:eastAsia="Batang" w:hAnsi="Times New Roman" w:cs="Times New Roman"/>
          <w:noProof/>
          <w:sz w:val="24"/>
          <w:szCs w:val="24"/>
          <w:lang w:val="sq-AL"/>
        </w:rPr>
        <w:t>t se borxhi i brendsh</w:t>
      </w:r>
      <w:r w:rsidR="00754CBC" w:rsidRPr="009256B7">
        <w:rPr>
          <w:rFonts w:ascii="Times New Roman" w:eastAsia="Batang" w:hAnsi="Times New Roman" w:cs="Times New Roman"/>
          <w:noProof/>
          <w:sz w:val="24"/>
          <w:szCs w:val="24"/>
          <w:lang w:val="sq-AL"/>
        </w:rPr>
        <w:t>ë</w:t>
      </w:r>
      <w:r w:rsidR="00567AF7" w:rsidRPr="009256B7">
        <w:rPr>
          <w:rFonts w:ascii="Times New Roman" w:eastAsia="Batang" w:hAnsi="Times New Roman" w:cs="Times New Roman"/>
          <w:noProof/>
          <w:sz w:val="24"/>
          <w:szCs w:val="24"/>
          <w:lang w:val="sq-AL"/>
        </w:rPr>
        <w:t>m</w:t>
      </w:r>
      <w:r w:rsidR="009B24CE" w:rsidRPr="009256B7">
        <w:rPr>
          <w:rFonts w:ascii="Times New Roman" w:eastAsia="Batang" w:hAnsi="Times New Roman" w:cs="Times New Roman"/>
          <w:noProof/>
          <w:sz w:val="24"/>
          <w:szCs w:val="24"/>
          <w:lang w:val="sq-AL"/>
        </w:rPr>
        <w:t xml:space="preserve">, </w:t>
      </w:r>
      <w:r w:rsidR="0070423D" w:rsidRPr="009256B7">
        <w:rPr>
          <w:rFonts w:ascii="Times New Roman" w:eastAsia="Batang" w:hAnsi="Times New Roman" w:cs="Times New Roman"/>
          <w:noProof/>
          <w:sz w:val="24"/>
          <w:szCs w:val="24"/>
          <w:lang w:val="sq-AL"/>
        </w:rPr>
        <w:t>pasi</w:t>
      </w:r>
      <w:r w:rsidR="009B24CE" w:rsidRPr="009256B7">
        <w:rPr>
          <w:rFonts w:ascii="Times New Roman" w:eastAsia="Batang" w:hAnsi="Times New Roman" w:cs="Times New Roman"/>
          <w:noProof/>
          <w:sz w:val="24"/>
          <w:szCs w:val="24"/>
          <w:lang w:val="sq-AL"/>
        </w:rPr>
        <w:t xml:space="preserve"> </w:t>
      </w:r>
      <w:r w:rsidR="004565A6" w:rsidRPr="009256B7">
        <w:rPr>
          <w:rFonts w:ascii="Times New Roman" w:eastAsia="Batang" w:hAnsi="Times New Roman" w:cs="Times New Roman"/>
          <w:noProof/>
          <w:sz w:val="24"/>
          <w:szCs w:val="24"/>
          <w:lang w:val="sq-AL"/>
        </w:rPr>
        <w:t>pothuajse gjysma e k</w:t>
      </w:r>
      <w:r w:rsidR="00754CBC" w:rsidRPr="009256B7">
        <w:rPr>
          <w:rFonts w:ascii="Times New Roman" w:eastAsia="Batang" w:hAnsi="Times New Roman" w:cs="Times New Roman"/>
          <w:noProof/>
          <w:sz w:val="24"/>
          <w:szCs w:val="24"/>
          <w:lang w:val="sq-AL"/>
        </w:rPr>
        <w:t>ë</w:t>
      </w:r>
      <w:r w:rsidR="004565A6" w:rsidRPr="009256B7">
        <w:rPr>
          <w:rFonts w:ascii="Times New Roman" w:eastAsia="Batang" w:hAnsi="Times New Roman" w:cs="Times New Roman"/>
          <w:noProof/>
          <w:sz w:val="24"/>
          <w:szCs w:val="24"/>
          <w:lang w:val="sq-AL"/>
        </w:rPr>
        <w:t xml:space="preserve">tij portofoli </w:t>
      </w:r>
      <w:r w:rsidR="006E2914" w:rsidRPr="009256B7">
        <w:rPr>
          <w:rFonts w:ascii="Times New Roman" w:eastAsia="Batang" w:hAnsi="Times New Roman" w:cs="Times New Roman"/>
          <w:noProof/>
          <w:sz w:val="24"/>
          <w:szCs w:val="24"/>
          <w:lang w:val="sq-AL"/>
        </w:rPr>
        <w:t>p</w:t>
      </w:r>
      <w:r w:rsidR="00982338" w:rsidRPr="009256B7">
        <w:rPr>
          <w:rFonts w:ascii="Times New Roman" w:eastAsia="Batang" w:hAnsi="Times New Roman" w:cs="Times New Roman"/>
          <w:noProof/>
          <w:sz w:val="24"/>
          <w:szCs w:val="24"/>
          <w:lang w:val="sq-AL"/>
        </w:rPr>
        <w:t>ë</w:t>
      </w:r>
      <w:r w:rsidR="006E2914" w:rsidRPr="009256B7">
        <w:rPr>
          <w:rFonts w:ascii="Times New Roman" w:eastAsia="Batang" w:hAnsi="Times New Roman" w:cs="Times New Roman"/>
          <w:noProof/>
          <w:sz w:val="24"/>
          <w:szCs w:val="24"/>
          <w:lang w:val="sq-AL"/>
        </w:rPr>
        <w:t>rb</w:t>
      </w:r>
      <w:r w:rsidR="00982338" w:rsidRPr="009256B7">
        <w:rPr>
          <w:rFonts w:ascii="Times New Roman" w:eastAsia="Batang" w:hAnsi="Times New Roman" w:cs="Times New Roman"/>
          <w:noProof/>
          <w:sz w:val="24"/>
          <w:szCs w:val="24"/>
          <w:lang w:val="sq-AL"/>
        </w:rPr>
        <w:t>ë</w:t>
      </w:r>
      <w:r w:rsidR="006E2914" w:rsidRPr="009256B7">
        <w:rPr>
          <w:rFonts w:ascii="Times New Roman" w:eastAsia="Batang" w:hAnsi="Times New Roman" w:cs="Times New Roman"/>
          <w:noProof/>
          <w:sz w:val="24"/>
          <w:szCs w:val="24"/>
          <w:lang w:val="sq-AL"/>
        </w:rPr>
        <w:t>het nga</w:t>
      </w:r>
      <w:r w:rsidR="004565A6" w:rsidRPr="009256B7">
        <w:rPr>
          <w:rFonts w:ascii="Times New Roman" w:eastAsia="Batang" w:hAnsi="Times New Roman" w:cs="Times New Roman"/>
          <w:noProof/>
          <w:sz w:val="24"/>
          <w:szCs w:val="24"/>
          <w:lang w:val="sq-AL"/>
        </w:rPr>
        <w:t xml:space="preserve"> </w:t>
      </w:r>
      <w:r w:rsidR="006E2914" w:rsidRPr="009256B7">
        <w:rPr>
          <w:rFonts w:ascii="Times New Roman" w:eastAsia="Batang" w:hAnsi="Times New Roman" w:cs="Times New Roman"/>
          <w:noProof/>
          <w:sz w:val="24"/>
          <w:szCs w:val="24"/>
          <w:lang w:val="sq-AL"/>
        </w:rPr>
        <w:t xml:space="preserve">hua </w:t>
      </w:r>
      <w:r w:rsidR="004565A6" w:rsidRPr="009256B7">
        <w:rPr>
          <w:rFonts w:ascii="Times New Roman" w:eastAsia="Batang" w:hAnsi="Times New Roman" w:cs="Times New Roman"/>
          <w:noProof/>
          <w:sz w:val="24"/>
          <w:szCs w:val="24"/>
          <w:lang w:val="sq-AL"/>
        </w:rPr>
        <w:t>me</w:t>
      </w:r>
      <w:r w:rsidR="009B24CE" w:rsidRPr="009256B7">
        <w:rPr>
          <w:rFonts w:ascii="Times New Roman" w:eastAsia="Batang" w:hAnsi="Times New Roman" w:cs="Times New Roman"/>
          <w:noProof/>
          <w:sz w:val="24"/>
          <w:szCs w:val="24"/>
          <w:lang w:val="sq-AL"/>
        </w:rPr>
        <w:t xml:space="preserve"> terma </w:t>
      </w:r>
      <w:r w:rsidR="004565A6" w:rsidRPr="009256B7">
        <w:rPr>
          <w:rFonts w:ascii="Times New Roman" w:eastAsia="Batang" w:hAnsi="Times New Roman" w:cs="Times New Roman"/>
          <w:noProof/>
          <w:sz w:val="24"/>
          <w:szCs w:val="24"/>
          <w:lang w:val="sq-AL"/>
        </w:rPr>
        <w:t>koncesionale, nd</w:t>
      </w:r>
      <w:r w:rsidR="00754CBC" w:rsidRPr="009256B7">
        <w:rPr>
          <w:rFonts w:ascii="Times New Roman" w:eastAsia="Batang" w:hAnsi="Times New Roman" w:cs="Times New Roman"/>
          <w:noProof/>
          <w:sz w:val="24"/>
          <w:szCs w:val="24"/>
          <w:lang w:val="sq-AL"/>
        </w:rPr>
        <w:t>ë</w:t>
      </w:r>
      <w:r w:rsidR="004565A6" w:rsidRPr="009256B7">
        <w:rPr>
          <w:rFonts w:ascii="Times New Roman" w:eastAsia="Batang" w:hAnsi="Times New Roman" w:cs="Times New Roman"/>
          <w:noProof/>
          <w:sz w:val="24"/>
          <w:szCs w:val="24"/>
          <w:lang w:val="sq-AL"/>
        </w:rPr>
        <w:t>rkoh</w:t>
      </w:r>
      <w:r w:rsidR="00754CBC" w:rsidRPr="009256B7">
        <w:rPr>
          <w:rFonts w:ascii="Times New Roman" w:eastAsia="Batang" w:hAnsi="Times New Roman" w:cs="Times New Roman"/>
          <w:noProof/>
          <w:sz w:val="24"/>
          <w:szCs w:val="24"/>
          <w:lang w:val="sq-AL"/>
        </w:rPr>
        <w:t>ë</w:t>
      </w:r>
      <w:r w:rsidR="004565A6" w:rsidRPr="009256B7">
        <w:rPr>
          <w:rFonts w:ascii="Times New Roman" w:eastAsia="Batang" w:hAnsi="Times New Roman" w:cs="Times New Roman"/>
          <w:noProof/>
          <w:sz w:val="24"/>
          <w:szCs w:val="24"/>
          <w:lang w:val="sq-AL"/>
        </w:rPr>
        <w:t xml:space="preserve"> q</w:t>
      </w:r>
      <w:r w:rsidR="00754CBC" w:rsidRPr="009256B7">
        <w:rPr>
          <w:rFonts w:ascii="Times New Roman" w:eastAsia="Batang" w:hAnsi="Times New Roman" w:cs="Times New Roman"/>
          <w:noProof/>
          <w:sz w:val="24"/>
          <w:szCs w:val="24"/>
          <w:lang w:val="sq-AL"/>
        </w:rPr>
        <w:t>ë</w:t>
      </w:r>
      <w:r w:rsidR="004565A6" w:rsidRPr="009256B7">
        <w:rPr>
          <w:rFonts w:ascii="Times New Roman" w:eastAsia="Batang" w:hAnsi="Times New Roman" w:cs="Times New Roman"/>
          <w:noProof/>
          <w:sz w:val="24"/>
          <w:szCs w:val="24"/>
          <w:lang w:val="sq-AL"/>
        </w:rPr>
        <w:t xml:space="preserve"> edhe instrumentet e tregtueshme si Eurobond-i emetohen n</w:t>
      </w:r>
      <w:r w:rsidR="00754CBC" w:rsidRPr="009256B7">
        <w:rPr>
          <w:rFonts w:ascii="Times New Roman" w:eastAsia="Batang" w:hAnsi="Times New Roman" w:cs="Times New Roman"/>
          <w:noProof/>
          <w:sz w:val="24"/>
          <w:szCs w:val="24"/>
          <w:lang w:val="sq-AL"/>
        </w:rPr>
        <w:t>ë</w:t>
      </w:r>
      <w:r w:rsidR="004565A6" w:rsidRPr="009256B7">
        <w:rPr>
          <w:rFonts w:ascii="Times New Roman" w:eastAsia="Batang" w:hAnsi="Times New Roman" w:cs="Times New Roman"/>
          <w:noProof/>
          <w:sz w:val="24"/>
          <w:szCs w:val="24"/>
          <w:lang w:val="sq-AL"/>
        </w:rPr>
        <w:t xml:space="preserve"> tregje shum</w:t>
      </w:r>
      <w:r w:rsidR="00754CBC" w:rsidRPr="009256B7">
        <w:rPr>
          <w:rFonts w:ascii="Times New Roman" w:eastAsia="Batang" w:hAnsi="Times New Roman" w:cs="Times New Roman"/>
          <w:noProof/>
          <w:sz w:val="24"/>
          <w:szCs w:val="24"/>
          <w:lang w:val="sq-AL"/>
        </w:rPr>
        <w:t>ë</w:t>
      </w:r>
      <w:r w:rsidR="004565A6" w:rsidRPr="009256B7">
        <w:rPr>
          <w:rFonts w:ascii="Times New Roman" w:eastAsia="Batang" w:hAnsi="Times New Roman" w:cs="Times New Roman"/>
          <w:noProof/>
          <w:sz w:val="24"/>
          <w:szCs w:val="24"/>
          <w:lang w:val="sq-AL"/>
        </w:rPr>
        <w:t xml:space="preserve"> m</w:t>
      </w:r>
      <w:r w:rsidR="00754CBC" w:rsidRPr="009256B7">
        <w:rPr>
          <w:rFonts w:ascii="Times New Roman" w:eastAsia="Batang" w:hAnsi="Times New Roman" w:cs="Times New Roman"/>
          <w:noProof/>
          <w:sz w:val="24"/>
          <w:szCs w:val="24"/>
          <w:lang w:val="sq-AL"/>
        </w:rPr>
        <w:t>ë</w:t>
      </w:r>
      <w:r w:rsidR="004565A6" w:rsidRPr="009256B7">
        <w:rPr>
          <w:rFonts w:ascii="Times New Roman" w:eastAsia="Batang" w:hAnsi="Times New Roman" w:cs="Times New Roman"/>
          <w:noProof/>
          <w:sz w:val="24"/>
          <w:szCs w:val="24"/>
          <w:lang w:val="sq-AL"/>
        </w:rPr>
        <w:t xml:space="preserve"> konkuruese dhe likuide</w:t>
      </w:r>
      <w:r w:rsidR="009B24CE" w:rsidRPr="009256B7">
        <w:rPr>
          <w:rFonts w:ascii="Times New Roman" w:eastAsia="Batang" w:hAnsi="Times New Roman" w:cs="Times New Roman"/>
          <w:noProof/>
          <w:sz w:val="24"/>
          <w:szCs w:val="24"/>
          <w:lang w:val="sq-AL"/>
        </w:rPr>
        <w:t xml:space="preserve"> </w:t>
      </w:r>
      <w:r w:rsidR="004565A6" w:rsidRPr="009256B7">
        <w:rPr>
          <w:rFonts w:ascii="Times New Roman" w:eastAsia="Batang" w:hAnsi="Times New Roman" w:cs="Times New Roman"/>
          <w:noProof/>
          <w:sz w:val="24"/>
          <w:szCs w:val="24"/>
          <w:lang w:val="sq-AL"/>
        </w:rPr>
        <w:t>se tregu vendas.</w:t>
      </w:r>
    </w:p>
    <w:p w14:paraId="71DF5C58" w14:textId="77777777" w:rsidR="00053BD8" w:rsidRPr="009256B7" w:rsidRDefault="00053BD8" w:rsidP="008F735C">
      <w:pPr>
        <w:spacing w:after="0" w:line="276" w:lineRule="auto"/>
        <w:ind w:right="237"/>
        <w:jc w:val="both"/>
        <w:rPr>
          <w:rFonts w:ascii="Times New Roman" w:eastAsia="Batang" w:hAnsi="Times New Roman" w:cs="Times New Roman"/>
          <w:noProof/>
          <w:sz w:val="16"/>
          <w:szCs w:val="24"/>
          <w:lang w:val="sq-AL"/>
        </w:rPr>
      </w:pPr>
    </w:p>
    <w:p w14:paraId="71DF5C59" w14:textId="77777777" w:rsidR="00CC183E" w:rsidRPr="009256B7" w:rsidRDefault="00A36AEE" w:rsidP="000333E3">
      <w:pPr>
        <w:tabs>
          <w:tab w:val="left" w:pos="8505"/>
        </w:tabs>
        <w:spacing w:after="0" w:line="240" w:lineRule="auto"/>
        <w:ind w:left="3119" w:hanging="2835"/>
        <w:rPr>
          <w:rFonts w:ascii="Cambria" w:eastAsia="Batang" w:hAnsi="Cambria" w:cs="Times New Roman"/>
          <w:i/>
          <w:noProof/>
          <w:color w:val="8E0000"/>
          <w:sz w:val="20"/>
          <w:szCs w:val="20"/>
          <w:lang w:val="sq-AL"/>
        </w:rPr>
      </w:pPr>
      <w:r w:rsidRPr="009256B7">
        <w:rPr>
          <w:rFonts w:ascii="Cambria" w:eastAsia="Batang" w:hAnsi="Cambria" w:cs="Times New Roman"/>
          <w:b/>
          <w:noProof/>
          <w:color w:val="8E0000"/>
          <w:sz w:val="20"/>
          <w:szCs w:val="20"/>
          <w:lang w:val="sq-AL"/>
        </w:rPr>
        <w:t xml:space="preserve">            </w:t>
      </w:r>
      <w:r w:rsidR="00237874" w:rsidRPr="009256B7">
        <w:rPr>
          <w:rFonts w:ascii="Cambria" w:eastAsia="Batang" w:hAnsi="Cambria" w:cs="Times New Roman"/>
          <w:b/>
          <w:noProof/>
          <w:color w:val="8E0000"/>
          <w:sz w:val="20"/>
          <w:szCs w:val="20"/>
          <w:lang w:val="sq-AL"/>
        </w:rPr>
        <w:t>Paraqitje Grafike 5</w:t>
      </w:r>
      <w:r w:rsidR="009B24CE" w:rsidRPr="009256B7">
        <w:rPr>
          <w:rFonts w:ascii="Cambria" w:eastAsia="Batang" w:hAnsi="Cambria" w:cs="Times New Roman"/>
          <w:b/>
          <w:noProof/>
          <w:color w:val="8E0000"/>
          <w:sz w:val="20"/>
          <w:szCs w:val="20"/>
          <w:lang w:val="sq-AL"/>
        </w:rPr>
        <w:t>.1(b):</w:t>
      </w:r>
      <w:r w:rsidR="009B24CE" w:rsidRPr="009256B7">
        <w:rPr>
          <w:rFonts w:ascii="Cambria" w:eastAsia="Batang" w:hAnsi="Cambria" w:cs="Times New Roman"/>
          <w:noProof/>
          <w:color w:val="8E0000"/>
          <w:sz w:val="20"/>
          <w:szCs w:val="20"/>
          <w:lang w:val="sq-AL"/>
        </w:rPr>
        <w:t xml:space="preserve"> </w:t>
      </w:r>
      <w:r w:rsidR="009B24CE" w:rsidRPr="009256B7">
        <w:rPr>
          <w:rFonts w:ascii="Cambria" w:eastAsia="Batang" w:hAnsi="Cambria" w:cs="Times New Roman"/>
          <w:i/>
          <w:noProof/>
          <w:color w:val="8E0000"/>
          <w:sz w:val="20"/>
          <w:szCs w:val="20"/>
          <w:lang w:val="sq-AL"/>
        </w:rPr>
        <w:t>Kosto mesatare për njësi e borxhit të brendshëm dhe të jashtëm</w:t>
      </w:r>
      <w:r w:rsidR="00FB134C" w:rsidRPr="009256B7">
        <w:rPr>
          <w:rFonts w:ascii="Cambria" w:eastAsia="Batang" w:hAnsi="Cambria" w:cs="Times New Roman"/>
          <w:i/>
          <w:noProof/>
          <w:color w:val="8E0000"/>
          <w:sz w:val="20"/>
          <w:szCs w:val="20"/>
          <w:lang w:val="sq-AL"/>
        </w:rPr>
        <w:t xml:space="preserve"> </w:t>
      </w:r>
      <w:r w:rsidR="00B60EB1" w:rsidRPr="009256B7">
        <w:rPr>
          <w:rFonts w:ascii="Cambria" w:eastAsia="Batang" w:hAnsi="Cambria" w:cs="Times New Roman"/>
          <w:i/>
          <w:noProof/>
          <w:color w:val="8E0000"/>
          <w:sz w:val="20"/>
          <w:szCs w:val="20"/>
          <w:lang w:val="sq-AL"/>
        </w:rPr>
        <w:t xml:space="preserve">                </w:t>
      </w:r>
      <w:r w:rsidR="008F65DC" w:rsidRPr="009256B7">
        <w:rPr>
          <w:rFonts w:ascii="Cambria" w:eastAsia="Batang" w:hAnsi="Cambria" w:cs="Times New Roman"/>
          <w:i/>
          <w:noProof/>
          <w:color w:val="8E0000"/>
          <w:sz w:val="20"/>
          <w:szCs w:val="20"/>
          <w:lang w:val="sq-AL"/>
        </w:rPr>
        <w:t>(2015</w:t>
      </w:r>
      <w:r w:rsidR="00E25654" w:rsidRPr="009256B7">
        <w:rPr>
          <w:rFonts w:ascii="Cambria" w:eastAsia="Batang" w:hAnsi="Cambria" w:cs="Times New Roman"/>
          <w:i/>
          <w:noProof/>
          <w:color w:val="8E0000"/>
          <w:sz w:val="20"/>
          <w:szCs w:val="20"/>
          <w:lang w:val="sq-AL"/>
        </w:rPr>
        <w:t>-2019</w:t>
      </w:r>
      <w:r w:rsidR="00FB134C" w:rsidRPr="009256B7">
        <w:rPr>
          <w:rFonts w:ascii="Cambria" w:eastAsia="Batang" w:hAnsi="Cambria" w:cs="Times New Roman"/>
          <w:i/>
          <w:noProof/>
          <w:color w:val="8E0000"/>
          <w:sz w:val="20"/>
          <w:szCs w:val="20"/>
          <w:lang w:val="sq-AL"/>
        </w:rPr>
        <w:t>)</w:t>
      </w:r>
    </w:p>
    <w:p w14:paraId="71DF5C5A" w14:textId="77777777" w:rsidR="009256B7" w:rsidRPr="009256B7" w:rsidRDefault="009256B7" w:rsidP="009256B7">
      <w:pPr>
        <w:tabs>
          <w:tab w:val="left" w:pos="8505"/>
        </w:tabs>
        <w:spacing w:after="0" w:line="240" w:lineRule="auto"/>
        <w:ind w:left="3119" w:hanging="3119"/>
        <w:rPr>
          <w:rFonts w:ascii="Cambria" w:eastAsia="Batang" w:hAnsi="Cambria" w:cs="Times New Roman"/>
          <w:i/>
          <w:noProof/>
          <w:color w:val="8E0000"/>
          <w:sz w:val="20"/>
          <w:szCs w:val="20"/>
          <w:lang w:val="sq-AL"/>
        </w:rPr>
      </w:pPr>
      <w:r w:rsidRPr="009256B7">
        <w:rPr>
          <w:rFonts w:ascii="Cambria" w:eastAsia="Batang" w:hAnsi="Cambria" w:cs="Times New Roman"/>
          <w:i/>
          <w:noProof/>
          <w:color w:val="8E0000"/>
          <w:sz w:val="20"/>
          <w:szCs w:val="20"/>
        </w:rPr>
        <w:drawing>
          <wp:inline distT="0" distB="0" distL="0" distR="0" wp14:anchorId="71DF5F79" wp14:editId="71DF5F7A">
            <wp:extent cx="5543550" cy="1885950"/>
            <wp:effectExtent l="19050" t="19050" r="19050" b="190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3550" cy="1885950"/>
                    </a:xfrm>
                    <a:prstGeom prst="rect">
                      <a:avLst/>
                    </a:prstGeom>
                    <a:noFill/>
                    <a:ln>
                      <a:solidFill>
                        <a:schemeClr val="bg1">
                          <a:lumMod val="75000"/>
                        </a:schemeClr>
                      </a:solidFill>
                    </a:ln>
                  </pic:spPr>
                </pic:pic>
              </a:graphicData>
            </a:graphic>
          </wp:inline>
        </w:drawing>
      </w:r>
    </w:p>
    <w:p w14:paraId="71DF5C5B" w14:textId="77777777" w:rsidR="004D7A5D" w:rsidRPr="000F5C13" w:rsidRDefault="009B24CE" w:rsidP="00F65CDB">
      <w:pPr>
        <w:spacing w:after="0" w:line="240" w:lineRule="auto"/>
        <w:jc w:val="center"/>
        <w:rPr>
          <w:rFonts w:ascii="Cambria" w:eastAsia="Batang" w:hAnsi="Cambria" w:cs="Times New Roman"/>
          <w:i/>
          <w:noProof/>
          <w:color w:val="8E0000"/>
          <w:sz w:val="20"/>
          <w:szCs w:val="20"/>
          <w:lang w:val="sq-AL"/>
        </w:rPr>
      </w:pPr>
      <w:r w:rsidRPr="009256B7">
        <w:rPr>
          <w:rFonts w:ascii="Cambria" w:eastAsia="Batang" w:hAnsi="Cambria" w:cs="Times New Roman"/>
          <w:b/>
          <w:noProof/>
          <w:color w:val="8E0000"/>
          <w:sz w:val="20"/>
          <w:szCs w:val="20"/>
          <w:lang w:val="sq-AL"/>
        </w:rPr>
        <w:t xml:space="preserve">Burimi: </w:t>
      </w:r>
      <w:r w:rsidRPr="009256B7">
        <w:rPr>
          <w:rFonts w:ascii="Cambria" w:eastAsia="Batang" w:hAnsi="Cambria" w:cs="Times New Roman"/>
          <w:i/>
          <w:noProof/>
          <w:color w:val="8E0000"/>
          <w:sz w:val="20"/>
          <w:szCs w:val="20"/>
          <w:lang w:val="sq-AL"/>
        </w:rPr>
        <w:t>Ministria</w:t>
      </w:r>
      <w:r w:rsidR="00E25654" w:rsidRPr="009256B7">
        <w:rPr>
          <w:rFonts w:ascii="Cambria" w:eastAsia="Batang" w:hAnsi="Cambria" w:cs="Times New Roman"/>
          <w:i/>
          <w:noProof/>
          <w:color w:val="8E0000"/>
          <w:sz w:val="20"/>
          <w:szCs w:val="20"/>
          <w:lang w:val="sq-AL"/>
        </w:rPr>
        <w:t xml:space="preserve"> e Financave dhe Ekonomisë (2019</w:t>
      </w:r>
      <w:r w:rsidRPr="009256B7">
        <w:rPr>
          <w:rFonts w:ascii="Cambria" w:eastAsia="Batang" w:hAnsi="Cambria" w:cs="Times New Roman"/>
          <w:i/>
          <w:noProof/>
          <w:color w:val="8E0000"/>
          <w:sz w:val="20"/>
          <w:szCs w:val="20"/>
          <w:lang w:val="sq-AL"/>
        </w:rPr>
        <w:t>)</w:t>
      </w:r>
    </w:p>
    <w:p w14:paraId="71DF5C5C" w14:textId="77777777" w:rsidR="009B24CE" w:rsidRPr="000F5C13" w:rsidRDefault="009B24CE" w:rsidP="00785FF8">
      <w:pPr>
        <w:keepNext/>
        <w:keepLines/>
        <w:numPr>
          <w:ilvl w:val="0"/>
          <w:numId w:val="5"/>
        </w:numPr>
        <w:spacing w:before="40" w:after="0"/>
        <w:contextualSpacing/>
        <w:outlineLvl w:val="2"/>
        <w:rPr>
          <w:rFonts w:ascii="Cambria" w:eastAsiaTheme="majorEastAsia" w:hAnsi="Cambria" w:cstheme="majorBidi"/>
          <w:b/>
          <w:noProof/>
          <w:vanish/>
          <w:sz w:val="24"/>
          <w:szCs w:val="24"/>
          <w:lang w:val="sq-AL"/>
        </w:rPr>
      </w:pPr>
      <w:bookmarkStart w:id="33" w:name="_Toc491266092"/>
      <w:bookmarkStart w:id="34" w:name="_Toc491266168"/>
      <w:bookmarkStart w:id="35" w:name="_Toc491427023"/>
      <w:bookmarkStart w:id="36" w:name="_Toc491427168"/>
      <w:bookmarkStart w:id="37" w:name="_Toc491858693"/>
      <w:bookmarkStart w:id="38" w:name="_Toc491858962"/>
      <w:bookmarkStart w:id="39" w:name="_Toc491859007"/>
      <w:bookmarkStart w:id="40" w:name="_Toc491859090"/>
      <w:bookmarkStart w:id="41" w:name="_Toc491860006"/>
      <w:bookmarkStart w:id="42" w:name="_Toc491860085"/>
      <w:bookmarkStart w:id="43" w:name="_Toc491860235"/>
      <w:bookmarkStart w:id="44" w:name="_Toc491860991"/>
      <w:bookmarkStart w:id="45" w:name="_Toc491953597"/>
      <w:bookmarkStart w:id="46" w:name="_Toc491954304"/>
      <w:bookmarkStart w:id="47" w:name="_Toc516578294"/>
      <w:bookmarkStart w:id="48" w:name="_Toc524506263"/>
      <w:bookmarkStart w:id="49" w:name="_Toc524506538"/>
      <w:bookmarkStart w:id="50" w:name="_Toc48045795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DF5C5D" w14:textId="77777777" w:rsidR="009B24CE" w:rsidRPr="000F5C13" w:rsidRDefault="009B24CE" w:rsidP="006D05FE">
      <w:pPr>
        <w:keepNext/>
        <w:keepLines/>
        <w:spacing w:before="40" w:after="0"/>
        <w:contextualSpacing/>
        <w:outlineLvl w:val="2"/>
        <w:rPr>
          <w:rFonts w:ascii="Cambria" w:eastAsiaTheme="majorEastAsia" w:hAnsi="Cambria" w:cstheme="majorBidi"/>
          <w:b/>
          <w:noProof/>
          <w:vanish/>
          <w:sz w:val="24"/>
          <w:szCs w:val="24"/>
          <w:lang w:val="sq-AL"/>
        </w:rPr>
      </w:pPr>
      <w:bookmarkStart w:id="51" w:name="_Toc491266093"/>
      <w:bookmarkStart w:id="52" w:name="_Toc491266169"/>
      <w:bookmarkStart w:id="53" w:name="_Toc491427024"/>
      <w:bookmarkStart w:id="54" w:name="_Toc491427169"/>
      <w:bookmarkStart w:id="55" w:name="_Toc491858694"/>
      <w:bookmarkStart w:id="56" w:name="_Toc491858963"/>
      <w:bookmarkStart w:id="57" w:name="_Toc491859008"/>
      <w:bookmarkStart w:id="58" w:name="_Toc491859091"/>
      <w:bookmarkStart w:id="59" w:name="_Toc491860007"/>
      <w:bookmarkStart w:id="60" w:name="_Toc491860086"/>
      <w:bookmarkStart w:id="61" w:name="_Toc491860236"/>
      <w:bookmarkStart w:id="62" w:name="_Toc491860992"/>
      <w:bookmarkStart w:id="63" w:name="_Toc491953598"/>
      <w:bookmarkStart w:id="64" w:name="_Toc491954305"/>
      <w:bookmarkStart w:id="65" w:name="_Toc51657829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1DF5C5E" w14:textId="77777777" w:rsidR="009B24CE" w:rsidRPr="000F5C13" w:rsidRDefault="00F55A3D" w:rsidP="004A70BC">
      <w:pPr>
        <w:pStyle w:val="Heading2"/>
        <w:numPr>
          <w:ilvl w:val="1"/>
          <w:numId w:val="8"/>
        </w:numPr>
        <w:ind w:left="709" w:hanging="709"/>
        <w:rPr>
          <w:noProof/>
          <w:lang w:val="sq-AL"/>
        </w:rPr>
      </w:pPr>
      <w:bookmarkStart w:id="66" w:name="_Toc491860993"/>
      <w:bookmarkStart w:id="67" w:name="_Toc491954306"/>
      <w:bookmarkStart w:id="68" w:name="_Toc524506539"/>
      <w:r w:rsidRPr="000F5C13">
        <w:rPr>
          <w:noProof/>
          <w:lang w:val="sq-AL"/>
        </w:rPr>
        <w:t>Ris</w:t>
      </w:r>
      <w:r w:rsidR="009B24CE" w:rsidRPr="000F5C13">
        <w:rPr>
          <w:noProof/>
          <w:lang w:val="sq-AL"/>
        </w:rPr>
        <w:t>qet</w:t>
      </w:r>
      <w:bookmarkEnd w:id="50"/>
      <w:bookmarkEnd w:id="66"/>
      <w:bookmarkEnd w:id="67"/>
      <w:bookmarkEnd w:id="68"/>
    </w:p>
    <w:p w14:paraId="71DF5C5F" w14:textId="77777777" w:rsidR="003E0710" w:rsidRPr="000F5C13" w:rsidRDefault="003E0710" w:rsidP="00CF0D9C">
      <w:pPr>
        <w:spacing w:after="0" w:line="276" w:lineRule="auto"/>
        <w:ind w:left="284" w:right="237"/>
        <w:jc w:val="both"/>
        <w:rPr>
          <w:noProof/>
          <w:sz w:val="20"/>
          <w:lang w:val="sq-AL"/>
        </w:rPr>
      </w:pPr>
    </w:p>
    <w:p w14:paraId="71DF5C60" w14:textId="77777777" w:rsidR="000F2369" w:rsidRPr="009256B7" w:rsidRDefault="00A81F34" w:rsidP="00F212E0">
      <w:pPr>
        <w:spacing w:after="0" w:line="276" w:lineRule="auto"/>
        <w:ind w:right="238"/>
        <w:jc w:val="both"/>
        <w:rPr>
          <w:rFonts w:ascii="Times New Roman" w:eastAsia="Batang" w:hAnsi="Times New Roman" w:cs="Times New Roman"/>
          <w:noProof/>
          <w:sz w:val="24"/>
          <w:szCs w:val="24"/>
          <w:lang w:val="sq-AL"/>
        </w:rPr>
      </w:pPr>
      <w:r w:rsidRPr="009256B7">
        <w:rPr>
          <w:rFonts w:ascii="Times New Roman" w:eastAsia="Batang" w:hAnsi="Times New Roman" w:cs="Times New Roman"/>
          <w:noProof/>
          <w:sz w:val="24"/>
          <w:szCs w:val="24"/>
          <w:lang w:val="sq-AL"/>
        </w:rPr>
        <w:t>E</w:t>
      </w:r>
      <w:r w:rsidR="009B24CE" w:rsidRPr="009256B7">
        <w:rPr>
          <w:rFonts w:ascii="Times New Roman" w:eastAsia="Batang" w:hAnsi="Times New Roman" w:cs="Times New Roman"/>
          <w:noProof/>
          <w:sz w:val="24"/>
          <w:szCs w:val="24"/>
          <w:lang w:val="sq-AL"/>
        </w:rPr>
        <w:t xml:space="preserve">kspozimi i portofolit të borxhit ndaj </w:t>
      </w:r>
      <w:r w:rsidR="00F55A3D" w:rsidRPr="009256B7">
        <w:rPr>
          <w:rFonts w:ascii="Times New Roman" w:eastAsia="Batang" w:hAnsi="Times New Roman" w:cs="Times New Roman"/>
          <w:noProof/>
          <w:sz w:val="24"/>
          <w:szCs w:val="24"/>
          <w:lang w:val="sq-AL"/>
        </w:rPr>
        <w:t>ris</w:t>
      </w:r>
      <w:r w:rsidR="009B24CE" w:rsidRPr="009256B7">
        <w:rPr>
          <w:rFonts w:ascii="Times New Roman" w:eastAsia="Batang" w:hAnsi="Times New Roman" w:cs="Times New Roman"/>
          <w:noProof/>
          <w:sz w:val="24"/>
          <w:szCs w:val="24"/>
          <w:lang w:val="sq-AL"/>
        </w:rPr>
        <w:t>qeve është arritur të menaxhohet me sukses, në linjë me objektivat strategjikë afatmesëm. Ulja e peshës së titujve afatshkurtër dhe atyre me norma interesi të ndryshueshme në portofol</w:t>
      </w:r>
      <w:r w:rsidR="00546D78" w:rsidRPr="009256B7">
        <w:rPr>
          <w:rFonts w:ascii="Times New Roman" w:eastAsia="Batang" w:hAnsi="Times New Roman" w:cs="Times New Roman"/>
          <w:noProof/>
          <w:sz w:val="24"/>
          <w:szCs w:val="24"/>
          <w:lang w:val="sq-AL"/>
        </w:rPr>
        <w:t>in e borxhit të brendshëm</w:t>
      </w:r>
      <w:r w:rsidR="009B24CE" w:rsidRPr="009256B7">
        <w:rPr>
          <w:rFonts w:ascii="Times New Roman" w:eastAsia="Batang" w:hAnsi="Times New Roman" w:cs="Times New Roman"/>
          <w:noProof/>
          <w:sz w:val="24"/>
          <w:szCs w:val="24"/>
          <w:lang w:val="sq-AL"/>
        </w:rPr>
        <w:t>, ka</w:t>
      </w:r>
      <w:r w:rsidR="00546D78" w:rsidRPr="009256B7">
        <w:rPr>
          <w:rFonts w:ascii="Times New Roman" w:eastAsia="Batang" w:hAnsi="Times New Roman" w:cs="Times New Roman"/>
          <w:noProof/>
          <w:sz w:val="24"/>
          <w:szCs w:val="24"/>
          <w:lang w:val="sq-AL"/>
        </w:rPr>
        <w:t>në</w:t>
      </w:r>
      <w:r w:rsidR="009B24CE" w:rsidRPr="009256B7">
        <w:rPr>
          <w:rFonts w:ascii="Times New Roman" w:eastAsia="Batang" w:hAnsi="Times New Roman" w:cs="Times New Roman"/>
          <w:noProof/>
          <w:sz w:val="24"/>
          <w:szCs w:val="24"/>
          <w:lang w:val="sq-AL"/>
        </w:rPr>
        <w:t xml:space="preserve"> qenë faktor</w:t>
      </w:r>
      <w:r w:rsidR="00546D78" w:rsidRPr="009256B7">
        <w:rPr>
          <w:rFonts w:ascii="Times New Roman" w:eastAsia="Batang" w:hAnsi="Times New Roman" w:cs="Times New Roman"/>
          <w:noProof/>
          <w:sz w:val="24"/>
          <w:szCs w:val="24"/>
          <w:lang w:val="sq-AL"/>
        </w:rPr>
        <w:t>ë</w:t>
      </w:r>
      <w:r w:rsidR="00925C0D" w:rsidRPr="009256B7">
        <w:rPr>
          <w:rFonts w:ascii="Times New Roman" w:eastAsia="Batang" w:hAnsi="Times New Roman" w:cs="Times New Roman"/>
          <w:noProof/>
          <w:sz w:val="24"/>
          <w:szCs w:val="24"/>
          <w:lang w:val="sq-AL"/>
        </w:rPr>
        <w:t>t</w:t>
      </w:r>
      <w:r w:rsidR="009B24CE" w:rsidRPr="009256B7">
        <w:rPr>
          <w:rFonts w:ascii="Times New Roman" w:eastAsia="Batang" w:hAnsi="Times New Roman" w:cs="Times New Roman"/>
          <w:noProof/>
          <w:sz w:val="24"/>
          <w:szCs w:val="24"/>
          <w:lang w:val="sq-AL"/>
        </w:rPr>
        <w:t xml:space="preserve"> </w:t>
      </w:r>
      <w:r w:rsidR="004C1356" w:rsidRPr="009256B7">
        <w:rPr>
          <w:rFonts w:ascii="Times New Roman" w:eastAsia="Batang" w:hAnsi="Times New Roman" w:cs="Times New Roman"/>
          <w:noProof/>
          <w:sz w:val="24"/>
          <w:szCs w:val="24"/>
          <w:lang w:val="sq-AL"/>
        </w:rPr>
        <w:t>p</w:t>
      </w:r>
      <w:r w:rsidR="00872B40" w:rsidRPr="009256B7">
        <w:rPr>
          <w:rFonts w:ascii="Times New Roman" w:eastAsia="Batang" w:hAnsi="Times New Roman" w:cs="Times New Roman"/>
          <w:noProof/>
          <w:sz w:val="24"/>
          <w:szCs w:val="24"/>
          <w:lang w:val="sq-AL"/>
        </w:rPr>
        <w:t>ë</w:t>
      </w:r>
      <w:r w:rsidR="004C1356" w:rsidRPr="009256B7">
        <w:rPr>
          <w:rFonts w:ascii="Times New Roman" w:eastAsia="Batang" w:hAnsi="Times New Roman" w:cs="Times New Roman"/>
          <w:noProof/>
          <w:sz w:val="24"/>
          <w:szCs w:val="24"/>
          <w:lang w:val="sq-AL"/>
        </w:rPr>
        <w:t>rcaktues</w:t>
      </w:r>
      <w:r w:rsidR="009B24CE" w:rsidRPr="009256B7">
        <w:rPr>
          <w:rFonts w:ascii="Times New Roman" w:eastAsia="Batang" w:hAnsi="Times New Roman" w:cs="Times New Roman"/>
          <w:noProof/>
          <w:sz w:val="24"/>
          <w:szCs w:val="24"/>
          <w:lang w:val="sq-AL"/>
        </w:rPr>
        <w:t xml:space="preserve"> në </w:t>
      </w:r>
      <w:r w:rsidRPr="009256B7">
        <w:rPr>
          <w:rFonts w:ascii="Times New Roman" w:eastAsia="Batang" w:hAnsi="Times New Roman" w:cs="Times New Roman"/>
          <w:noProof/>
          <w:sz w:val="24"/>
          <w:szCs w:val="24"/>
          <w:lang w:val="sq-AL"/>
        </w:rPr>
        <w:t>reduktimin</w:t>
      </w:r>
      <w:r w:rsidR="009B24CE" w:rsidRPr="009256B7">
        <w:rPr>
          <w:rFonts w:ascii="Times New Roman" w:eastAsia="Batang" w:hAnsi="Times New Roman" w:cs="Times New Roman"/>
          <w:noProof/>
          <w:sz w:val="24"/>
          <w:szCs w:val="24"/>
          <w:lang w:val="sq-AL"/>
        </w:rPr>
        <w:t xml:space="preserve"> e r</w:t>
      </w:r>
      <w:r w:rsidR="005A7E6F" w:rsidRPr="009256B7">
        <w:rPr>
          <w:rFonts w:ascii="Times New Roman" w:eastAsia="Batang" w:hAnsi="Times New Roman" w:cs="Times New Roman"/>
          <w:noProof/>
          <w:sz w:val="24"/>
          <w:szCs w:val="24"/>
          <w:lang w:val="sq-AL"/>
        </w:rPr>
        <w:t>iskut</w:t>
      </w:r>
      <w:r w:rsidR="009B24CE" w:rsidRPr="009256B7">
        <w:rPr>
          <w:rFonts w:ascii="Times New Roman" w:eastAsia="Batang" w:hAnsi="Times New Roman" w:cs="Times New Roman"/>
          <w:noProof/>
          <w:sz w:val="24"/>
          <w:szCs w:val="24"/>
          <w:lang w:val="sq-AL"/>
        </w:rPr>
        <w:t xml:space="preserve"> të rifinancimit dhe r</w:t>
      </w:r>
      <w:r w:rsidR="005A7E6F" w:rsidRPr="009256B7">
        <w:rPr>
          <w:rFonts w:ascii="Times New Roman" w:eastAsia="Batang" w:hAnsi="Times New Roman" w:cs="Times New Roman"/>
          <w:noProof/>
          <w:sz w:val="24"/>
          <w:szCs w:val="24"/>
          <w:lang w:val="sq-AL"/>
        </w:rPr>
        <w:t>iskut</w:t>
      </w:r>
      <w:r w:rsidR="009B24CE" w:rsidRPr="009256B7">
        <w:rPr>
          <w:rFonts w:ascii="Times New Roman" w:eastAsia="Batang" w:hAnsi="Times New Roman" w:cs="Times New Roman"/>
          <w:noProof/>
          <w:sz w:val="24"/>
          <w:szCs w:val="24"/>
          <w:lang w:val="sq-AL"/>
        </w:rPr>
        <w:t xml:space="preserve"> të normave të interesit. </w:t>
      </w:r>
      <w:r w:rsidR="00864DAF" w:rsidRPr="009256B7">
        <w:rPr>
          <w:rFonts w:ascii="Times New Roman" w:eastAsia="Batang" w:hAnsi="Times New Roman" w:cs="Times New Roman"/>
          <w:noProof/>
          <w:sz w:val="24"/>
          <w:szCs w:val="24"/>
          <w:lang w:val="sq-AL"/>
        </w:rPr>
        <w:t>Megjithat</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w:t>
      </w:r>
      <w:r w:rsidR="00F212E0" w:rsidRPr="009256B7">
        <w:rPr>
          <w:rFonts w:ascii="Times New Roman" w:eastAsia="Batang" w:hAnsi="Times New Roman" w:cs="Times New Roman"/>
          <w:noProof/>
          <w:sz w:val="24"/>
          <w:szCs w:val="24"/>
          <w:lang w:val="sq-AL"/>
        </w:rPr>
        <w:t xml:space="preserve"> duke konsideruar baz</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n e investitor</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ve jo shum</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 xml:space="preserve"> t</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 xml:space="preserve"> diversifikuar dhe munges</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n e nj</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 xml:space="preserve"> tregu sekondar aktiv, </w:t>
      </w:r>
      <w:r w:rsidR="00864DAF" w:rsidRPr="009256B7">
        <w:rPr>
          <w:rFonts w:ascii="Times New Roman" w:eastAsia="Batang" w:hAnsi="Times New Roman" w:cs="Times New Roman"/>
          <w:noProof/>
          <w:sz w:val="24"/>
          <w:szCs w:val="24"/>
          <w:lang w:val="sq-AL"/>
        </w:rPr>
        <w:t xml:space="preserve">borxhi </w:t>
      </w:r>
      <w:r w:rsidR="00F212E0" w:rsidRPr="009256B7">
        <w:rPr>
          <w:rFonts w:ascii="Times New Roman" w:eastAsia="Batang" w:hAnsi="Times New Roman" w:cs="Times New Roman"/>
          <w:noProof/>
          <w:sz w:val="24"/>
          <w:szCs w:val="24"/>
          <w:lang w:val="sq-AL"/>
        </w:rPr>
        <w:t>i</w:t>
      </w:r>
      <w:r w:rsidR="00864DAF" w:rsidRPr="009256B7">
        <w:rPr>
          <w:rFonts w:ascii="Times New Roman" w:eastAsia="Batang" w:hAnsi="Times New Roman" w:cs="Times New Roman"/>
          <w:noProof/>
          <w:sz w:val="24"/>
          <w:szCs w:val="24"/>
          <w:lang w:val="sq-AL"/>
        </w:rPr>
        <w:t xml:space="preserve"> brendsh</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 xml:space="preserve">m mbetet ende </w:t>
      </w:r>
      <w:r w:rsidR="00414B96">
        <w:rPr>
          <w:rFonts w:ascii="Times New Roman" w:eastAsia="Batang" w:hAnsi="Times New Roman" w:cs="Times New Roman"/>
          <w:noProof/>
          <w:sz w:val="24"/>
          <w:szCs w:val="24"/>
          <w:lang w:val="sq-AL"/>
        </w:rPr>
        <w:t>i</w:t>
      </w:r>
      <w:r w:rsidR="00864DAF" w:rsidRPr="009256B7">
        <w:rPr>
          <w:rFonts w:ascii="Times New Roman" w:eastAsia="Batang" w:hAnsi="Times New Roman" w:cs="Times New Roman"/>
          <w:noProof/>
          <w:sz w:val="24"/>
          <w:szCs w:val="24"/>
          <w:lang w:val="sq-AL"/>
        </w:rPr>
        <w:t xml:space="preserve"> ekspozuar</w:t>
      </w:r>
      <w:r w:rsidR="00F212E0" w:rsidRPr="009256B7">
        <w:rPr>
          <w:rFonts w:ascii="Times New Roman" w:eastAsia="Batang" w:hAnsi="Times New Roman" w:cs="Times New Roman"/>
          <w:noProof/>
          <w:sz w:val="24"/>
          <w:szCs w:val="24"/>
          <w:lang w:val="sq-AL"/>
        </w:rPr>
        <w:t xml:space="preserve"> ndaj k</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tyre risqeve</w:t>
      </w:r>
      <w:r w:rsidR="00864DAF" w:rsidRPr="009256B7">
        <w:rPr>
          <w:rFonts w:ascii="Times New Roman" w:eastAsia="Batang" w:hAnsi="Times New Roman" w:cs="Times New Roman"/>
          <w:noProof/>
          <w:sz w:val="24"/>
          <w:szCs w:val="24"/>
          <w:lang w:val="sq-AL"/>
        </w:rPr>
        <w:t xml:space="preserve">, duke </w:t>
      </w:r>
      <w:r w:rsidR="00F212E0" w:rsidRPr="009256B7">
        <w:rPr>
          <w:rFonts w:ascii="Times New Roman" w:eastAsia="Batang" w:hAnsi="Times New Roman" w:cs="Times New Roman"/>
          <w:noProof/>
          <w:sz w:val="24"/>
          <w:szCs w:val="24"/>
          <w:lang w:val="sq-AL"/>
        </w:rPr>
        <w:t xml:space="preserve">e </w:t>
      </w:r>
      <w:r w:rsidR="00864DAF" w:rsidRPr="009256B7">
        <w:rPr>
          <w:rFonts w:ascii="Times New Roman" w:eastAsia="Batang" w:hAnsi="Times New Roman" w:cs="Times New Roman"/>
          <w:noProof/>
          <w:sz w:val="24"/>
          <w:szCs w:val="24"/>
          <w:lang w:val="sq-AL"/>
        </w:rPr>
        <w:t>b</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r</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 xml:space="preserve"> t</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 xml:space="preserve"> nevojshme vazhdimin e masave p</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r ristrukturimin e m</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tejsh</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m t</w:t>
      </w:r>
      <w:r w:rsidR="00754CBC" w:rsidRPr="009256B7">
        <w:rPr>
          <w:rFonts w:ascii="Times New Roman" w:eastAsia="Batang" w:hAnsi="Times New Roman" w:cs="Times New Roman"/>
          <w:noProof/>
          <w:sz w:val="24"/>
          <w:szCs w:val="24"/>
          <w:lang w:val="sq-AL"/>
        </w:rPr>
        <w:t>ë</w:t>
      </w:r>
      <w:r w:rsidR="00864DAF" w:rsidRPr="009256B7">
        <w:rPr>
          <w:rFonts w:ascii="Times New Roman" w:eastAsia="Batang" w:hAnsi="Times New Roman" w:cs="Times New Roman"/>
          <w:noProof/>
          <w:sz w:val="24"/>
          <w:szCs w:val="24"/>
          <w:lang w:val="sq-AL"/>
        </w:rPr>
        <w:t xml:space="preserve"> portofolit</w:t>
      </w:r>
      <w:r w:rsidR="00F212E0" w:rsidRPr="009256B7">
        <w:rPr>
          <w:rFonts w:ascii="Times New Roman" w:eastAsia="Batang" w:hAnsi="Times New Roman" w:cs="Times New Roman"/>
          <w:noProof/>
          <w:sz w:val="24"/>
          <w:szCs w:val="24"/>
          <w:lang w:val="sq-AL"/>
        </w:rPr>
        <w:t xml:space="preserve"> dhe zhvillimin e tregut t</w:t>
      </w:r>
      <w:r w:rsidR="00982338" w:rsidRPr="009256B7">
        <w:rPr>
          <w:rFonts w:ascii="Times New Roman" w:eastAsia="Batang" w:hAnsi="Times New Roman" w:cs="Times New Roman"/>
          <w:noProof/>
          <w:sz w:val="24"/>
          <w:szCs w:val="24"/>
          <w:lang w:val="sq-AL"/>
        </w:rPr>
        <w:t>ë</w:t>
      </w:r>
      <w:r w:rsidR="00F212E0" w:rsidRPr="009256B7">
        <w:rPr>
          <w:rFonts w:ascii="Times New Roman" w:eastAsia="Batang" w:hAnsi="Times New Roman" w:cs="Times New Roman"/>
          <w:noProof/>
          <w:sz w:val="24"/>
          <w:szCs w:val="24"/>
          <w:lang w:val="sq-AL"/>
        </w:rPr>
        <w:t xml:space="preserve"> titujve.</w:t>
      </w:r>
      <w:r w:rsidR="00864DAF" w:rsidRPr="009256B7">
        <w:rPr>
          <w:rFonts w:ascii="Times New Roman" w:eastAsia="Batang" w:hAnsi="Times New Roman" w:cs="Times New Roman"/>
          <w:noProof/>
          <w:sz w:val="24"/>
          <w:szCs w:val="24"/>
          <w:lang w:val="sq-AL"/>
        </w:rPr>
        <w:t xml:space="preserve"> </w:t>
      </w:r>
    </w:p>
    <w:p w14:paraId="71DF5C61" w14:textId="77777777" w:rsidR="00CF0D9C" w:rsidRPr="009256B7" w:rsidRDefault="009B24CE" w:rsidP="000F2369">
      <w:pPr>
        <w:spacing w:after="0" w:line="276" w:lineRule="auto"/>
        <w:ind w:right="237"/>
        <w:jc w:val="both"/>
        <w:rPr>
          <w:rFonts w:ascii="Times New Roman" w:eastAsia="Batang" w:hAnsi="Times New Roman" w:cs="Times New Roman"/>
          <w:noProof/>
          <w:sz w:val="24"/>
          <w:szCs w:val="24"/>
          <w:lang w:val="sq-AL"/>
        </w:rPr>
      </w:pPr>
      <w:r w:rsidRPr="009256B7">
        <w:rPr>
          <w:rFonts w:ascii="Times New Roman" w:eastAsia="Batang" w:hAnsi="Times New Roman" w:cs="Times New Roman"/>
          <w:noProof/>
          <w:sz w:val="24"/>
          <w:szCs w:val="24"/>
          <w:lang w:val="sq-AL"/>
        </w:rPr>
        <w:t>Ndërkohë, r</w:t>
      </w:r>
      <w:r w:rsidR="005A7E6F" w:rsidRPr="009256B7">
        <w:rPr>
          <w:rFonts w:ascii="Times New Roman" w:eastAsia="Batang" w:hAnsi="Times New Roman" w:cs="Times New Roman"/>
          <w:noProof/>
          <w:sz w:val="24"/>
          <w:szCs w:val="24"/>
          <w:lang w:val="sq-AL"/>
        </w:rPr>
        <w:t>isku</w:t>
      </w:r>
      <w:r w:rsidR="00071C26" w:rsidRPr="009256B7">
        <w:rPr>
          <w:rFonts w:ascii="Times New Roman" w:eastAsia="Batang" w:hAnsi="Times New Roman" w:cs="Times New Roman"/>
          <w:noProof/>
          <w:sz w:val="24"/>
          <w:szCs w:val="24"/>
          <w:lang w:val="sq-AL"/>
        </w:rPr>
        <w:t xml:space="preserve"> i kursit të këmbimit</w:t>
      </w:r>
      <w:r w:rsidR="00A81F34" w:rsidRPr="009256B7">
        <w:rPr>
          <w:rFonts w:ascii="Times New Roman" w:eastAsia="Batang" w:hAnsi="Times New Roman" w:cs="Times New Roman"/>
          <w:noProof/>
          <w:sz w:val="24"/>
          <w:szCs w:val="24"/>
          <w:lang w:val="sq-AL"/>
        </w:rPr>
        <w:t xml:space="preserve"> </w:t>
      </w:r>
      <w:r w:rsidR="00CF29B1" w:rsidRPr="009256B7">
        <w:rPr>
          <w:rFonts w:ascii="Times New Roman" w:eastAsia="Batang" w:hAnsi="Times New Roman" w:cs="Times New Roman"/>
          <w:noProof/>
          <w:sz w:val="24"/>
          <w:szCs w:val="24"/>
          <w:lang w:val="sq-AL"/>
        </w:rPr>
        <w:t>vijon t</w:t>
      </w:r>
      <w:r w:rsidR="00754CBC" w:rsidRPr="009256B7">
        <w:rPr>
          <w:rFonts w:ascii="Times New Roman" w:eastAsia="Batang" w:hAnsi="Times New Roman" w:cs="Times New Roman"/>
          <w:noProof/>
          <w:sz w:val="24"/>
          <w:szCs w:val="24"/>
          <w:lang w:val="sq-AL"/>
        </w:rPr>
        <w:t>ë</w:t>
      </w:r>
      <w:r w:rsidR="00A81F34" w:rsidRPr="009256B7">
        <w:rPr>
          <w:rFonts w:ascii="Times New Roman" w:eastAsia="Batang" w:hAnsi="Times New Roman" w:cs="Times New Roman"/>
          <w:noProof/>
          <w:sz w:val="24"/>
          <w:szCs w:val="24"/>
          <w:lang w:val="sq-AL"/>
        </w:rPr>
        <w:t xml:space="preserve"> mba</w:t>
      </w:r>
      <w:r w:rsidR="00CF29B1" w:rsidRPr="009256B7">
        <w:rPr>
          <w:rFonts w:ascii="Times New Roman" w:eastAsia="Batang" w:hAnsi="Times New Roman" w:cs="Times New Roman"/>
          <w:noProof/>
          <w:sz w:val="24"/>
          <w:szCs w:val="24"/>
          <w:lang w:val="sq-AL"/>
        </w:rPr>
        <w:t>het</w:t>
      </w:r>
      <w:r w:rsidR="00A81F34" w:rsidRPr="009256B7">
        <w:rPr>
          <w:rFonts w:ascii="Times New Roman" w:eastAsia="Batang" w:hAnsi="Times New Roman" w:cs="Times New Roman"/>
          <w:noProof/>
          <w:sz w:val="24"/>
          <w:szCs w:val="24"/>
          <w:lang w:val="sq-AL"/>
        </w:rPr>
        <w:t xml:space="preserve"> n</w:t>
      </w:r>
      <w:r w:rsidR="00754CBC" w:rsidRPr="009256B7">
        <w:rPr>
          <w:rFonts w:ascii="Times New Roman" w:eastAsia="Batang" w:hAnsi="Times New Roman" w:cs="Times New Roman"/>
          <w:noProof/>
          <w:sz w:val="24"/>
          <w:szCs w:val="24"/>
          <w:lang w:val="sq-AL"/>
        </w:rPr>
        <w:t>ë</w:t>
      </w:r>
      <w:r w:rsidR="00A81F34" w:rsidRPr="009256B7">
        <w:rPr>
          <w:rFonts w:ascii="Times New Roman" w:eastAsia="Batang" w:hAnsi="Times New Roman" w:cs="Times New Roman"/>
          <w:noProof/>
          <w:sz w:val="24"/>
          <w:szCs w:val="24"/>
          <w:lang w:val="sq-AL"/>
        </w:rPr>
        <w:t>n kontroll duke q</w:t>
      </w:r>
      <w:r w:rsidR="00754CBC" w:rsidRPr="009256B7">
        <w:rPr>
          <w:rFonts w:ascii="Times New Roman" w:eastAsia="Batang" w:hAnsi="Times New Roman" w:cs="Times New Roman"/>
          <w:noProof/>
          <w:sz w:val="24"/>
          <w:szCs w:val="24"/>
          <w:lang w:val="sq-AL"/>
        </w:rPr>
        <w:t>ë</w:t>
      </w:r>
      <w:r w:rsidR="00A81F34" w:rsidRPr="009256B7">
        <w:rPr>
          <w:rFonts w:ascii="Times New Roman" w:eastAsia="Batang" w:hAnsi="Times New Roman" w:cs="Times New Roman"/>
          <w:noProof/>
          <w:sz w:val="24"/>
          <w:szCs w:val="24"/>
          <w:lang w:val="sq-AL"/>
        </w:rPr>
        <w:t>ndruar ndjesh</w:t>
      </w:r>
      <w:r w:rsidR="00754CBC" w:rsidRPr="009256B7">
        <w:rPr>
          <w:rFonts w:ascii="Times New Roman" w:eastAsia="Batang" w:hAnsi="Times New Roman" w:cs="Times New Roman"/>
          <w:noProof/>
          <w:sz w:val="24"/>
          <w:szCs w:val="24"/>
          <w:lang w:val="sq-AL"/>
        </w:rPr>
        <w:t>ë</w:t>
      </w:r>
      <w:r w:rsidR="00A81F34" w:rsidRPr="009256B7">
        <w:rPr>
          <w:rFonts w:ascii="Times New Roman" w:eastAsia="Batang" w:hAnsi="Times New Roman" w:cs="Times New Roman"/>
          <w:noProof/>
          <w:sz w:val="24"/>
          <w:szCs w:val="24"/>
          <w:lang w:val="sq-AL"/>
        </w:rPr>
        <w:t>m n</w:t>
      </w:r>
      <w:r w:rsidR="00754CBC" w:rsidRPr="009256B7">
        <w:rPr>
          <w:rFonts w:ascii="Times New Roman" w:eastAsia="Batang" w:hAnsi="Times New Roman" w:cs="Times New Roman"/>
          <w:noProof/>
          <w:sz w:val="24"/>
          <w:szCs w:val="24"/>
          <w:lang w:val="sq-AL"/>
        </w:rPr>
        <w:t>ë</w:t>
      </w:r>
      <w:r w:rsidR="00A81F34" w:rsidRPr="009256B7">
        <w:rPr>
          <w:rFonts w:ascii="Times New Roman" w:eastAsia="Batang" w:hAnsi="Times New Roman" w:cs="Times New Roman"/>
          <w:noProof/>
          <w:sz w:val="24"/>
          <w:szCs w:val="24"/>
          <w:lang w:val="sq-AL"/>
        </w:rPr>
        <w:t>n kufi</w:t>
      </w:r>
      <w:r w:rsidR="00141591" w:rsidRPr="009256B7">
        <w:rPr>
          <w:rFonts w:ascii="Times New Roman" w:eastAsia="Batang" w:hAnsi="Times New Roman" w:cs="Times New Roman"/>
          <w:noProof/>
          <w:sz w:val="24"/>
          <w:szCs w:val="24"/>
          <w:lang w:val="sq-AL"/>
        </w:rPr>
        <w:t>rin</w:t>
      </w:r>
      <w:r w:rsidR="00A81F34" w:rsidRPr="009256B7">
        <w:rPr>
          <w:rFonts w:ascii="Times New Roman" w:eastAsia="Batang" w:hAnsi="Times New Roman" w:cs="Times New Roman"/>
          <w:noProof/>
          <w:sz w:val="24"/>
          <w:szCs w:val="24"/>
          <w:lang w:val="sq-AL"/>
        </w:rPr>
        <w:t xml:space="preserve"> strategjik.</w:t>
      </w:r>
      <w:r w:rsidRPr="009256B7">
        <w:rPr>
          <w:rFonts w:ascii="Times New Roman" w:eastAsia="Batang" w:hAnsi="Times New Roman" w:cs="Times New Roman"/>
          <w:noProof/>
          <w:sz w:val="24"/>
          <w:szCs w:val="24"/>
          <w:lang w:val="sq-AL"/>
        </w:rPr>
        <w:t xml:space="preserve"> </w:t>
      </w:r>
    </w:p>
    <w:p w14:paraId="71DF5C62" w14:textId="77777777" w:rsidR="009B24CE" w:rsidRPr="009256B7" w:rsidRDefault="009B24CE" w:rsidP="009B24CE">
      <w:pPr>
        <w:spacing w:after="0" w:line="276" w:lineRule="auto"/>
        <w:jc w:val="both"/>
        <w:rPr>
          <w:rFonts w:ascii="Times New Roman" w:eastAsia="Batang" w:hAnsi="Times New Roman" w:cs="Times New Roman"/>
          <w:noProof/>
          <w:sz w:val="16"/>
          <w:szCs w:val="10"/>
          <w:lang w:val="sq-AL"/>
        </w:rPr>
      </w:pPr>
    </w:p>
    <w:p w14:paraId="71DF5C63" w14:textId="77777777" w:rsidR="009B24CE" w:rsidRPr="009256B7" w:rsidRDefault="009B24CE" w:rsidP="004A70BC">
      <w:pPr>
        <w:pStyle w:val="Heading4"/>
        <w:numPr>
          <w:ilvl w:val="2"/>
          <w:numId w:val="8"/>
        </w:numPr>
        <w:ind w:left="851" w:hanging="851"/>
        <w:rPr>
          <w:noProof/>
        </w:rPr>
      </w:pPr>
      <w:bookmarkStart w:id="69" w:name="_Toc491860994"/>
      <w:bookmarkStart w:id="70" w:name="_Toc491954307"/>
      <w:r w:rsidRPr="009256B7">
        <w:rPr>
          <w:noProof/>
        </w:rPr>
        <w:t>R</w:t>
      </w:r>
      <w:r w:rsidR="005A7E6F" w:rsidRPr="009256B7">
        <w:rPr>
          <w:noProof/>
        </w:rPr>
        <w:t>isku</w:t>
      </w:r>
      <w:r w:rsidRPr="009256B7">
        <w:rPr>
          <w:noProof/>
        </w:rPr>
        <w:t xml:space="preserve"> i rifinancimit</w:t>
      </w:r>
      <w:bookmarkEnd w:id="69"/>
      <w:bookmarkEnd w:id="70"/>
    </w:p>
    <w:p w14:paraId="71DF5C64" w14:textId="77777777" w:rsidR="009B24CE" w:rsidRPr="009256B7" w:rsidRDefault="009B24CE" w:rsidP="009B24CE">
      <w:pPr>
        <w:tabs>
          <w:tab w:val="left" w:pos="426"/>
          <w:tab w:val="left" w:pos="567"/>
        </w:tabs>
        <w:spacing w:after="0"/>
        <w:jc w:val="both"/>
        <w:rPr>
          <w:rFonts w:ascii="Times New Roman" w:eastAsia="Batang" w:hAnsi="Times New Roman" w:cs="Times New Roman"/>
          <w:b/>
          <w:noProof/>
          <w:sz w:val="16"/>
          <w:szCs w:val="8"/>
          <w:lang w:val="sq-AL"/>
        </w:rPr>
      </w:pPr>
    </w:p>
    <w:p w14:paraId="71DF5C65" w14:textId="77777777" w:rsidR="009B24CE" w:rsidRPr="009256B7" w:rsidRDefault="009B24CE" w:rsidP="000F2369">
      <w:pPr>
        <w:tabs>
          <w:tab w:val="left" w:pos="426"/>
          <w:tab w:val="left" w:pos="567"/>
        </w:tabs>
        <w:spacing w:after="0" w:line="276" w:lineRule="auto"/>
        <w:ind w:right="238"/>
        <w:jc w:val="both"/>
        <w:rPr>
          <w:rFonts w:ascii="Times New Roman" w:eastAsia="Batang" w:hAnsi="Times New Roman" w:cs="Times New Roman"/>
          <w:noProof/>
          <w:sz w:val="24"/>
          <w:szCs w:val="24"/>
          <w:lang w:val="sq-AL"/>
        </w:rPr>
      </w:pPr>
      <w:r w:rsidRPr="009256B7">
        <w:rPr>
          <w:rFonts w:ascii="Times New Roman" w:eastAsia="Batang" w:hAnsi="Times New Roman" w:cs="Times New Roman"/>
          <w:noProof/>
          <w:sz w:val="24"/>
          <w:szCs w:val="24"/>
          <w:lang w:val="sq-AL"/>
        </w:rPr>
        <w:t>Një ndër objektivat kryesore të SAMB është reduktimi i r</w:t>
      </w:r>
      <w:r w:rsidR="005A7E6F" w:rsidRPr="009256B7">
        <w:rPr>
          <w:rFonts w:ascii="Times New Roman" w:eastAsia="Batang" w:hAnsi="Times New Roman" w:cs="Times New Roman"/>
          <w:noProof/>
          <w:sz w:val="24"/>
          <w:szCs w:val="24"/>
          <w:lang w:val="sq-AL"/>
        </w:rPr>
        <w:t>isku</w:t>
      </w:r>
      <w:r w:rsidRPr="009256B7">
        <w:rPr>
          <w:rFonts w:ascii="Times New Roman" w:eastAsia="Batang" w:hAnsi="Times New Roman" w:cs="Times New Roman"/>
          <w:noProof/>
          <w:sz w:val="24"/>
          <w:szCs w:val="24"/>
          <w:lang w:val="sq-AL"/>
        </w:rPr>
        <w:t>t të rifinancimit kryesisht në portofolin e borxhit të brendshëm, pasi borxhi i jashtëm paraqet më pak r</w:t>
      </w:r>
      <w:r w:rsidR="005A7E6F" w:rsidRPr="009256B7">
        <w:rPr>
          <w:rFonts w:ascii="Times New Roman" w:eastAsia="Batang" w:hAnsi="Times New Roman" w:cs="Times New Roman"/>
          <w:noProof/>
          <w:sz w:val="24"/>
          <w:szCs w:val="24"/>
          <w:lang w:val="sq-AL"/>
        </w:rPr>
        <w:t xml:space="preserve">isk </w:t>
      </w:r>
      <w:r w:rsidRPr="009256B7">
        <w:rPr>
          <w:rFonts w:ascii="Times New Roman" w:eastAsia="Batang" w:hAnsi="Times New Roman" w:cs="Times New Roman"/>
          <w:noProof/>
          <w:sz w:val="24"/>
          <w:szCs w:val="24"/>
          <w:lang w:val="sq-AL"/>
        </w:rPr>
        <w:t>duke qenë se është i përbërë nga instrumente me afat të gjatë maturimi dhe me profile amortizimi të shtrira gjatë në kohë.</w:t>
      </w:r>
    </w:p>
    <w:p w14:paraId="71DF5C66" w14:textId="77777777" w:rsidR="00141591" w:rsidRPr="000F5C13" w:rsidRDefault="00493F9B" w:rsidP="000F2369">
      <w:pPr>
        <w:tabs>
          <w:tab w:val="left" w:pos="426"/>
          <w:tab w:val="left" w:pos="567"/>
        </w:tabs>
        <w:spacing w:after="0" w:line="276" w:lineRule="auto"/>
        <w:ind w:right="238"/>
        <w:jc w:val="both"/>
        <w:rPr>
          <w:rFonts w:ascii="Times New Roman" w:eastAsia="Batang" w:hAnsi="Times New Roman" w:cs="Times New Roman"/>
          <w:noProof/>
          <w:sz w:val="24"/>
          <w:szCs w:val="24"/>
          <w:lang w:val="sq-AL"/>
        </w:rPr>
      </w:pPr>
      <w:r w:rsidRPr="009256B7">
        <w:rPr>
          <w:rFonts w:ascii="Times New Roman" w:eastAsia="Batang" w:hAnsi="Times New Roman" w:cs="Times New Roman"/>
          <w:noProof/>
          <w:sz w:val="24"/>
          <w:szCs w:val="24"/>
          <w:lang w:val="sq-AL"/>
        </w:rPr>
        <w:t>R</w:t>
      </w:r>
      <w:r w:rsidR="005A7E6F" w:rsidRPr="009256B7">
        <w:rPr>
          <w:rFonts w:ascii="Times New Roman" w:eastAsia="Batang" w:hAnsi="Times New Roman" w:cs="Times New Roman"/>
          <w:noProof/>
          <w:sz w:val="24"/>
          <w:szCs w:val="24"/>
          <w:lang w:val="sq-AL"/>
        </w:rPr>
        <w:t>is</w:t>
      </w:r>
      <w:r w:rsidR="009B24CE" w:rsidRPr="009256B7">
        <w:rPr>
          <w:rFonts w:ascii="Times New Roman" w:eastAsia="Batang" w:hAnsi="Times New Roman" w:cs="Times New Roman"/>
          <w:noProof/>
          <w:sz w:val="24"/>
          <w:szCs w:val="24"/>
          <w:lang w:val="sq-AL"/>
        </w:rPr>
        <w:t xml:space="preserve">ku i rifinancimit në portofolin e borxhit të brendshëm është reduktuar </w:t>
      </w:r>
      <w:r w:rsidR="00214252" w:rsidRPr="009256B7">
        <w:rPr>
          <w:rFonts w:ascii="Times New Roman" w:eastAsia="Batang" w:hAnsi="Times New Roman" w:cs="Times New Roman"/>
          <w:noProof/>
          <w:sz w:val="24"/>
          <w:szCs w:val="24"/>
          <w:lang w:val="sq-AL"/>
        </w:rPr>
        <w:t>ndjesh</w:t>
      </w:r>
      <w:r w:rsidR="00754CBC" w:rsidRPr="009256B7">
        <w:rPr>
          <w:rFonts w:ascii="Times New Roman" w:eastAsia="Batang" w:hAnsi="Times New Roman" w:cs="Times New Roman"/>
          <w:noProof/>
          <w:sz w:val="24"/>
          <w:szCs w:val="24"/>
          <w:lang w:val="sq-AL"/>
        </w:rPr>
        <w:t>ë</w:t>
      </w:r>
      <w:r w:rsidR="00214252" w:rsidRPr="009256B7">
        <w:rPr>
          <w:rFonts w:ascii="Times New Roman" w:eastAsia="Batang" w:hAnsi="Times New Roman" w:cs="Times New Roman"/>
          <w:noProof/>
          <w:sz w:val="24"/>
          <w:szCs w:val="24"/>
          <w:lang w:val="sq-AL"/>
        </w:rPr>
        <w:t>m gjat</w:t>
      </w:r>
      <w:r w:rsidR="00754CBC" w:rsidRPr="009256B7">
        <w:rPr>
          <w:rFonts w:ascii="Times New Roman" w:eastAsia="Batang" w:hAnsi="Times New Roman" w:cs="Times New Roman"/>
          <w:noProof/>
          <w:sz w:val="24"/>
          <w:szCs w:val="24"/>
          <w:lang w:val="sq-AL"/>
        </w:rPr>
        <w:t>ë</w:t>
      </w:r>
      <w:r w:rsidR="00214252" w:rsidRPr="009256B7">
        <w:rPr>
          <w:rFonts w:ascii="Times New Roman" w:eastAsia="Batang" w:hAnsi="Times New Roman" w:cs="Times New Roman"/>
          <w:noProof/>
          <w:sz w:val="24"/>
          <w:szCs w:val="24"/>
          <w:lang w:val="sq-AL"/>
        </w:rPr>
        <w:t xml:space="preserve"> viteve t</w:t>
      </w:r>
      <w:r w:rsidR="00754CBC" w:rsidRPr="009256B7">
        <w:rPr>
          <w:rFonts w:ascii="Times New Roman" w:eastAsia="Batang" w:hAnsi="Times New Roman" w:cs="Times New Roman"/>
          <w:noProof/>
          <w:sz w:val="24"/>
          <w:szCs w:val="24"/>
          <w:lang w:val="sq-AL"/>
        </w:rPr>
        <w:t>ë</w:t>
      </w:r>
      <w:r w:rsidR="00214252" w:rsidRPr="009256B7">
        <w:rPr>
          <w:rFonts w:ascii="Times New Roman" w:eastAsia="Batang" w:hAnsi="Times New Roman" w:cs="Times New Roman"/>
          <w:noProof/>
          <w:sz w:val="24"/>
          <w:szCs w:val="24"/>
          <w:lang w:val="sq-AL"/>
        </w:rPr>
        <w:t xml:space="preserve"> fundit</w:t>
      </w:r>
      <w:r w:rsidR="009B24CE" w:rsidRPr="009256B7">
        <w:rPr>
          <w:rFonts w:ascii="Times New Roman" w:eastAsia="Batang" w:hAnsi="Times New Roman" w:cs="Times New Roman"/>
          <w:noProof/>
          <w:sz w:val="24"/>
          <w:szCs w:val="24"/>
          <w:lang w:val="sq-AL"/>
        </w:rPr>
        <w:t>.</w:t>
      </w:r>
      <w:r w:rsidR="009B24CE" w:rsidRPr="009256B7">
        <w:rPr>
          <w:rFonts w:ascii="Times New Roman" w:eastAsia="Times New Roman" w:hAnsi="Times New Roman" w:cs="Times New Roman"/>
          <w:noProof/>
          <w:sz w:val="24"/>
          <w:szCs w:val="24"/>
          <w:lang w:val="sq-AL"/>
        </w:rPr>
        <w:t xml:space="preserve"> T</w:t>
      </w:r>
      <w:r w:rsidR="009B24CE" w:rsidRPr="009256B7">
        <w:rPr>
          <w:rFonts w:ascii="Times New Roman" w:eastAsia="Batang" w:hAnsi="Times New Roman" w:cs="Times New Roman"/>
          <w:noProof/>
          <w:sz w:val="24"/>
          <w:szCs w:val="24"/>
          <w:lang w:val="sq-AL"/>
        </w:rPr>
        <w:t xml:space="preserve">reguesit që vlerësojnë këtë </w:t>
      </w:r>
      <w:r w:rsidR="005A7E6F" w:rsidRPr="009256B7">
        <w:rPr>
          <w:rFonts w:ascii="Times New Roman" w:eastAsia="Batang" w:hAnsi="Times New Roman" w:cs="Times New Roman"/>
          <w:noProof/>
          <w:sz w:val="24"/>
          <w:szCs w:val="24"/>
          <w:lang w:val="sq-AL"/>
        </w:rPr>
        <w:t>risk</w:t>
      </w:r>
      <w:r w:rsidR="009B24CE" w:rsidRPr="009256B7">
        <w:rPr>
          <w:rFonts w:ascii="Times New Roman" w:eastAsia="Batang" w:hAnsi="Times New Roman" w:cs="Times New Roman"/>
          <w:noProof/>
          <w:sz w:val="24"/>
          <w:szCs w:val="24"/>
          <w:lang w:val="sq-AL"/>
        </w:rPr>
        <w:t xml:space="preserve"> kanë evoluar në drejtim të objektivave strategjikë. Ndikim në përmirësimin e </w:t>
      </w:r>
      <w:r w:rsidR="005A7E6F" w:rsidRPr="009256B7">
        <w:rPr>
          <w:rFonts w:ascii="Times New Roman" w:eastAsia="Batang" w:hAnsi="Times New Roman" w:cs="Times New Roman"/>
          <w:noProof/>
          <w:sz w:val="24"/>
          <w:szCs w:val="24"/>
          <w:lang w:val="sq-AL"/>
        </w:rPr>
        <w:t>ris</w:t>
      </w:r>
      <w:r w:rsidR="009B24CE" w:rsidRPr="009256B7">
        <w:rPr>
          <w:rFonts w:ascii="Times New Roman" w:eastAsia="Batang" w:hAnsi="Times New Roman" w:cs="Times New Roman"/>
          <w:noProof/>
          <w:sz w:val="24"/>
          <w:szCs w:val="24"/>
          <w:lang w:val="sq-AL"/>
        </w:rPr>
        <w:t xml:space="preserve">kut të rifinancimit të borxhit të brendshëm ka pasur ulja e peshës së </w:t>
      </w:r>
      <w:r w:rsidR="00237874" w:rsidRPr="009256B7">
        <w:rPr>
          <w:rFonts w:ascii="Times New Roman" w:eastAsia="Batang" w:hAnsi="Times New Roman" w:cs="Times New Roman"/>
          <w:noProof/>
          <w:sz w:val="24"/>
          <w:szCs w:val="24"/>
          <w:lang w:val="sq-AL"/>
        </w:rPr>
        <w:t>intrumenteve afatshkurtra me</w:t>
      </w:r>
      <w:r w:rsidR="0038652D" w:rsidRPr="009256B7">
        <w:rPr>
          <w:rFonts w:ascii="Times New Roman" w:eastAsia="Batang" w:hAnsi="Times New Roman" w:cs="Times New Roman"/>
          <w:noProof/>
          <w:sz w:val="24"/>
          <w:szCs w:val="24"/>
          <w:lang w:val="sq-AL"/>
        </w:rPr>
        <w:t xml:space="preserve"> rreth</w:t>
      </w:r>
      <w:r w:rsidR="00237874" w:rsidRPr="009256B7">
        <w:rPr>
          <w:rFonts w:ascii="Times New Roman" w:eastAsia="Batang" w:hAnsi="Times New Roman" w:cs="Times New Roman"/>
          <w:noProof/>
          <w:sz w:val="24"/>
          <w:szCs w:val="24"/>
          <w:lang w:val="sq-AL"/>
        </w:rPr>
        <w:t xml:space="preserve"> </w:t>
      </w:r>
      <w:r w:rsidR="00D75461" w:rsidRPr="009256B7">
        <w:rPr>
          <w:rFonts w:ascii="Times New Roman" w:eastAsia="Batang" w:hAnsi="Times New Roman" w:cs="Times New Roman"/>
          <w:noProof/>
          <w:sz w:val="24"/>
          <w:szCs w:val="24"/>
          <w:lang w:val="sq-AL"/>
        </w:rPr>
        <w:t>8.9</w:t>
      </w:r>
      <w:r w:rsidR="009B24CE" w:rsidRPr="009256B7">
        <w:rPr>
          <w:rFonts w:ascii="Times New Roman" w:eastAsia="Batang" w:hAnsi="Times New Roman" w:cs="Times New Roman"/>
          <w:noProof/>
          <w:sz w:val="24"/>
          <w:szCs w:val="24"/>
          <w:lang w:val="sq-AL"/>
        </w:rPr>
        <w:t xml:space="preserve"> pp</w:t>
      </w:r>
      <w:r w:rsidR="00214252" w:rsidRPr="009256B7">
        <w:rPr>
          <w:rFonts w:ascii="Times New Roman" w:eastAsia="Batang" w:hAnsi="Times New Roman" w:cs="Times New Roman"/>
          <w:noProof/>
          <w:sz w:val="24"/>
          <w:szCs w:val="24"/>
          <w:lang w:val="sq-AL"/>
        </w:rPr>
        <w:t xml:space="preserve"> n</w:t>
      </w:r>
      <w:r w:rsidR="00754CBC" w:rsidRPr="009256B7">
        <w:rPr>
          <w:rFonts w:ascii="Times New Roman" w:eastAsia="Batang" w:hAnsi="Times New Roman" w:cs="Times New Roman"/>
          <w:noProof/>
          <w:sz w:val="24"/>
          <w:szCs w:val="24"/>
          <w:lang w:val="sq-AL"/>
        </w:rPr>
        <w:t>ë</w:t>
      </w:r>
      <w:r w:rsidR="00214252" w:rsidRPr="009256B7">
        <w:rPr>
          <w:rFonts w:ascii="Times New Roman" w:eastAsia="Batang" w:hAnsi="Times New Roman" w:cs="Times New Roman"/>
          <w:noProof/>
          <w:sz w:val="24"/>
          <w:szCs w:val="24"/>
          <w:lang w:val="sq-AL"/>
        </w:rPr>
        <w:t xml:space="preserve"> harkun kohor t</w:t>
      </w:r>
      <w:r w:rsidR="00754CBC" w:rsidRPr="009256B7">
        <w:rPr>
          <w:rFonts w:ascii="Times New Roman" w:eastAsia="Batang" w:hAnsi="Times New Roman" w:cs="Times New Roman"/>
          <w:noProof/>
          <w:sz w:val="24"/>
          <w:szCs w:val="24"/>
          <w:lang w:val="sq-AL"/>
        </w:rPr>
        <w:t>ë</w:t>
      </w:r>
      <w:r w:rsidR="00214252" w:rsidRPr="009256B7">
        <w:rPr>
          <w:rFonts w:ascii="Times New Roman" w:eastAsia="Batang" w:hAnsi="Times New Roman" w:cs="Times New Roman"/>
          <w:noProof/>
          <w:sz w:val="24"/>
          <w:szCs w:val="24"/>
          <w:lang w:val="sq-AL"/>
        </w:rPr>
        <w:t xml:space="preserve"> 5 viteve</w:t>
      </w:r>
      <w:r w:rsidR="009B24CE" w:rsidRPr="009256B7">
        <w:rPr>
          <w:rFonts w:ascii="Times New Roman" w:eastAsia="Batang" w:hAnsi="Times New Roman" w:cs="Times New Roman"/>
          <w:noProof/>
          <w:sz w:val="24"/>
          <w:szCs w:val="24"/>
          <w:lang w:val="sq-AL"/>
        </w:rPr>
        <w:t xml:space="preserve"> </w:t>
      </w:r>
      <w:r w:rsidR="00237874" w:rsidRPr="009256B7">
        <w:rPr>
          <w:rFonts w:ascii="Times New Roman" w:eastAsia="Batang" w:hAnsi="Times New Roman" w:cs="Times New Roman"/>
          <w:noProof/>
          <w:sz w:val="24"/>
          <w:szCs w:val="24"/>
          <w:lang w:val="sq-AL"/>
        </w:rPr>
        <w:t xml:space="preserve">(nga </w:t>
      </w:r>
      <w:r w:rsidR="00D75461" w:rsidRPr="009256B7">
        <w:rPr>
          <w:rFonts w:ascii="Times New Roman" w:eastAsia="Batang" w:hAnsi="Times New Roman" w:cs="Times New Roman"/>
          <w:noProof/>
          <w:sz w:val="24"/>
          <w:szCs w:val="24"/>
          <w:lang w:val="sq-AL"/>
        </w:rPr>
        <w:t>43.0</w:t>
      </w:r>
      <w:r w:rsidR="009B24CE" w:rsidRPr="009256B7">
        <w:rPr>
          <w:rFonts w:ascii="Times New Roman" w:eastAsia="Batang" w:hAnsi="Times New Roman" w:cs="Times New Roman"/>
          <w:noProof/>
          <w:sz w:val="24"/>
          <w:szCs w:val="24"/>
          <w:lang w:val="sq-AL"/>
        </w:rPr>
        <w:t xml:space="preserve">% në </w:t>
      </w:r>
      <w:r w:rsidR="00141591" w:rsidRPr="009256B7">
        <w:rPr>
          <w:rFonts w:ascii="Times New Roman" w:eastAsia="Batang" w:hAnsi="Times New Roman" w:cs="Times New Roman"/>
          <w:noProof/>
          <w:sz w:val="24"/>
          <w:szCs w:val="24"/>
          <w:lang w:val="sq-AL"/>
        </w:rPr>
        <w:t xml:space="preserve"> fund t</w:t>
      </w:r>
      <w:r w:rsidR="004D1E37" w:rsidRPr="009256B7">
        <w:rPr>
          <w:rFonts w:ascii="Times New Roman" w:eastAsia="Batang" w:hAnsi="Times New Roman" w:cs="Times New Roman"/>
          <w:noProof/>
          <w:sz w:val="24"/>
          <w:szCs w:val="24"/>
          <w:lang w:val="sq-AL"/>
        </w:rPr>
        <w:t>ë</w:t>
      </w:r>
      <w:r w:rsidR="00141591" w:rsidRPr="009256B7">
        <w:rPr>
          <w:rFonts w:ascii="Times New Roman" w:eastAsia="Batang" w:hAnsi="Times New Roman" w:cs="Times New Roman"/>
          <w:noProof/>
          <w:sz w:val="24"/>
          <w:szCs w:val="24"/>
          <w:lang w:val="sq-AL"/>
        </w:rPr>
        <w:t xml:space="preserve"> vitit </w:t>
      </w:r>
      <w:r w:rsidR="009B24CE" w:rsidRPr="009256B7">
        <w:rPr>
          <w:rFonts w:ascii="Times New Roman" w:eastAsia="Batang" w:hAnsi="Times New Roman" w:cs="Times New Roman"/>
          <w:noProof/>
          <w:sz w:val="24"/>
          <w:szCs w:val="24"/>
          <w:lang w:val="sq-AL"/>
        </w:rPr>
        <w:t>201</w:t>
      </w:r>
      <w:r w:rsidR="00D75461" w:rsidRPr="009256B7">
        <w:rPr>
          <w:rFonts w:ascii="Times New Roman" w:eastAsia="Batang" w:hAnsi="Times New Roman" w:cs="Times New Roman"/>
          <w:noProof/>
          <w:sz w:val="24"/>
          <w:szCs w:val="24"/>
          <w:lang w:val="sq-AL"/>
        </w:rPr>
        <w:t>5</w:t>
      </w:r>
      <w:r w:rsidR="00CE2EE1" w:rsidRPr="009256B7">
        <w:rPr>
          <w:rFonts w:ascii="Times New Roman" w:eastAsia="Batang" w:hAnsi="Times New Roman" w:cs="Times New Roman"/>
          <w:noProof/>
          <w:sz w:val="24"/>
          <w:szCs w:val="24"/>
          <w:lang w:val="sq-AL"/>
        </w:rPr>
        <w:t xml:space="preserve"> në 3</w:t>
      </w:r>
      <w:r w:rsidR="0024071C" w:rsidRPr="009256B7">
        <w:rPr>
          <w:rFonts w:ascii="Times New Roman" w:eastAsia="Batang" w:hAnsi="Times New Roman" w:cs="Times New Roman"/>
          <w:noProof/>
          <w:sz w:val="24"/>
          <w:szCs w:val="24"/>
          <w:lang w:val="sq-AL"/>
        </w:rPr>
        <w:t>4.1</w:t>
      </w:r>
      <w:r w:rsidR="00CE2EE1" w:rsidRPr="009256B7">
        <w:rPr>
          <w:rFonts w:ascii="Times New Roman" w:eastAsia="Batang" w:hAnsi="Times New Roman" w:cs="Times New Roman"/>
          <w:noProof/>
          <w:sz w:val="24"/>
          <w:szCs w:val="24"/>
          <w:lang w:val="sq-AL"/>
        </w:rPr>
        <w:t>% n</w:t>
      </w:r>
      <w:r w:rsidR="006554BA" w:rsidRPr="009256B7">
        <w:rPr>
          <w:rFonts w:ascii="Times New Roman" w:eastAsia="Batang" w:hAnsi="Times New Roman" w:cs="Times New Roman"/>
          <w:noProof/>
          <w:sz w:val="24"/>
          <w:szCs w:val="24"/>
          <w:lang w:val="sq-AL"/>
        </w:rPr>
        <w:t>ë</w:t>
      </w:r>
      <w:r w:rsidR="00CE2EE1" w:rsidRPr="009256B7">
        <w:rPr>
          <w:rFonts w:ascii="Times New Roman" w:eastAsia="Batang" w:hAnsi="Times New Roman" w:cs="Times New Roman"/>
          <w:noProof/>
          <w:sz w:val="24"/>
          <w:szCs w:val="24"/>
          <w:lang w:val="sq-AL"/>
        </w:rPr>
        <w:t xml:space="preserve"> </w:t>
      </w:r>
      <w:r w:rsidR="009256B7" w:rsidRPr="009256B7">
        <w:rPr>
          <w:rFonts w:ascii="Times New Roman" w:eastAsia="Batang" w:hAnsi="Times New Roman" w:cs="Times New Roman"/>
          <w:noProof/>
          <w:sz w:val="24"/>
          <w:szCs w:val="24"/>
          <w:lang w:val="sq-AL"/>
        </w:rPr>
        <w:t>shtator</w:t>
      </w:r>
      <w:r w:rsidR="00516C85" w:rsidRPr="009256B7">
        <w:rPr>
          <w:rFonts w:ascii="Times New Roman" w:eastAsia="Batang" w:hAnsi="Times New Roman" w:cs="Times New Roman"/>
          <w:noProof/>
          <w:sz w:val="24"/>
          <w:szCs w:val="24"/>
          <w:lang w:val="sq-AL"/>
        </w:rPr>
        <w:t xml:space="preserve"> </w:t>
      </w:r>
      <w:r w:rsidR="00CE2EE1" w:rsidRPr="009256B7">
        <w:rPr>
          <w:rFonts w:ascii="Times New Roman" w:eastAsia="Batang" w:hAnsi="Times New Roman" w:cs="Times New Roman"/>
          <w:noProof/>
          <w:sz w:val="24"/>
          <w:szCs w:val="24"/>
          <w:lang w:val="sq-AL"/>
        </w:rPr>
        <w:t>201</w:t>
      </w:r>
      <w:r w:rsidR="0024071C" w:rsidRPr="009256B7">
        <w:rPr>
          <w:rFonts w:ascii="Times New Roman" w:eastAsia="Batang" w:hAnsi="Times New Roman" w:cs="Times New Roman"/>
          <w:noProof/>
          <w:sz w:val="24"/>
          <w:szCs w:val="24"/>
          <w:lang w:val="sq-AL"/>
        </w:rPr>
        <w:t>9</w:t>
      </w:r>
      <w:r w:rsidR="009B24CE" w:rsidRPr="009256B7">
        <w:rPr>
          <w:rFonts w:ascii="Times New Roman" w:eastAsia="Batang" w:hAnsi="Times New Roman" w:cs="Times New Roman"/>
          <w:noProof/>
          <w:sz w:val="24"/>
          <w:szCs w:val="24"/>
          <w:lang w:val="sq-AL"/>
        </w:rPr>
        <w:t xml:space="preserve">). </w:t>
      </w:r>
    </w:p>
    <w:p w14:paraId="71DF5C67" w14:textId="77777777" w:rsidR="009B24CE" w:rsidRPr="000F5C13" w:rsidRDefault="009B24CE" w:rsidP="009B24CE">
      <w:pPr>
        <w:tabs>
          <w:tab w:val="left" w:pos="426"/>
          <w:tab w:val="left" w:pos="567"/>
        </w:tabs>
        <w:spacing w:after="0" w:line="276" w:lineRule="auto"/>
        <w:ind w:left="284" w:right="238"/>
        <w:jc w:val="both"/>
        <w:rPr>
          <w:rFonts w:ascii="Times New Roman" w:eastAsia="Batang" w:hAnsi="Times New Roman" w:cs="Times New Roman"/>
          <w:noProof/>
          <w:sz w:val="16"/>
          <w:szCs w:val="24"/>
          <w:lang w:val="sq-AL"/>
        </w:rPr>
      </w:pPr>
    </w:p>
    <w:p w14:paraId="71DF5C68" w14:textId="77777777" w:rsidR="00CE627E" w:rsidRPr="000F5C13" w:rsidRDefault="00750F66" w:rsidP="008148A8">
      <w:pPr>
        <w:tabs>
          <w:tab w:val="left" w:pos="426"/>
          <w:tab w:val="left" w:pos="567"/>
          <w:tab w:val="left" w:pos="8789"/>
        </w:tabs>
        <w:spacing w:after="0" w:line="240" w:lineRule="auto"/>
        <w:ind w:right="238"/>
        <w:jc w:val="center"/>
        <w:rPr>
          <w:rFonts w:ascii="Cambria" w:eastAsia="Batang" w:hAnsi="Cambria" w:cs="Times New Roman"/>
          <w:i/>
          <w:noProof/>
          <w:sz w:val="20"/>
          <w:szCs w:val="20"/>
          <w:lang w:val="sq-AL"/>
        </w:rPr>
      </w:pPr>
      <w:r w:rsidRPr="000F5C13">
        <w:rPr>
          <w:rFonts w:ascii="Cambria" w:eastAsia="Batang" w:hAnsi="Cambria" w:cs="Times New Roman"/>
          <w:b/>
          <w:noProof/>
          <w:color w:val="8E0000"/>
          <w:sz w:val="20"/>
          <w:szCs w:val="20"/>
          <w:lang w:val="sq-AL"/>
        </w:rPr>
        <w:t>Paraqitje Grafike 5</w:t>
      </w:r>
      <w:r w:rsidR="009B24CE" w:rsidRPr="000F5C13">
        <w:rPr>
          <w:rFonts w:ascii="Cambria" w:eastAsia="Batang" w:hAnsi="Cambria" w:cs="Times New Roman"/>
          <w:b/>
          <w:noProof/>
          <w:color w:val="8E0000"/>
          <w:sz w:val="20"/>
          <w:szCs w:val="20"/>
          <w:lang w:val="sq-AL"/>
        </w:rPr>
        <w:t>.2.1:</w:t>
      </w:r>
      <w:r w:rsidR="009B24CE" w:rsidRPr="000F5C13">
        <w:rPr>
          <w:rFonts w:ascii="Cambria" w:eastAsia="Batang" w:hAnsi="Cambria" w:cs="Times New Roman"/>
          <w:noProof/>
          <w:color w:val="8E0000"/>
          <w:sz w:val="20"/>
          <w:szCs w:val="20"/>
          <w:lang w:val="sq-AL"/>
        </w:rPr>
        <w:t xml:space="preserve"> </w:t>
      </w:r>
      <w:r w:rsidR="009B24CE" w:rsidRPr="000F5C13">
        <w:rPr>
          <w:rFonts w:ascii="Cambria" w:eastAsia="Batang" w:hAnsi="Cambria" w:cs="Times New Roman"/>
          <w:i/>
          <w:noProof/>
          <w:color w:val="8E0000"/>
          <w:sz w:val="20"/>
          <w:szCs w:val="20"/>
          <w:lang w:val="sq-AL"/>
        </w:rPr>
        <w:t xml:space="preserve">Ecuria e treguesve të </w:t>
      </w:r>
      <w:r w:rsidR="005A7E6F" w:rsidRPr="000F5C13">
        <w:rPr>
          <w:rFonts w:ascii="Cambria" w:eastAsia="Batang" w:hAnsi="Cambria" w:cs="Times New Roman"/>
          <w:i/>
          <w:noProof/>
          <w:color w:val="8E0000"/>
          <w:sz w:val="20"/>
          <w:szCs w:val="20"/>
          <w:lang w:val="sq-AL"/>
        </w:rPr>
        <w:t xml:space="preserve">riskut </w:t>
      </w:r>
      <w:r w:rsidR="009B24CE" w:rsidRPr="000F5C13">
        <w:rPr>
          <w:rFonts w:ascii="Cambria" w:eastAsia="Batang" w:hAnsi="Cambria" w:cs="Times New Roman"/>
          <w:i/>
          <w:noProof/>
          <w:color w:val="8E0000"/>
          <w:sz w:val="20"/>
          <w:szCs w:val="20"/>
          <w:lang w:val="sq-AL"/>
        </w:rPr>
        <w:t>të rifinancimit</w:t>
      </w:r>
      <w:r w:rsidR="00FB134C" w:rsidRPr="000F5C13">
        <w:rPr>
          <w:rFonts w:ascii="Cambria" w:eastAsia="Batang" w:hAnsi="Cambria" w:cs="Times New Roman"/>
          <w:i/>
          <w:noProof/>
          <w:color w:val="8E0000"/>
          <w:sz w:val="20"/>
          <w:szCs w:val="20"/>
          <w:lang w:val="sq-AL"/>
        </w:rPr>
        <w:t xml:space="preserve"> </w:t>
      </w:r>
      <w:r w:rsidR="008F65DC">
        <w:rPr>
          <w:rFonts w:ascii="Cambria" w:eastAsia="Batang" w:hAnsi="Cambria" w:cs="Times New Roman"/>
          <w:i/>
          <w:noProof/>
          <w:color w:val="8E0000"/>
          <w:sz w:val="20"/>
          <w:szCs w:val="20"/>
          <w:lang w:val="sq-AL"/>
        </w:rPr>
        <w:t>(2015</w:t>
      </w:r>
      <w:r w:rsidR="0024071C">
        <w:rPr>
          <w:rFonts w:ascii="Cambria" w:eastAsia="Batang" w:hAnsi="Cambria" w:cs="Times New Roman"/>
          <w:i/>
          <w:noProof/>
          <w:color w:val="8E0000"/>
          <w:sz w:val="20"/>
          <w:szCs w:val="20"/>
          <w:lang w:val="sq-AL"/>
        </w:rPr>
        <w:t>–</w:t>
      </w:r>
      <w:r w:rsidR="00D11708">
        <w:rPr>
          <w:rFonts w:ascii="Cambria" w:eastAsia="Batang" w:hAnsi="Cambria" w:cs="Times New Roman"/>
          <w:i/>
          <w:noProof/>
          <w:color w:val="8E0000"/>
          <w:sz w:val="20"/>
          <w:szCs w:val="20"/>
          <w:lang w:val="sq-AL"/>
        </w:rPr>
        <w:t>Shtator</w:t>
      </w:r>
      <w:r w:rsidR="00847107" w:rsidRPr="000F5C13">
        <w:rPr>
          <w:rFonts w:ascii="Cambria" w:eastAsia="Batang" w:hAnsi="Cambria" w:cs="Times New Roman"/>
          <w:i/>
          <w:noProof/>
          <w:color w:val="8E0000"/>
          <w:sz w:val="20"/>
          <w:szCs w:val="20"/>
          <w:lang w:val="sq-AL"/>
        </w:rPr>
        <w:t xml:space="preserve"> </w:t>
      </w:r>
      <w:r w:rsidR="0024071C">
        <w:rPr>
          <w:rFonts w:ascii="Cambria" w:eastAsia="Batang" w:hAnsi="Cambria" w:cs="Times New Roman"/>
          <w:i/>
          <w:noProof/>
          <w:color w:val="8E0000"/>
          <w:sz w:val="20"/>
          <w:szCs w:val="20"/>
          <w:lang w:val="sq-AL"/>
        </w:rPr>
        <w:t>2019</w:t>
      </w:r>
      <w:r w:rsidR="00304EDD" w:rsidRPr="000F5C13">
        <w:rPr>
          <w:rFonts w:ascii="Cambria" w:eastAsia="Batang" w:hAnsi="Cambria" w:cs="Times New Roman"/>
          <w:i/>
          <w:noProof/>
          <w:color w:val="8E0000"/>
          <w:sz w:val="20"/>
          <w:szCs w:val="20"/>
          <w:lang w:val="sq-AL"/>
        </w:rPr>
        <w:t>)</w:t>
      </w:r>
    </w:p>
    <w:p w14:paraId="71DF5C69" w14:textId="77777777" w:rsidR="009256B7" w:rsidRDefault="009256B7" w:rsidP="009256B7">
      <w:pPr>
        <w:spacing w:after="0" w:line="240" w:lineRule="auto"/>
        <w:rPr>
          <w:rFonts w:ascii="Cambria" w:eastAsia="Batang" w:hAnsi="Cambria" w:cs="Times New Roman"/>
          <w:b/>
          <w:noProof/>
          <w:color w:val="8E0000"/>
          <w:sz w:val="20"/>
          <w:szCs w:val="20"/>
          <w:lang w:val="sq-AL"/>
        </w:rPr>
      </w:pPr>
      <w:r>
        <w:rPr>
          <w:rFonts w:ascii="Cambria" w:eastAsia="Batang" w:hAnsi="Cambria" w:cs="Times New Roman"/>
          <w:b/>
          <w:noProof/>
          <w:color w:val="8E0000"/>
          <w:sz w:val="20"/>
          <w:szCs w:val="20"/>
        </w:rPr>
        <w:drawing>
          <wp:inline distT="0" distB="0" distL="0" distR="0" wp14:anchorId="71DF5F7B" wp14:editId="71DF5F7C">
            <wp:extent cx="5524500" cy="2305050"/>
            <wp:effectExtent l="19050" t="19050" r="19050" b="190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24500" cy="2305050"/>
                    </a:xfrm>
                    <a:prstGeom prst="rect">
                      <a:avLst/>
                    </a:prstGeom>
                    <a:noFill/>
                    <a:ln>
                      <a:solidFill>
                        <a:schemeClr val="bg1">
                          <a:lumMod val="65000"/>
                        </a:schemeClr>
                      </a:solidFill>
                    </a:ln>
                  </pic:spPr>
                </pic:pic>
              </a:graphicData>
            </a:graphic>
          </wp:inline>
        </w:drawing>
      </w:r>
    </w:p>
    <w:p w14:paraId="71DF5C6A" w14:textId="77777777" w:rsidR="002226D5" w:rsidRPr="0024071C" w:rsidRDefault="009B24CE" w:rsidP="0024071C">
      <w:pPr>
        <w:spacing w:after="0" w:line="240" w:lineRule="auto"/>
        <w:ind w:left="284"/>
        <w:jc w:val="center"/>
        <w:rPr>
          <w:noProof/>
        </w:rPr>
      </w:pPr>
      <w:r w:rsidRPr="000F5C13">
        <w:rPr>
          <w:rFonts w:ascii="Cambria" w:eastAsia="Batang" w:hAnsi="Cambria" w:cs="Times New Roman"/>
          <w:b/>
          <w:noProof/>
          <w:color w:val="8E0000"/>
          <w:sz w:val="20"/>
          <w:szCs w:val="20"/>
          <w:lang w:val="sq-AL"/>
        </w:rPr>
        <w:t xml:space="preserve">Burimi: </w:t>
      </w:r>
      <w:r w:rsidRPr="000F5C13">
        <w:rPr>
          <w:rFonts w:ascii="Cambria" w:eastAsia="Batang" w:hAnsi="Cambria" w:cs="Times New Roman"/>
          <w:i/>
          <w:noProof/>
          <w:color w:val="8E0000"/>
          <w:sz w:val="20"/>
          <w:szCs w:val="20"/>
          <w:lang w:val="sq-AL"/>
        </w:rPr>
        <w:t>Ministria</w:t>
      </w:r>
      <w:r w:rsidR="0024071C">
        <w:rPr>
          <w:rFonts w:ascii="Cambria" w:eastAsia="Batang" w:hAnsi="Cambria" w:cs="Times New Roman"/>
          <w:i/>
          <w:noProof/>
          <w:color w:val="8E0000"/>
          <w:sz w:val="20"/>
          <w:szCs w:val="20"/>
          <w:lang w:val="sq-AL"/>
        </w:rPr>
        <w:t xml:space="preserve"> e Financave dhe Ekonomisë (2019</w:t>
      </w:r>
      <w:r w:rsidR="00F35C0C" w:rsidRPr="000F5C13">
        <w:rPr>
          <w:rFonts w:ascii="Cambria" w:eastAsia="Batang" w:hAnsi="Cambria" w:cs="Times New Roman"/>
          <w:i/>
          <w:noProof/>
          <w:color w:val="8E0000"/>
          <w:sz w:val="20"/>
          <w:szCs w:val="20"/>
          <w:lang w:val="sq-AL"/>
        </w:rPr>
        <w:t>)</w:t>
      </w:r>
    </w:p>
    <w:p w14:paraId="71DF5C6B" w14:textId="77777777" w:rsidR="004C01D8" w:rsidRPr="000F5C13" w:rsidRDefault="004C01D8" w:rsidP="00CF29B1">
      <w:pPr>
        <w:spacing w:after="0" w:line="240" w:lineRule="auto"/>
        <w:rPr>
          <w:rFonts w:ascii="Cambria" w:eastAsia="Batang" w:hAnsi="Cambria" w:cs="Times New Roman"/>
          <w:i/>
          <w:noProof/>
          <w:color w:val="8E0000"/>
          <w:sz w:val="16"/>
          <w:szCs w:val="20"/>
          <w:lang w:val="sq-AL"/>
        </w:rPr>
      </w:pPr>
    </w:p>
    <w:p w14:paraId="71DF5C6C" w14:textId="77777777" w:rsidR="009B24CE" w:rsidRPr="000F5C13" w:rsidRDefault="009B24CE" w:rsidP="004A70BC">
      <w:pPr>
        <w:pStyle w:val="Heading4"/>
        <w:numPr>
          <w:ilvl w:val="2"/>
          <w:numId w:val="8"/>
        </w:numPr>
        <w:ind w:left="851" w:hanging="851"/>
        <w:rPr>
          <w:noProof/>
        </w:rPr>
      </w:pPr>
      <w:r w:rsidRPr="000F5C13">
        <w:rPr>
          <w:noProof/>
        </w:rPr>
        <w:t xml:space="preserve"> </w:t>
      </w:r>
      <w:bookmarkStart w:id="71" w:name="_Toc491860995"/>
      <w:bookmarkStart w:id="72" w:name="_Toc491954308"/>
      <w:r w:rsidRPr="000F5C13">
        <w:rPr>
          <w:noProof/>
        </w:rPr>
        <w:t>R</w:t>
      </w:r>
      <w:r w:rsidR="005A7E6F" w:rsidRPr="000F5C13">
        <w:rPr>
          <w:noProof/>
        </w:rPr>
        <w:t>isk</w:t>
      </w:r>
      <w:r w:rsidRPr="000F5C13">
        <w:rPr>
          <w:noProof/>
        </w:rPr>
        <w:t>u i normave të interesit</w:t>
      </w:r>
      <w:bookmarkEnd w:id="71"/>
      <w:bookmarkEnd w:id="72"/>
    </w:p>
    <w:p w14:paraId="71DF5C6D" w14:textId="77777777" w:rsidR="009B24CE" w:rsidRPr="000F5C13" w:rsidRDefault="009B24CE" w:rsidP="009B24CE">
      <w:pPr>
        <w:spacing w:after="0" w:line="240" w:lineRule="auto"/>
        <w:rPr>
          <w:rFonts w:eastAsia="Batang"/>
          <w:noProof/>
          <w:sz w:val="16"/>
          <w:szCs w:val="12"/>
          <w:lang w:val="sq-AL"/>
        </w:rPr>
      </w:pPr>
    </w:p>
    <w:p w14:paraId="71DF5C6E" w14:textId="77777777" w:rsidR="00080307" w:rsidRPr="003D0808" w:rsidRDefault="00024FE5" w:rsidP="000F2369">
      <w:pPr>
        <w:tabs>
          <w:tab w:val="left" w:pos="426"/>
          <w:tab w:val="left" w:pos="567"/>
        </w:tabs>
        <w:spacing w:after="0" w:line="276" w:lineRule="auto"/>
        <w:ind w:right="238"/>
        <w:jc w:val="both"/>
        <w:rPr>
          <w:rFonts w:ascii="Times New Roman" w:eastAsia="Batang" w:hAnsi="Times New Roman" w:cs="Times New Roman"/>
          <w:noProof/>
          <w:sz w:val="24"/>
          <w:szCs w:val="24"/>
          <w:lang w:val="sq-AL"/>
        </w:rPr>
      </w:pPr>
      <w:r w:rsidRPr="003D0808">
        <w:rPr>
          <w:rFonts w:ascii="Times New Roman" w:eastAsia="Batang" w:hAnsi="Times New Roman" w:cs="Times New Roman"/>
          <w:noProof/>
          <w:sz w:val="24"/>
          <w:szCs w:val="24"/>
          <w:lang w:val="sq-AL"/>
        </w:rPr>
        <w:t>T</w:t>
      </w:r>
      <w:r w:rsidR="009B24CE" w:rsidRPr="003D0808">
        <w:rPr>
          <w:rFonts w:ascii="Times New Roman" w:eastAsia="Batang" w:hAnsi="Times New Roman" w:cs="Times New Roman"/>
          <w:noProof/>
          <w:sz w:val="24"/>
          <w:szCs w:val="24"/>
          <w:lang w:val="sq-AL"/>
        </w:rPr>
        <w:t xml:space="preserve">reguesit e </w:t>
      </w:r>
      <w:r w:rsidR="005A7E6F" w:rsidRPr="003D0808">
        <w:rPr>
          <w:rFonts w:ascii="Times New Roman" w:eastAsia="Batang" w:hAnsi="Times New Roman" w:cs="Times New Roman"/>
          <w:noProof/>
          <w:sz w:val="24"/>
          <w:szCs w:val="24"/>
          <w:lang w:val="sq-AL"/>
        </w:rPr>
        <w:t>risk</w:t>
      </w:r>
      <w:r w:rsidR="009B24CE" w:rsidRPr="003D0808">
        <w:rPr>
          <w:rFonts w:ascii="Times New Roman" w:eastAsia="Batang" w:hAnsi="Times New Roman" w:cs="Times New Roman"/>
          <w:noProof/>
          <w:sz w:val="24"/>
          <w:szCs w:val="24"/>
          <w:lang w:val="sq-AL"/>
        </w:rPr>
        <w:t>ut të normave të interesit janë përmirësuar ndjeshëm duke qenë në linjë me objektivat strategjikë.</w:t>
      </w:r>
      <w:r w:rsidR="00080307" w:rsidRPr="003D0808">
        <w:rPr>
          <w:rFonts w:ascii="Times New Roman" w:eastAsia="Batang" w:hAnsi="Times New Roman" w:cs="Times New Roman"/>
          <w:noProof/>
          <w:sz w:val="24"/>
          <w:szCs w:val="24"/>
          <w:lang w:val="sq-AL"/>
        </w:rPr>
        <w:t xml:space="preserve"> Faktorët kryesorë që kanë ndikuar në uljen e ekspozimit të këtij risku </w:t>
      </w:r>
      <w:r w:rsidR="00080307" w:rsidRPr="003D0808">
        <w:rPr>
          <w:rFonts w:ascii="Times New Roman" w:eastAsia="Batang" w:hAnsi="Times New Roman" w:cs="Times New Roman"/>
          <w:noProof/>
          <w:sz w:val="24"/>
          <w:szCs w:val="24"/>
          <w:lang w:val="sq-AL"/>
        </w:rPr>
        <w:lastRenderedPageBreak/>
        <w:t xml:space="preserve">kanë qenë ulja e peshës së </w:t>
      </w:r>
      <w:r w:rsidR="00B60819" w:rsidRPr="003D0808">
        <w:rPr>
          <w:rFonts w:ascii="Times New Roman" w:eastAsia="Batang" w:hAnsi="Times New Roman" w:cs="Times New Roman"/>
          <w:noProof/>
          <w:sz w:val="24"/>
          <w:szCs w:val="24"/>
          <w:lang w:val="sq-AL"/>
        </w:rPr>
        <w:t>titujve afatshkurt</w:t>
      </w:r>
      <w:r w:rsidR="00754CBC" w:rsidRPr="003D0808">
        <w:rPr>
          <w:rFonts w:ascii="Times New Roman" w:eastAsia="Batang" w:hAnsi="Times New Roman" w:cs="Times New Roman"/>
          <w:noProof/>
          <w:sz w:val="24"/>
          <w:szCs w:val="24"/>
          <w:lang w:val="sq-AL"/>
        </w:rPr>
        <w:t>ë</w:t>
      </w:r>
      <w:r w:rsidR="00B60819" w:rsidRPr="003D0808">
        <w:rPr>
          <w:rFonts w:ascii="Times New Roman" w:eastAsia="Batang" w:hAnsi="Times New Roman" w:cs="Times New Roman"/>
          <w:noProof/>
          <w:sz w:val="24"/>
          <w:szCs w:val="24"/>
          <w:lang w:val="sq-AL"/>
        </w:rPr>
        <w:t>r</w:t>
      </w:r>
      <w:r w:rsidR="00080307" w:rsidRPr="003D0808">
        <w:rPr>
          <w:rFonts w:ascii="Times New Roman" w:eastAsia="Batang" w:hAnsi="Times New Roman" w:cs="Times New Roman"/>
          <w:noProof/>
          <w:sz w:val="24"/>
          <w:szCs w:val="24"/>
          <w:vertAlign w:val="superscript"/>
          <w:lang w:val="sq-AL"/>
        </w:rPr>
        <w:footnoteReference w:id="3"/>
      </w:r>
      <w:r w:rsidR="00080307" w:rsidRPr="003D0808">
        <w:rPr>
          <w:rFonts w:ascii="Times New Roman" w:eastAsia="Batang" w:hAnsi="Times New Roman" w:cs="Times New Roman"/>
          <w:noProof/>
          <w:sz w:val="24"/>
          <w:szCs w:val="24"/>
          <w:lang w:val="sq-AL"/>
        </w:rPr>
        <w:t xml:space="preserve"> dhe atyre me norma interesi të ndryshueshme në portofolin e borxhit të brendshëm, përkatësisht me</w:t>
      </w:r>
      <w:r w:rsidRPr="003D0808">
        <w:rPr>
          <w:rFonts w:ascii="Times New Roman" w:eastAsia="Batang" w:hAnsi="Times New Roman" w:cs="Times New Roman"/>
          <w:noProof/>
          <w:sz w:val="24"/>
          <w:szCs w:val="24"/>
          <w:lang w:val="sq-AL"/>
        </w:rPr>
        <w:t xml:space="preserve"> rreth</w:t>
      </w:r>
      <w:r w:rsidR="00080307" w:rsidRPr="003D0808">
        <w:rPr>
          <w:rFonts w:ascii="Times New Roman" w:eastAsia="Batang" w:hAnsi="Times New Roman" w:cs="Times New Roman"/>
          <w:noProof/>
          <w:sz w:val="24"/>
          <w:szCs w:val="24"/>
          <w:lang w:val="sq-AL"/>
        </w:rPr>
        <w:t xml:space="preserve"> </w:t>
      </w:r>
      <w:r w:rsidR="008F65DC" w:rsidRPr="003D0808">
        <w:rPr>
          <w:rFonts w:ascii="Times New Roman" w:eastAsia="Batang" w:hAnsi="Times New Roman" w:cs="Times New Roman"/>
          <w:noProof/>
          <w:sz w:val="24"/>
          <w:szCs w:val="24"/>
          <w:lang w:val="sq-AL"/>
        </w:rPr>
        <w:t>8.9</w:t>
      </w:r>
      <w:r w:rsidR="00E068F3">
        <w:rPr>
          <w:rFonts w:ascii="Times New Roman" w:eastAsia="Batang" w:hAnsi="Times New Roman" w:cs="Times New Roman"/>
          <w:noProof/>
          <w:sz w:val="24"/>
          <w:szCs w:val="24"/>
          <w:lang w:val="sq-AL"/>
        </w:rPr>
        <w:t>2</w:t>
      </w:r>
      <w:r w:rsidR="00080307" w:rsidRPr="003D0808">
        <w:rPr>
          <w:rFonts w:ascii="Times New Roman" w:eastAsia="Batang" w:hAnsi="Times New Roman" w:cs="Times New Roman"/>
          <w:noProof/>
          <w:sz w:val="24"/>
          <w:szCs w:val="24"/>
          <w:lang w:val="sq-AL"/>
        </w:rPr>
        <w:t xml:space="preserve"> pp dhe </w:t>
      </w:r>
      <w:r w:rsidR="008F65DC" w:rsidRPr="003D0808">
        <w:rPr>
          <w:rFonts w:ascii="Times New Roman" w:eastAsia="Batang" w:hAnsi="Times New Roman" w:cs="Times New Roman"/>
          <w:noProof/>
          <w:sz w:val="24"/>
          <w:szCs w:val="24"/>
          <w:lang w:val="sq-AL"/>
        </w:rPr>
        <w:t>8.</w:t>
      </w:r>
      <w:r w:rsidR="00E068F3">
        <w:rPr>
          <w:rFonts w:ascii="Times New Roman" w:eastAsia="Batang" w:hAnsi="Times New Roman" w:cs="Times New Roman"/>
          <w:noProof/>
          <w:sz w:val="24"/>
          <w:szCs w:val="24"/>
          <w:lang w:val="sq-AL"/>
        </w:rPr>
        <w:t>93</w:t>
      </w:r>
      <w:r w:rsidR="008F65DC" w:rsidRPr="003D0808">
        <w:rPr>
          <w:rFonts w:ascii="Times New Roman" w:eastAsia="Batang" w:hAnsi="Times New Roman" w:cs="Times New Roman"/>
          <w:noProof/>
          <w:sz w:val="24"/>
          <w:szCs w:val="24"/>
          <w:lang w:val="sq-AL"/>
        </w:rPr>
        <w:t xml:space="preserve"> </w:t>
      </w:r>
      <w:r w:rsidR="00080307" w:rsidRPr="003D0808">
        <w:rPr>
          <w:rFonts w:ascii="Times New Roman" w:eastAsia="Batang" w:hAnsi="Times New Roman" w:cs="Times New Roman"/>
          <w:noProof/>
          <w:sz w:val="24"/>
          <w:szCs w:val="24"/>
          <w:lang w:val="sq-AL"/>
        </w:rPr>
        <w:t xml:space="preserve">pp në harkun kohor të </w:t>
      </w:r>
      <w:r w:rsidR="00847107" w:rsidRPr="003D0808">
        <w:rPr>
          <w:rFonts w:ascii="Times New Roman" w:eastAsia="Batang" w:hAnsi="Times New Roman" w:cs="Times New Roman"/>
          <w:noProof/>
          <w:sz w:val="24"/>
          <w:szCs w:val="24"/>
          <w:lang w:val="sq-AL"/>
        </w:rPr>
        <w:t>pes</w:t>
      </w:r>
      <w:r w:rsidR="00754CBC" w:rsidRPr="003D0808">
        <w:rPr>
          <w:rFonts w:ascii="Times New Roman" w:eastAsia="Batang" w:hAnsi="Times New Roman" w:cs="Times New Roman"/>
          <w:noProof/>
          <w:sz w:val="24"/>
          <w:szCs w:val="24"/>
          <w:lang w:val="sq-AL"/>
        </w:rPr>
        <w:t>ë</w:t>
      </w:r>
      <w:r w:rsidR="00080307" w:rsidRPr="003D0808">
        <w:rPr>
          <w:rFonts w:ascii="Times New Roman" w:eastAsia="Batang" w:hAnsi="Times New Roman" w:cs="Times New Roman"/>
          <w:noProof/>
          <w:sz w:val="24"/>
          <w:szCs w:val="24"/>
          <w:lang w:val="sq-AL"/>
        </w:rPr>
        <w:t xml:space="preserve"> vit</w:t>
      </w:r>
      <w:r w:rsidR="00847107" w:rsidRPr="003D0808">
        <w:rPr>
          <w:rFonts w:ascii="Times New Roman" w:eastAsia="Batang" w:hAnsi="Times New Roman" w:cs="Times New Roman"/>
          <w:noProof/>
          <w:sz w:val="24"/>
          <w:szCs w:val="24"/>
          <w:lang w:val="sq-AL"/>
        </w:rPr>
        <w:t>eve</w:t>
      </w:r>
      <w:r w:rsidR="00080307" w:rsidRPr="003D0808">
        <w:rPr>
          <w:rFonts w:ascii="Times New Roman" w:eastAsia="Batang" w:hAnsi="Times New Roman" w:cs="Times New Roman"/>
          <w:noProof/>
          <w:sz w:val="24"/>
          <w:szCs w:val="24"/>
          <w:lang w:val="sq-AL"/>
        </w:rPr>
        <w:t>. Përmirësimi i riskut të normave të interesit ka ulur ndjeshmërinë e borxhit nga goditjet e normave të interesit, duke reduktuar burimet që qeveria duhet të angazhojë në raste të tilla.</w:t>
      </w:r>
    </w:p>
    <w:p w14:paraId="71DF5C6F" w14:textId="77777777" w:rsidR="00CE2EE1" w:rsidRPr="003D0808" w:rsidRDefault="00CE2EE1" w:rsidP="00237874">
      <w:pPr>
        <w:tabs>
          <w:tab w:val="left" w:pos="426"/>
          <w:tab w:val="left" w:pos="567"/>
        </w:tabs>
        <w:spacing w:after="0" w:line="276" w:lineRule="auto"/>
        <w:rPr>
          <w:rFonts w:ascii="Cambria" w:eastAsia="Batang" w:hAnsi="Cambria" w:cs="Times New Roman"/>
          <w:b/>
          <w:noProof/>
          <w:color w:val="8E0000"/>
          <w:sz w:val="16"/>
          <w:szCs w:val="12"/>
          <w:lang w:val="sq-AL"/>
        </w:rPr>
      </w:pPr>
    </w:p>
    <w:p w14:paraId="71DF5C70" w14:textId="77777777" w:rsidR="002B0F6B" w:rsidRPr="0050490A" w:rsidRDefault="00750F66" w:rsidP="0050490A">
      <w:pPr>
        <w:tabs>
          <w:tab w:val="left" w:pos="0"/>
        </w:tabs>
        <w:spacing w:after="0" w:line="276" w:lineRule="auto"/>
        <w:jc w:val="center"/>
        <w:rPr>
          <w:rFonts w:ascii="Cambria" w:eastAsia="Batang" w:hAnsi="Cambria" w:cs="Times New Roman"/>
          <w:i/>
          <w:noProof/>
          <w:color w:val="8E0000"/>
          <w:sz w:val="20"/>
          <w:szCs w:val="20"/>
          <w:lang w:val="sq-AL"/>
        </w:rPr>
      </w:pPr>
      <w:r w:rsidRPr="003D0808">
        <w:rPr>
          <w:rFonts w:ascii="Cambria" w:eastAsia="Batang" w:hAnsi="Cambria" w:cs="Times New Roman"/>
          <w:b/>
          <w:noProof/>
          <w:color w:val="8E0000"/>
          <w:sz w:val="20"/>
          <w:szCs w:val="20"/>
          <w:lang w:val="sq-AL"/>
        </w:rPr>
        <w:t>Paraqitje Grafike 5</w:t>
      </w:r>
      <w:r w:rsidR="009B24CE" w:rsidRPr="003D0808">
        <w:rPr>
          <w:rFonts w:ascii="Cambria" w:eastAsia="Batang" w:hAnsi="Cambria" w:cs="Times New Roman"/>
          <w:b/>
          <w:noProof/>
          <w:color w:val="8E0000"/>
          <w:sz w:val="20"/>
          <w:szCs w:val="20"/>
          <w:lang w:val="sq-AL"/>
        </w:rPr>
        <w:t>.2.2:</w:t>
      </w:r>
      <w:r w:rsidR="009B24CE" w:rsidRPr="003D0808">
        <w:rPr>
          <w:rFonts w:ascii="Cambria" w:eastAsia="Batang" w:hAnsi="Cambria" w:cs="Times New Roman"/>
          <w:noProof/>
          <w:color w:val="8E0000"/>
          <w:sz w:val="20"/>
          <w:szCs w:val="20"/>
          <w:lang w:val="sq-AL"/>
        </w:rPr>
        <w:t xml:space="preserve"> </w:t>
      </w:r>
      <w:r w:rsidR="009B24CE" w:rsidRPr="003D0808">
        <w:rPr>
          <w:rFonts w:ascii="Cambria" w:eastAsia="Batang" w:hAnsi="Cambria" w:cs="Times New Roman"/>
          <w:i/>
          <w:noProof/>
          <w:color w:val="8E0000"/>
          <w:sz w:val="20"/>
          <w:szCs w:val="20"/>
          <w:lang w:val="sq-AL"/>
        </w:rPr>
        <w:t>Ecuria e treguesve të r</w:t>
      </w:r>
      <w:r w:rsidR="005A7E6F" w:rsidRPr="003D0808">
        <w:rPr>
          <w:rFonts w:ascii="Cambria" w:eastAsia="Batang" w:hAnsi="Cambria" w:cs="Times New Roman"/>
          <w:i/>
          <w:noProof/>
          <w:color w:val="8E0000"/>
          <w:sz w:val="20"/>
          <w:szCs w:val="20"/>
          <w:lang w:val="sq-AL"/>
        </w:rPr>
        <w:t>iskut</w:t>
      </w:r>
      <w:r w:rsidR="009B24CE" w:rsidRPr="003D0808">
        <w:rPr>
          <w:rFonts w:ascii="Cambria" w:eastAsia="Batang" w:hAnsi="Cambria" w:cs="Times New Roman"/>
          <w:i/>
          <w:noProof/>
          <w:color w:val="8E0000"/>
          <w:sz w:val="20"/>
          <w:szCs w:val="20"/>
          <w:lang w:val="sq-AL"/>
        </w:rPr>
        <w:t xml:space="preserve"> të normave të interesit</w:t>
      </w:r>
      <w:r w:rsidR="008F65DC" w:rsidRPr="003D0808">
        <w:rPr>
          <w:rFonts w:ascii="Cambria" w:eastAsia="Batang" w:hAnsi="Cambria" w:cs="Times New Roman"/>
          <w:i/>
          <w:noProof/>
          <w:color w:val="8E0000"/>
          <w:sz w:val="20"/>
          <w:szCs w:val="20"/>
          <w:lang w:val="sq-AL"/>
        </w:rPr>
        <w:t xml:space="preserve"> (2015</w:t>
      </w:r>
      <w:r w:rsidR="00FB134C" w:rsidRPr="003D0808">
        <w:rPr>
          <w:rFonts w:ascii="Cambria" w:eastAsia="Batang" w:hAnsi="Cambria" w:cs="Times New Roman"/>
          <w:i/>
          <w:noProof/>
          <w:color w:val="8E0000"/>
          <w:sz w:val="20"/>
          <w:szCs w:val="20"/>
          <w:lang w:val="sq-AL"/>
        </w:rPr>
        <w:t>-</w:t>
      </w:r>
      <w:r w:rsidR="0064650B" w:rsidRPr="003D0808">
        <w:rPr>
          <w:rFonts w:ascii="Cambria" w:eastAsia="Batang" w:hAnsi="Cambria" w:cs="Times New Roman"/>
          <w:i/>
          <w:noProof/>
          <w:color w:val="8E0000"/>
          <w:sz w:val="20"/>
          <w:szCs w:val="20"/>
          <w:lang w:val="sq-AL"/>
        </w:rPr>
        <w:t xml:space="preserve">Shtator </w:t>
      </w:r>
      <w:r w:rsidR="0024071C" w:rsidRPr="003D0808">
        <w:rPr>
          <w:rFonts w:ascii="Cambria" w:eastAsia="Batang" w:hAnsi="Cambria" w:cs="Times New Roman"/>
          <w:i/>
          <w:noProof/>
          <w:color w:val="8E0000"/>
          <w:sz w:val="20"/>
          <w:szCs w:val="20"/>
          <w:lang w:val="sq-AL"/>
        </w:rPr>
        <w:t>2019</w:t>
      </w:r>
      <w:r w:rsidR="00FB134C" w:rsidRPr="003D0808">
        <w:rPr>
          <w:rFonts w:ascii="Cambria" w:eastAsia="Batang" w:hAnsi="Cambria" w:cs="Times New Roman"/>
          <w:i/>
          <w:noProof/>
          <w:color w:val="8E0000"/>
          <w:sz w:val="20"/>
          <w:szCs w:val="20"/>
          <w:lang w:val="sq-AL"/>
        </w:rPr>
        <w:t>)</w:t>
      </w:r>
    </w:p>
    <w:p w14:paraId="71DF5C71" w14:textId="77777777" w:rsidR="0064650B" w:rsidRPr="003D0808" w:rsidRDefault="003D0808" w:rsidP="003D0808">
      <w:pPr>
        <w:spacing w:after="0" w:line="240" w:lineRule="auto"/>
        <w:rPr>
          <w:rFonts w:ascii="Cambria" w:eastAsia="Batang" w:hAnsi="Cambria" w:cs="Times New Roman"/>
          <w:b/>
          <w:noProof/>
          <w:color w:val="8E0000"/>
          <w:sz w:val="20"/>
          <w:szCs w:val="20"/>
          <w:lang w:val="sq-AL"/>
        </w:rPr>
      </w:pPr>
      <w:r>
        <w:rPr>
          <w:rFonts w:ascii="Cambria" w:eastAsia="Batang" w:hAnsi="Cambria" w:cs="Times New Roman"/>
          <w:b/>
          <w:noProof/>
          <w:color w:val="8E0000"/>
          <w:sz w:val="20"/>
          <w:szCs w:val="20"/>
        </w:rPr>
        <w:drawing>
          <wp:inline distT="0" distB="0" distL="0" distR="0" wp14:anchorId="71DF5F7D" wp14:editId="71DF5F7E">
            <wp:extent cx="5524500" cy="2305050"/>
            <wp:effectExtent l="19050" t="19050" r="19050" b="190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4500" cy="2305050"/>
                    </a:xfrm>
                    <a:prstGeom prst="rect">
                      <a:avLst/>
                    </a:prstGeom>
                    <a:noFill/>
                    <a:ln w="6350">
                      <a:solidFill>
                        <a:schemeClr val="bg1">
                          <a:lumMod val="65000"/>
                        </a:schemeClr>
                      </a:solidFill>
                    </a:ln>
                  </pic:spPr>
                </pic:pic>
              </a:graphicData>
            </a:graphic>
          </wp:inline>
        </w:drawing>
      </w:r>
    </w:p>
    <w:p w14:paraId="71DF5C72" w14:textId="77777777" w:rsidR="00C7794C" w:rsidRPr="003D0808" w:rsidRDefault="00C7794C" w:rsidP="0024071C">
      <w:pPr>
        <w:spacing w:after="0" w:line="240" w:lineRule="auto"/>
        <w:jc w:val="center"/>
        <w:rPr>
          <w:rFonts w:ascii="Cambria" w:eastAsia="Batang" w:hAnsi="Cambria" w:cs="Times New Roman"/>
          <w:i/>
          <w:noProof/>
          <w:color w:val="8E0000"/>
          <w:sz w:val="20"/>
          <w:szCs w:val="20"/>
          <w:lang w:val="sq-AL"/>
        </w:rPr>
      </w:pPr>
      <w:r w:rsidRPr="003D0808">
        <w:rPr>
          <w:rFonts w:ascii="Cambria" w:eastAsia="Batang" w:hAnsi="Cambria" w:cs="Times New Roman"/>
          <w:b/>
          <w:noProof/>
          <w:color w:val="8E0000"/>
          <w:sz w:val="20"/>
          <w:szCs w:val="20"/>
          <w:lang w:val="sq-AL"/>
        </w:rPr>
        <w:t xml:space="preserve">Burimi: </w:t>
      </w:r>
      <w:r w:rsidRPr="003D0808">
        <w:rPr>
          <w:rFonts w:ascii="Cambria" w:eastAsia="Batang" w:hAnsi="Cambria" w:cs="Times New Roman"/>
          <w:i/>
          <w:noProof/>
          <w:color w:val="8E0000"/>
          <w:sz w:val="20"/>
          <w:szCs w:val="20"/>
          <w:lang w:val="sq-AL"/>
        </w:rPr>
        <w:t>Ministria</w:t>
      </w:r>
      <w:r w:rsidR="0024071C" w:rsidRPr="003D0808">
        <w:rPr>
          <w:rFonts w:ascii="Cambria" w:eastAsia="Batang" w:hAnsi="Cambria" w:cs="Times New Roman"/>
          <w:i/>
          <w:noProof/>
          <w:color w:val="8E0000"/>
          <w:sz w:val="20"/>
          <w:szCs w:val="20"/>
          <w:lang w:val="sq-AL"/>
        </w:rPr>
        <w:t xml:space="preserve"> e Financave dhe Ekonomisë (2019</w:t>
      </w:r>
      <w:r w:rsidRPr="003D0808">
        <w:rPr>
          <w:rFonts w:ascii="Cambria" w:eastAsia="Batang" w:hAnsi="Cambria" w:cs="Times New Roman"/>
          <w:i/>
          <w:noProof/>
          <w:color w:val="8E0000"/>
          <w:sz w:val="20"/>
          <w:szCs w:val="20"/>
          <w:lang w:val="sq-AL"/>
        </w:rPr>
        <w:t>)</w:t>
      </w:r>
    </w:p>
    <w:p w14:paraId="71DF5C73" w14:textId="77777777" w:rsidR="009B24CE" w:rsidRPr="00D933C9" w:rsidRDefault="009B24CE" w:rsidP="008F735C">
      <w:pPr>
        <w:tabs>
          <w:tab w:val="left" w:pos="426"/>
          <w:tab w:val="left" w:pos="567"/>
        </w:tabs>
        <w:spacing w:after="0" w:line="276" w:lineRule="auto"/>
        <w:ind w:right="238"/>
        <w:jc w:val="both"/>
        <w:rPr>
          <w:rFonts w:ascii="Times New Roman" w:eastAsia="Batang" w:hAnsi="Times New Roman" w:cs="Times New Roman"/>
          <w:noProof/>
          <w:sz w:val="16"/>
          <w:szCs w:val="10"/>
          <w:highlight w:val="yellow"/>
          <w:lang w:val="sq-AL"/>
        </w:rPr>
      </w:pPr>
    </w:p>
    <w:p w14:paraId="71DF5C74" w14:textId="77777777" w:rsidR="009B24CE" w:rsidRPr="007C1548" w:rsidRDefault="005A7E6F" w:rsidP="004A70BC">
      <w:pPr>
        <w:pStyle w:val="Heading4"/>
        <w:numPr>
          <w:ilvl w:val="2"/>
          <w:numId w:val="8"/>
        </w:numPr>
        <w:ind w:left="851" w:hanging="851"/>
        <w:rPr>
          <w:noProof/>
        </w:rPr>
      </w:pPr>
      <w:bookmarkStart w:id="73" w:name="_Toc491860996"/>
      <w:bookmarkStart w:id="74" w:name="_Toc491954309"/>
      <w:r w:rsidRPr="007C1548">
        <w:rPr>
          <w:noProof/>
        </w:rPr>
        <w:t>Risku</w:t>
      </w:r>
      <w:r w:rsidR="009B24CE" w:rsidRPr="007C1548">
        <w:rPr>
          <w:noProof/>
        </w:rPr>
        <w:t xml:space="preserve"> i kursit të këmbimit</w:t>
      </w:r>
      <w:bookmarkEnd w:id="73"/>
      <w:bookmarkEnd w:id="74"/>
    </w:p>
    <w:p w14:paraId="71DF5C75" w14:textId="77777777" w:rsidR="009B24CE" w:rsidRPr="007C1548" w:rsidRDefault="009B24CE" w:rsidP="009B24CE">
      <w:pPr>
        <w:spacing w:after="0"/>
        <w:jc w:val="both"/>
        <w:rPr>
          <w:rFonts w:ascii="Times New Roman" w:eastAsia="Batang" w:hAnsi="Times New Roman" w:cs="Times New Roman"/>
          <w:noProof/>
          <w:sz w:val="16"/>
          <w:szCs w:val="10"/>
          <w:lang w:val="sq-AL"/>
        </w:rPr>
      </w:pPr>
    </w:p>
    <w:p w14:paraId="71DF5C76" w14:textId="77777777" w:rsidR="00097511" w:rsidRPr="007C1548" w:rsidRDefault="00E6383A" w:rsidP="000F2369">
      <w:pPr>
        <w:spacing w:after="0" w:line="276" w:lineRule="auto"/>
        <w:ind w:right="238"/>
        <w:jc w:val="both"/>
        <w:rPr>
          <w:rFonts w:ascii="Times New Roman" w:eastAsia="Batang" w:hAnsi="Times New Roman" w:cs="Times New Roman"/>
          <w:noProof/>
          <w:sz w:val="24"/>
          <w:szCs w:val="24"/>
          <w:lang w:val="sq-AL"/>
        </w:rPr>
      </w:pPr>
      <w:r w:rsidRPr="007C1548">
        <w:rPr>
          <w:rFonts w:ascii="Times New Roman" w:eastAsia="Batang" w:hAnsi="Times New Roman" w:cs="Times New Roman"/>
          <w:noProof/>
          <w:sz w:val="24"/>
          <w:szCs w:val="24"/>
          <w:lang w:val="sq-AL"/>
        </w:rPr>
        <w:t>E</w:t>
      </w:r>
      <w:r w:rsidR="009B24CE" w:rsidRPr="007C1548">
        <w:rPr>
          <w:rFonts w:ascii="Times New Roman" w:eastAsia="Batang" w:hAnsi="Times New Roman" w:cs="Times New Roman"/>
          <w:noProof/>
          <w:sz w:val="24"/>
          <w:szCs w:val="24"/>
          <w:lang w:val="sq-AL"/>
        </w:rPr>
        <w:t>kspozimi ndaj r</w:t>
      </w:r>
      <w:r w:rsidR="005A7E6F" w:rsidRPr="007C1548">
        <w:rPr>
          <w:rFonts w:ascii="Times New Roman" w:eastAsia="Batang" w:hAnsi="Times New Roman" w:cs="Times New Roman"/>
          <w:noProof/>
          <w:sz w:val="24"/>
          <w:szCs w:val="24"/>
          <w:lang w:val="sq-AL"/>
        </w:rPr>
        <w:t>iskut</w:t>
      </w:r>
      <w:r w:rsidR="009B24CE" w:rsidRPr="007C1548">
        <w:rPr>
          <w:rFonts w:ascii="Times New Roman" w:eastAsia="Batang" w:hAnsi="Times New Roman" w:cs="Times New Roman"/>
          <w:noProof/>
          <w:sz w:val="24"/>
          <w:szCs w:val="24"/>
          <w:lang w:val="sq-AL"/>
        </w:rPr>
        <w:t xml:space="preserve"> të kursit të këmbimit </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sht</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 xml:space="preserve"> mbajtur n</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n</w:t>
      </w:r>
      <w:r w:rsidR="001E3A67" w:rsidRPr="007C1548">
        <w:rPr>
          <w:rFonts w:ascii="Times New Roman" w:eastAsia="Batang" w:hAnsi="Times New Roman" w:cs="Times New Roman"/>
          <w:noProof/>
          <w:sz w:val="24"/>
          <w:szCs w:val="24"/>
          <w:lang w:val="sq-AL"/>
        </w:rPr>
        <w:t xml:space="preserve"> </w:t>
      </w:r>
      <w:r w:rsidRPr="007C1548">
        <w:rPr>
          <w:rFonts w:ascii="Times New Roman" w:eastAsia="Batang" w:hAnsi="Times New Roman" w:cs="Times New Roman"/>
          <w:noProof/>
          <w:sz w:val="24"/>
          <w:szCs w:val="24"/>
          <w:lang w:val="sq-AL"/>
        </w:rPr>
        <w:t>ko</w:t>
      </w:r>
      <w:r w:rsidR="001E3A67" w:rsidRPr="007C1548">
        <w:rPr>
          <w:rFonts w:ascii="Times New Roman" w:eastAsia="Batang" w:hAnsi="Times New Roman" w:cs="Times New Roman"/>
          <w:noProof/>
          <w:sz w:val="24"/>
          <w:szCs w:val="24"/>
          <w:lang w:val="sq-AL"/>
        </w:rPr>
        <w:t>n</w:t>
      </w:r>
      <w:r w:rsidRPr="007C1548">
        <w:rPr>
          <w:rFonts w:ascii="Times New Roman" w:eastAsia="Batang" w:hAnsi="Times New Roman" w:cs="Times New Roman"/>
          <w:noProof/>
          <w:sz w:val="24"/>
          <w:szCs w:val="24"/>
          <w:lang w:val="sq-AL"/>
        </w:rPr>
        <w:t>troll</w:t>
      </w:r>
      <w:r w:rsidR="009B24CE" w:rsidRPr="007C1548">
        <w:rPr>
          <w:rFonts w:ascii="Times New Roman" w:eastAsia="Batang" w:hAnsi="Times New Roman" w:cs="Times New Roman"/>
          <w:noProof/>
          <w:sz w:val="24"/>
          <w:szCs w:val="24"/>
          <w:lang w:val="sq-AL"/>
        </w:rPr>
        <w:t xml:space="preserve">, pasi stoku i borxhit shtetëror në monedhë të huaj </w:t>
      </w:r>
      <w:r w:rsidRPr="007C1548">
        <w:rPr>
          <w:rFonts w:ascii="Times New Roman" w:eastAsia="Batang" w:hAnsi="Times New Roman" w:cs="Times New Roman"/>
          <w:noProof/>
          <w:sz w:val="24"/>
          <w:szCs w:val="24"/>
          <w:lang w:val="sq-AL"/>
        </w:rPr>
        <w:t>vazhdon t</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 xml:space="preserve"> q</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ndroj</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 xml:space="preserve"> ndjesh</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m n</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n kufirin strategjik dhe at</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 xml:space="preserve"> t</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 xml:space="preserve"> q</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ndrueshm</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ris</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 xml:space="preserve"> s</w:t>
      </w:r>
      <w:r w:rsidR="00754CBC" w:rsidRPr="007C1548">
        <w:rPr>
          <w:rFonts w:ascii="Times New Roman" w:eastAsia="Batang" w:hAnsi="Times New Roman" w:cs="Times New Roman"/>
          <w:noProof/>
          <w:sz w:val="24"/>
          <w:szCs w:val="24"/>
          <w:lang w:val="sq-AL"/>
        </w:rPr>
        <w:t>ë</w:t>
      </w:r>
      <w:r w:rsidRPr="007C1548">
        <w:rPr>
          <w:rFonts w:ascii="Times New Roman" w:eastAsia="Batang" w:hAnsi="Times New Roman" w:cs="Times New Roman"/>
          <w:noProof/>
          <w:sz w:val="24"/>
          <w:szCs w:val="24"/>
          <w:lang w:val="sq-AL"/>
        </w:rPr>
        <w:t xml:space="preserve"> borxhit</w:t>
      </w:r>
      <w:r w:rsidR="009B24CE" w:rsidRPr="007C1548">
        <w:rPr>
          <w:rFonts w:ascii="Times New Roman" w:eastAsia="Batang" w:hAnsi="Times New Roman" w:cs="Times New Roman"/>
          <w:noProof/>
          <w:sz w:val="24"/>
          <w:szCs w:val="24"/>
          <w:lang w:val="sq-AL"/>
        </w:rPr>
        <w:t>.</w:t>
      </w:r>
      <w:r w:rsidRPr="007C1548">
        <w:rPr>
          <w:rFonts w:ascii="Times New Roman" w:eastAsia="Batang" w:hAnsi="Times New Roman" w:cs="Times New Roman"/>
          <w:noProof/>
          <w:sz w:val="24"/>
          <w:szCs w:val="24"/>
          <w:lang w:val="sq-AL"/>
        </w:rPr>
        <w:t xml:space="preserve"> </w:t>
      </w:r>
    </w:p>
    <w:p w14:paraId="71DF5C77" w14:textId="77777777" w:rsidR="00E1511C" w:rsidRPr="007C1548" w:rsidRDefault="00E1511C" w:rsidP="00097511">
      <w:pPr>
        <w:spacing w:after="0" w:line="276" w:lineRule="auto"/>
        <w:ind w:left="284" w:right="238"/>
        <w:jc w:val="both"/>
        <w:rPr>
          <w:rFonts w:ascii="Cambria" w:eastAsia="Batang" w:hAnsi="Cambria" w:cs="Times New Roman"/>
          <w:i/>
          <w:noProof/>
          <w:color w:val="8E0000"/>
          <w:sz w:val="16"/>
          <w:szCs w:val="20"/>
          <w:lang w:val="sq-AL"/>
        </w:rPr>
      </w:pPr>
    </w:p>
    <w:p w14:paraId="71DF5C78" w14:textId="77777777" w:rsidR="00A36535" w:rsidRPr="007C1548" w:rsidRDefault="0091654F" w:rsidP="000F2369">
      <w:pPr>
        <w:spacing w:after="0" w:line="240" w:lineRule="auto"/>
        <w:ind w:left="-91"/>
        <w:jc w:val="center"/>
        <w:rPr>
          <w:rFonts w:ascii="Cambria" w:eastAsia="Batang" w:hAnsi="Cambria" w:cs="Times New Roman"/>
          <w:i/>
          <w:noProof/>
          <w:color w:val="8E0000"/>
          <w:sz w:val="20"/>
          <w:szCs w:val="20"/>
          <w:lang w:val="sq-AL"/>
        </w:rPr>
      </w:pPr>
      <w:r w:rsidRPr="007C1548">
        <w:rPr>
          <w:rFonts w:ascii="Cambria" w:eastAsia="Batang" w:hAnsi="Cambria" w:cs="Times New Roman"/>
          <w:b/>
          <w:noProof/>
          <w:color w:val="8E0000"/>
          <w:sz w:val="20"/>
          <w:szCs w:val="20"/>
          <w:lang w:val="sq-AL"/>
        </w:rPr>
        <w:t xml:space="preserve">     </w:t>
      </w:r>
      <w:r w:rsidR="00750F66" w:rsidRPr="007C1548">
        <w:rPr>
          <w:rFonts w:ascii="Cambria" w:eastAsia="Batang" w:hAnsi="Cambria" w:cs="Times New Roman"/>
          <w:b/>
          <w:noProof/>
          <w:color w:val="8E0000"/>
          <w:sz w:val="20"/>
          <w:szCs w:val="20"/>
          <w:lang w:val="sq-AL"/>
        </w:rPr>
        <w:t>Paraqitje Grafike 5</w:t>
      </w:r>
      <w:r w:rsidR="00097511" w:rsidRPr="007C1548">
        <w:rPr>
          <w:rFonts w:ascii="Cambria" w:eastAsia="Batang" w:hAnsi="Cambria" w:cs="Times New Roman"/>
          <w:b/>
          <w:noProof/>
          <w:color w:val="8E0000"/>
          <w:sz w:val="20"/>
          <w:szCs w:val="20"/>
          <w:lang w:val="sq-AL"/>
        </w:rPr>
        <w:t>.2.3 (a):</w:t>
      </w:r>
      <w:r w:rsidR="00097511" w:rsidRPr="007C1548">
        <w:rPr>
          <w:rFonts w:ascii="Cambria" w:eastAsia="Batang" w:hAnsi="Cambria" w:cs="Times New Roman"/>
          <w:i/>
          <w:noProof/>
          <w:color w:val="8E0000"/>
          <w:sz w:val="20"/>
          <w:szCs w:val="20"/>
          <w:lang w:val="sq-AL"/>
        </w:rPr>
        <w:t xml:space="preserve"> </w:t>
      </w:r>
      <w:r w:rsidRPr="007C1548">
        <w:rPr>
          <w:rFonts w:ascii="Cambria" w:eastAsia="Batang" w:hAnsi="Cambria" w:cs="Times New Roman"/>
          <w:i/>
          <w:noProof/>
          <w:color w:val="8E0000"/>
          <w:sz w:val="20"/>
          <w:szCs w:val="20"/>
          <w:lang w:val="sq-AL"/>
        </w:rPr>
        <w:t>Borxhi</w:t>
      </w:r>
      <w:r w:rsidR="00097511" w:rsidRPr="007C1548">
        <w:rPr>
          <w:rFonts w:ascii="Cambria" w:eastAsia="Batang" w:hAnsi="Cambria" w:cs="Times New Roman"/>
          <w:i/>
          <w:noProof/>
          <w:color w:val="8E0000"/>
          <w:sz w:val="20"/>
          <w:szCs w:val="20"/>
          <w:lang w:val="sq-AL"/>
        </w:rPr>
        <w:t xml:space="preserve"> shtetëror në monedhë të huaj</w:t>
      </w:r>
      <w:r w:rsidR="008F65DC" w:rsidRPr="007C1548">
        <w:rPr>
          <w:rFonts w:ascii="Cambria" w:eastAsia="Batang" w:hAnsi="Cambria" w:cs="Times New Roman"/>
          <w:i/>
          <w:noProof/>
          <w:color w:val="8E0000"/>
          <w:sz w:val="20"/>
          <w:szCs w:val="20"/>
          <w:lang w:val="sq-AL"/>
        </w:rPr>
        <w:t xml:space="preserve"> (2015</w:t>
      </w:r>
      <w:r w:rsidR="00FB134C" w:rsidRPr="007C1548">
        <w:rPr>
          <w:rFonts w:ascii="Cambria" w:eastAsia="Batang" w:hAnsi="Cambria" w:cs="Times New Roman"/>
          <w:i/>
          <w:noProof/>
          <w:color w:val="8E0000"/>
          <w:sz w:val="20"/>
          <w:szCs w:val="20"/>
          <w:lang w:val="sq-AL"/>
        </w:rPr>
        <w:t>-</w:t>
      </w:r>
      <w:r w:rsidR="00E52C6F" w:rsidRPr="007C1548">
        <w:rPr>
          <w:rFonts w:ascii="Cambria" w:eastAsia="Batang" w:hAnsi="Cambria" w:cs="Times New Roman"/>
          <w:i/>
          <w:noProof/>
          <w:color w:val="8E0000"/>
          <w:sz w:val="20"/>
          <w:szCs w:val="20"/>
          <w:lang w:val="sq-AL"/>
        </w:rPr>
        <w:t>Shtator</w:t>
      </w:r>
      <w:r w:rsidR="003A7820" w:rsidRPr="007C1548">
        <w:rPr>
          <w:rFonts w:ascii="Cambria" w:eastAsia="Batang" w:hAnsi="Cambria" w:cs="Times New Roman"/>
          <w:i/>
          <w:noProof/>
          <w:color w:val="8E0000"/>
          <w:sz w:val="20"/>
          <w:szCs w:val="20"/>
          <w:lang w:val="sq-AL"/>
        </w:rPr>
        <w:t xml:space="preserve"> 2019</w:t>
      </w:r>
      <w:r w:rsidR="00FB134C" w:rsidRPr="007C1548">
        <w:rPr>
          <w:rFonts w:ascii="Cambria" w:eastAsia="Batang" w:hAnsi="Cambria" w:cs="Times New Roman"/>
          <w:i/>
          <w:noProof/>
          <w:color w:val="8E0000"/>
          <w:sz w:val="20"/>
          <w:szCs w:val="20"/>
          <w:lang w:val="sq-AL"/>
        </w:rPr>
        <w:t>)</w:t>
      </w:r>
    </w:p>
    <w:p w14:paraId="71DF5C79" w14:textId="77777777" w:rsidR="007C1548" w:rsidRPr="007C1548" w:rsidRDefault="007C1548" w:rsidP="007C1548">
      <w:pPr>
        <w:spacing w:after="0" w:line="240" w:lineRule="auto"/>
        <w:rPr>
          <w:rFonts w:ascii="Cambria" w:eastAsia="Batang" w:hAnsi="Cambria" w:cs="Times New Roman"/>
          <w:b/>
          <w:noProof/>
          <w:color w:val="8E0000"/>
          <w:sz w:val="20"/>
          <w:szCs w:val="20"/>
          <w:lang w:val="sq-AL"/>
        </w:rPr>
      </w:pPr>
      <w:r w:rsidRPr="007C1548">
        <w:rPr>
          <w:rFonts w:ascii="Cambria" w:eastAsia="Batang" w:hAnsi="Cambria" w:cs="Times New Roman"/>
          <w:b/>
          <w:noProof/>
          <w:color w:val="8E0000"/>
          <w:sz w:val="20"/>
          <w:szCs w:val="20"/>
        </w:rPr>
        <w:drawing>
          <wp:inline distT="0" distB="0" distL="0" distR="0" wp14:anchorId="71DF5F7F" wp14:editId="71DF5F80">
            <wp:extent cx="5543550" cy="2105025"/>
            <wp:effectExtent l="19050" t="19050" r="19050" b="2857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43550" cy="2105025"/>
                    </a:xfrm>
                    <a:prstGeom prst="rect">
                      <a:avLst/>
                    </a:prstGeom>
                    <a:noFill/>
                    <a:ln>
                      <a:solidFill>
                        <a:schemeClr val="bg1">
                          <a:lumMod val="75000"/>
                        </a:schemeClr>
                      </a:solidFill>
                    </a:ln>
                  </pic:spPr>
                </pic:pic>
              </a:graphicData>
            </a:graphic>
          </wp:inline>
        </w:drawing>
      </w:r>
    </w:p>
    <w:p w14:paraId="71DF5C7A" w14:textId="77777777" w:rsidR="001E3A67" w:rsidRPr="007C1548" w:rsidRDefault="001E3A67" w:rsidP="001E3A67">
      <w:pPr>
        <w:spacing w:after="0" w:line="240" w:lineRule="auto"/>
        <w:jc w:val="center"/>
        <w:rPr>
          <w:rFonts w:ascii="Cambria" w:eastAsia="Batang" w:hAnsi="Cambria" w:cs="Times New Roman"/>
          <w:i/>
          <w:noProof/>
          <w:color w:val="8E0000"/>
          <w:sz w:val="20"/>
          <w:szCs w:val="20"/>
          <w:lang w:val="sq-AL"/>
        </w:rPr>
      </w:pPr>
      <w:r w:rsidRPr="007C1548">
        <w:rPr>
          <w:rFonts w:ascii="Cambria" w:eastAsia="Batang" w:hAnsi="Cambria" w:cs="Times New Roman"/>
          <w:b/>
          <w:noProof/>
          <w:color w:val="8E0000"/>
          <w:sz w:val="20"/>
          <w:szCs w:val="20"/>
          <w:lang w:val="sq-AL"/>
        </w:rPr>
        <w:t xml:space="preserve">Burimi: </w:t>
      </w:r>
      <w:r w:rsidRPr="007C1548">
        <w:rPr>
          <w:rFonts w:ascii="Cambria" w:eastAsia="Batang" w:hAnsi="Cambria" w:cs="Times New Roman"/>
          <w:i/>
          <w:noProof/>
          <w:color w:val="8E0000"/>
          <w:sz w:val="20"/>
          <w:szCs w:val="20"/>
          <w:lang w:val="sq-AL"/>
        </w:rPr>
        <w:t>Ministria</w:t>
      </w:r>
      <w:r w:rsidR="003A7820" w:rsidRPr="007C1548">
        <w:rPr>
          <w:rFonts w:ascii="Cambria" w:eastAsia="Batang" w:hAnsi="Cambria" w:cs="Times New Roman"/>
          <w:i/>
          <w:noProof/>
          <w:color w:val="8E0000"/>
          <w:sz w:val="20"/>
          <w:szCs w:val="20"/>
          <w:lang w:val="sq-AL"/>
        </w:rPr>
        <w:t xml:space="preserve"> e Financave dhe Ekonomisë (2019</w:t>
      </w:r>
      <w:r w:rsidRPr="007C1548">
        <w:rPr>
          <w:rFonts w:ascii="Cambria" w:eastAsia="Batang" w:hAnsi="Cambria" w:cs="Times New Roman"/>
          <w:i/>
          <w:noProof/>
          <w:color w:val="8E0000"/>
          <w:sz w:val="20"/>
          <w:szCs w:val="20"/>
          <w:lang w:val="sq-AL"/>
        </w:rPr>
        <w:t>)</w:t>
      </w:r>
    </w:p>
    <w:p w14:paraId="71DF5C7B" w14:textId="77777777" w:rsidR="003A18E2" w:rsidRPr="007C1548" w:rsidRDefault="003A18E2" w:rsidP="00F2183C">
      <w:pPr>
        <w:spacing w:after="0"/>
        <w:jc w:val="center"/>
        <w:rPr>
          <w:rFonts w:ascii="Cambria" w:eastAsia="Batang" w:hAnsi="Cambria" w:cs="Times New Roman"/>
          <w:i/>
          <w:noProof/>
          <w:color w:val="C00000"/>
          <w:sz w:val="16"/>
          <w:szCs w:val="20"/>
          <w:lang w:val="sq-AL"/>
        </w:rPr>
      </w:pPr>
    </w:p>
    <w:p w14:paraId="71DF5C7C" w14:textId="77777777" w:rsidR="009B24CE" w:rsidRPr="000F5C13" w:rsidRDefault="009B24CE" w:rsidP="000F2369">
      <w:pPr>
        <w:spacing w:after="0" w:line="276" w:lineRule="auto"/>
        <w:ind w:right="237"/>
        <w:jc w:val="both"/>
        <w:rPr>
          <w:rFonts w:ascii="Times New Roman" w:eastAsia="Batang" w:hAnsi="Times New Roman" w:cs="Times New Roman"/>
          <w:noProof/>
          <w:sz w:val="24"/>
          <w:szCs w:val="24"/>
          <w:lang w:val="sq-AL"/>
        </w:rPr>
      </w:pPr>
      <w:r w:rsidRPr="007C1548">
        <w:rPr>
          <w:rFonts w:ascii="Times New Roman" w:eastAsia="Batang" w:hAnsi="Times New Roman" w:cs="Times New Roman"/>
          <w:noProof/>
          <w:sz w:val="24"/>
          <w:szCs w:val="24"/>
          <w:lang w:val="sq-AL"/>
        </w:rPr>
        <w:t xml:space="preserve">Portofoli i borxhit shtetëror në </w:t>
      </w:r>
      <w:r w:rsidR="00E6383A" w:rsidRPr="007C1548">
        <w:rPr>
          <w:rFonts w:ascii="Times New Roman" w:eastAsia="Batang" w:hAnsi="Times New Roman" w:cs="Times New Roman"/>
          <w:noProof/>
          <w:sz w:val="24"/>
          <w:szCs w:val="24"/>
          <w:lang w:val="sq-AL"/>
        </w:rPr>
        <w:t>monedhë t</w:t>
      </w:r>
      <w:r w:rsidR="00754CBC" w:rsidRPr="007C1548">
        <w:rPr>
          <w:rFonts w:ascii="Times New Roman" w:eastAsia="Batang" w:hAnsi="Times New Roman" w:cs="Times New Roman"/>
          <w:noProof/>
          <w:sz w:val="24"/>
          <w:szCs w:val="24"/>
          <w:lang w:val="sq-AL"/>
        </w:rPr>
        <w:t>ë</w:t>
      </w:r>
      <w:r w:rsidR="00E6383A" w:rsidRPr="007C1548">
        <w:rPr>
          <w:rFonts w:ascii="Times New Roman" w:eastAsia="Batang" w:hAnsi="Times New Roman" w:cs="Times New Roman"/>
          <w:noProof/>
          <w:sz w:val="24"/>
          <w:szCs w:val="24"/>
          <w:lang w:val="sq-AL"/>
        </w:rPr>
        <w:t xml:space="preserve"> huaj gjat</w:t>
      </w:r>
      <w:r w:rsidR="00754CBC" w:rsidRPr="007C1548">
        <w:rPr>
          <w:rFonts w:ascii="Times New Roman" w:eastAsia="Batang" w:hAnsi="Times New Roman" w:cs="Times New Roman"/>
          <w:noProof/>
          <w:sz w:val="24"/>
          <w:szCs w:val="24"/>
          <w:lang w:val="sq-AL"/>
        </w:rPr>
        <w:t>ë</w:t>
      </w:r>
      <w:r w:rsidR="00E6383A" w:rsidRPr="007C1548">
        <w:rPr>
          <w:rFonts w:ascii="Times New Roman" w:eastAsia="Batang" w:hAnsi="Times New Roman" w:cs="Times New Roman"/>
          <w:noProof/>
          <w:sz w:val="24"/>
          <w:szCs w:val="24"/>
          <w:lang w:val="sq-AL"/>
        </w:rPr>
        <w:t xml:space="preserve"> viteve t</w:t>
      </w:r>
      <w:r w:rsidR="00754CBC" w:rsidRPr="007C1548">
        <w:rPr>
          <w:rFonts w:ascii="Times New Roman" w:eastAsia="Batang" w:hAnsi="Times New Roman" w:cs="Times New Roman"/>
          <w:noProof/>
          <w:sz w:val="24"/>
          <w:szCs w:val="24"/>
          <w:lang w:val="sq-AL"/>
        </w:rPr>
        <w:t>ë</w:t>
      </w:r>
      <w:r w:rsidR="00E6383A" w:rsidRPr="007C1548">
        <w:rPr>
          <w:rFonts w:ascii="Times New Roman" w:eastAsia="Batang" w:hAnsi="Times New Roman" w:cs="Times New Roman"/>
          <w:noProof/>
          <w:sz w:val="24"/>
          <w:szCs w:val="24"/>
          <w:lang w:val="sq-AL"/>
        </w:rPr>
        <w:t xml:space="preserve"> fundit </w:t>
      </w:r>
      <w:r w:rsidR="00E077D6" w:rsidRPr="007C1548">
        <w:rPr>
          <w:rFonts w:ascii="Times New Roman" w:eastAsia="Batang" w:hAnsi="Times New Roman" w:cs="Times New Roman"/>
          <w:noProof/>
          <w:sz w:val="24"/>
          <w:szCs w:val="24"/>
          <w:lang w:val="sq-AL"/>
        </w:rPr>
        <w:t>ka pasur tendenc</w:t>
      </w:r>
      <w:r w:rsidR="001E3A67" w:rsidRPr="007C1548">
        <w:rPr>
          <w:rFonts w:ascii="Times New Roman" w:eastAsia="Batang" w:hAnsi="Times New Roman" w:cs="Times New Roman"/>
          <w:noProof/>
          <w:sz w:val="24"/>
          <w:szCs w:val="24"/>
          <w:lang w:val="sq-AL"/>
        </w:rPr>
        <w:t>ë</w:t>
      </w:r>
      <w:r w:rsidR="00E077D6" w:rsidRPr="007C1548">
        <w:rPr>
          <w:rFonts w:ascii="Times New Roman" w:eastAsia="Batang" w:hAnsi="Times New Roman" w:cs="Times New Roman"/>
          <w:noProof/>
          <w:sz w:val="24"/>
          <w:szCs w:val="24"/>
          <w:lang w:val="sq-AL"/>
        </w:rPr>
        <w:t xml:space="preserve"> </w:t>
      </w:r>
      <w:r w:rsidRPr="007C1548">
        <w:rPr>
          <w:rFonts w:ascii="Times New Roman" w:eastAsia="Batang" w:hAnsi="Times New Roman" w:cs="Times New Roman"/>
          <w:noProof/>
          <w:sz w:val="24"/>
          <w:szCs w:val="24"/>
          <w:lang w:val="sq-AL"/>
        </w:rPr>
        <w:t>diversifik</w:t>
      </w:r>
      <w:r w:rsidR="00E077D6" w:rsidRPr="007C1548">
        <w:rPr>
          <w:rFonts w:ascii="Times New Roman" w:eastAsia="Batang" w:hAnsi="Times New Roman" w:cs="Times New Roman"/>
          <w:noProof/>
          <w:sz w:val="24"/>
          <w:szCs w:val="24"/>
          <w:lang w:val="sq-AL"/>
        </w:rPr>
        <w:t xml:space="preserve">imi </w:t>
      </w:r>
      <w:r w:rsidRPr="007C1548">
        <w:rPr>
          <w:rFonts w:ascii="Times New Roman" w:eastAsia="Batang" w:hAnsi="Times New Roman" w:cs="Times New Roman"/>
          <w:noProof/>
          <w:sz w:val="24"/>
          <w:szCs w:val="24"/>
          <w:lang w:val="sq-AL"/>
        </w:rPr>
        <w:t>në drejtim të uljes së peshës së monedhës Euro dhe rritjes së peshës së monedhave të tjera. Pavarësisht këtij zhvillimi, portofoli i borxhit</w:t>
      </w:r>
      <w:r w:rsidR="00097511" w:rsidRPr="007C1548">
        <w:rPr>
          <w:rFonts w:ascii="Times New Roman" w:eastAsia="Batang" w:hAnsi="Times New Roman" w:cs="Times New Roman"/>
          <w:noProof/>
          <w:sz w:val="24"/>
          <w:szCs w:val="24"/>
          <w:lang w:val="sq-AL"/>
        </w:rPr>
        <w:t xml:space="preserve"> të jasht</w:t>
      </w:r>
      <w:r w:rsidR="006554BA" w:rsidRPr="007C1548">
        <w:rPr>
          <w:rFonts w:ascii="Times New Roman" w:eastAsia="Batang" w:hAnsi="Times New Roman" w:cs="Times New Roman"/>
          <w:noProof/>
          <w:sz w:val="24"/>
          <w:szCs w:val="24"/>
          <w:lang w:val="sq-AL"/>
        </w:rPr>
        <w:t>ë</w:t>
      </w:r>
      <w:r w:rsidR="00097511" w:rsidRPr="007C1548">
        <w:rPr>
          <w:rFonts w:ascii="Times New Roman" w:eastAsia="Batang" w:hAnsi="Times New Roman" w:cs="Times New Roman"/>
          <w:noProof/>
          <w:sz w:val="24"/>
          <w:szCs w:val="24"/>
          <w:lang w:val="sq-AL"/>
        </w:rPr>
        <w:t>m</w:t>
      </w:r>
      <w:r w:rsidRPr="007C1548">
        <w:rPr>
          <w:rFonts w:ascii="Times New Roman" w:eastAsia="Batang" w:hAnsi="Times New Roman" w:cs="Times New Roman"/>
          <w:noProof/>
          <w:sz w:val="24"/>
          <w:szCs w:val="24"/>
          <w:lang w:val="sq-AL"/>
        </w:rPr>
        <w:t xml:space="preserve"> vazhdon</w:t>
      </w:r>
      <w:r w:rsidR="00097511" w:rsidRPr="007C1548">
        <w:rPr>
          <w:rFonts w:ascii="Times New Roman" w:eastAsia="Batang" w:hAnsi="Times New Roman" w:cs="Times New Roman"/>
          <w:noProof/>
          <w:sz w:val="24"/>
          <w:szCs w:val="24"/>
          <w:lang w:val="sq-AL"/>
        </w:rPr>
        <w:t xml:space="preserve"> të jetë </w:t>
      </w:r>
      <w:r w:rsidR="00097511" w:rsidRPr="00693652">
        <w:rPr>
          <w:rFonts w:ascii="Times New Roman" w:eastAsia="Batang" w:hAnsi="Times New Roman" w:cs="Times New Roman"/>
          <w:noProof/>
          <w:sz w:val="24"/>
          <w:szCs w:val="24"/>
          <w:lang w:val="sq-AL"/>
        </w:rPr>
        <w:lastRenderedPageBreak/>
        <w:t>i përq</w:t>
      </w:r>
      <w:r w:rsidR="002226D5" w:rsidRPr="00693652">
        <w:rPr>
          <w:rFonts w:ascii="Times New Roman" w:eastAsia="Batang" w:hAnsi="Times New Roman" w:cs="Times New Roman"/>
          <w:noProof/>
          <w:sz w:val="24"/>
          <w:szCs w:val="24"/>
          <w:lang w:val="sq-AL"/>
        </w:rPr>
        <w:t>e</w:t>
      </w:r>
      <w:r w:rsidR="00097511" w:rsidRPr="00693652">
        <w:rPr>
          <w:rFonts w:ascii="Times New Roman" w:eastAsia="Batang" w:hAnsi="Times New Roman" w:cs="Times New Roman"/>
          <w:noProof/>
          <w:sz w:val="24"/>
          <w:szCs w:val="24"/>
          <w:lang w:val="sq-AL"/>
        </w:rPr>
        <w:t>ndruar në mbi 6</w:t>
      </w:r>
      <w:r w:rsidR="001E3A67" w:rsidRPr="00693652">
        <w:rPr>
          <w:rFonts w:ascii="Times New Roman" w:eastAsia="Batang" w:hAnsi="Times New Roman" w:cs="Times New Roman"/>
          <w:noProof/>
          <w:sz w:val="24"/>
          <w:szCs w:val="24"/>
          <w:lang w:val="sq-AL"/>
        </w:rPr>
        <w:t>0</w:t>
      </w:r>
      <w:r w:rsidRPr="00693652">
        <w:rPr>
          <w:rFonts w:ascii="Times New Roman" w:eastAsia="Batang" w:hAnsi="Times New Roman" w:cs="Times New Roman"/>
          <w:noProof/>
          <w:sz w:val="24"/>
          <w:szCs w:val="24"/>
          <w:lang w:val="sq-AL"/>
        </w:rPr>
        <w:t>%</w:t>
      </w:r>
      <w:r w:rsidRPr="00693652">
        <w:rPr>
          <w:rFonts w:ascii="Times New Roman" w:eastAsia="Batang" w:hAnsi="Times New Roman" w:cs="Times New Roman"/>
          <w:noProof/>
          <w:sz w:val="24"/>
          <w:szCs w:val="24"/>
          <w:vertAlign w:val="superscript"/>
          <w:lang w:val="sq-AL"/>
        </w:rPr>
        <w:footnoteReference w:id="4"/>
      </w:r>
      <w:r w:rsidR="00A02BCC" w:rsidRPr="00693652">
        <w:rPr>
          <w:rFonts w:ascii="Times New Roman" w:eastAsia="Batang" w:hAnsi="Times New Roman" w:cs="Times New Roman"/>
          <w:noProof/>
          <w:sz w:val="24"/>
          <w:szCs w:val="24"/>
          <w:lang w:val="sq-AL"/>
        </w:rPr>
        <w:t xml:space="preserve"> në monedhën Euro</w:t>
      </w:r>
      <w:r w:rsidRPr="00693652">
        <w:rPr>
          <w:rFonts w:ascii="Times New Roman" w:eastAsia="Batang" w:hAnsi="Times New Roman" w:cs="Times New Roman"/>
          <w:noProof/>
          <w:sz w:val="24"/>
          <w:szCs w:val="24"/>
          <w:lang w:val="sq-AL"/>
        </w:rPr>
        <w:t xml:space="preserve">, duke e bërë atë të ndjeshëm ndaj luhatjeve të </w:t>
      </w:r>
      <w:r w:rsidR="006D05FE" w:rsidRPr="00693652">
        <w:rPr>
          <w:rFonts w:ascii="Times New Roman" w:eastAsia="Batang" w:hAnsi="Times New Roman" w:cs="Times New Roman"/>
          <w:noProof/>
          <w:sz w:val="24"/>
          <w:szCs w:val="24"/>
          <w:lang w:val="sq-AL"/>
        </w:rPr>
        <w:t xml:space="preserve">kësaj monedhe. </w:t>
      </w:r>
      <w:r w:rsidR="00787747" w:rsidRPr="00693652">
        <w:rPr>
          <w:rFonts w:ascii="Times New Roman" w:eastAsia="Batang" w:hAnsi="Times New Roman" w:cs="Times New Roman"/>
          <w:noProof/>
          <w:sz w:val="24"/>
          <w:szCs w:val="24"/>
          <w:lang w:val="sq-AL"/>
        </w:rPr>
        <w:t>Megjithat</w:t>
      </w:r>
      <w:r w:rsidR="00754CBC" w:rsidRPr="00693652">
        <w:rPr>
          <w:rFonts w:ascii="Times New Roman" w:eastAsia="Batang" w:hAnsi="Times New Roman" w:cs="Times New Roman"/>
          <w:noProof/>
          <w:sz w:val="24"/>
          <w:szCs w:val="24"/>
          <w:lang w:val="sq-AL"/>
        </w:rPr>
        <w:t>ë</w:t>
      </w:r>
      <w:r w:rsidR="00787747" w:rsidRPr="00693652">
        <w:rPr>
          <w:rFonts w:ascii="Times New Roman" w:eastAsia="Batang" w:hAnsi="Times New Roman" w:cs="Times New Roman"/>
          <w:noProof/>
          <w:sz w:val="24"/>
          <w:szCs w:val="24"/>
          <w:lang w:val="sq-AL"/>
        </w:rPr>
        <w:t xml:space="preserve">, </w:t>
      </w:r>
      <w:r w:rsidR="002267DD" w:rsidRPr="00693652">
        <w:rPr>
          <w:rFonts w:ascii="Times New Roman" w:eastAsia="Batang" w:hAnsi="Times New Roman" w:cs="Times New Roman"/>
          <w:noProof/>
          <w:sz w:val="24"/>
          <w:szCs w:val="24"/>
          <w:lang w:val="sq-AL"/>
        </w:rPr>
        <w:t>p</w:t>
      </w:r>
      <w:r w:rsidR="00754CBC" w:rsidRPr="00693652">
        <w:rPr>
          <w:rFonts w:ascii="Times New Roman" w:eastAsia="Batang" w:hAnsi="Times New Roman" w:cs="Times New Roman"/>
          <w:noProof/>
          <w:sz w:val="24"/>
          <w:szCs w:val="24"/>
          <w:lang w:val="sq-AL"/>
        </w:rPr>
        <w:t>ë</w:t>
      </w:r>
      <w:r w:rsidR="002267DD" w:rsidRPr="00693652">
        <w:rPr>
          <w:rFonts w:ascii="Times New Roman" w:eastAsia="Batang" w:hAnsi="Times New Roman" w:cs="Times New Roman"/>
          <w:noProof/>
          <w:sz w:val="24"/>
          <w:szCs w:val="24"/>
          <w:lang w:val="sq-AL"/>
        </w:rPr>
        <w:t>rqendrimi i lart</w:t>
      </w:r>
      <w:r w:rsidR="00754CBC" w:rsidRPr="00693652">
        <w:rPr>
          <w:rFonts w:ascii="Times New Roman" w:eastAsia="Batang" w:hAnsi="Times New Roman" w:cs="Times New Roman"/>
          <w:noProof/>
          <w:sz w:val="24"/>
          <w:szCs w:val="24"/>
          <w:lang w:val="sq-AL"/>
        </w:rPr>
        <w:t>ë</w:t>
      </w:r>
      <w:r w:rsidR="002267DD" w:rsidRPr="00693652">
        <w:rPr>
          <w:rFonts w:ascii="Times New Roman" w:eastAsia="Batang" w:hAnsi="Times New Roman" w:cs="Times New Roman"/>
          <w:noProof/>
          <w:sz w:val="24"/>
          <w:szCs w:val="24"/>
          <w:lang w:val="sq-AL"/>
        </w:rPr>
        <w:t xml:space="preserve"> i borxhit n</w:t>
      </w:r>
      <w:r w:rsidR="00754CBC" w:rsidRPr="00693652">
        <w:rPr>
          <w:rFonts w:ascii="Times New Roman" w:eastAsia="Batang" w:hAnsi="Times New Roman" w:cs="Times New Roman"/>
          <w:noProof/>
          <w:sz w:val="24"/>
          <w:szCs w:val="24"/>
          <w:lang w:val="sq-AL"/>
        </w:rPr>
        <w:t>ë</w:t>
      </w:r>
      <w:r w:rsidR="002267DD" w:rsidRPr="00693652">
        <w:rPr>
          <w:rFonts w:ascii="Times New Roman" w:eastAsia="Batang" w:hAnsi="Times New Roman" w:cs="Times New Roman"/>
          <w:noProof/>
          <w:sz w:val="24"/>
          <w:szCs w:val="24"/>
          <w:lang w:val="sq-AL"/>
        </w:rPr>
        <w:t xml:space="preserve"> </w:t>
      </w:r>
      <w:r w:rsidR="001B7183" w:rsidRPr="00693652">
        <w:rPr>
          <w:rFonts w:ascii="Times New Roman" w:eastAsia="Batang" w:hAnsi="Times New Roman" w:cs="Times New Roman"/>
          <w:noProof/>
          <w:sz w:val="24"/>
          <w:szCs w:val="24"/>
          <w:lang w:val="sq-AL"/>
        </w:rPr>
        <w:t>monedh</w:t>
      </w:r>
      <w:r w:rsidR="00754CBC"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 xml:space="preserve">n </w:t>
      </w:r>
      <w:r w:rsidR="002267DD" w:rsidRPr="00693652">
        <w:rPr>
          <w:rFonts w:ascii="Times New Roman" w:eastAsia="Batang" w:hAnsi="Times New Roman" w:cs="Times New Roman"/>
          <w:noProof/>
          <w:sz w:val="24"/>
          <w:szCs w:val="24"/>
          <w:lang w:val="sq-AL"/>
        </w:rPr>
        <w:t>Euro</w:t>
      </w:r>
      <w:r w:rsidR="001E3A67" w:rsidRPr="00693652">
        <w:rPr>
          <w:rFonts w:ascii="Times New Roman" w:eastAsia="Batang" w:hAnsi="Times New Roman" w:cs="Times New Roman"/>
          <w:noProof/>
          <w:sz w:val="24"/>
          <w:szCs w:val="24"/>
          <w:lang w:val="sq-AL"/>
        </w:rPr>
        <w:t xml:space="preserve"> nuk ka krijuar kosto shtes</w:t>
      </w:r>
      <w:r w:rsidR="004D1E37" w:rsidRPr="00693652">
        <w:rPr>
          <w:rFonts w:ascii="Times New Roman" w:eastAsia="Batang" w:hAnsi="Times New Roman" w:cs="Times New Roman"/>
          <w:noProof/>
          <w:sz w:val="24"/>
          <w:szCs w:val="24"/>
          <w:lang w:val="sq-AL"/>
        </w:rPr>
        <w:t>ë</w:t>
      </w:r>
      <w:r w:rsidR="001E3A67" w:rsidRPr="00693652">
        <w:rPr>
          <w:rFonts w:ascii="Times New Roman" w:eastAsia="Batang" w:hAnsi="Times New Roman" w:cs="Times New Roman"/>
          <w:noProof/>
          <w:sz w:val="24"/>
          <w:szCs w:val="24"/>
          <w:lang w:val="sq-AL"/>
        </w:rPr>
        <w:t xml:space="preserve"> </w:t>
      </w:r>
      <w:r w:rsidR="00E64FD3" w:rsidRPr="00693652">
        <w:rPr>
          <w:rFonts w:ascii="Times New Roman" w:eastAsia="Batang" w:hAnsi="Times New Roman" w:cs="Times New Roman"/>
          <w:noProof/>
          <w:sz w:val="24"/>
          <w:szCs w:val="24"/>
          <w:lang w:val="sq-AL"/>
        </w:rPr>
        <w:t>p</w:t>
      </w:r>
      <w:r w:rsidR="004D1E37" w:rsidRPr="00693652">
        <w:rPr>
          <w:rFonts w:ascii="Times New Roman" w:eastAsia="Batang" w:hAnsi="Times New Roman" w:cs="Times New Roman"/>
          <w:noProof/>
          <w:sz w:val="24"/>
          <w:szCs w:val="24"/>
          <w:lang w:val="sq-AL"/>
        </w:rPr>
        <w:t>ë</w:t>
      </w:r>
      <w:r w:rsidR="00E64FD3" w:rsidRPr="00693652">
        <w:rPr>
          <w:rFonts w:ascii="Times New Roman" w:eastAsia="Batang" w:hAnsi="Times New Roman" w:cs="Times New Roman"/>
          <w:noProof/>
          <w:sz w:val="24"/>
          <w:szCs w:val="24"/>
          <w:lang w:val="sq-AL"/>
        </w:rPr>
        <w:t>r shkak t</w:t>
      </w:r>
      <w:r w:rsidR="004D1E37" w:rsidRPr="00693652">
        <w:rPr>
          <w:rFonts w:ascii="Times New Roman" w:eastAsia="Batang" w:hAnsi="Times New Roman" w:cs="Times New Roman"/>
          <w:noProof/>
          <w:sz w:val="24"/>
          <w:szCs w:val="24"/>
          <w:lang w:val="sq-AL"/>
        </w:rPr>
        <w:t>ë</w:t>
      </w:r>
      <w:r w:rsidR="00E64FD3" w:rsidRPr="00693652">
        <w:rPr>
          <w:rFonts w:ascii="Times New Roman" w:eastAsia="Batang" w:hAnsi="Times New Roman" w:cs="Times New Roman"/>
          <w:noProof/>
          <w:sz w:val="24"/>
          <w:szCs w:val="24"/>
          <w:lang w:val="sq-AL"/>
        </w:rPr>
        <w:t xml:space="preserve"> mbiçmimit t</w:t>
      </w:r>
      <w:r w:rsidR="004D1E37" w:rsidRPr="00693652">
        <w:rPr>
          <w:rFonts w:ascii="Times New Roman" w:eastAsia="Batang" w:hAnsi="Times New Roman" w:cs="Times New Roman"/>
          <w:noProof/>
          <w:sz w:val="24"/>
          <w:szCs w:val="24"/>
          <w:lang w:val="sq-AL"/>
        </w:rPr>
        <w:t>ë</w:t>
      </w:r>
      <w:r w:rsidR="00E64FD3" w:rsidRPr="00693652">
        <w:rPr>
          <w:rFonts w:ascii="Times New Roman" w:eastAsia="Batang" w:hAnsi="Times New Roman" w:cs="Times New Roman"/>
          <w:noProof/>
          <w:sz w:val="24"/>
          <w:szCs w:val="24"/>
          <w:lang w:val="sq-AL"/>
        </w:rPr>
        <w:t xml:space="preserve"> monedh</w:t>
      </w:r>
      <w:r w:rsidR="004D1E37" w:rsidRPr="00693652">
        <w:rPr>
          <w:rFonts w:ascii="Times New Roman" w:eastAsia="Batang" w:hAnsi="Times New Roman" w:cs="Times New Roman"/>
          <w:noProof/>
          <w:sz w:val="24"/>
          <w:szCs w:val="24"/>
          <w:lang w:val="sq-AL"/>
        </w:rPr>
        <w:t>ë</w:t>
      </w:r>
      <w:r w:rsidR="00E64FD3" w:rsidRPr="00693652">
        <w:rPr>
          <w:rFonts w:ascii="Times New Roman" w:eastAsia="Batang" w:hAnsi="Times New Roman" w:cs="Times New Roman"/>
          <w:noProof/>
          <w:sz w:val="24"/>
          <w:szCs w:val="24"/>
          <w:lang w:val="sq-AL"/>
        </w:rPr>
        <w:t>s vendase</w:t>
      </w:r>
      <w:r w:rsidR="001B7183" w:rsidRPr="00693652">
        <w:rPr>
          <w:rFonts w:ascii="Times New Roman" w:eastAsia="Batang" w:hAnsi="Times New Roman" w:cs="Times New Roman"/>
          <w:noProof/>
          <w:sz w:val="24"/>
          <w:szCs w:val="24"/>
          <w:lang w:val="sq-AL"/>
        </w:rPr>
        <w:t xml:space="preserve"> </w:t>
      </w:r>
      <w:r w:rsidR="00E64FD3" w:rsidRPr="00693652">
        <w:rPr>
          <w:rFonts w:ascii="Times New Roman" w:eastAsia="Batang" w:hAnsi="Times New Roman" w:cs="Times New Roman"/>
          <w:noProof/>
          <w:sz w:val="24"/>
          <w:szCs w:val="24"/>
          <w:lang w:val="sq-AL"/>
        </w:rPr>
        <w:t>dhe p</w:t>
      </w:r>
      <w:r w:rsidR="004D1E37" w:rsidRPr="00693652">
        <w:rPr>
          <w:rFonts w:ascii="Times New Roman" w:eastAsia="Batang" w:hAnsi="Times New Roman" w:cs="Times New Roman"/>
          <w:noProof/>
          <w:sz w:val="24"/>
          <w:szCs w:val="24"/>
          <w:lang w:val="sq-AL"/>
        </w:rPr>
        <w:t>ë</w:t>
      </w:r>
      <w:r w:rsidR="00E64FD3" w:rsidRPr="00693652">
        <w:rPr>
          <w:rFonts w:ascii="Times New Roman" w:eastAsia="Batang" w:hAnsi="Times New Roman" w:cs="Times New Roman"/>
          <w:noProof/>
          <w:sz w:val="24"/>
          <w:szCs w:val="24"/>
          <w:lang w:val="sq-AL"/>
        </w:rPr>
        <w:t>r shkak</w:t>
      </w:r>
      <w:r w:rsidR="001B7183" w:rsidRPr="00693652">
        <w:rPr>
          <w:rFonts w:ascii="Times New Roman" w:eastAsia="Batang" w:hAnsi="Times New Roman" w:cs="Times New Roman"/>
          <w:noProof/>
          <w:sz w:val="24"/>
          <w:szCs w:val="24"/>
          <w:lang w:val="sq-AL"/>
        </w:rPr>
        <w:t xml:space="preserve"> </w:t>
      </w:r>
      <w:r w:rsidR="00E64FD3" w:rsidRPr="00693652">
        <w:rPr>
          <w:rFonts w:ascii="Times New Roman" w:eastAsia="Batang" w:hAnsi="Times New Roman" w:cs="Times New Roman"/>
          <w:noProof/>
          <w:sz w:val="24"/>
          <w:szCs w:val="24"/>
          <w:lang w:val="sq-AL"/>
        </w:rPr>
        <w:t>t</w:t>
      </w:r>
      <w:r w:rsidR="004D1E37" w:rsidRPr="00693652">
        <w:rPr>
          <w:rFonts w:ascii="Times New Roman" w:eastAsia="Batang" w:hAnsi="Times New Roman" w:cs="Times New Roman"/>
          <w:noProof/>
          <w:sz w:val="24"/>
          <w:szCs w:val="24"/>
          <w:lang w:val="sq-AL"/>
        </w:rPr>
        <w:t>ë</w:t>
      </w:r>
      <w:r w:rsidR="00E64FD3" w:rsidRPr="00693652">
        <w:rPr>
          <w:rFonts w:ascii="Times New Roman" w:eastAsia="Batang" w:hAnsi="Times New Roman" w:cs="Times New Roman"/>
          <w:noProof/>
          <w:sz w:val="24"/>
          <w:szCs w:val="24"/>
          <w:lang w:val="sq-AL"/>
        </w:rPr>
        <w:t xml:space="preserve"> l</w:t>
      </w:r>
      <w:r w:rsidR="004D1E37" w:rsidRPr="00693652">
        <w:rPr>
          <w:rFonts w:ascii="Times New Roman" w:eastAsia="Batang" w:hAnsi="Times New Roman" w:cs="Times New Roman"/>
          <w:noProof/>
          <w:sz w:val="24"/>
          <w:szCs w:val="24"/>
          <w:lang w:val="sq-AL"/>
        </w:rPr>
        <w:t>ë</w:t>
      </w:r>
      <w:r w:rsidR="00E64FD3" w:rsidRPr="00693652">
        <w:rPr>
          <w:rFonts w:ascii="Times New Roman" w:eastAsia="Batang" w:hAnsi="Times New Roman" w:cs="Times New Roman"/>
          <w:noProof/>
          <w:sz w:val="24"/>
          <w:szCs w:val="24"/>
          <w:lang w:val="sq-AL"/>
        </w:rPr>
        <w:t>vizjes s</w:t>
      </w:r>
      <w:r w:rsidR="004D1E37"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 xml:space="preserve"> kursi</w:t>
      </w:r>
      <w:r w:rsidR="00E64FD3" w:rsidRPr="00693652">
        <w:rPr>
          <w:rFonts w:ascii="Times New Roman" w:eastAsia="Batang" w:hAnsi="Times New Roman" w:cs="Times New Roman"/>
          <w:noProof/>
          <w:sz w:val="24"/>
          <w:szCs w:val="24"/>
          <w:lang w:val="sq-AL"/>
        </w:rPr>
        <w:t>t</w:t>
      </w:r>
      <w:r w:rsidR="001B7183" w:rsidRPr="00693652">
        <w:rPr>
          <w:rFonts w:ascii="Times New Roman" w:eastAsia="Batang" w:hAnsi="Times New Roman" w:cs="Times New Roman"/>
          <w:noProof/>
          <w:sz w:val="24"/>
          <w:szCs w:val="24"/>
          <w:lang w:val="sq-AL"/>
        </w:rPr>
        <w:t xml:space="preserve"> </w:t>
      </w:r>
      <w:r w:rsidR="00E64FD3" w:rsidRPr="00693652">
        <w:rPr>
          <w:rFonts w:ascii="Times New Roman" w:eastAsia="Batang" w:hAnsi="Times New Roman" w:cs="Times New Roman"/>
          <w:noProof/>
          <w:sz w:val="24"/>
          <w:szCs w:val="24"/>
          <w:lang w:val="sq-AL"/>
        </w:rPr>
        <w:t>t</w:t>
      </w:r>
      <w:r w:rsidR="004D1E37"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 xml:space="preserve"> k</w:t>
      </w:r>
      <w:r w:rsidR="00754CBC"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mbimit EUR/LEK p</w:t>
      </w:r>
      <w:r w:rsidR="00754CBC"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rgjith</w:t>
      </w:r>
      <w:r w:rsidR="00754CBC"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sisht n</w:t>
      </w:r>
      <w:r w:rsidR="00754CBC"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 xml:space="preserve"> drejtim t</w:t>
      </w:r>
      <w:r w:rsidR="00754CBC"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 xml:space="preserve"> kund</w:t>
      </w:r>
      <w:r w:rsidR="00754CBC" w:rsidRPr="00693652">
        <w:rPr>
          <w:rFonts w:ascii="Times New Roman" w:eastAsia="Batang" w:hAnsi="Times New Roman" w:cs="Times New Roman"/>
          <w:noProof/>
          <w:sz w:val="24"/>
          <w:szCs w:val="24"/>
          <w:lang w:val="sq-AL"/>
        </w:rPr>
        <w:t>ë</w:t>
      </w:r>
      <w:r w:rsidR="001B7183" w:rsidRPr="00693652">
        <w:rPr>
          <w:rFonts w:ascii="Times New Roman" w:eastAsia="Batang" w:hAnsi="Times New Roman" w:cs="Times New Roman"/>
          <w:noProof/>
          <w:sz w:val="24"/>
          <w:szCs w:val="24"/>
          <w:lang w:val="sq-AL"/>
        </w:rPr>
        <w:t>rt me</w:t>
      </w:r>
      <w:r w:rsidR="00A02BCC" w:rsidRPr="00693652">
        <w:rPr>
          <w:rFonts w:ascii="Times New Roman" w:eastAsia="Batang" w:hAnsi="Times New Roman" w:cs="Times New Roman"/>
          <w:noProof/>
          <w:sz w:val="24"/>
          <w:szCs w:val="24"/>
          <w:lang w:val="sq-AL"/>
        </w:rPr>
        <w:t xml:space="preserve"> </w:t>
      </w:r>
      <w:r w:rsidR="001B7183" w:rsidRPr="00693652">
        <w:rPr>
          <w:rFonts w:ascii="Times New Roman" w:eastAsia="Batang" w:hAnsi="Times New Roman" w:cs="Times New Roman"/>
          <w:noProof/>
          <w:sz w:val="24"/>
          <w:szCs w:val="24"/>
          <w:lang w:val="sq-AL"/>
        </w:rPr>
        <w:t>kursin</w:t>
      </w:r>
      <w:r w:rsidRPr="00693652">
        <w:rPr>
          <w:rFonts w:ascii="Times New Roman" w:eastAsia="Batang" w:hAnsi="Times New Roman" w:cs="Times New Roman"/>
          <w:noProof/>
          <w:sz w:val="24"/>
          <w:szCs w:val="24"/>
          <w:lang w:val="sq-AL"/>
        </w:rPr>
        <w:t xml:space="preserve"> USD</w:t>
      </w:r>
      <w:r w:rsidR="001B7183" w:rsidRPr="00693652">
        <w:rPr>
          <w:rFonts w:ascii="Times New Roman" w:eastAsia="Batang" w:hAnsi="Times New Roman" w:cs="Times New Roman"/>
          <w:noProof/>
          <w:sz w:val="24"/>
          <w:szCs w:val="24"/>
          <w:lang w:val="sq-AL"/>
        </w:rPr>
        <w:t>/LEK</w:t>
      </w:r>
      <w:r w:rsidRPr="00693652">
        <w:rPr>
          <w:rFonts w:ascii="Times New Roman" w:eastAsia="Batang" w:hAnsi="Times New Roman" w:cs="Times New Roman"/>
          <w:noProof/>
          <w:sz w:val="24"/>
          <w:szCs w:val="24"/>
          <w:vertAlign w:val="superscript"/>
          <w:lang w:val="sq-AL"/>
        </w:rPr>
        <w:footnoteReference w:id="5"/>
      </w:r>
      <w:r w:rsidR="00E64FD3" w:rsidRPr="00693652">
        <w:rPr>
          <w:rFonts w:ascii="Times New Roman" w:eastAsia="Batang" w:hAnsi="Times New Roman" w:cs="Times New Roman"/>
          <w:noProof/>
          <w:sz w:val="24"/>
          <w:szCs w:val="24"/>
          <w:lang w:val="sq-AL"/>
        </w:rPr>
        <w:t xml:space="preserve">, </w:t>
      </w:r>
      <w:r w:rsidR="001B7183" w:rsidRPr="00693652">
        <w:rPr>
          <w:rFonts w:ascii="Times New Roman" w:eastAsia="Batang" w:hAnsi="Times New Roman" w:cs="Times New Roman"/>
          <w:noProof/>
          <w:sz w:val="24"/>
          <w:szCs w:val="24"/>
          <w:lang w:val="sq-AL"/>
        </w:rPr>
        <w:t>duke neutralizuar efektet e nj</w:t>
      </w:r>
      <w:r w:rsidR="00754CBC" w:rsidRPr="00693652">
        <w:rPr>
          <w:rFonts w:ascii="Times New Roman" w:eastAsia="Batang" w:hAnsi="Times New Roman" w:cs="Times New Roman"/>
          <w:noProof/>
          <w:sz w:val="24"/>
          <w:szCs w:val="24"/>
          <w:lang w:val="sq-AL"/>
        </w:rPr>
        <w:t>ë</w:t>
      </w:r>
      <w:r w:rsidR="00EB6DAB" w:rsidRPr="00693652">
        <w:rPr>
          <w:rFonts w:ascii="Times New Roman" w:eastAsia="Batang" w:hAnsi="Times New Roman" w:cs="Times New Roman"/>
          <w:noProof/>
          <w:sz w:val="24"/>
          <w:szCs w:val="24"/>
          <w:lang w:val="sq-AL"/>
        </w:rPr>
        <w:t>ri-</w:t>
      </w:r>
      <w:r w:rsidR="001B7183" w:rsidRPr="00693652">
        <w:rPr>
          <w:rFonts w:ascii="Times New Roman" w:eastAsia="Batang" w:hAnsi="Times New Roman" w:cs="Times New Roman"/>
          <w:noProof/>
          <w:sz w:val="24"/>
          <w:szCs w:val="24"/>
          <w:lang w:val="sq-AL"/>
        </w:rPr>
        <w:t>tjetrit.</w:t>
      </w:r>
    </w:p>
    <w:p w14:paraId="71DF5C7D" w14:textId="77777777" w:rsidR="009A7D5C" w:rsidRPr="000F5C13" w:rsidRDefault="009A7D5C" w:rsidP="00E1511C">
      <w:pPr>
        <w:spacing w:after="0" w:line="276" w:lineRule="auto"/>
        <w:ind w:left="284" w:right="237"/>
        <w:jc w:val="both"/>
        <w:rPr>
          <w:rFonts w:ascii="Times New Roman" w:eastAsia="Batang" w:hAnsi="Times New Roman" w:cs="Times New Roman"/>
          <w:noProof/>
          <w:sz w:val="16"/>
          <w:szCs w:val="24"/>
          <w:lang w:val="sq-AL"/>
        </w:rPr>
      </w:pPr>
    </w:p>
    <w:p w14:paraId="71DF5C7E" w14:textId="77777777" w:rsidR="005A7DFC" w:rsidRDefault="006C0894" w:rsidP="006C0894">
      <w:pPr>
        <w:tabs>
          <w:tab w:val="left" w:pos="8789"/>
        </w:tabs>
        <w:spacing w:after="0" w:line="240" w:lineRule="auto"/>
        <w:ind w:left="2552" w:right="96" w:hanging="2552"/>
        <w:rPr>
          <w:rFonts w:ascii="Cambria" w:eastAsia="Batang" w:hAnsi="Cambria" w:cs="Times New Roman"/>
          <w:i/>
          <w:noProof/>
          <w:color w:val="8E0000"/>
          <w:sz w:val="20"/>
          <w:szCs w:val="20"/>
          <w:lang w:val="sq-AL"/>
        </w:rPr>
      </w:pPr>
      <w:r>
        <w:rPr>
          <w:rFonts w:ascii="Cambria" w:eastAsia="Batang" w:hAnsi="Cambria" w:cs="Times New Roman"/>
          <w:b/>
          <w:noProof/>
          <w:color w:val="8E0000"/>
          <w:sz w:val="20"/>
          <w:szCs w:val="20"/>
          <w:lang w:val="sq-AL"/>
        </w:rPr>
        <w:t xml:space="preserve">   </w:t>
      </w:r>
      <w:r w:rsidR="00750F66" w:rsidRPr="00693652">
        <w:rPr>
          <w:rFonts w:ascii="Cambria" w:eastAsia="Batang" w:hAnsi="Cambria" w:cs="Times New Roman"/>
          <w:b/>
          <w:noProof/>
          <w:color w:val="8E0000"/>
          <w:sz w:val="20"/>
          <w:szCs w:val="20"/>
          <w:lang w:val="sq-AL"/>
        </w:rPr>
        <w:t>Paraqitje Grafike 5</w:t>
      </w:r>
      <w:r w:rsidR="009B24CE" w:rsidRPr="00693652">
        <w:rPr>
          <w:rFonts w:ascii="Cambria" w:eastAsia="Batang" w:hAnsi="Cambria" w:cs="Times New Roman"/>
          <w:b/>
          <w:noProof/>
          <w:color w:val="8E0000"/>
          <w:sz w:val="20"/>
          <w:szCs w:val="20"/>
          <w:lang w:val="sq-AL"/>
        </w:rPr>
        <w:t>.2.3 (b):</w:t>
      </w:r>
      <w:r w:rsidR="009B24CE" w:rsidRPr="00693652">
        <w:rPr>
          <w:rFonts w:ascii="Cambria" w:eastAsia="Batang" w:hAnsi="Cambria" w:cs="Times New Roman"/>
          <w:noProof/>
          <w:color w:val="8E0000"/>
          <w:sz w:val="20"/>
          <w:szCs w:val="20"/>
          <w:lang w:val="sq-AL"/>
        </w:rPr>
        <w:t xml:space="preserve"> </w:t>
      </w:r>
      <w:r w:rsidR="009B24CE" w:rsidRPr="00693652">
        <w:rPr>
          <w:rFonts w:ascii="Cambria" w:eastAsia="Batang" w:hAnsi="Cambria" w:cs="Times New Roman"/>
          <w:i/>
          <w:noProof/>
          <w:color w:val="8E0000"/>
          <w:sz w:val="20"/>
          <w:szCs w:val="20"/>
          <w:lang w:val="sq-AL"/>
        </w:rPr>
        <w:t xml:space="preserve">Ndryshimi në kursin e këmbimit </w:t>
      </w:r>
      <w:r>
        <w:rPr>
          <w:rFonts w:ascii="Cambria" w:eastAsia="Batang" w:hAnsi="Cambria" w:cs="Times New Roman"/>
          <w:i/>
          <w:noProof/>
          <w:color w:val="8E0000"/>
          <w:sz w:val="20"/>
          <w:szCs w:val="20"/>
          <w:lang w:val="sq-AL"/>
        </w:rPr>
        <w:t xml:space="preserve"> mesatar mujor </w:t>
      </w:r>
      <w:r w:rsidR="009B24CE" w:rsidRPr="00693652">
        <w:rPr>
          <w:rFonts w:ascii="Cambria" w:eastAsia="Batang" w:hAnsi="Cambria" w:cs="Times New Roman"/>
          <w:i/>
          <w:noProof/>
          <w:color w:val="8E0000"/>
          <w:sz w:val="20"/>
          <w:szCs w:val="20"/>
          <w:lang w:val="sq-AL"/>
        </w:rPr>
        <w:t>EUR/</w:t>
      </w:r>
      <w:r w:rsidR="009E6AD6" w:rsidRPr="00693652">
        <w:rPr>
          <w:rFonts w:ascii="Cambria" w:eastAsia="Batang" w:hAnsi="Cambria" w:cs="Times New Roman"/>
          <w:i/>
          <w:noProof/>
          <w:color w:val="8E0000"/>
          <w:sz w:val="20"/>
          <w:szCs w:val="20"/>
          <w:lang w:val="sq-AL"/>
        </w:rPr>
        <w:t>LEK</w:t>
      </w:r>
      <w:r w:rsidR="009B24CE" w:rsidRPr="00693652">
        <w:rPr>
          <w:rFonts w:ascii="Cambria" w:eastAsia="Batang" w:hAnsi="Cambria" w:cs="Times New Roman"/>
          <w:i/>
          <w:noProof/>
          <w:color w:val="8E0000"/>
          <w:sz w:val="20"/>
          <w:szCs w:val="20"/>
          <w:lang w:val="sq-AL"/>
        </w:rPr>
        <w:t xml:space="preserve"> dhe USD/</w:t>
      </w:r>
      <w:r w:rsidR="009E6AD6" w:rsidRPr="00693652">
        <w:rPr>
          <w:rFonts w:ascii="Cambria" w:eastAsia="Batang" w:hAnsi="Cambria" w:cs="Times New Roman"/>
          <w:i/>
          <w:noProof/>
          <w:color w:val="8E0000"/>
          <w:sz w:val="20"/>
          <w:szCs w:val="20"/>
          <w:lang w:val="sq-AL"/>
        </w:rPr>
        <w:t>LEK</w:t>
      </w:r>
      <w:r w:rsidR="00DF3F87" w:rsidRPr="00693652">
        <w:rPr>
          <w:rFonts w:ascii="Cambria" w:eastAsia="Batang" w:hAnsi="Cambria" w:cs="Times New Roman"/>
          <w:i/>
          <w:noProof/>
          <w:color w:val="8E0000"/>
          <w:sz w:val="20"/>
          <w:szCs w:val="20"/>
          <w:lang w:val="sq-AL"/>
        </w:rPr>
        <w:t xml:space="preserve"> (2015</w:t>
      </w:r>
      <w:r w:rsidR="00FB134C" w:rsidRPr="00693652">
        <w:rPr>
          <w:rFonts w:ascii="Cambria" w:eastAsia="Batang" w:hAnsi="Cambria" w:cs="Times New Roman"/>
          <w:i/>
          <w:noProof/>
          <w:color w:val="8E0000"/>
          <w:sz w:val="20"/>
          <w:szCs w:val="20"/>
          <w:lang w:val="sq-AL"/>
        </w:rPr>
        <w:t>-</w:t>
      </w:r>
      <w:r w:rsidR="00D933C9" w:rsidRPr="00693652">
        <w:rPr>
          <w:rFonts w:ascii="Cambria" w:eastAsia="Batang" w:hAnsi="Cambria" w:cs="Times New Roman"/>
          <w:i/>
          <w:noProof/>
          <w:color w:val="8E0000"/>
          <w:sz w:val="20"/>
          <w:szCs w:val="20"/>
          <w:lang w:val="sq-AL"/>
        </w:rPr>
        <w:t>Shtator</w:t>
      </w:r>
      <w:r w:rsidR="0014603F" w:rsidRPr="00693652">
        <w:rPr>
          <w:rFonts w:ascii="Cambria" w:eastAsia="Batang" w:hAnsi="Cambria" w:cs="Times New Roman"/>
          <w:i/>
          <w:noProof/>
          <w:color w:val="8E0000"/>
          <w:sz w:val="20"/>
          <w:szCs w:val="20"/>
          <w:lang w:val="sq-AL"/>
        </w:rPr>
        <w:t xml:space="preserve"> </w:t>
      </w:r>
      <w:r w:rsidR="00FB134C" w:rsidRPr="00693652">
        <w:rPr>
          <w:rFonts w:ascii="Cambria" w:eastAsia="Batang" w:hAnsi="Cambria" w:cs="Times New Roman"/>
          <w:i/>
          <w:noProof/>
          <w:color w:val="8E0000"/>
          <w:sz w:val="20"/>
          <w:szCs w:val="20"/>
          <w:lang w:val="sq-AL"/>
        </w:rPr>
        <w:t>201</w:t>
      </w:r>
      <w:r w:rsidR="00DF3F87" w:rsidRPr="00693652">
        <w:rPr>
          <w:rFonts w:ascii="Cambria" w:eastAsia="Batang" w:hAnsi="Cambria" w:cs="Times New Roman"/>
          <w:i/>
          <w:noProof/>
          <w:color w:val="8E0000"/>
          <w:sz w:val="20"/>
          <w:szCs w:val="20"/>
          <w:lang w:val="sq-AL"/>
        </w:rPr>
        <w:t>9</w:t>
      </w:r>
      <w:r w:rsidR="00FB134C" w:rsidRPr="00693652">
        <w:rPr>
          <w:rFonts w:ascii="Cambria" w:eastAsia="Batang" w:hAnsi="Cambria" w:cs="Times New Roman"/>
          <w:i/>
          <w:noProof/>
          <w:color w:val="8E0000"/>
          <w:sz w:val="20"/>
          <w:szCs w:val="20"/>
          <w:lang w:val="sq-AL"/>
        </w:rPr>
        <w:t>)</w:t>
      </w:r>
    </w:p>
    <w:p w14:paraId="71DF5C7F" w14:textId="77777777" w:rsidR="00C32728" w:rsidRPr="00C32728" w:rsidRDefault="00693652" w:rsidP="00C32728">
      <w:pPr>
        <w:tabs>
          <w:tab w:val="left" w:pos="8647"/>
        </w:tabs>
        <w:spacing w:after="0" w:line="240" w:lineRule="auto"/>
        <w:ind w:right="96"/>
        <w:rPr>
          <w:rFonts w:ascii="Cambria" w:eastAsia="Batang" w:hAnsi="Cambria" w:cs="Times New Roman"/>
          <w:i/>
          <w:noProof/>
          <w:color w:val="8E0000"/>
          <w:sz w:val="20"/>
          <w:szCs w:val="20"/>
          <w:lang w:val="sq-AL"/>
        </w:rPr>
      </w:pPr>
      <w:r>
        <w:rPr>
          <w:rFonts w:ascii="Cambria" w:eastAsia="Batang" w:hAnsi="Cambria" w:cs="Times New Roman"/>
          <w:i/>
          <w:noProof/>
          <w:color w:val="8E0000"/>
          <w:sz w:val="20"/>
          <w:szCs w:val="20"/>
        </w:rPr>
        <w:drawing>
          <wp:inline distT="0" distB="0" distL="0" distR="0" wp14:anchorId="71DF5F81" wp14:editId="71DF5F82">
            <wp:extent cx="5553075" cy="1958196"/>
            <wp:effectExtent l="19050" t="19050" r="9525" b="2349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55109" cy="1958913"/>
                    </a:xfrm>
                    <a:prstGeom prst="rect">
                      <a:avLst/>
                    </a:prstGeom>
                    <a:noFill/>
                    <a:ln>
                      <a:solidFill>
                        <a:schemeClr val="bg1">
                          <a:lumMod val="75000"/>
                        </a:schemeClr>
                      </a:solidFill>
                    </a:ln>
                  </pic:spPr>
                </pic:pic>
              </a:graphicData>
            </a:graphic>
          </wp:inline>
        </w:drawing>
      </w:r>
    </w:p>
    <w:p w14:paraId="71DF5C80" w14:textId="77777777" w:rsidR="009B24CE" w:rsidRPr="000F5C13" w:rsidRDefault="009B24CE" w:rsidP="000F2369">
      <w:pPr>
        <w:spacing w:after="0" w:line="240" w:lineRule="auto"/>
        <w:ind w:right="238"/>
        <w:jc w:val="center"/>
        <w:rPr>
          <w:rFonts w:ascii="Cambria" w:eastAsia="Batang" w:hAnsi="Cambria" w:cs="Times New Roman"/>
          <w:i/>
          <w:noProof/>
          <w:color w:val="8E0000"/>
          <w:sz w:val="20"/>
          <w:szCs w:val="20"/>
          <w:lang w:val="sq-AL"/>
        </w:rPr>
      </w:pPr>
      <w:r w:rsidRPr="000F5C13">
        <w:rPr>
          <w:rFonts w:ascii="Cambria" w:eastAsia="Batang" w:hAnsi="Cambria" w:cs="Times New Roman"/>
          <w:b/>
          <w:noProof/>
          <w:color w:val="8E0000"/>
          <w:sz w:val="20"/>
          <w:szCs w:val="20"/>
          <w:lang w:val="sq-AL"/>
        </w:rPr>
        <w:t xml:space="preserve">Burimi: </w:t>
      </w:r>
      <w:r w:rsidRPr="000F5C13">
        <w:rPr>
          <w:rFonts w:ascii="Cambria" w:eastAsia="Batang" w:hAnsi="Cambria" w:cs="Times New Roman"/>
          <w:i/>
          <w:noProof/>
          <w:color w:val="8E0000"/>
          <w:sz w:val="20"/>
          <w:szCs w:val="20"/>
          <w:lang w:val="sq-AL"/>
        </w:rPr>
        <w:t>Ministria</w:t>
      </w:r>
      <w:r w:rsidR="00FE16D9" w:rsidRPr="000F5C13">
        <w:rPr>
          <w:rFonts w:ascii="Cambria" w:eastAsia="Batang" w:hAnsi="Cambria" w:cs="Times New Roman"/>
          <w:i/>
          <w:noProof/>
          <w:color w:val="8E0000"/>
          <w:sz w:val="20"/>
          <w:szCs w:val="20"/>
          <w:lang w:val="sq-AL"/>
        </w:rPr>
        <w:t xml:space="preserve"> e Financave dhe Ekonomisë (201</w:t>
      </w:r>
      <w:r w:rsidR="00693652">
        <w:rPr>
          <w:rFonts w:ascii="Cambria" w:eastAsia="Batang" w:hAnsi="Cambria" w:cs="Times New Roman"/>
          <w:i/>
          <w:noProof/>
          <w:color w:val="8E0000"/>
          <w:sz w:val="20"/>
          <w:szCs w:val="20"/>
          <w:lang w:val="sq-AL"/>
        </w:rPr>
        <w:t>9</w:t>
      </w:r>
      <w:r w:rsidRPr="000F5C13">
        <w:rPr>
          <w:rFonts w:ascii="Cambria" w:eastAsia="Batang" w:hAnsi="Cambria" w:cs="Times New Roman"/>
          <w:i/>
          <w:noProof/>
          <w:color w:val="8E0000"/>
          <w:sz w:val="20"/>
          <w:szCs w:val="20"/>
          <w:lang w:val="sq-AL"/>
        </w:rPr>
        <w:t>)</w:t>
      </w:r>
    </w:p>
    <w:p w14:paraId="71DF5C81" w14:textId="77777777" w:rsidR="009B24CE" w:rsidRPr="000F5C13" w:rsidRDefault="009B24CE" w:rsidP="009B24CE">
      <w:pPr>
        <w:spacing w:after="0"/>
        <w:jc w:val="center"/>
        <w:rPr>
          <w:rFonts w:ascii="Cambria" w:eastAsia="Batang" w:hAnsi="Cambria" w:cs="Times New Roman"/>
          <w:i/>
          <w:noProof/>
          <w:color w:val="8E0000"/>
          <w:sz w:val="16"/>
          <w:szCs w:val="20"/>
          <w:lang w:val="sq-AL"/>
        </w:rPr>
      </w:pPr>
    </w:p>
    <w:p w14:paraId="71DF5C82" w14:textId="77777777" w:rsidR="009B24CE" w:rsidRPr="000F5C13" w:rsidRDefault="009B24CE" w:rsidP="000F2369">
      <w:pPr>
        <w:spacing w:after="0" w:line="276" w:lineRule="auto"/>
        <w:ind w:right="237"/>
        <w:jc w:val="both"/>
        <w:rPr>
          <w:rFonts w:ascii="Times New Roman" w:eastAsia="Batang" w:hAnsi="Times New Roman" w:cs="Times New Roman"/>
          <w:noProof/>
          <w:sz w:val="24"/>
          <w:szCs w:val="24"/>
          <w:lang w:val="sq-AL"/>
        </w:rPr>
      </w:pPr>
      <w:r w:rsidRPr="000F5C13">
        <w:rPr>
          <w:rFonts w:ascii="Times New Roman" w:eastAsia="Batang" w:hAnsi="Times New Roman" w:cs="Times New Roman"/>
          <w:noProof/>
          <w:sz w:val="24"/>
          <w:szCs w:val="24"/>
          <w:lang w:val="sq-AL"/>
        </w:rPr>
        <w:t>Raportet e borxhit në monedhë të huaj kundrejt eksporteve dhe rezervës valutore janë tregues të rëndësishëm, të cilët vlerësojnë aftësinë për të përmbushur detyrimet që lindin nga borxhi në valutë.</w:t>
      </w:r>
    </w:p>
    <w:p w14:paraId="71DF5C83" w14:textId="77777777" w:rsidR="009B24CE" w:rsidRPr="000F5C13" w:rsidRDefault="009B24CE" w:rsidP="009B24CE">
      <w:pPr>
        <w:spacing w:after="0" w:line="276" w:lineRule="auto"/>
        <w:ind w:left="284" w:right="237"/>
        <w:jc w:val="both"/>
        <w:rPr>
          <w:rFonts w:ascii="Times New Roman" w:eastAsia="Batang" w:hAnsi="Times New Roman" w:cs="Times New Roman"/>
          <w:noProof/>
          <w:sz w:val="16"/>
          <w:szCs w:val="16"/>
          <w:lang w:val="sq-AL"/>
        </w:rPr>
      </w:pPr>
    </w:p>
    <w:p w14:paraId="71DF5C84" w14:textId="77777777" w:rsidR="009B24CE" w:rsidRDefault="009B5BCB" w:rsidP="000F2369">
      <w:pPr>
        <w:spacing w:after="0" w:line="276" w:lineRule="auto"/>
        <w:ind w:right="237"/>
        <w:jc w:val="both"/>
        <w:rPr>
          <w:rFonts w:ascii="Times New Roman" w:eastAsia="Batang" w:hAnsi="Times New Roman" w:cs="Times New Roman"/>
          <w:noProof/>
          <w:sz w:val="24"/>
          <w:szCs w:val="24"/>
          <w:lang w:val="sq-AL"/>
        </w:rPr>
      </w:pPr>
      <w:r w:rsidRPr="000F5C13">
        <w:rPr>
          <w:rFonts w:ascii="Times New Roman" w:eastAsia="Batang" w:hAnsi="Times New Roman" w:cs="Times New Roman"/>
          <w:noProof/>
          <w:sz w:val="24"/>
          <w:szCs w:val="24"/>
          <w:lang w:val="sq-AL"/>
        </w:rPr>
        <w:t>Gjatë viteve të fundit, r</w:t>
      </w:r>
      <w:r w:rsidR="009B24CE" w:rsidRPr="000F5C13">
        <w:rPr>
          <w:rFonts w:ascii="Times New Roman" w:eastAsia="Batang" w:hAnsi="Times New Roman" w:cs="Times New Roman"/>
          <w:noProof/>
          <w:sz w:val="24"/>
          <w:szCs w:val="24"/>
          <w:lang w:val="sq-AL"/>
        </w:rPr>
        <w:t>itmet e rritjes së borxhit në monedhë t</w:t>
      </w:r>
      <w:r w:rsidR="000E4002" w:rsidRPr="000F5C13">
        <w:rPr>
          <w:rFonts w:ascii="Times New Roman" w:eastAsia="Batang" w:hAnsi="Times New Roman" w:cs="Times New Roman"/>
          <w:noProof/>
          <w:sz w:val="24"/>
          <w:szCs w:val="24"/>
          <w:lang w:val="sq-AL"/>
        </w:rPr>
        <w:t>ë huaj përgjithësisht kanë qenë</w:t>
      </w:r>
      <w:r w:rsidR="000618C2" w:rsidRPr="000F5C13">
        <w:rPr>
          <w:rFonts w:ascii="Times New Roman" w:eastAsia="Batang" w:hAnsi="Times New Roman" w:cs="Times New Roman"/>
          <w:noProof/>
          <w:sz w:val="24"/>
          <w:szCs w:val="24"/>
          <w:lang w:val="sq-AL"/>
        </w:rPr>
        <w:t xml:space="preserve"> n</w:t>
      </w:r>
      <w:r w:rsidR="00872B40" w:rsidRPr="000F5C13">
        <w:rPr>
          <w:rFonts w:ascii="Times New Roman" w:eastAsia="Batang" w:hAnsi="Times New Roman" w:cs="Times New Roman"/>
          <w:noProof/>
          <w:sz w:val="24"/>
          <w:szCs w:val="24"/>
          <w:lang w:val="sq-AL"/>
        </w:rPr>
        <w:t>ë</w:t>
      </w:r>
      <w:r w:rsidR="000618C2" w:rsidRPr="000F5C13">
        <w:rPr>
          <w:rFonts w:ascii="Times New Roman" w:eastAsia="Batang" w:hAnsi="Times New Roman" w:cs="Times New Roman"/>
          <w:noProof/>
          <w:sz w:val="24"/>
          <w:szCs w:val="24"/>
          <w:lang w:val="sq-AL"/>
        </w:rPr>
        <w:t xml:space="preserve"> nivele</w:t>
      </w:r>
      <w:r w:rsidR="000E4002" w:rsidRPr="000F5C13">
        <w:rPr>
          <w:rFonts w:ascii="Times New Roman" w:eastAsia="Batang" w:hAnsi="Times New Roman" w:cs="Times New Roman"/>
          <w:noProof/>
          <w:sz w:val="24"/>
          <w:szCs w:val="24"/>
          <w:lang w:val="sq-AL"/>
        </w:rPr>
        <w:t xml:space="preserve"> t</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 ngjashme me</w:t>
      </w:r>
      <w:r w:rsidR="009B24CE" w:rsidRPr="000F5C13">
        <w:rPr>
          <w:rFonts w:ascii="Times New Roman" w:eastAsia="Batang" w:hAnsi="Times New Roman" w:cs="Times New Roman"/>
          <w:noProof/>
          <w:sz w:val="24"/>
          <w:szCs w:val="24"/>
          <w:lang w:val="sq-AL"/>
        </w:rPr>
        <w:t xml:space="preserve"> ritmet e rritjes së </w:t>
      </w:r>
      <w:r w:rsidR="00097511" w:rsidRPr="000F5C13">
        <w:rPr>
          <w:rFonts w:ascii="Times New Roman" w:eastAsia="Batang" w:hAnsi="Times New Roman" w:cs="Times New Roman"/>
          <w:noProof/>
          <w:sz w:val="24"/>
          <w:szCs w:val="24"/>
          <w:lang w:val="sq-AL"/>
        </w:rPr>
        <w:t>rezervës valutore</w:t>
      </w:r>
      <w:r w:rsidR="000E4002" w:rsidRPr="000F5C13">
        <w:rPr>
          <w:rFonts w:ascii="Times New Roman" w:eastAsia="Batang" w:hAnsi="Times New Roman" w:cs="Times New Roman"/>
          <w:noProof/>
          <w:sz w:val="24"/>
          <w:szCs w:val="24"/>
          <w:lang w:val="sq-AL"/>
        </w:rPr>
        <w:t>. Nd</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rkoh</w:t>
      </w:r>
      <w:r w:rsidR="00872B40" w:rsidRPr="000F5C13">
        <w:rPr>
          <w:rFonts w:ascii="Times New Roman" w:eastAsia="Batang" w:hAnsi="Times New Roman" w:cs="Times New Roman"/>
          <w:noProof/>
          <w:sz w:val="24"/>
          <w:szCs w:val="24"/>
          <w:lang w:val="sq-AL"/>
        </w:rPr>
        <w:t>ë</w:t>
      </w:r>
      <w:r w:rsidR="000618C2" w:rsidRPr="000F5C13">
        <w:rPr>
          <w:rFonts w:ascii="Times New Roman" w:eastAsia="Batang" w:hAnsi="Times New Roman" w:cs="Times New Roman"/>
          <w:noProof/>
          <w:sz w:val="24"/>
          <w:szCs w:val="24"/>
          <w:lang w:val="sq-AL"/>
        </w:rPr>
        <w:t>,</w:t>
      </w:r>
      <w:r w:rsidR="000E4002" w:rsidRPr="000F5C13">
        <w:rPr>
          <w:rFonts w:ascii="Times New Roman" w:eastAsia="Batang" w:hAnsi="Times New Roman" w:cs="Times New Roman"/>
          <w:noProof/>
          <w:sz w:val="24"/>
          <w:szCs w:val="24"/>
          <w:lang w:val="sq-AL"/>
        </w:rPr>
        <w:t xml:space="preserve"> n</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 raport me eksportet kan</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 q</w:t>
      </w:r>
      <w:r w:rsidR="00EB6DAB" w:rsidRPr="000F5C13">
        <w:rPr>
          <w:rFonts w:ascii="Times New Roman" w:eastAsia="Batang" w:hAnsi="Times New Roman" w:cs="Times New Roman"/>
          <w:noProof/>
          <w:sz w:val="24"/>
          <w:szCs w:val="24"/>
          <w:lang w:val="sq-AL"/>
        </w:rPr>
        <w:t>e</w:t>
      </w:r>
      <w:r w:rsidR="000E4002" w:rsidRPr="000F5C13">
        <w:rPr>
          <w:rFonts w:ascii="Times New Roman" w:eastAsia="Batang" w:hAnsi="Times New Roman" w:cs="Times New Roman"/>
          <w:noProof/>
          <w:sz w:val="24"/>
          <w:szCs w:val="24"/>
          <w:lang w:val="sq-AL"/>
        </w:rPr>
        <w:t>n</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 ndjesh</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m m</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 t</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 larta, por duke shfaqur nj</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 p</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rmir</w:t>
      </w:r>
      <w:r w:rsidR="00872B40" w:rsidRPr="000F5C13">
        <w:rPr>
          <w:rFonts w:ascii="Times New Roman" w:eastAsia="Batang" w:hAnsi="Times New Roman" w:cs="Times New Roman"/>
          <w:noProof/>
          <w:sz w:val="24"/>
          <w:szCs w:val="24"/>
          <w:lang w:val="sq-AL"/>
        </w:rPr>
        <w:t>ë</w:t>
      </w:r>
      <w:r w:rsidR="000E4002" w:rsidRPr="000F5C13">
        <w:rPr>
          <w:rFonts w:ascii="Times New Roman" w:eastAsia="Batang" w:hAnsi="Times New Roman" w:cs="Times New Roman"/>
          <w:noProof/>
          <w:sz w:val="24"/>
          <w:szCs w:val="24"/>
          <w:lang w:val="sq-AL"/>
        </w:rPr>
        <w:t xml:space="preserve">sim </w:t>
      </w:r>
      <w:r w:rsidR="00E66D55">
        <w:rPr>
          <w:rFonts w:ascii="Times New Roman" w:eastAsia="Batang" w:hAnsi="Times New Roman" w:cs="Times New Roman"/>
          <w:noProof/>
          <w:sz w:val="24"/>
          <w:szCs w:val="24"/>
          <w:lang w:val="sq-AL"/>
        </w:rPr>
        <w:t>duke filluar nga</w:t>
      </w:r>
      <w:r w:rsidR="000E4002" w:rsidRPr="000F5C13">
        <w:rPr>
          <w:rFonts w:ascii="Times New Roman" w:eastAsia="Batang" w:hAnsi="Times New Roman" w:cs="Times New Roman"/>
          <w:noProof/>
          <w:sz w:val="24"/>
          <w:szCs w:val="24"/>
          <w:lang w:val="sq-AL"/>
        </w:rPr>
        <w:t xml:space="preserve"> viti 201</w:t>
      </w:r>
      <w:r w:rsidR="00603D66">
        <w:rPr>
          <w:rFonts w:ascii="Times New Roman" w:eastAsia="Batang" w:hAnsi="Times New Roman" w:cs="Times New Roman"/>
          <w:noProof/>
          <w:sz w:val="24"/>
          <w:szCs w:val="24"/>
          <w:lang w:val="sq-AL"/>
        </w:rPr>
        <w:t>6</w:t>
      </w:r>
      <w:r w:rsidR="00E66D55">
        <w:rPr>
          <w:rFonts w:ascii="Times New Roman" w:eastAsia="Batang" w:hAnsi="Times New Roman" w:cs="Times New Roman"/>
          <w:noProof/>
          <w:sz w:val="24"/>
          <w:szCs w:val="24"/>
          <w:lang w:val="sq-AL"/>
        </w:rPr>
        <w:t>.</w:t>
      </w:r>
    </w:p>
    <w:p w14:paraId="71DF5C85" w14:textId="77777777" w:rsidR="005A7DFC" w:rsidRPr="005A7DFC" w:rsidRDefault="005A7DFC" w:rsidP="009B24CE">
      <w:pPr>
        <w:spacing w:after="0" w:line="276" w:lineRule="auto"/>
        <w:ind w:left="284" w:right="237"/>
        <w:jc w:val="both"/>
        <w:rPr>
          <w:rFonts w:ascii="Times New Roman" w:eastAsia="Batang" w:hAnsi="Times New Roman" w:cs="Times New Roman"/>
          <w:noProof/>
          <w:sz w:val="16"/>
          <w:szCs w:val="24"/>
          <w:lang w:val="sq-AL"/>
        </w:rPr>
      </w:pPr>
    </w:p>
    <w:p w14:paraId="71DF5C86" w14:textId="77777777" w:rsidR="000A122C" w:rsidRDefault="00AF0A67" w:rsidP="00E979CD">
      <w:pPr>
        <w:spacing w:after="0"/>
        <w:ind w:left="2977" w:right="238" w:hanging="2977"/>
        <w:rPr>
          <w:rFonts w:ascii="Cambria" w:eastAsia="Batang" w:hAnsi="Cambria" w:cs="Times New Roman"/>
          <w:i/>
          <w:noProof/>
          <w:color w:val="8E0000"/>
          <w:sz w:val="20"/>
          <w:szCs w:val="20"/>
          <w:lang w:val="sq-AL"/>
        </w:rPr>
      </w:pPr>
      <w:r>
        <w:rPr>
          <w:rFonts w:ascii="Cambria" w:eastAsia="Batang" w:hAnsi="Cambria" w:cs="Times New Roman"/>
          <w:b/>
          <w:noProof/>
          <w:color w:val="8E0000"/>
          <w:sz w:val="20"/>
          <w:szCs w:val="20"/>
          <w:lang w:val="sq-AL"/>
        </w:rPr>
        <w:t xml:space="preserve">             </w:t>
      </w:r>
      <w:r w:rsidR="009A7D5C" w:rsidRPr="000F5C13">
        <w:rPr>
          <w:rFonts w:ascii="Cambria" w:eastAsia="Batang" w:hAnsi="Cambria" w:cs="Times New Roman"/>
          <w:b/>
          <w:noProof/>
          <w:color w:val="8E0000"/>
          <w:sz w:val="20"/>
          <w:szCs w:val="20"/>
          <w:lang w:val="sq-AL"/>
        </w:rPr>
        <w:t>Paraqitje Grafike 5</w:t>
      </w:r>
      <w:r w:rsidR="009B24CE" w:rsidRPr="000F5C13">
        <w:rPr>
          <w:rFonts w:ascii="Cambria" w:eastAsia="Batang" w:hAnsi="Cambria" w:cs="Times New Roman"/>
          <w:b/>
          <w:noProof/>
          <w:color w:val="8E0000"/>
          <w:sz w:val="20"/>
          <w:szCs w:val="20"/>
          <w:lang w:val="sq-AL"/>
        </w:rPr>
        <w:t>.2.3(c):</w:t>
      </w:r>
      <w:r w:rsidR="009B24CE" w:rsidRPr="000F5C13">
        <w:rPr>
          <w:rFonts w:ascii="Cambria" w:eastAsia="Batang" w:hAnsi="Cambria" w:cs="Times New Roman"/>
          <w:noProof/>
          <w:color w:val="8E0000"/>
          <w:sz w:val="20"/>
          <w:szCs w:val="20"/>
          <w:lang w:val="sq-AL"/>
        </w:rPr>
        <w:t xml:space="preserve"> </w:t>
      </w:r>
      <w:r w:rsidR="009B24CE" w:rsidRPr="000F5C13">
        <w:rPr>
          <w:rFonts w:ascii="Cambria" w:eastAsia="Batang" w:hAnsi="Cambria" w:cs="Times New Roman"/>
          <w:i/>
          <w:noProof/>
          <w:color w:val="8E0000"/>
          <w:sz w:val="20"/>
          <w:szCs w:val="20"/>
          <w:lang w:val="sq-AL"/>
        </w:rPr>
        <w:t>Raporti i borxhit në valutë ndaj eksporteve dhe rezervës valutore</w:t>
      </w:r>
      <w:r w:rsidR="00FB134C" w:rsidRPr="000F5C13">
        <w:rPr>
          <w:rFonts w:ascii="Cambria" w:eastAsia="Batang" w:hAnsi="Cambria" w:cs="Times New Roman"/>
          <w:i/>
          <w:noProof/>
          <w:color w:val="8E0000"/>
          <w:sz w:val="20"/>
          <w:szCs w:val="20"/>
          <w:lang w:val="sq-AL"/>
        </w:rPr>
        <w:t xml:space="preserve">        </w:t>
      </w:r>
      <w:r w:rsidR="005A7DFC">
        <w:rPr>
          <w:rFonts w:ascii="Cambria" w:eastAsia="Batang" w:hAnsi="Cambria" w:cs="Times New Roman"/>
          <w:i/>
          <w:noProof/>
          <w:color w:val="8E0000"/>
          <w:sz w:val="20"/>
          <w:szCs w:val="20"/>
          <w:lang w:val="sq-AL"/>
        </w:rPr>
        <w:t xml:space="preserve">    </w:t>
      </w:r>
      <w:r w:rsidR="000A122C">
        <w:rPr>
          <w:rFonts w:ascii="Cambria" w:eastAsia="Batang" w:hAnsi="Cambria" w:cs="Times New Roman"/>
          <w:i/>
          <w:noProof/>
          <w:color w:val="8E0000"/>
          <w:sz w:val="20"/>
          <w:szCs w:val="20"/>
          <w:lang w:val="sq-AL"/>
        </w:rPr>
        <w:t>(2014-2018</w:t>
      </w:r>
      <w:r w:rsidR="00FB134C" w:rsidRPr="000F5C13">
        <w:rPr>
          <w:rFonts w:ascii="Cambria" w:eastAsia="Batang" w:hAnsi="Cambria" w:cs="Times New Roman"/>
          <w:i/>
          <w:noProof/>
          <w:color w:val="8E0000"/>
          <w:sz w:val="20"/>
          <w:szCs w:val="20"/>
          <w:lang w:val="sq-AL"/>
        </w:rPr>
        <w:t>)</w:t>
      </w:r>
    </w:p>
    <w:p w14:paraId="71DF5C87" w14:textId="77777777" w:rsidR="008A6393" w:rsidRPr="00E979CD" w:rsidRDefault="00E64D52" w:rsidP="008A6393">
      <w:pPr>
        <w:spacing w:after="0"/>
        <w:ind w:right="238"/>
        <w:rPr>
          <w:rFonts w:ascii="Times New Roman" w:eastAsia="Batang" w:hAnsi="Times New Roman" w:cs="Times New Roman"/>
          <w:noProof/>
          <w:sz w:val="24"/>
          <w:szCs w:val="24"/>
          <w:lang w:val="sq-AL"/>
        </w:rPr>
      </w:pPr>
      <w:r>
        <w:rPr>
          <w:rFonts w:ascii="Times New Roman" w:eastAsia="Batang" w:hAnsi="Times New Roman" w:cs="Times New Roman"/>
          <w:noProof/>
          <w:sz w:val="24"/>
          <w:szCs w:val="24"/>
        </w:rPr>
        <w:drawing>
          <wp:inline distT="0" distB="0" distL="0" distR="0" wp14:anchorId="71DF5F83" wp14:editId="71DF5F84">
            <wp:extent cx="5543550" cy="20097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43550" cy="2009775"/>
                    </a:xfrm>
                    <a:prstGeom prst="rect">
                      <a:avLst/>
                    </a:prstGeom>
                    <a:noFill/>
                    <a:ln>
                      <a:solidFill>
                        <a:schemeClr val="bg1">
                          <a:lumMod val="75000"/>
                        </a:schemeClr>
                      </a:solidFill>
                    </a:ln>
                  </pic:spPr>
                </pic:pic>
              </a:graphicData>
            </a:graphic>
          </wp:inline>
        </w:drawing>
      </w:r>
    </w:p>
    <w:p w14:paraId="71DF5C88" w14:textId="77777777" w:rsidR="00462977" w:rsidRPr="00B92908" w:rsidRDefault="009B24CE" w:rsidP="00B92908">
      <w:pPr>
        <w:spacing w:after="0"/>
        <w:ind w:left="284"/>
        <w:rPr>
          <w:rFonts w:ascii="Cambria" w:eastAsia="Batang" w:hAnsi="Cambria" w:cs="Times New Roman"/>
          <w:i/>
          <w:noProof/>
          <w:color w:val="8E0000"/>
          <w:sz w:val="20"/>
          <w:szCs w:val="20"/>
          <w:lang w:val="sq-AL"/>
        </w:rPr>
      </w:pPr>
      <w:r w:rsidRPr="000F5C13">
        <w:rPr>
          <w:rFonts w:ascii="Cambria" w:eastAsia="Batang" w:hAnsi="Cambria" w:cs="Times New Roman"/>
          <w:b/>
          <w:noProof/>
          <w:color w:val="8E0000"/>
          <w:sz w:val="20"/>
          <w:szCs w:val="20"/>
          <w:lang w:val="sq-AL"/>
        </w:rPr>
        <w:t xml:space="preserve">Burimi: </w:t>
      </w:r>
      <w:r w:rsidRPr="000F5C13">
        <w:rPr>
          <w:rFonts w:ascii="Cambria" w:eastAsia="Batang" w:hAnsi="Cambria" w:cs="Times New Roman"/>
          <w:i/>
          <w:noProof/>
          <w:color w:val="8E0000"/>
          <w:sz w:val="20"/>
          <w:szCs w:val="20"/>
          <w:lang w:val="sq-AL"/>
        </w:rPr>
        <w:t>Ministria</w:t>
      </w:r>
      <w:r w:rsidR="000A122C">
        <w:rPr>
          <w:rFonts w:ascii="Cambria" w:eastAsia="Batang" w:hAnsi="Cambria" w:cs="Times New Roman"/>
          <w:i/>
          <w:noProof/>
          <w:color w:val="8E0000"/>
          <w:sz w:val="20"/>
          <w:szCs w:val="20"/>
          <w:lang w:val="sq-AL"/>
        </w:rPr>
        <w:t xml:space="preserve"> e Financave dhe Ekonomisë (2019</w:t>
      </w:r>
      <w:r w:rsidRPr="000F5C13">
        <w:rPr>
          <w:rFonts w:ascii="Cambria" w:eastAsia="Batang" w:hAnsi="Cambria" w:cs="Times New Roman"/>
          <w:i/>
          <w:noProof/>
          <w:color w:val="8E0000"/>
          <w:sz w:val="20"/>
          <w:szCs w:val="20"/>
          <w:lang w:val="sq-AL"/>
        </w:rPr>
        <w:t>); INSTAT (201</w:t>
      </w:r>
      <w:r w:rsidR="000A122C">
        <w:rPr>
          <w:rFonts w:ascii="Cambria" w:eastAsia="Batang" w:hAnsi="Cambria" w:cs="Times New Roman"/>
          <w:i/>
          <w:noProof/>
          <w:color w:val="8E0000"/>
          <w:sz w:val="20"/>
          <w:szCs w:val="20"/>
          <w:lang w:val="sq-AL"/>
        </w:rPr>
        <w:t>9); Banka e Shqipërisë (2019</w:t>
      </w:r>
      <w:r w:rsidRPr="000F5C13">
        <w:rPr>
          <w:rFonts w:ascii="Cambria" w:eastAsia="Batang" w:hAnsi="Cambria" w:cs="Times New Roman"/>
          <w:i/>
          <w:noProof/>
          <w:color w:val="8E0000"/>
          <w:sz w:val="20"/>
          <w:szCs w:val="20"/>
          <w:lang w:val="sq-AL"/>
        </w:rPr>
        <w:t>)</w:t>
      </w:r>
    </w:p>
    <w:p w14:paraId="71DF5C89" w14:textId="77777777" w:rsidR="009B24CE" w:rsidRPr="000F5C13" w:rsidRDefault="004B5182" w:rsidP="004A70BC">
      <w:pPr>
        <w:pStyle w:val="Heading4"/>
        <w:numPr>
          <w:ilvl w:val="2"/>
          <w:numId w:val="8"/>
        </w:numPr>
        <w:ind w:left="851" w:hanging="851"/>
        <w:rPr>
          <w:noProof/>
        </w:rPr>
      </w:pPr>
      <w:bookmarkStart w:id="75" w:name="_Toc491860997"/>
      <w:bookmarkStart w:id="76" w:name="_Toc491954310"/>
      <w:r w:rsidRPr="000F5C13">
        <w:rPr>
          <w:noProof/>
        </w:rPr>
        <w:lastRenderedPageBreak/>
        <w:t xml:space="preserve">Risku </w:t>
      </w:r>
      <w:r w:rsidR="009B24CE" w:rsidRPr="000F5C13">
        <w:rPr>
          <w:noProof/>
        </w:rPr>
        <w:t>i likuiditetit</w:t>
      </w:r>
      <w:bookmarkEnd w:id="75"/>
      <w:bookmarkEnd w:id="76"/>
    </w:p>
    <w:p w14:paraId="71DF5C8A" w14:textId="77777777" w:rsidR="009B24CE" w:rsidRPr="000F5C13" w:rsidRDefault="009B24CE" w:rsidP="00097511">
      <w:pPr>
        <w:spacing w:after="0" w:line="276" w:lineRule="auto"/>
        <w:contextualSpacing/>
        <w:rPr>
          <w:rFonts w:ascii="Times New Roman" w:eastAsia="Batang" w:hAnsi="Times New Roman" w:cs="Times New Roman"/>
          <w:noProof/>
          <w:sz w:val="16"/>
          <w:szCs w:val="16"/>
          <w:lang w:val="sq-AL"/>
        </w:rPr>
      </w:pPr>
    </w:p>
    <w:p w14:paraId="71DF5C8B" w14:textId="77777777" w:rsidR="00097511" w:rsidRPr="00955F46" w:rsidRDefault="00471601" w:rsidP="000F2369">
      <w:pPr>
        <w:spacing w:after="0" w:line="276" w:lineRule="auto"/>
        <w:ind w:right="237"/>
        <w:jc w:val="both"/>
        <w:rPr>
          <w:rFonts w:ascii="Times New Roman" w:eastAsia="Batang" w:hAnsi="Times New Roman" w:cs="Times New Roman"/>
          <w:noProof/>
          <w:sz w:val="24"/>
          <w:szCs w:val="24"/>
          <w:lang w:val="sq-AL"/>
        </w:rPr>
      </w:pPr>
      <w:r w:rsidRPr="00955F46">
        <w:rPr>
          <w:rFonts w:ascii="Times New Roman" w:eastAsia="Batang" w:hAnsi="Times New Roman" w:cs="Times New Roman"/>
          <w:noProof/>
          <w:sz w:val="24"/>
          <w:szCs w:val="24"/>
          <w:lang w:val="sq-AL"/>
        </w:rPr>
        <w:t>R</w:t>
      </w:r>
      <w:r w:rsidR="004B5182" w:rsidRPr="00955F46">
        <w:rPr>
          <w:rFonts w:ascii="Times New Roman" w:eastAsia="Batang" w:hAnsi="Times New Roman" w:cs="Times New Roman"/>
          <w:noProof/>
          <w:sz w:val="24"/>
          <w:szCs w:val="24"/>
          <w:lang w:val="sq-AL"/>
        </w:rPr>
        <w:t>isku</w:t>
      </w:r>
      <w:r w:rsidR="00097511" w:rsidRPr="00955F46">
        <w:rPr>
          <w:rFonts w:ascii="Times New Roman" w:eastAsia="Batang" w:hAnsi="Times New Roman" w:cs="Times New Roman"/>
          <w:noProof/>
          <w:sz w:val="24"/>
          <w:szCs w:val="24"/>
          <w:lang w:val="sq-AL"/>
        </w:rPr>
        <w:t xml:space="preserve"> i likuiditetit gjatë vit</w:t>
      </w:r>
      <w:r w:rsidR="00E077D6" w:rsidRPr="00955F46">
        <w:rPr>
          <w:rFonts w:ascii="Times New Roman" w:eastAsia="Batang" w:hAnsi="Times New Roman" w:cs="Times New Roman"/>
          <w:noProof/>
          <w:sz w:val="24"/>
          <w:szCs w:val="24"/>
          <w:lang w:val="sq-AL"/>
        </w:rPr>
        <w:t>eve t</w:t>
      </w:r>
      <w:r w:rsidR="00754CBC" w:rsidRPr="00955F46">
        <w:rPr>
          <w:rFonts w:ascii="Times New Roman" w:eastAsia="Batang" w:hAnsi="Times New Roman" w:cs="Times New Roman"/>
          <w:noProof/>
          <w:sz w:val="24"/>
          <w:szCs w:val="24"/>
          <w:lang w:val="sq-AL"/>
        </w:rPr>
        <w:t>ë</w:t>
      </w:r>
      <w:r w:rsidR="00E077D6" w:rsidRPr="00955F46">
        <w:rPr>
          <w:rFonts w:ascii="Times New Roman" w:eastAsia="Batang" w:hAnsi="Times New Roman" w:cs="Times New Roman"/>
          <w:noProof/>
          <w:sz w:val="24"/>
          <w:szCs w:val="24"/>
          <w:lang w:val="sq-AL"/>
        </w:rPr>
        <w:t xml:space="preserve"> fundit tenton t</w:t>
      </w:r>
      <w:r w:rsidR="00754CBC" w:rsidRPr="00955F46">
        <w:rPr>
          <w:rFonts w:ascii="Times New Roman" w:eastAsia="Batang" w:hAnsi="Times New Roman" w:cs="Times New Roman"/>
          <w:noProof/>
          <w:sz w:val="24"/>
          <w:szCs w:val="24"/>
          <w:lang w:val="sq-AL"/>
        </w:rPr>
        <w:t>ë</w:t>
      </w:r>
      <w:r w:rsidR="00E077D6" w:rsidRPr="00955F46">
        <w:rPr>
          <w:rFonts w:ascii="Times New Roman" w:eastAsia="Batang" w:hAnsi="Times New Roman" w:cs="Times New Roman"/>
          <w:noProof/>
          <w:sz w:val="24"/>
          <w:szCs w:val="24"/>
          <w:lang w:val="sq-AL"/>
        </w:rPr>
        <w:t xml:space="preserve"> zbutet, nd</w:t>
      </w:r>
      <w:r w:rsidR="00754CBC" w:rsidRPr="00955F46">
        <w:rPr>
          <w:rFonts w:ascii="Times New Roman" w:eastAsia="Batang" w:hAnsi="Times New Roman" w:cs="Times New Roman"/>
          <w:noProof/>
          <w:sz w:val="24"/>
          <w:szCs w:val="24"/>
          <w:lang w:val="sq-AL"/>
        </w:rPr>
        <w:t>ë</w:t>
      </w:r>
      <w:r w:rsidR="00E077D6" w:rsidRPr="00955F46">
        <w:rPr>
          <w:rFonts w:ascii="Times New Roman" w:eastAsia="Batang" w:hAnsi="Times New Roman" w:cs="Times New Roman"/>
          <w:noProof/>
          <w:sz w:val="24"/>
          <w:szCs w:val="24"/>
          <w:lang w:val="sq-AL"/>
        </w:rPr>
        <w:t>rkoh</w:t>
      </w:r>
      <w:r w:rsidR="00754CBC" w:rsidRPr="00955F46">
        <w:rPr>
          <w:rFonts w:ascii="Times New Roman" w:eastAsia="Batang" w:hAnsi="Times New Roman" w:cs="Times New Roman"/>
          <w:noProof/>
          <w:sz w:val="24"/>
          <w:szCs w:val="24"/>
          <w:lang w:val="sq-AL"/>
        </w:rPr>
        <w:t>ë</w:t>
      </w:r>
      <w:r w:rsidR="00E077D6" w:rsidRPr="00955F46">
        <w:rPr>
          <w:rFonts w:ascii="Times New Roman" w:eastAsia="Batang" w:hAnsi="Times New Roman" w:cs="Times New Roman"/>
          <w:noProof/>
          <w:sz w:val="24"/>
          <w:szCs w:val="24"/>
          <w:lang w:val="sq-AL"/>
        </w:rPr>
        <w:t xml:space="preserve"> q</w:t>
      </w:r>
      <w:r w:rsidR="00754CBC" w:rsidRPr="00955F46">
        <w:rPr>
          <w:rFonts w:ascii="Times New Roman" w:eastAsia="Batang" w:hAnsi="Times New Roman" w:cs="Times New Roman"/>
          <w:noProof/>
          <w:sz w:val="24"/>
          <w:szCs w:val="24"/>
          <w:lang w:val="sq-AL"/>
        </w:rPr>
        <w:t>ë</w:t>
      </w:r>
      <w:r w:rsidR="00097511" w:rsidRPr="00955F46">
        <w:rPr>
          <w:rFonts w:ascii="Times New Roman" w:eastAsia="Batang" w:hAnsi="Times New Roman" w:cs="Times New Roman"/>
          <w:noProof/>
          <w:sz w:val="24"/>
          <w:szCs w:val="24"/>
          <w:lang w:val="sq-AL"/>
        </w:rPr>
        <w:t xml:space="preserve"> nevojat e </w:t>
      </w:r>
      <w:r w:rsidR="004B5182" w:rsidRPr="00955F46">
        <w:rPr>
          <w:rFonts w:ascii="Times New Roman" w:eastAsia="Batang" w:hAnsi="Times New Roman" w:cs="Times New Roman"/>
          <w:noProof/>
          <w:sz w:val="24"/>
          <w:szCs w:val="24"/>
          <w:lang w:val="sq-AL"/>
        </w:rPr>
        <w:t>q</w:t>
      </w:r>
      <w:r w:rsidR="00097511" w:rsidRPr="00955F46">
        <w:rPr>
          <w:rFonts w:ascii="Times New Roman" w:eastAsia="Batang" w:hAnsi="Times New Roman" w:cs="Times New Roman"/>
          <w:noProof/>
          <w:sz w:val="24"/>
          <w:szCs w:val="24"/>
          <w:lang w:val="sq-AL"/>
        </w:rPr>
        <w:t>everisë për likuiditet janë menaxhuar me sukses</w:t>
      </w:r>
      <w:r w:rsidR="00E077D6" w:rsidRPr="00955F46">
        <w:rPr>
          <w:rFonts w:ascii="Times New Roman" w:eastAsia="Batang" w:hAnsi="Times New Roman" w:cs="Times New Roman"/>
          <w:noProof/>
          <w:sz w:val="24"/>
          <w:szCs w:val="24"/>
          <w:lang w:val="sq-AL"/>
        </w:rPr>
        <w:t>,</w:t>
      </w:r>
      <w:r w:rsidR="00097511" w:rsidRPr="00955F46">
        <w:rPr>
          <w:rFonts w:ascii="Times New Roman" w:eastAsia="Batang" w:hAnsi="Times New Roman" w:cs="Times New Roman"/>
          <w:noProof/>
          <w:sz w:val="24"/>
          <w:szCs w:val="24"/>
          <w:lang w:val="sq-AL"/>
        </w:rPr>
        <w:t xml:space="preserve"> </w:t>
      </w:r>
      <w:r w:rsidR="00E077D6" w:rsidRPr="00955F46">
        <w:rPr>
          <w:rFonts w:ascii="Times New Roman" w:eastAsia="Batang" w:hAnsi="Times New Roman" w:cs="Times New Roman"/>
          <w:noProof/>
          <w:sz w:val="24"/>
          <w:szCs w:val="24"/>
          <w:lang w:val="sq-AL"/>
        </w:rPr>
        <w:t>pa ushtrua</w:t>
      </w:r>
      <w:r w:rsidR="00516C85" w:rsidRPr="00955F46">
        <w:rPr>
          <w:rFonts w:ascii="Times New Roman" w:eastAsia="Batang" w:hAnsi="Times New Roman" w:cs="Times New Roman"/>
          <w:noProof/>
          <w:sz w:val="24"/>
          <w:szCs w:val="24"/>
          <w:lang w:val="sq-AL"/>
        </w:rPr>
        <w:t>r presion në tregun e brendshëm.</w:t>
      </w:r>
    </w:p>
    <w:p w14:paraId="71DF5C8C" w14:textId="77777777" w:rsidR="00097511" w:rsidRPr="00955F46" w:rsidRDefault="00E077D6" w:rsidP="000F2369">
      <w:pPr>
        <w:spacing w:after="0" w:line="276" w:lineRule="auto"/>
        <w:ind w:right="237"/>
        <w:jc w:val="both"/>
        <w:rPr>
          <w:rFonts w:ascii="Times New Roman" w:eastAsia="Batang" w:hAnsi="Times New Roman" w:cs="Times New Roman"/>
          <w:noProof/>
          <w:sz w:val="24"/>
          <w:szCs w:val="24"/>
          <w:lang w:val="sq-AL"/>
        </w:rPr>
      </w:pPr>
      <w:r w:rsidRPr="00955F46">
        <w:rPr>
          <w:rFonts w:ascii="Times New Roman" w:eastAsia="Batang" w:hAnsi="Times New Roman" w:cs="Times New Roman"/>
          <w:noProof/>
          <w:sz w:val="24"/>
          <w:szCs w:val="24"/>
          <w:lang w:val="sq-AL"/>
        </w:rPr>
        <w:t>Nga ana tjet</w:t>
      </w:r>
      <w:r w:rsidR="00754CBC"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r</w:t>
      </w:r>
      <w:r w:rsidR="00097511" w:rsidRPr="00955F46">
        <w:rPr>
          <w:rFonts w:ascii="Times New Roman" w:eastAsia="Batang" w:hAnsi="Times New Roman" w:cs="Times New Roman"/>
          <w:noProof/>
          <w:sz w:val="24"/>
          <w:szCs w:val="24"/>
          <w:lang w:val="sq-AL"/>
        </w:rPr>
        <w:t xml:space="preserve">, </w:t>
      </w:r>
      <w:r w:rsidRPr="00955F46">
        <w:rPr>
          <w:rFonts w:ascii="Times New Roman" w:eastAsia="Batang" w:hAnsi="Times New Roman" w:cs="Times New Roman"/>
          <w:noProof/>
          <w:sz w:val="24"/>
          <w:szCs w:val="24"/>
          <w:lang w:val="sq-AL"/>
        </w:rPr>
        <w:t>q</w:t>
      </w:r>
      <w:r w:rsidR="00754CBC"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 xml:space="preserve"> prej vitit 2017</w:t>
      </w:r>
      <w:r w:rsidR="00097511" w:rsidRPr="00955F46">
        <w:rPr>
          <w:rFonts w:ascii="Times New Roman" w:eastAsia="Batang" w:hAnsi="Times New Roman" w:cs="Times New Roman"/>
          <w:noProof/>
          <w:sz w:val="24"/>
          <w:szCs w:val="24"/>
          <w:lang w:val="sq-AL"/>
        </w:rPr>
        <w:t xml:space="preserve"> është mundësuar krijimi i një rezerv</w:t>
      </w:r>
      <w:r w:rsidR="00462977" w:rsidRPr="00955F46">
        <w:rPr>
          <w:rFonts w:ascii="Times New Roman" w:eastAsia="Batang" w:hAnsi="Times New Roman" w:cs="Times New Roman"/>
          <w:noProof/>
          <w:sz w:val="24"/>
          <w:szCs w:val="24"/>
          <w:lang w:val="sq-AL"/>
        </w:rPr>
        <w:t>e monetare</w:t>
      </w:r>
      <w:r w:rsidR="001076B3" w:rsidRPr="00955F46">
        <w:rPr>
          <w:rFonts w:ascii="Times New Roman" w:eastAsia="Batang" w:hAnsi="Times New Roman" w:cs="Times New Roman"/>
          <w:noProof/>
          <w:sz w:val="24"/>
          <w:szCs w:val="24"/>
          <w:lang w:val="sq-AL"/>
        </w:rPr>
        <w:t xml:space="preserve"> </w:t>
      </w:r>
      <w:r w:rsidR="001076B3" w:rsidRPr="00955F46">
        <w:rPr>
          <w:rFonts w:ascii="Times New Roman" w:eastAsia="Batang" w:hAnsi="Times New Roman" w:cs="Times New Roman"/>
          <w:i/>
          <w:noProof/>
          <w:sz w:val="24"/>
          <w:szCs w:val="24"/>
          <w:lang w:val="sq-AL"/>
        </w:rPr>
        <w:t>(cash buffer),</w:t>
      </w:r>
      <w:r w:rsidR="00462977" w:rsidRPr="00955F46">
        <w:rPr>
          <w:rFonts w:ascii="Times New Roman" w:eastAsia="Batang" w:hAnsi="Times New Roman" w:cs="Times New Roman"/>
          <w:noProof/>
          <w:sz w:val="24"/>
          <w:szCs w:val="24"/>
          <w:lang w:val="sq-AL"/>
        </w:rPr>
        <w:t xml:space="preserve"> e cila do të mbulojë </w:t>
      </w:r>
      <w:r w:rsidR="00097511" w:rsidRPr="00955F46">
        <w:rPr>
          <w:rFonts w:ascii="Times New Roman" w:eastAsia="Batang" w:hAnsi="Times New Roman" w:cs="Times New Roman"/>
          <w:noProof/>
          <w:sz w:val="24"/>
          <w:szCs w:val="24"/>
          <w:lang w:val="sq-AL"/>
        </w:rPr>
        <w:t xml:space="preserve">pjesërisht nevojat për likuiditet të </w:t>
      </w:r>
      <w:r w:rsidR="004B5182" w:rsidRPr="00955F46">
        <w:rPr>
          <w:rFonts w:ascii="Times New Roman" w:eastAsia="Batang" w:hAnsi="Times New Roman" w:cs="Times New Roman"/>
          <w:noProof/>
          <w:sz w:val="24"/>
          <w:szCs w:val="24"/>
          <w:lang w:val="sq-AL"/>
        </w:rPr>
        <w:t>q</w:t>
      </w:r>
      <w:r w:rsidR="0017570C" w:rsidRPr="00955F46">
        <w:rPr>
          <w:rFonts w:ascii="Times New Roman" w:eastAsia="Batang" w:hAnsi="Times New Roman" w:cs="Times New Roman"/>
          <w:noProof/>
          <w:sz w:val="24"/>
          <w:szCs w:val="24"/>
          <w:lang w:val="sq-AL"/>
        </w:rPr>
        <w:t xml:space="preserve">everisë në </w:t>
      </w:r>
      <w:r w:rsidRPr="00955F46">
        <w:rPr>
          <w:rFonts w:ascii="Times New Roman" w:eastAsia="Batang" w:hAnsi="Times New Roman" w:cs="Times New Roman"/>
          <w:noProof/>
          <w:sz w:val="24"/>
          <w:szCs w:val="24"/>
          <w:lang w:val="sq-AL"/>
        </w:rPr>
        <w:t>periudh</w:t>
      </w:r>
      <w:r w:rsidR="00754CBC"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n afatshkurt</w:t>
      </w:r>
      <w:r w:rsidR="00754CBC"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r dhe afatmesme</w:t>
      </w:r>
      <w:r w:rsidR="0017570C" w:rsidRPr="00955F46">
        <w:rPr>
          <w:rFonts w:ascii="Times New Roman" w:eastAsia="Batang" w:hAnsi="Times New Roman" w:cs="Times New Roman"/>
          <w:noProof/>
          <w:sz w:val="24"/>
          <w:szCs w:val="24"/>
          <w:lang w:val="sq-AL"/>
        </w:rPr>
        <w:t>.</w:t>
      </w:r>
    </w:p>
    <w:p w14:paraId="71DF5C8D" w14:textId="77777777" w:rsidR="006F72FF" w:rsidRPr="00955F46" w:rsidRDefault="00FE72F8" w:rsidP="000F2369">
      <w:pPr>
        <w:spacing w:after="0" w:line="276" w:lineRule="auto"/>
        <w:ind w:right="237"/>
        <w:jc w:val="both"/>
        <w:rPr>
          <w:rFonts w:ascii="Times New Roman" w:eastAsia="Batang" w:hAnsi="Times New Roman" w:cs="Times New Roman"/>
          <w:noProof/>
          <w:sz w:val="24"/>
          <w:szCs w:val="24"/>
          <w:lang w:val="sq-AL"/>
        </w:rPr>
      </w:pPr>
      <w:r w:rsidRPr="00955F46">
        <w:rPr>
          <w:rFonts w:ascii="Times New Roman" w:eastAsia="Batang" w:hAnsi="Times New Roman" w:cs="Times New Roman"/>
          <w:noProof/>
          <w:sz w:val="24"/>
          <w:szCs w:val="24"/>
          <w:lang w:val="sq-AL"/>
        </w:rPr>
        <w:t>N</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 xml:space="preserve"> k</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t</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 xml:space="preserve"> drejtim rol t</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 xml:space="preserve"> r</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nd</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sish</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m ka luajtur edhe Komiteti i Menaxhimit t</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 xml:space="preserve"> Borxhit dhe Likuiditetit, i cili mblidhet periodikisht p</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r t</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 xml:space="preserve"> analizuar </w:t>
      </w:r>
      <w:r w:rsidR="004968FB" w:rsidRPr="00955F46">
        <w:rPr>
          <w:rFonts w:ascii="Times New Roman" w:eastAsia="Batang" w:hAnsi="Times New Roman" w:cs="Times New Roman"/>
          <w:noProof/>
          <w:sz w:val="24"/>
          <w:szCs w:val="24"/>
          <w:lang w:val="sq-AL"/>
        </w:rPr>
        <w:t xml:space="preserve">dhe planifikuar </w:t>
      </w:r>
      <w:r w:rsidRPr="00955F46">
        <w:rPr>
          <w:rFonts w:ascii="Times New Roman" w:eastAsia="Batang" w:hAnsi="Times New Roman" w:cs="Times New Roman"/>
          <w:noProof/>
          <w:sz w:val="24"/>
          <w:szCs w:val="24"/>
          <w:lang w:val="sq-AL"/>
        </w:rPr>
        <w:t>gjendjen e likuiditetit n</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 xml:space="preserve"> periudh</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n afatshkurt</w:t>
      </w:r>
      <w:r w:rsidR="0051504A" w:rsidRPr="00955F46">
        <w:rPr>
          <w:rFonts w:ascii="Times New Roman" w:eastAsia="Batang" w:hAnsi="Times New Roman" w:cs="Times New Roman"/>
          <w:noProof/>
          <w:sz w:val="24"/>
          <w:szCs w:val="24"/>
          <w:lang w:val="sq-AL"/>
        </w:rPr>
        <w:t>ë</w:t>
      </w:r>
      <w:r w:rsidRPr="00955F46">
        <w:rPr>
          <w:rFonts w:ascii="Times New Roman" w:eastAsia="Batang" w:hAnsi="Times New Roman" w:cs="Times New Roman"/>
          <w:noProof/>
          <w:sz w:val="24"/>
          <w:szCs w:val="24"/>
          <w:lang w:val="sq-AL"/>
        </w:rPr>
        <w:t>r dhe afatmesme.</w:t>
      </w:r>
    </w:p>
    <w:p w14:paraId="71DF5C8E" w14:textId="77777777" w:rsidR="00FE72F8" w:rsidRPr="00955F46" w:rsidRDefault="00FE72F8" w:rsidP="00EE0579">
      <w:pPr>
        <w:spacing w:after="0" w:line="276" w:lineRule="auto"/>
        <w:ind w:left="284" w:right="237"/>
        <w:jc w:val="both"/>
        <w:rPr>
          <w:rFonts w:ascii="Times New Roman" w:eastAsia="Batang" w:hAnsi="Times New Roman" w:cs="Times New Roman"/>
          <w:noProof/>
          <w:sz w:val="16"/>
          <w:szCs w:val="24"/>
          <w:lang w:val="sq-AL"/>
        </w:rPr>
      </w:pPr>
    </w:p>
    <w:p w14:paraId="71DF5C8F" w14:textId="77777777" w:rsidR="00EB6DAB" w:rsidRPr="00955F46" w:rsidRDefault="00097511" w:rsidP="000F2369">
      <w:pPr>
        <w:spacing w:after="0" w:line="276" w:lineRule="auto"/>
        <w:ind w:right="237"/>
        <w:jc w:val="both"/>
        <w:rPr>
          <w:rFonts w:ascii="Times New Roman" w:eastAsia="Batang" w:hAnsi="Times New Roman" w:cs="Times New Roman"/>
          <w:noProof/>
          <w:sz w:val="24"/>
          <w:szCs w:val="24"/>
          <w:lang w:val="sq-AL"/>
        </w:rPr>
      </w:pPr>
      <w:r w:rsidRPr="00955F46">
        <w:rPr>
          <w:rFonts w:ascii="Times New Roman" w:eastAsia="Batang" w:hAnsi="Times New Roman" w:cs="Times New Roman"/>
          <w:noProof/>
          <w:sz w:val="24"/>
          <w:szCs w:val="24"/>
          <w:lang w:val="sq-AL"/>
        </w:rPr>
        <w:t xml:space="preserve">Treguesit që vlerësojnë </w:t>
      </w:r>
      <w:r w:rsidR="00577D0F" w:rsidRPr="00955F46">
        <w:rPr>
          <w:rFonts w:ascii="Times New Roman" w:eastAsia="Batang" w:hAnsi="Times New Roman" w:cs="Times New Roman"/>
          <w:noProof/>
          <w:sz w:val="24"/>
          <w:szCs w:val="24"/>
          <w:lang w:val="sq-AL"/>
        </w:rPr>
        <w:t>r</w:t>
      </w:r>
      <w:r w:rsidR="004B5182" w:rsidRPr="00955F46">
        <w:rPr>
          <w:rFonts w:ascii="Times New Roman" w:eastAsia="Batang" w:hAnsi="Times New Roman" w:cs="Times New Roman"/>
          <w:noProof/>
          <w:sz w:val="24"/>
          <w:szCs w:val="24"/>
          <w:lang w:val="sq-AL"/>
        </w:rPr>
        <w:t>iskun</w:t>
      </w:r>
      <w:r w:rsidRPr="00955F46">
        <w:rPr>
          <w:rFonts w:ascii="Times New Roman" w:eastAsia="Batang" w:hAnsi="Times New Roman" w:cs="Times New Roman"/>
          <w:noProof/>
          <w:sz w:val="24"/>
          <w:szCs w:val="24"/>
          <w:lang w:val="sq-AL"/>
        </w:rPr>
        <w:t xml:space="preserve"> e likuiditetit kanë pësuar një përmirësim të ndjeshëm, kryesisht si rezultat i masave të marra në kuadër të reduktimit të </w:t>
      </w:r>
      <w:r w:rsidR="00F55A3D" w:rsidRPr="00955F46">
        <w:rPr>
          <w:rFonts w:ascii="Times New Roman" w:eastAsia="Batang" w:hAnsi="Times New Roman" w:cs="Times New Roman"/>
          <w:noProof/>
          <w:sz w:val="24"/>
          <w:szCs w:val="24"/>
          <w:lang w:val="sq-AL"/>
        </w:rPr>
        <w:t>ris</w:t>
      </w:r>
      <w:r w:rsidR="00471601" w:rsidRPr="00955F46">
        <w:rPr>
          <w:rFonts w:ascii="Times New Roman" w:eastAsia="Batang" w:hAnsi="Times New Roman" w:cs="Times New Roman"/>
          <w:noProof/>
          <w:sz w:val="24"/>
          <w:szCs w:val="24"/>
          <w:lang w:val="sq-AL"/>
        </w:rPr>
        <w:t>kut</w:t>
      </w:r>
      <w:r w:rsidRPr="00955F46">
        <w:rPr>
          <w:rFonts w:ascii="Times New Roman" w:eastAsia="Batang" w:hAnsi="Times New Roman" w:cs="Times New Roman"/>
          <w:noProof/>
          <w:sz w:val="24"/>
          <w:szCs w:val="24"/>
          <w:lang w:val="sq-AL"/>
        </w:rPr>
        <w:t xml:space="preserve"> të rifinancimit. Raportet e shpenzimeve për interesa të borxhit shtetëror dhe borxhit shtetëror afatshkurtër</w:t>
      </w:r>
      <w:r w:rsidRPr="00955F46">
        <w:rPr>
          <w:rFonts w:ascii="Times New Roman" w:eastAsia="Batang" w:hAnsi="Times New Roman" w:cs="Times New Roman"/>
          <w:noProof/>
          <w:sz w:val="24"/>
          <w:szCs w:val="24"/>
          <w:vertAlign w:val="superscript"/>
          <w:lang w:val="sq-AL"/>
        </w:rPr>
        <w:footnoteReference w:id="6"/>
      </w:r>
      <w:r w:rsidRPr="00955F46">
        <w:rPr>
          <w:rFonts w:ascii="Times New Roman" w:eastAsia="Batang" w:hAnsi="Times New Roman" w:cs="Times New Roman"/>
          <w:noProof/>
          <w:sz w:val="24"/>
          <w:szCs w:val="24"/>
          <w:vertAlign w:val="superscript"/>
          <w:lang w:val="sq-AL"/>
        </w:rPr>
        <w:t xml:space="preserve"> </w:t>
      </w:r>
      <w:r w:rsidRPr="00955F46">
        <w:rPr>
          <w:rFonts w:ascii="Times New Roman" w:eastAsia="Batang" w:hAnsi="Times New Roman" w:cs="Times New Roman"/>
          <w:noProof/>
          <w:sz w:val="24"/>
          <w:szCs w:val="24"/>
          <w:lang w:val="sq-AL"/>
        </w:rPr>
        <w:t>ndaj të ardhurave tatimore janë reduktuar ndjeshëm</w:t>
      </w:r>
      <w:r w:rsidR="00FB1249" w:rsidRPr="00955F46">
        <w:rPr>
          <w:rFonts w:ascii="Times New Roman" w:eastAsia="Batang" w:hAnsi="Times New Roman" w:cs="Times New Roman"/>
          <w:noProof/>
          <w:sz w:val="24"/>
          <w:szCs w:val="24"/>
          <w:lang w:val="sq-AL"/>
        </w:rPr>
        <w:t>, duke q</w:t>
      </w:r>
      <w:r w:rsidR="00431C17" w:rsidRPr="00955F46">
        <w:rPr>
          <w:rFonts w:ascii="Times New Roman" w:eastAsia="Batang" w:hAnsi="Times New Roman" w:cs="Times New Roman"/>
          <w:noProof/>
          <w:sz w:val="24"/>
          <w:szCs w:val="24"/>
          <w:lang w:val="sq-AL"/>
        </w:rPr>
        <w:t>e</w:t>
      </w:r>
      <w:r w:rsidR="00FB1249" w:rsidRPr="00955F46">
        <w:rPr>
          <w:rFonts w:ascii="Times New Roman" w:eastAsia="Batang" w:hAnsi="Times New Roman" w:cs="Times New Roman"/>
          <w:noProof/>
          <w:sz w:val="24"/>
          <w:szCs w:val="24"/>
          <w:lang w:val="sq-AL"/>
        </w:rPr>
        <w:t>n</w:t>
      </w:r>
      <w:r w:rsidR="00754CBC" w:rsidRPr="00955F46">
        <w:rPr>
          <w:rFonts w:ascii="Times New Roman" w:eastAsia="Batang" w:hAnsi="Times New Roman" w:cs="Times New Roman"/>
          <w:noProof/>
          <w:sz w:val="24"/>
          <w:szCs w:val="24"/>
          <w:lang w:val="sq-AL"/>
        </w:rPr>
        <w:t>ë</w:t>
      </w:r>
      <w:r w:rsidR="00FB1249" w:rsidRPr="00955F46">
        <w:rPr>
          <w:rFonts w:ascii="Times New Roman" w:eastAsia="Batang" w:hAnsi="Times New Roman" w:cs="Times New Roman"/>
          <w:noProof/>
          <w:sz w:val="24"/>
          <w:szCs w:val="24"/>
          <w:lang w:val="sq-AL"/>
        </w:rPr>
        <w:t xml:space="preserve"> n</w:t>
      </w:r>
      <w:r w:rsidR="00754CBC" w:rsidRPr="00955F46">
        <w:rPr>
          <w:rFonts w:ascii="Times New Roman" w:eastAsia="Batang" w:hAnsi="Times New Roman" w:cs="Times New Roman"/>
          <w:noProof/>
          <w:sz w:val="24"/>
          <w:szCs w:val="24"/>
          <w:lang w:val="sq-AL"/>
        </w:rPr>
        <w:t>ë</w:t>
      </w:r>
      <w:r w:rsidR="00FB1249" w:rsidRPr="00955F46">
        <w:rPr>
          <w:rFonts w:ascii="Times New Roman" w:eastAsia="Batang" w:hAnsi="Times New Roman" w:cs="Times New Roman"/>
          <w:noProof/>
          <w:sz w:val="24"/>
          <w:szCs w:val="24"/>
          <w:lang w:val="sq-AL"/>
        </w:rPr>
        <w:t xml:space="preserve"> linj</w:t>
      </w:r>
      <w:r w:rsidR="00754CBC" w:rsidRPr="00955F46">
        <w:rPr>
          <w:rFonts w:ascii="Times New Roman" w:eastAsia="Batang" w:hAnsi="Times New Roman" w:cs="Times New Roman"/>
          <w:noProof/>
          <w:sz w:val="24"/>
          <w:szCs w:val="24"/>
          <w:lang w:val="sq-AL"/>
        </w:rPr>
        <w:t>ë</w:t>
      </w:r>
      <w:r w:rsidR="00FB1249" w:rsidRPr="00955F46">
        <w:rPr>
          <w:rFonts w:ascii="Times New Roman" w:eastAsia="Batang" w:hAnsi="Times New Roman" w:cs="Times New Roman"/>
          <w:noProof/>
          <w:sz w:val="24"/>
          <w:szCs w:val="24"/>
          <w:lang w:val="sq-AL"/>
        </w:rPr>
        <w:t xml:space="preserve"> me objektivat p</w:t>
      </w:r>
      <w:r w:rsidR="00754CBC" w:rsidRPr="00955F46">
        <w:rPr>
          <w:rFonts w:ascii="Times New Roman" w:eastAsia="Batang" w:hAnsi="Times New Roman" w:cs="Times New Roman"/>
          <w:noProof/>
          <w:sz w:val="24"/>
          <w:szCs w:val="24"/>
          <w:lang w:val="sq-AL"/>
        </w:rPr>
        <w:t>ë</w:t>
      </w:r>
      <w:r w:rsidR="00FB1249" w:rsidRPr="00955F46">
        <w:rPr>
          <w:rFonts w:ascii="Times New Roman" w:eastAsia="Batang" w:hAnsi="Times New Roman" w:cs="Times New Roman"/>
          <w:noProof/>
          <w:sz w:val="24"/>
          <w:szCs w:val="24"/>
          <w:lang w:val="sq-AL"/>
        </w:rPr>
        <w:t xml:space="preserve">r konsolidimin </w:t>
      </w:r>
      <w:r w:rsidR="0034668E" w:rsidRPr="00955F46">
        <w:rPr>
          <w:rFonts w:ascii="Times New Roman" w:eastAsia="Batang" w:hAnsi="Times New Roman" w:cs="Times New Roman"/>
          <w:noProof/>
          <w:sz w:val="24"/>
          <w:szCs w:val="24"/>
          <w:lang w:val="sq-AL"/>
        </w:rPr>
        <w:t xml:space="preserve">e </w:t>
      </w:r>
      <w:r w:rsidR="006B26CA" w:rsidRPr="00955F46">
        <w:rPr>
          <w:rFonts w:ascii="Times New Roman" w:eastAsia="Batang" w:hAnsi="Times New Roman" w:cs="Times New Roman"/>
          <w:noProof/>
          <w:sz w:val="24"/>
          <w:szCs w:val="24"/>
          <w:lang w:val="sq-AL"/>
        </w:rPr>
        <w:t>risqev</w:t>
      </w:r>
      <w:r w:rsidR="00FB1249" w:rsidRPr="00955F46">
        <w:rPr>
          <w:rFonts w:ascii="Times New Roman" w:eastAsia="Batang" w:hAnsi="Times New Roman" w:cs="Times New Roman"/>
          <w:noProof/>
          <w:sz w:val="24"/>
          <w:szCs w:val="24"/>
          <w:lang w:val="sq-AL"/>
        </w:rPr>
        <w:t>e fiskal</w:t>
      </w:r>
      <w:r w:rsidR="00755BF6" w:rsidRPr="00955F46">
        <w:rPr>
          <w:rFonts w:ascii="Times New Roman" w:eastAsia="Batang" w:hAnsi="Times New Roman" w:cs="Times New Roman"/>
          <w:noProof/>
          <w:sz w:val="24"/>
          <w:szCs w:val="24"/>
          <w:lang w:val="sq-AL"/>
        </w:rPr>
        <w:t>e.</w:t>
      </w:r>
    </w:p>
    <w:p w14:paraId="71DF5C90" w14:textId="77777777" w:rsidR="00750F66" w:rsidRPr="00955F46" w:rsidRDefault="00750F66" w:rsidP="00097511">
      <w:pPr>
        <w:spacing w:after="0" w:line="240" w:lineRule="auto"/>
        <w:ind w:right="238"/>
        <w:jc w:val="both"/>
        <w:rPr>
          <w:rFonts w:ascii="Times New Roman" w:eastAsia="Batang" w:hAnsi="Times New Roman" w:cs="Times New Roman"/>
          <w:noProof/>
          <w:sz w:val="16"/>
          <w:szCs w:val="16"/>
          <w:lang w:val="sq-AL"/>
        </w:rPr>
      </w:pPr>
    </w:p>
    <w:p w14:paraId="71DF5C91" w14:textId="77777777" w:rsidR="000A122C" w:rsidRPr="00955F46" w:rsidRDefault="009B24CE" w:rsidP="00214FD0">
      <w:pPr>
        <w:spacing w:after="0" w:line="240" w:lineRule="auto"/>
        <w:jc w:val="center"/>
        <w:rPr>
          <w:rFonts w:ascii="Cambria" w:eastAsia="Batang" w:hAnsi="Cambria" w:cs="Times New Roman"/>
          <w:i/>
          <w:noProof/>
          <w:color w:val="8E0000"/>
          <w:sz w:val="20"/>
          <w:szCs w:val="20"/>
          <w:lang w:val="sq-AL"/>
        </w:rPr>
      </w:pPr>
      <w:r w:rsidRPr="00955F46">
        <w:rPr>
          <w:rFonts w:ascii="Cambria" w:eastAsia="Batang" w:hAnsi="Cambria" w:cs="Times New Roman"/>
          <w:b/>
          <w:noProof/>
          <w:color w:val="8E0000"/>
          <w:sz w:val="20"/>
          <w:szCs w:val="20"/>
          <w:lang w:val="sq-AL"/>
        </w:rPr>
        <w:t>Par</w:t>
      </w:r>
      <w:r w:rsidR="009A7D5C" w:rsidRPr="00955F46">
        <w:rPr>
          <w:rFonts w:ascii="Cambria" w:eastAsia="Batang" w:hAnsi="Cambria" w:cs="Times New Roman"/>
          <w:b/>
          <w:noProof/>
          <w:color w:val="8E0000"/>
          <w:sz w:val="20"/>
          <w:szCs w:val="20"/>
          <w:lang w:val="sq-AL"/>
        </w:rPr>
        <w:t>aqitje Grafike 5</w:t>
      </w:r>
      <w:r w:rsidRPr="00955F46">
        <w:rPr>
          <w:rFonts w:ascii="Cambria" w:eastAsia="Batang" w:hAnsi="Cambria" w:cs="Times New Roman"/>
          <w:b/>
          <w:noProof/>
          <w:color w:val="8E0000"/>
          <w:sz w:val="20"/>
          <w:szCs w:val="20"/>
          <w:lang w:val="sq-AL"/>
        </w:rPr>
        <w:t>.2.4:</w:t>
      </w:r>
      <w:r w:rsidRPr="00955F46">
        <w:rPr>
          <w:rFonts w:ascii="Cambria" w:eastAsia="Batang" w:hAnsi="Cambria" w:cs="Times New Roman"/>
          <w:i/>
          <w:noProof/>
          <w:color w:val="8E0000"/>
          <w:sz w:val="20"/>
          <w:szCs w:val="20"/>
          <w:lang w:val="sq-AL"/>
        </w:rPr>
        <w:t xml:space="preserve"> Shërbimi i borxhit në raport me të ardhurat</w:t>
      </w:r>
      <w:r w:rsidR="00214FD0" w:rsidRPr="00955F46">
        <w:rPr>
          <w:rFonts w:ascii="Cambria" w:eastAsia="Batang" w:hAnsi="Cambria" w:cs="Times New Roman"/>
          <w:i/>
          <w:noProof/>
          <w:color w:val="8E0000"/>
          <w:sz w:val="20"/>
          <w:szCs w:val="20"/>
          <w:lang w:val="sq-AL"/>
        </w:rPr>
        <w:t xml:space="preserve"> tatimore</w:t>
      </w:r>
      <w:r w:rsidR="000A122C" w:rsidRPr="00955F46">
        <w:rPr>
          <w:rFonts w:ascii="Cambria" w:eastAsia="Batang" w:hAnsi="Cambria" w:cs="Times New Roman"/>
          <w:i/>
          <w:noProof/>
          <w:color w:val="8E0000"/>
          <w:sz w:val="20"/>
          <w:szCs w:val="20"/>
          <w:lang w:val="sq-AL"/>
        </w:rPr>
        <w:t xml:space="preserve"> (2014</w:t>
      </w:r>
      <w:r w:rsidR="00FB134C" w:rsidRPr="00955F46">
        <w:rPr>
          <w:rFonts w:ascii="Cambria" w:eastAsia="Batang" w:hAnsi="Cambria" w:cs="Times New Roman"/>
          <w:i/>
          <w:noProof/>
          <w:color w:val="8E0000"/>
          <w:sz w:val="20"/>
          <w:szCs w:val="20"/>
          <w:lang w:val="sq-AL"/>
        </w:rPr>
        <w:t>-201</w:t>
      </w:r>
      <w:r w:rsidR="00214FD0" w:rsidRPr="00955F46">
        <w:rPr>
          <w:rFonts w:ascii="Cambria" w:eastAsia="Batang" w:hAnsi="Cambria" w:cs="Times New Roman"/>
          <w:i/>
          <w:noProof/>
          <w:color w:val="8E0000"/>
          <w:sz w:val="20"/>
          <w:szCs w:val="20"/>
          <w:lang w:val="sq-AL"/>
        </w:rPr>
        <w:t>9</w:t>
      </w:r>
      <w:r w:rsidR="000F2369" w:rsidRPr="00955F46">
        <w:rPr>
          <w:rFonts w:ascii="Cambria" w:eastAsia="Batang" w:hAnsi="Cambria" w:cs="Times New Roman"/>
          <w:i/>
          <w:noProof/>
          <w:color w:val="8E0000"/>
          <w:sz w:val="20"/>
          <w:szCs w:val="20"/>
          <w:lang w:val="sq-AL"/>
        </w:rPr>
        <w:t>)</w:t>
      </w:r>
    </w:p>
    <w:p w14:paraId="71DF5C92" w14:textId="77777777" w:rsidR="00431C17" w:rsidRPr="00955F46" w:rsidRDefault="00445D68" w:rsidP="001076B3">
      <w:pPr>
        <w:spacing w:after="0" w:line="240" w:lineRule="auto"/>
        <w:rPr>
          <w:rFonts w:ascii="Cambria" w:eastAsia="Batang" w:hAnsi="Cambria"/>
          <w:b/>
          <w:noProof/>
          <w:color w:val="8E0000"/>
          <w:sz w:val="20"/>
          <w:szCs w:val="20"/>
          <w:lang w:val="sq-AL"/>
        </w:rPr>
      </w:pPr>
      <w:r>
        <w:rPr>
          <w:rFonts w:ascii="Cambria" w:eastAsia="Batang" w:hAnsi="Cambria"/>
          <w:b/>
          <w:noProof/>
          <w:color w:val="8E0000"/>
          <w:sz w:val="20"/>
          <w:szCs w:val="20"/>
        </w:rPr>
        <w:drawing>
          <wp:inline distT="0" distB="0" distL="0" distR="0" wp14:anchorId="71DF5F85" wp14:editId="71DF5F86">
            <wp:extent cx="5524500" cy="1933575"/>
            <wp:effectExtent l="19050" t="19050" r="19050" b="285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0" cy="1933575"/>
                    </a:xfrm>
                    <a:prstGeom prst="rect">
                      <a:avLst/>
                    </a:prstGeom>
                    <a:noFill/>
                    <a:ln>
                      <a:solidFill>
                        <a:schemeClr val="bg1">
                          <a:lumMod val="75000"/>
                        </a:schemeClr>
                      </a:solidFill>
                    </a:ln>
                  </pic:spPr>
                </pic:pic>
              </a:graphicData>
            </a:graphic>
          </wp:inline>
        </w:drawing>
      </w:r>
    </w:p>
    <w:p w14:paraId="71DF5C93" w14:textId="77777777" w:rsidR="009B24CE" w:rsidRPr="000F5C13" w:rsidRDefault="009B24CE" w:rsidP="00431B74">
      <w:pPr>
        <w:spacing w:after="0" w:line="240" w:lineRule="auto"/>
        <w:jc w:val="center"/>
        <w:rPr>
          <w:rFonts w:ascii="Cambria" w:eastAsia="Batang" w:hAnsi="Cambria"/>
          <w:i/>
          <w:noProof/>
          <w:color w:val="8E0000"/>
          <w:sz w:val="20"/>
          <w:szCs w:val="20"/>
          <w:lang w:val="sq-AL"/>
        </w:rPr>
      </w:pPr>
      <w:r w:rsidRPr="00955F46">
        <w:rPr>
          <w:rFonts w:ascii="Cambria" w:eastAsia="Batang" w:hAnsi="Cambria"/>
          <w:b/>
          <w:noProof/>
          <w:color w:val="8E0000"/>
          <w:sz w:val="20"/>
          <w:szCs w:val="20"/>
          <w:lang w:val="sq-AL"/>
        </w:rPr>
        <w:t xml:space="preserve">Burimi: </w:t>
      </w:r>
      <w:r w:rsidRPr="00955F46">
        <w:rPr>
          <w:rFonts w:ascii="Cambria" w:eastAsia="Batang" w:hAnsi="Cambria"/>
          <w:i/>
          <w:noProof/>
          <w:color w:val="8E0000"/>
          <w:sz w:val="20"/>
          <w:szCs w:val="20"/>
          <w:lang w:val="sq-AL"/>
        </w:rPr>
        <w:t>Ministria</w:t>
      </w:r>
      <w:r w:rsidR="00431C17" w:rsidRPr="00955F46">
        <w:rPr>
          <w:rFonts w:ascii="Cambria" w:eastAsia="Batang" w:hAnsi="Cambria"/>
          <w:i/>
          <w:noProof/>
          <w:color w:val="8E0000"/>
          <w:sz w:val="20"/>
          <w:szCs w:val="20"/>
          <w:lang w:val="sq-AL"/>
        </w:rPr>
        <w:t xml:space="preserve"> e Financave dhe Ekonomisë (2019</w:t>
      </w:r>
      <w:r w:rsidRPr="00955F46">
        <w:rPr>
          <w:rFonts w:ascii="Cambria" w:eastAsia="Batang" w:hAnsi="Cambria"/>
          <w:i/>
          <w:noProof/>
          <w:color w:val="8E0000"/>
          <w:sz w:val="20"/>
          <w:szCs w:val="20"/>
          <w:lang w:val="sq-AL"/>
        </w:rPr>
        <w:t>)</w:t>
      </w:r>
    </w:p>
    <w:p w14:paraId="71DF5C94" w14:textId="77777777" w:rsidR="009B24CE" w:rsidRPr="000F5C13" w:rsidRDefault="009B24CE" w:rsidP="004A70BC">
      <w:pPr>
        <w:pStyle w:val="Heading1"/>
        <w:numPr>
          <w:ilvl w:val="0"/>
          <w:numId w:val="8"/>
        </w:numPr>
        <w:ind w:left="567" w:hanging="567"/>
        <w:rPr>
          <w:noProof/>
          <w:lang w:val="sq-AL"/>
        </w:rPr>
      </w:pPr>
      <w:bookmarkStart w:id="77" w:name="_Toc491860999"/>
      <w:bookmarkStart w:id="78" w:name="_Toc491954312"/>
      <w:bookmarkStart w:id="79" w:name="_Toc524506540"/>
      <w:r w:rsidRPr="000F5C13">
        <w:rPr>
          <w:noProof/>
          <w:lang w:val="sq-AL"/>
        </w:rPr>
        <w:t>Zhvillimet e Tregut Primar të Titujve Shtetërorë</w:t>
      </w:r>
      <w:bookmarkEnd w:id="77"/>
      <w:bookmarkEnd w:id="78"/>
      <w:bookmarkEnd w:id="79"/>
    </w:p>
    <w:p w14:paraId="71DF5C95" w14:textId="77777777" w:rsidR="009B24CE" w:rsidRPr="00214FD0" w:rsidRDefault="009B24CE" w:rsidP="009B24CE">
      <w:pPr>
        <w:keepNext/>
        <w:keepLines/>
        <w:spacing w:line="276" w:lineRule="auto"/>
        <w:ind w:left="360"/>
        <w:contextualSpacing/>
        <w:outlineLvl w:val="1"/>
        <w:rPr>
          <w:rFonts w:ascii="Times New Roman" w:eastAsiaTheme="majorEastAsia" w:hAnsi="Times New Roman" w:cs="Times New Roman"/>
          <w:b/>
          <w:noProof/>
          <w:sz w:val="20"/>
          <w:szCs w:val="16"/>
          <w:lang w:val="sq-AL"/>
        </w:rPr>
      </w:pPr>
    </w:p>
    <w:p w14:paraId="71DF5C96" w14:textId="77777777" w:rsidR="009032CE" w:rsidRPr="00AD0E7D" w:rsidRDefault="00097511"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AD0E7D">
        <w:rPr>
          <w:rFonts w:ascii="Times New Roman" w:eastAsia="Calibri" w:hAnsi="Times New Roman" w:cs="Times New Roman"/>
          <w:noProof/>
          <w:sz w:val="24"/>
          <w:szCs w:val="24"/>
          <w:lang w:val="sq-AL"/>
        </w:rPr>
        <w:t xml:space="preserve">Tregu primar i </w:t>
      </w:r>
      <w:r w:rsidR="00241722" w:rsidRPr="00AD0E7D">
        <w:rPr>
          <w:rFonts w:ascii="Times New Roman" w:eastAsia="Calibri" w:hAnsi="Times New Roman" w:cs="Times New Roman"/>
          <w:noProof/>
          <w:sz w:val="24"/>
          <w:szCs w:val="24"/>
          <w:lang w:val="sq-AL"/>
        </w:rPr>
        <w:t xml:space="preserve">titujve shtetërorë </w:t>
      </w:r>
      <w:r w:rsidR="009032CE" w:rsidRPr="00AD0E7D">
        <w:rPr>
          <w:rFonts w:ascii="Times New Roman" w:eastAsia="Calibri" w:hAnsi="Times New Roman" w:cs="Times New Roman"/>
          <w:noProof/>
          <w:sz w:val="24"/>
          <w:szCs w:val="24"/>
          <w:lang w:val="sq-AL"/>
        </w:rPr>
        <w:t xml:space="preserve">ka shfaqur </w:t>
      </w:r>
      <w:r w:rsidRPr="00AD0E7D">
        <w:rPr>
          <w:rFonts w:ascii="Times New Roman" w:eastAsia="Calibri" w:hAnsi="Times New Roman" w:cs="Times New Roman"/>
          <w:noProof/>
          <w:sz w:val="24"/>
          <w:szCs w:val="24"/>
          <w:lang w:val="sq-AL"/>
        </w:rPr>
        <w:t xml:space="preserve">zhvillime pozitive, </w:t>
      </w:r>
      <w:r w:rsidR="009032CE" w:rsidRPr="00AD0E7D">
        <w:rPr>
          <w:rFonts w:ascii="Times New Roman" w:eastAsia="Calibri" w:hAnsi="Times New Roman" w:cs="Times New Roman"/>
          <w:noProof/>
          <w:sz w:val="24"/>
          <w:szCs w:val="24"/>
          <w:lang w:val="sq-AL"/>
        </w:rPr>
        <w:t>nd</w:t>
      </w:r>
      <w:r w:rsidR="00754CBC" w:rsidRPr="00AD0E7D">
        <w:rPr>
          <w:rFonts w:ascii="Times New Roman" w:eastAsia="Calibri" w:hAnsi="Times New Roman" w:cs="Times New Roman"/>
          <w:noProof/>
          <w:sz w:val="24"/>
          <w:szCs w:val="24"/>
          <w:lang w:val="sq-AL"/>
        </w:rPr>
        <w:t>ë</w:t>
      </w:r>
      <w:r w:rsidR="009032CE" w:rsidRPr="00AD0E7D">
        <w:rPr>
          <w:rFonts w:ascii="Times New Roman" w:eastAsia="Calibri" w:hAnsi="Times New Roman" w:cs="Times New Roman"/>
          <w:noProof/>
          <w:sz w:val="24"/>
          <w:szCs w:val="24"/>
          <w:lang w:val="sq-AL"/>
        </w:rPr>
        <w:t>r t</w:t>
      </w:r>
      <w:r w:rsidR="00754CBC" w:rsidRPr="00AD0E7D">
        <w:rPr>
          <w:rFonts w:ascii="Times New Roman" w:eastAsia="Calibri" w:hAnsi="Times New Roman" w:cs="Times New Roman"/>
          <w:noProof/>
          <w:sz w:val="24"/>
          <w:szCs w:val="24"/>
          <w:lang w:val="sq-AL"/>
        </w:rPr>
        <w:t>ë</w:t>
      </w:r>
      <w:r w:rsidR="009032CE" w:rsidRPr="00AD0E7D">
        <w:rPr>
          <w:rFonts w:ascii="Times New Roman" w:eastAsia="Calibri" w:hAnsi="Times New Roman" w:cs="Times New Roman"/>
          <w:noProof/>
          <w:sz w:val="24"/>
          <w:szCs w:val="24"/>
          <w:lang w:val="sq-AL"/>
        </w:rPr>
        <w:t xml:space="preserve"> cilat mund t</w:t>
      </w:r>
      <w:r w:rsidR="00754CBC" w:rsidRPr="00AD0E7D">
        <w:rPr>
          <w:rFonts w:ascii="Times New Roman" w:eastAsia="Calibri" w:hAnsi="Times New Roman" w:cs="Times New Roman"/>
          <w:noProof/>
          <w:sz w:val="24"/>
          <w:szCs w:val="24"/>
          <w:lang w:val="sq-AL"/>
        </w:rPr>
        <w:t>ë</w:t>
      </w:r>
      <w:r w:rsidR="009032CE" w:rsidRPr="00AD0E7D">
        <w:rPr>
          <w:rFonts w:ascii="Times New Roman" w:eastAsia="Calibri" w:hAnsi="Times New Roman" w:cs="Times New Roman"/>
          <w:noProof/>
          <w:sz w:val="24"/>
          <w:szCs w:val="24"/>
          <w:lang w:val="sq-AL"/>
        </w:rPr>
        <w:t xml:space="preserve"> p</w:t>
      </w:r>
      <w:r w:rsidR="00754CBC" w:rsidRPr="00AD0E7D">
        <w:rPr>
          <w:rFonts w:ascii="Times New Roman" w:eastAsia="Calibri" w:hAnsi="Times New Roman" w:cs="Times New Roman"/>
          <w:noProof/>
          <w:sz w:val="24"/>
          <w:szCs w:val="24"/>
          <w:lang w:val="sq-AL"/>
        </w:rPr>
        <w:t>ë</w:t>
      </w:r>
      <w:r w:rsidR="009032CE" w:rsidRPr="00AD0E7D">
        <w:rPr>
          <w:rFonts w:ascii="Times New Roman" w:eastAsia="Calibri" w:hAnsi="Times New Roman" w:cs="Times New Roman"/>
          <w:noProof/>
          <w:sz w:val="24"/>
          <w:szCs w:val="24"/>
          <w:lang w:val="sq-AL"/>
        </w:rPr>
        <w:t>rmenden</w:t>
      </w:r>
      <w:r w:rsidRPr="00AD0E7D">
        <w:rPr>
          <w:rFonts w:ascii="Times New Roman" w:eastAsia="Calibri" w:hAnsi="Times New Roman" w:cs="Times New Roman"/>
          <w:noProof/>
          <w:sz w:val="24"/>
          <w:szCs w:val="24"/>
          <w:lang w:val="sq-AL"/>
        </w:rPr>
        <w:t>: i) kërkes</w:t>
      </w:r>
      <w:r w:rsidR="009032CE" w:rsidRPr="00AD0E7D">
        <w:rPr>
          <w:rFonts w:ascii="Times New Roman" w:eastAsia="Calibri" w:hAnsi="Times New Roman" w:cs="Times New Roman"/>
          <w:noProof/>
          <w:sz w:val="24"/>
          <w:szCs w:val="24"/>
          <w:lang w:val="sq-AL"/>
        </w:rPr>
        <w:t>a</w:t>
      </w:r>
      <w:r w:rsidRPr="00AD0E7D">
        <w:rPr>
          <w:rFonts w:ascii="Times New Roman" w:eastAsia="Calibri" w:hAnsi="Times New Roman" w:cs="Times New Roman"/>
          <w:noProof/>
          <w:sz w:val="24"/>
          <w:szCs w:val="24"/>
          <w:lang w:val="sq-AL"/>
        </w:rPr>
        <w:t xml:space="preserve"> e tregut për tituj shtetërorë në nivele të kënaqshme, e cila ka arritur të mbulojë nevojat e </w:t>
      </w:r>
      <w:r w:rsidR="00972739" w:rsidRPr="00AD0E7D">
        <w:rPr>
          <w:rFonts w:ascii="Times New Roman" w:eastAsia="Calibri" w:hAnsi="Times New Roman" w:cs="Times New Roman"/>
          <w:noProof/>
          <w:sz w:val="24"/>
          <w:szCs w:val="24"/>
          <w:lang w:val="sq-AL"/>
        </w:rPr>
        <w:t>q</w:t>
      </w:r>
      <w:r w:rsidRPr="00AD0E7D">
        <w:rPr>
          <w:rFonts w:ascii="Times New Roman" w:eastAsia="Calibri" w:hAnsi="Times New Roman" w:cs="Times New Roman"/>
          <w:noProof/>
          <w:sz w:val="24"/>
          <w:szCs w:val="24"/>
          <w:lang w:val="sq-AL"/>
        </w:rPr>
        <w:t>everisë për huamarrje në përputhje me objektivat strategjik</w:t>
      </w:r>
      <w:r w:rsidR="00754CBC" w:rsidRPr="00AD0E7D">
        <w:rPr>
          <w:rFonts w:ascii="Times New Roman" w:eastAsia="Calibri" w:hAnsi="Times New Roman" w:cs="Times New Roman"/>
          <w:noProof/>
          <w:sz w:val="24"/>
          <w:szCs w:val="24"/>
          <w:lang w:val="sq-AL"/>
        </w:rPr>
        <w:t>ë</w:t>
      </w:r>
      <w:r w:rsidRPr="00AD0E7D">
        <w:rPr>
          <w:rFonts w:ascii="Times New Roman" w:eastAsia="Calibri" w:hAnsi="Times New Roman" w:cs="Times New Roman"/>
          <w:noProof/>
          <w:sz w:val="24"/>
          <w:szCs w:val="24"/>
          <w:lang w:val="sq-AL"/>
        </w:rPr>
        <w:t>;</w:t>
      </w:r>
      <w:r w:rsidR="00587138" w:rsidRPr="00AD0E7D">
        <w:rPr>
          <w:rFonts w:ascii="Times New Roman" w:eastAsia="Calibri" w:hAnsi="Times New Roman" w:cs="Times New Roman"/>
          <w:noProof/>
          <w:sz w:val="24"/>
          <w:szCs w:val="24"/>
          <w:lang w:val="sq-AL"/>
        </w:rPr>
        <w:t xml:space="preserve"> ii) nd</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rmarrja e aktiviteteve n</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 xml:space="preserve"> kuad</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r t</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 xml:space="preserve"> p</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r</w:t>
      </w:r>
      <w:r w:rsidR="00FD52DF" w:rsidRPr="00AD0E7D">
        <w:rPr>
          <w:rFonts w:ascii="Times New Roman" w:eastAsia="Calibri" w:hAnsi="Times New Roman" w:cs="Times New Roman"/>
          <w:noProof/>
          <w:sz w:val="24"/>
          <w:szCs w:val="24"/>
          <w:lang w:val="sq-AL"/>
        </w:rPr>
        <w:t>m</w:t>
      </w:r>
      <w:r w:rsidR="00587138" w:rsidRPr="00AD0E7D">
        <w:rPr>
          <w:rFonts w:ascii="Times New Roman" w:eastAsia="Calibri" w:hAnsi="Times New Roman" w:cs="Times New Roman"/>
          <w:noProof/>
          <w:sz w:val="24"/>
          <w:szCs w:val="24"/>
          <w:lang w:val="sq-AL"/>
        </w:rPr>
        <w:t>ir</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simit t</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 xml:space="preserve"> infrastruktur</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s s</w:t>
      </w:r>
      <w:r w:rsidR="00754CBC" w:rsidRPr="00AD0E7D">
        <w:rPr>
          <w:rFonts w:ascii="Times New Roman" w:eastAsia="Calibri" w:hAnsi="Times New Roman" w:cs="Times New Roman"/>
          <w:noProof/>
          <w:sz w:val="24"/>
          <w:szCs w:val="24"/>
          <w:lang w:val="sq-AL"/>
        </w:rPr>
        <w:t>ë</w:t>
      </w:r>
      <w:r w:rsidR="00972739" w:rsidRPr="00AD0E7D">
        <w:rPr>
          <w:rFonts w:ascii="Times New Roman" w:eastAsia="Calibri" w:hAnsi="Times New Roman" w:cs="Times New Roman"/>
          <w:noProof/>
          <w:sz w:val="24"/>
          <w:szCs w:val="24"/>
          <w:lang w:val="sq-AL"/>
        </w:rPr>
        <w:t xml:space="preserve"> tregut t</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 xml:space="preserve"> titujve shtet</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ror</w:t>
      </w:r>
      <w:r w:rsidR="00754CBC" w:rsidRPr="00AD0E7D">
        <w:rPr>
          <w:rFonts w:ascii="Times New Roman" w:eastAsia="Calibri" w:hAnsi="Times New Roman" w:cs="Times New Roman"/>
          <w:noProof/>
          <w:sz w:val="24"/>
          <w:szCs w:val="24"/>
          <w:lang w:val="sq-AL"/>
        </w:rPr>
        <w:t>ë</w:t>
      </w:r>
      <w:r w:rsidR="00587138" w:rsidRPr="00AD0E7D">
        <w:rPr>
          <w:rFonts w:ascii="Times New Roman" w:eastAsia="Calibri" w:hAnsi="Times New Roman" w:cs="Times New Roman"/>
          <w:noProof/>
          <w:sz w:val="24"/>
          <w:szCs w:val="24"/>
          <w:lang w:val="sq-AL"/>
        </w:rPr>
        <w:t>;</w:t>
      </w:r>
      <w:r w:rsidRPr="00AD0E7D">
        <w:rPr>
          <w:rFonts w:ascii="Times New Roman" w:eastAsia="Calibri" w:hAnsi="Times New Roman" w:cs="Times New Roman"/>
          <w:noProof/>
          <w:sz w:val="24"/>
          <w:szCs w:val="24"/>
          <w:lang w:val="sq-AL"/>
        </w:rPr>
        <w:t xml:space="preserve"> dhe iii) </w:t>
      </w:r>
      <w:bookmarkStart w:id="80" w:name="_Toc491861001"/>
      <w:bookmarkStart w:id="81" w:name="_Toc491954314"/>
      <w:r w:rsidR="00E80F42" w:rsidRPr="00AD0E7D">
        <w:rPr>
          <w:rFonts w:ascii="Times New Roman" w:eastAsia="Calibri" w:hAnsi="Times New Roman" w:cs="Times New Roman"/>
          <w:noProof/>
          <w:sz w:val="24"/>
          <w:szCs w:val="24"/>
        </w:rPr>
        <w:t>zbutja e volati</w:t>
      </w:r>
      <w:r w:rsidR="009032CE" w:rsidRPr="00AD0E7D">
        <w:rPr>
          <w:rFonts w:ascii="Times New Roman" w:eastAsia="Calibri" w:hAnsi="Times New Roman" w:cs="Times New Roman"/>
          <w:noProof/>
          <w:sz w:val="24"/>
          <w:szCs w:val="24"/>
        </w:rPr>
        <w:t>l</w:t>
      </w:r>
      <w:r w:rsidR="00E80F42" w:rsidRPr="00AD0E7D">
        <w:rPr>
          <w:rFonts w:ascii="Times New Roman" w:eastAsia="Calibri" w:hAnsi="Times New Roman" w:cs="Times New Roman"/>
          <w:noProof/>
          <w:sz w:val="24"/>
          <w:szCs w:val="24"/>
        </w:rPr>
        <w:t>it</w:t>
      </w:r>
      <w:r w:rsidR="009032CE" w:rsidRPr="00AD0E7D">
        <w:rPr>
          <w:rFonts w:ascii="Times New Roman" w:eastAsia="Calibri" w:hAnsi="Times New Roman" w:cs="Times New Roman"/>
          <w:noProof/>
          <w:sz w:val="24"/>
          <w:szCs w:val="24"/>
        </w:rPr>
        <w:t xml:space="preserve">etit </w:t>
      </w:r>
      <w:r w:rsidR="00431C17" w:rsidRPr="00AD0E7D">
        <w:rPr>
          <w:rFonts w:ascii="Times New Roman" w:eastAsia="Calibri" w:hAnsi="Times New Roman" w:cs="Times New Roman"/>
          <w:noProof/>
          <w:sz w:val="24"/>
          <w:szCs w:val="24"/>
        </w:rPr>
        <w:t>t</w:t>
      </w:r>
      <w:r w:rsidR="00AD7066" w:rsidRPr="00AD0E7D">
        <w:rPr>
          <w:rFonts w:ascii="Times New Roman" w:eastAsia="Calibri" w:hAnsi="Times New Roman" w:cs="Times New Roman"/>
          <w:noProof/>
          <w:sz w:val="24"/>
          <w:szCs w:val="24"/>
        </w:rPr>
        <w:t>ë</w:t>
      </w:r>
      <w:r w:rsidR="00431C17" w:rsidRPr="00AD0E7D">
        <w:rPr>
          <w:rFonts w:ascii="Times New Roman" w:eastAsia="Calibri" w:hAnsi="Times New Roman" w:cs="Times New Roman"/>
          <w:noProof/>
          <w:sz w:val="24"/>
          <w:szCs w:val="24"/>
        </w:rPr>
        <w:t xml:space="preserve"> normave t</w:t>
      </w:r>
      <w:r w:rsidR="00AD7066" w:rsidRPr="00AD0E7D">
        <w:rPr>
          <w:rFonts w:ascii="Times New Roman" w:eastAsia="Calibri" w:hAnsi="Times New Roman" w:cs="Times New Roman"/>
          <w:noProof/>
          <w:sz w:val="24"/>
          <w:szCs w:val="24"/>
        </w:rPr>
        <w:t>ë</w:t>
      </w:r>
      <w:r w:rsidR="009032CE" w:rsidRPr="00AD0E7D">
        <w:rPr>
          <w:rFonts w:ascii="Times New Roman" w:eastAsia="Calibri" w:hAnsi="Times New Roman" w:cs="Times New Roman"/>
          <w:noProof/>
          <w:sz w:val="24"/>
          <w:szCs w:val="24"/>
        </w:rPr>
        <w:t xml:space="preserve"> interesit.</w:t>
      </w:r>
    </w:p>
    <w:p w14:paraId="71DF5C97" w14:textId="77777777" w:rsidR="009B24CE" w:rsidRPr="00AD0E7D" w:rsidRDefault="009B24CE" w:rsidP="004A70BC">
      <w:pPr>
        <w:pStyle w:val="Heading2"/>
        <w:numPr>
          <w:ilvl w:val="1"/>
          <w:numId w:val="8"/>
        </w:numPr>
        <w:ind w:left="709" w:hanging="709"/>
        <w:rPr>
          <w:rStyle w:val="Heading2Char"/>
          <w:b/>
          <w:noProof/>
          <w:lang w:val="sq-AL"/>
        </w:rPr>
      </w:pPr>
      <w:bookmarkStart w:id="82" w:name="_Toc524506541"/>
      <w:r w:rsidRPr="00AD0E7D">
        <w:rPr>
          <w:rStyle w:val="Heading2Char"/>
          <w:b/>
          <w:noProof/>
          <w:lang w:val="sq-AL"/>
        </w:rPr>
        <w:t xml:space="preserve">Ecuria e </w:t>
      </w:r>
      <w:r w:rsidR="00E60C21" w:rsidRPr="00AD0E7D">
        <w:rPr>
          <w:rStyle w:val="Heading2Char"/>
          <w:b/>
          <w:noProof/>
          <w:lang w:val="sq-AL"/>
        </w:rPr>
        <w:t>ankandeve dhe kërkesa për tituj</w:t>
      </w:r>
      <w:r w:rsidRPr="00AD0E7D">
        <w:rPr>
          <w:rStyle w:val="Heading2Char"/>
          <w:b/>
          <w:noProof/>
          <w:lang w:val="sq-AL"/>
        </w:rPr>
        <w:t xml:space="preserve"> shtetërorë</w:t>
      </w:r>
      <w:bookmarkEnd w:id="80"/>
      <w:bookmarkEnd w:id="81"/>
      <w:bookmarkEnd w:id="82"/>
    </w:p>
    <w:p w14:paraId="71DF5C98" w14:textId="77777777" w:rsidR="009B24CE" w:rsidRPr="00AD0E7D" w:rsidRDefault="009B24CE" w:rsidP="009B24CE">
      <w:pPr>
        <w:keepNext/>
        <w:keepLines/>
        <w:spacing w:before="40" w:after="0"/>
        <w:ind w:firstLine="284"/>
        <w:outlineLvl w:val="2"/>
        <w:rPr>
          <w:rFonts w:ascii="Times New Roman" w:eastAsiaTheme="majorEastAsia" w:hAnsi="Times New Roman" w:cs="Times New Roman"/>
          <w:b/>
          <w:noProof/>
          <w:sz w:val="20"/>
          <w:szCs w:val="16"/>
          <w:lang w:val="sq-AL"/>
        </w:rPr>
      </w:pPr>
    </w:p>
    <w:p w14:paraId="71DF5C99" w14:textId="77777777" w:rsidR="00461A52" w:rsidRPr="00AD0E7D" w:rsidRDefault="008639FB"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AD0E7D">
        <w:rPr>
          <w:rFonts w:ascii="Times New Roman" w:eastAsia="Calibri" w:hAnsi="Times New Roman" w:cs="Times New Roman"/>
          <w:noProof/>
          <w:sz w:val="24"/>
          <w:szCs w:val="24"/>
          <w:lang w:val="sq-AL"/>
        </w:rPr>
        <w:t>K</w:t>
      </w:r>
      <w:r w:rsidR="00097511" w:rsidRPr="00AD0E7D">
        <w:rPr>
          <w:rFonts w:ascii="Times New Roman" w:eastAsia="Calibri" w:hAnsi="Times New Roman" w:cs="Times New Roman"/>
          <w:noProof/>
          <w:sz w:val="24"/>
          <w:szCs w:val="24"/>
          <w:lang w:val="sq-AL"/>
        </w:rPr>
        <w:t xml:space="preserve">ërkesa për tituj shtetërorë </w:t>
      </w:r>
      <w:r w:rsidR="00461A52" w:rsidRPr="00AD0E7D">
        <w:rPr>
          <w:rFonts w:ascii="Times New Roman" w:eastAsia="Calibri" w:hAnsi="Times New Roman" w:cs="Times New Roman"/>
          <w:noProof/>
          <w:sz w:val="24"/>
          <w:szCs w:val="24"/>
          <w:lang w:val="sq-AL"/>
        </w:rPr>
        <w:t>p</w:t>
      </w:r>
      <w:r w:rsidR="00FA56D8" w:rsidRPr="00AD0E7D">
        <w:rPr>
          <w:rFonts w:ascii="Times New Roman" w:eastAsia="Calibri" w:hAnsi="Times New Roman" w:cs="Times New Roman"/>
          <w:noProof/>
          <w:sz w:val="24"/>
          <w:szCs w:val="24"/>
          <w:lang w:val="sq-AL"/>
        </w:rPr>
        <w:t>ë</w:t>
      </w:r>
      <w:r w:rsidR="00461A52" w:rsidRPr="00AD0E7D">
        <w:rPr>
          <w:rFonts w:ascii="Times New Roman" w:eastAsia="Calibri" w:hAnsi="Times New Roman" w:cs="Times New Roman"/>
          <w:noProof/>
          <w:sz w:val="24"/>
          <w:szCs w:val="24"/>
          <w:lang w:val="sq-AL"/>
        </w:rPr>
        <w:t>rgjith</w:t>
      </w:r>
      <w:r w:rsidR="00FA56D8" w:rsidRPr="00AD0E7D">
        <w:rPr>
          <w:rFonts w:ascii="Times New Roman" w:eastAsia="Calibri" w:hAnsi="Times New Roman" w:cs="Times New Roman"/>
          <w:noProof/>
          <w:sz w:val="24"/>
          <w:szCs w:val="24"/>
          <w:lang w:val="sq-AL"/>
        </w:rPr>
        <w:t>ë</w:t>
      </w:r>
      <w:r w:rsidR="00461A52" w:rsidRPr="00AD0E7D">
        <w:rPr>
          <w:rFonts w:ascii="Times New Roman" w:eastAsia="Calibri" w:hAnsi="Times New Roman" w:cs="Times New Roman"/>
          <w:noProof/>
          <w:sz w:val="24"/>
          <w:szCs w:val="24"/>
          <w:lang w:val="sq-AL"/>
        </w:rPr>
        <w:t>sisht</w:t>
      </w:r>
      <w:r w:rsidRPr="00AD0E7D">
        <w:rPr>
          <w:rFonts w:ascii="Times New Roman" w:eastAsia="Calibri" w:hAnsi="Times New Roman" w:cs="Times New Roman"/>
          <w:noProof/>
          <w:sz w:val="24"/>
          <w:szCs w:val="24"/>
          <w:lang w:val="sq-AL"/>
        </w:rPr>
        <w:t xml:space="preserve"> vazhdon t</w:t>
      </w:r>
      <w:r w:rsidR="00754CBC" w:rsidRPr="00AD0E7D">
        <w:rPr>
          <w:rFonts w:ascii="Times New Roman" w:eastAsia="Calibri" w:hAnsi="Times New Roman" w:cs="Times New Roman"/>
          <w:noProof/>
          <w:sz w:val="24"/>
          <w:szCs w:val="24"/>
          <w:lang w:val="sq-AL"/>
        </w:rPr>
        <w:t>ë</w:t>
      </w:r>
      <w:r w:rsidRPr="00AD0E7D">
        <w:rPr>
          <w:rFonts w:ascii="Times New Roman" w:eastAsia="Calibri" w:hAnsi="Times New Roman" w:cs="Times New Roman"/>
          <w:noProof/>
          <w:sz w:val="24"/>
          <w:szCs w:val="24"/>
          <w:lang w:val="sq-AL"/>
        </w:rPr>
        <w:t xml:space="preserve"> jet</w:t>
      </w:r>
      <w:r w:rsidR="00754CBC" w:rsidRPr="00AD0E7D">
        <w:rPr>
          <w:rFonts w:ascii="Times New Roman" w:eastAsia="Calibri" w:hAnsi="Times New Roman" w:cs="Times New Roman"/>
          <w:noProof/>
          <w:sz w:val="24"/>
          <w:szCs w:val="24"/>
          <w:lang w:val="sq-AL"/>
        </w:rPr>
        <w:t>ë</w:t>
      </w:r>
      <w:r w:rsidRPr="00AD0E7D">
        <w:rPr>
          <w:rFonts w:ascii="Times New Roman" w:eastAsia="Calibri" w:hAnsi="Times New Roman" w:cs="Times New Roman"/>
          <w:noProof/>
          <w:sz w:val="24"/>
          <w:szCs w:val="24"/>
          <w:lang w:val="sq-AL"/>
        </w:rPr>
        <w:t xml:space="preserve"> e ngjashme</w:t>
      </w:r>
      <w:r w:rsidR="007D268F" w:rsidRPr="00AD0E7D">
        <w:rPr>
          <w:rFonts w:ascii="Times New Roman" w:eastAsia="Calibri" w:hAnsi="Times New Roman" w:cs="Times New Roman"/>
          <w:noProof/>
          <w:sz w:val="24"/>
          <w:szCs w:val="24"/>
          <w:lang w:val="sq-AL"/>
        </w:rPr>
        <w:t>, duke mos paraqitur ndryshime t</w:t>
      </w:r>
      <w:r w:rsidR="00754CBC" w:rsidRPr="00AD0E7D">
        <w:rPr>
          <w:rFonts w:ascii="Times New Roman" w:eastAsia="Calibri" w:hAnsi="Times New Roman" w:cs="Times New Roman"/>
          <w:noProof/>
          <w:sz w:val="24"/>
          <w:szCs w:val="24"/>
          <w:lang w:val="sq-AL"/>
        </w:rPr>
        <w:t>ë</w:t>
      </w:r>
      <w:r w:rsidR="007D268F" w:rsidRPr="00AD0E7D">
        <w:rPr>
          <w:rFonts w:ascii="Times New Roman" w:eastAsia="Calibri" w:hAnsi="Times New Roman" w:cs="Times New Roman"/>
          <w:noProof/>
          <w:sz w:val="24"/>
          <w:szCs w:val="24"/>
          <w:lang w:val="sq-AL"/>
        </w:rPr>
        <w:t xml:space="preserve"> theksuara</w:t>
      </w:r>
      <w:r w:rsidR="003E71C8" w:rsidRPr="00AD0E7D">
        <w:rPr>
          <w:rFonts w:ascii="Times New Roman" w:eastAsia="Calibri" w:hAnsi="Times New Roman" w:cs="Times New Roman"/>
          <w:noProof/>
          <w:sz w:val="24"/>
          <w:szCs w:val="24"/>
          <w:lang w:val="sq-AL"/>
        </w:rPr>
        <w:t xml:space="preserve"> n</w:t>
      </w:r>
      <w:r w:rsidR="004D1E37" w:rsidRPr="00AD0E7D">
        <w:rPr>
          <w:rFonts w:ascii="Times New Roman" w:eastAsia="Calibri" w:hAnsi="Times New Roman" w:cs="Times New Roman"/>
          <w:noProof/>
          <w:sz w:val="24"/>
          <w:szCs w:val="24"/>
          <w:lang w:val="sq-AL"/>
        </w:rPr>
        <w:t>ë</w:t>
      </w:r>
      <w:r w:rsidR="003E71C8" w:rsidRPr="00AD0E7D">
        <w:rPr>
          <w:rFonts w:ascii="Times New Roman" w:eastAsia="Calibri" w:hAnsi="Times New Roman" w:cs="Times New Roman"/>
          <w:noProof/>
          <w:sz w:val="24"/>
          <w:szCs w:val="24"/>
          <w:lang w:val="sq-AL"/>
        </w:rPr>
        <w:t xml:space="preserve"> vitet e fundit</w:t>
      </w:r>
      <w:r w:rsidR="007D268F" w:rsidRPr="00AD0E7D">
        <w:rPr>
          <w:rFonts w:ascii="Times New Roman" w:eastAsia="Calibri" w:hAnsi="Times New Roman" w:cs="Times New Roman"/>
          <w:noProof/>
          <w:sz w:val="24"/>
          <w:szCs w:val="24"/>
          <w:lang w:val="sq-AL"/>
        </w:rPr>
        <w:t>. Ajo</w:t>
      </w:r>
      <w:r w:rsidR="00461A52" w:rsidRPr="00AD0E7D">
        <w:rPr>
          <w:rFonts w:ascii="Times New Roman" w:eastAsia="Calibri" w:hAnsi="Times New Roman" w:cs="Times New Roman"/>
          <w:noProof/>
          <w:sz w:val="24"/>
          <w:szCs w:val="24"/>
          <w:lang w:val="sq-AL"/>
        </w:rPr>
        <w:t xml:space="preserve"> vazhd</w:t>
      </w:r>
      <w:r w:rsidR="007D268F" w:rsidRPr="00AD0E7D">
        <w:rPr>
          <w:rFonts w:ascii="Times New Roman" w:eastAsia="Calibri" w:hAnsi="Times New Roman" w:cs="Times New Roman"/>
          <w:noProof/>
          <w:sz w:val="24"/>
          <w:szCs w:val="24"/>
          <w:lang w:val="sq-AL"/>
        </w:rPr>
        <w:t>on</w:t>
      </w:r>
      <w:r w:rsidR="00461A52" w:rsidRPr="00AD0E7D">
        <w:rPr>
          <w:rFonts w:ascii="Times New Roman" w:eastAsia="Calibri" w:hAnsi="Times New Roman" w:cs="Times New Roman"/>
          <w:noProof/>
          <w:sz w:val="24"/>
          <w:szCs w:val="24"/>
          <w:lang w:val="sq-AL"/>
        </w:rPr>
        <w:t xml:space="preserve"> t</w:t>
      </w:r>
      <w:r w:rsidR="00FA56D8" w:rsidRPr="00AD0E7D">
        <w:rPr>
          <w:rFonts w:ascii="Times New Roman" w:eastAsia="Calibri" w:hAnsi="Times New Roman" w:cs="Times New Roman"/>
          <w:noProof/>
          <w:sz w:val="24"/>
          <w:szCs w:val="24"/>
          <w:lang w:val="sq-AL"/>
        </w:rPr>
        <w:t>ë</w:t>
      </w:r>
      <w:r w:rsidR="00461A52" w:rsidRPr="00AD0E7D">
        <w:rPr>
          <w:rFonts w:ascii="Times New Roman" w:eastAsia="Calibri" w:hAnsi="Times New Roman" w:cs="Times New Roman"/>
          <w:noProof/>
          <w:sz w:val="24"/>
          <w:szCs w:val="24"/>
          <w:lang w:val="sq-AL"/>
        </w:rPr>
        <w:t xml:space="preserve"> mb</w:t>
      </w:r>
      <w:r w:rsidR="00FA56D8" w:rsidRPr="00AD0E7D">
        <w:rPr>
          <w:rFonts w:ascii="Times New Roman" w:eastAsia="Calibri" w:hAnsi="Times New Roman" w:cs="Times New Roman"/>
          <w:noProof/>
          <w:sz w:val="24"/>
          <w:szCs w:val="24"/>
          <w:lang w:val="sq-AL"/>
        </w:rPr>
        <w:t>ë</w:t>
      </w:r>
      <w:r w:rsidR="00461A52" w:rsidRPr="00AD0E7D">
        <w:rPr>
          <w:rFonts w:ascii="Times New Roman" w:eastAsia="Calibri" w:hAnsi="Times New Roman" w:cs="Times New Roman"/>
          <w:noProof/>
          <w:sz w:val="24"/>
          <w:szCs w:val="24"/>
          <w:lang w:val="sq-AL"/>
        </w:rPr>
        <w:t>shtet</w:t>
      </w:r>
      <w:r w:rsidR="003E71C8" w:rsidRPr="00AD0E7D">
        <w:rPr>
          <w:rFonts w:ascii="Times New Roman" w:eastAsia="Calibri" w:hAnsi="Times New Roman" w:cs="Times New Roman"/>
          <w:noProof/>
          <w:sz w:val="24"/>
          <w:szCs w:val="24"/>
          <w:lang w:val="sq-AL"/>
        </w:rPr>
        <w:t>et</w:t>
      </w:r>
      <w:r w:rsidR="00461A52" w:rsidRPr="00AD0E7D">
        <w:rPr>
          <w:rFonts w:ascii="Times New Roman" w:eastAsia="Calibri" w:hAnsi="Times New Roman" w:cs="Times New Roman"/>
          <w:noProof/>
          <w:sz w:val="24"/>
          <w:szCs w:val="24"/>
          <w:lang w:val="sq-AL"/>
        </w:rPr>
        <w:t xml:space="preserve"> tek investitor</w:t>
      </w:r>
      <w:r w:rsidR="00FA56D8" w:rsidRPr="00AD0E7D">
        <w:rPr>
          <w:rFonts w:ascii="Times New Roman" w:eastAsia="Calibri" w:hAnsi="Times New Roman" w:cs="Times New Roman"/>
          <w:noProof/>
          <w:sz w:val="24"/>
          <w:szCs w:val="24"/>
          <w:lang w:val="sq-AL"/>
        </w:rPr>
        <w:t>ë</w:t>
      </w:r>
      <w:r w:rsidR="00461A52" w:rsidRPr="00AD0E7D">
        <w:rPr>
          <w:rFonts w:ascii="Times New Roman" w:eastAsia="Calibri" w:hAnsi="Times New Roman" w:cs="Times New Roman"/>
          <w:noProof/>
          <w:sz w:val="24"/>
          <w:szCs w:val="24"/>
          <w:lang w:val="sq-AL"/>
        </w:rPr>
        <w:t xml:space="preserve">t vendas </w:t>
      </w:r>
      <w:r w:rsidR="00461A52" w:rsidRPr="00626164">
        <w:rPr>
          <w:rFonts w:ascii="Times New Roman" w:eastAsia="Calibri" w:hAnsi="Times New Roman" w:cs="Times New Roman"/>
          <w:noProof/>
          <w:sz w:val="24"/>
          <w:szCs w:val="24"/>
          <w:lang w:val="sq-AL"/>
        </w:rPr>
        <w:t>(rezident)</w:t>
      </w:r>
      <w:r w:rsidR="00C3092E" w:rsidRPr="00626164">
        <w:rPr>
          <w:rFonts w:ascii="Times New Roman" w:eastAsia="Calibri" w:hAnsi="Times New Roman" w:cs="Times New Roman"/>
          <w:noProof/>
          <w:sz w:val="24"/>
          <w:szCs w:val="24"/>
          <w:lang w:val="sq-AL"/>
        </w:rPr>
        <w:t>,</w:t>
      </w:r>
      <w:r w:rsidR="00C3092E" w:rsidRPr="00AD0E7D">
        <w:rPr>
          <w:rFonts w:ascii="Times New Roman" w:eastAsia="Calibri" w:hAnsi="Times New Roman" w:cs="Times New Roman"/>
          <w:noProof/>
          <w:sz w:val="24"/>
          <w:szCs w:val="24"/>
          <w:lang w:val="sq-AL"/>
        </w:rPr>
        <w:t xml:space="preserve"> nd</w:t>
      </w:r>
      <w:r w:rsidR="00FA56D8" w:rsidRPr="00AD0E7D">
        <w:rPr>
          <w:rFonts w:ascii="Times New Roman" w:eastAsia="Calibri" w:hAnsi="Times New Roman" w:cs="Times New Roman"/>
          <w:noProof/>
          <w:sz w:val="24"/>
          <w:szCs w:val="24"/>
          <w:lang w:val="sq-AL"/>
        </w:rPr>
        <w:t>ë</w:t>
      </w:r>
      <w:r w:rsidR="00C3092E" w:rsidRPr="00AD0E7D">
        <w:rPr>
          <w:rFonts w:ascii="Times New Roman" w:eastAsia="Calibri" w:hAnsi="Times New Roman" w:cs="Times New Roman"/>
          <w:noProof/>
          <w:sz w:val="24"/>
          <w:szCs w:val="24"/>
          <w:lang w:val="sq-AL"/>
        </w:rPr>
        <w:t>rkoh</w:t>
      </w:r>
      <w:r w:rsidR="00FA56D8" w:rsidRPr="00AD0E7D">
        <w:rPr>
          <w:rFonts w:ascii="Times New Roman" w:eastAsia="Calibri" w:hAnsi="Times New Roman" w:cs="Times New Roman"/>
          <w:noProof/>
          <w:sz w:val="24"/>
          <w:szCs w:val="24"/>
          <w:lang w:val="sq-AL"/>
        </w:rPr>
        <w:t>ë</w:t>
      </w:r>
      <w:r w:rsidR="00C3092E" w:rsidRPr="00AD0E7D">
        <w:rPr>
          <w:rFonts w:ascii="Times New Roman" w:eastAsia="Calibri" w:hAnsi="Times New Roman" w:cs="Times New Roman"/>
          <w:noProof/>
          <w:sz w:val="24"/>
          <w:szCs w:val="24"/>
          <w:lang w:val="sq-AL"/>
        </w:rPr>
        <w:t xml:space="preserve"> q</w:t>
      </w:r>
      <w:r w:rsidR="00FA56D8" w:rsidRPr="00AD0E7D">
        <w:rPr>
          <w:rFonts w:ascii="Times New Roman" w:eastAsia="Calibri" w:hAnsi="Times New Roman" w:cs="Times New Roman"/>
          <w:noProof/>
          <w:sz w:val="24"/>
          <w:szCs w:val="24"/>
          <w:lang w:val="sq-AL"/>
        </w:rPr>
        <w:t>ë</w:t>
      </w:r>
      <w:r w:rsidR="00C3092E" w:rsidRPr="00AD0E7D">
        <w:rPr>
          <w:rFonts w:ascii="Times New Roman" w:eastAsia="Calibri" w:hAnsi="Times New Roman" w:cs="Times New Roman"/>
          <w:noProof/>
          <w:sz w:val="24"/>
          <w:szCs w:val="24"/>
          <w:lang w:val="sq-AL"/>
        </w:rPr>
        <w:t xml:space="preserve"> </w:t>
      </w:r>
      <w:r w:rsidR="00461A52" w:rsidRPr="00AD0E7D">
        <w:rPr>
          <w:rFonts w:ascii="Times New Roman" w:eastAsia="Calibri" w:hAnsi="Times New Roman" w:cs="Times New Roman"/>
          <w:noProof/>
          <w:sz w:val="24"/>
          <w:szCs w:val="24"/>
          <w:lang w:val="sq-AL"/>
        </w:rPr>
        <w:t>sektori bankar mbete</w:t>
      </w:r>
      <w:r w:rsidR="003E71C8" w:rsidRPr="00AD0E7D">
        <w:rPr>
          <w:rFonts w:ascii="Times New Roman" w:eastAsia="Calibri" w:hAnsi="Times New Roman" w:cs="Times New Roman"/>
          <w:noProof/>
          <w:sz w:val="24"/>
          <w:szCs w:val="24"/>
          <w:lang w:val="sq-AL"/>
        </w:rPr>
        <w:t>t</w:t>
      </w:r>
      <w:r w:rsidR="00461A52" w:rsidRPr="00AD0E7D">
        <w:rPr>
          <w:rFonts w:ascii="Times New Roman" w:eastAsia="Calibri" w:hAnsi="Times New Roman" w:cs="Times New Roman"/>
          <w:noProof/>
          <w:sz w:val="24"/>
          <w:szCs w:val="24"/>
          <w:lang w:val="sq-AL"/>
        </w:rPr>
        <w:t xml:space="preserve"> burimi kryesor i k</w:t>
      </w:r>
      <w:r w:rsidR="00FA56D8" w:rsidRPr="00AD0E7D">
        <w:rPr>
          <w:rFonts w:ascii="Times New Roman" w:eastAsia="Calibri" w:hAnsi="Times New Roman" w:cs="Times New Roman"/>
          <w:noProof/>
          <w:sz w:val="24"/>
          <w:szCs w:val="24"/>
          <w:lang w:val="sq-AL"/>
        </w:rPr>
        <w:t>ë</w:t>
      </w:r>
      <w:r w:rsidR="00461A52" w:rsidRPr="00AD0E7D">
        <w:rPr>
          <w:rFonts w:ascii="Times New Roman" w:eastAsia="Calibri" w:hAnsi="Times New Roman" w:cs="Times New Roman"/>
          <w:noProof/>
          <w:sz w:val="24"/>
          <w:szCs w:val="24"/>
          <w:lang w:val="sq-AL"/>
        </w:rPr>
        <w:t>rkes</w:t>
      </w:r>
      <w:r w:rsidR="00FA56D8" w:rsidRPr="00AD0E7D">
        <w:rPr>
          <w:rFonts w:ascii="Times New Roman" w:eastAsia="Calibri" w:hAnsi="Times New Roman" w:cs="Times New Roman"/>
          <w:noProof/>
          <w:sz w:val="24"/>
          <w:szCs w:val="24"/>
          <w:lang w:val="sq-AL"/>
        </w:rPr>
        <w:t>ë</w:t>
      </w:r>
      <w:r w:rsidR="00461A52" w:rsidRPr="00AD0E7D">
        <w:rPr>
          <w:rFonts w:ascii="Times New Roman" w:eastAsia="Calibri" w:hAnsi="Times New Roman" w:cs="Times New Roman"/>
          <w:noProof/>
          <w:sz w:val="24"/>
          <w:szCs w:val="24"/>
          <w:lang w:val="sq-AL"/>
        </w:rPr>
        <w:t xml:space="preserve">s. </w:t>
      </w:r>
    </w:p>
    <w:p w14:paraId="71DF5C9A" w14:textId="77777777" w:rsidR="00291B75" w:rsidRPr="00AD0E7D" w:rsidRDefault="00291B75" w:rsidP="00A07FA0">
      <w:pPr>
        <w:tabs>
          <w:tab w:val="left" w:pos="540"/>
        </w:tabs>
        <w:spacing w:line="276" w:lineRule="auto"/>
        <w:ind w:left="284" w:right="237"/>
        <w:contextualSpacing/>
        <w:jc w:val="both"/>
        <w:rPr>
          <w:rFonts w:ascii="Times New Roman" w:eastAsia="Calibri" w:hAnsi="Times New Roman" w:cs="Times New Roman"/>
          <w:noProof/>
          <w:sz w:val="16"/>
          <w:szCs w:val="24"/>
          <w:lang w:val="sq-AL"/>
        </w:rPr>
      </w:pPr>
    </w:p>
    <w:p w14:paraId="71DF5C9B" w14:textId="77777777" w:rsidR="00291B75" w:rsidRPr="00AD0E7D" w:rsidRDefault="00291B75" w:rsidP="00A07FA0">
      <w:pPr>
        <w:tabs>
          <w:tab w:val="left" w:pos="540"/>
        </w:tabs>
        <w:spacing w:line="276" w:lineRule="auto"/>
        <w:ind w:left="284" w:right="237"/>
        <w:contextualSpacing/>
        <w:jc w:val="both"/>
        <w:rPr>
          <w:rFonts w:ascii="Times New Roman" w:eastAsia="Calibri" w:hAnsi="Times New Roman" w:cs="Times New Roman"/>
          <w:noProof/>
          <w:sz w:val="16"/>
          <w:szCs w:val="24"/>
          <w:lang w:val="sq-AL"/>
        </w:rPr>
      </w:pPr>
    </w:p>
    <w:p w14:paraId="71DF5C9C" w14:textId="77777777" w:rsidR="00CE3559" w:rsidRPr="000F5C13" w:rsidRDefault="0099741D"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AD0E7D">
        <w:rPr>
          <w:rFonts w:ascii="Times New Roman" w:eastAsia="Calibri" w:hAnsi="Times New Roman" w:cs="Times New Roman"/>
          <w:noProof/>
          <w:sz w:val="24"/>
          <w:szCs w:val="24"/>
          <w:lang w:val="sq-AL"/>
        </w:rPr>
        <w:lastRenderedPageBreak/>
        <w:t>V</w:t>
      </w:r>
      <w:r w:rsidR="00754CBC" w:rsidRPr="00AD0E7D">
        <w:rPr>
          <w:rFonts w:ascii="Times New Roman" w:eastAsia="Calibri" w:hAnsi="Times New Roman" w:cs="Times New Roman"/>
          <w:noProof/>
          <w:sz w:val="24"/>
          <w:szCs w:val="24"/>
          <w:lang w:val="sq-AL"/>
        </w:rPr>
        <w:t>ë</w:t>
      </w:r>
      <w:r w:rsidR="007D268F" w:rsidRPr="00AD0E7D">
        <w:rPr>
          <w:rFonts w:ascii="Times New Roman" w:eastAsia="Calibri" w:hAnsi="Times New Roman" w:cs="Times New Roman"/>
          <w:noProof/>
          <w:sz w:val="24"/>
          <w:szCs w:val="24"/>
          <w:lang w:val="sq-AL"/>
        </w:rPr>
        <w:t>rehet nj</w:t>
      </w:r>
      <w:r w:rsidR="00754CBC" w:rsidRPr="00AD0E7D">
        <w:rPr>
          <w:rFonts w:ascii="Times New Roman" w:eastAsia="Calibri" w:hAnsi="Times New Roman" w:cs="Times New Roman"/>
          <w:noProof/>
          <w:sz w:val="24"/>
          <w:szCs w:val="24"/>
          <w:lang w:val="sq-AL"/>
        </w:rPr>
        <w:t>ë</w:t>
      </w:r>
      <w:r w:rsidR="007D268F" w:rsidRPr="00AD0E7D">
        <w:rPr>
          <w:rFonts w:ascii="Times New Roman" w:eastAsia="Calibri" w:hAnsi="Times New Roman" w:cs="Times New Roman"/>
          <w:noProof/>
          <w:sz w:val="24"/>
          <w:szCs w:val="24"/>
          <w:lang w:val="sq-AL"/>
        </w:rPr>
        <w:t xml:space="preserve"> p</w:t>
      </w:r>
      <w:r w:rsidR="00754CBC" w:rsidRPr="00AD0E7D">
        <w:rPr>
          <w:rFonts w:ascii="Times New Roman" w:eastAsia="Calibri" w:hAnsi="Times New Roman" w:cs="Times New Roman"/>
          <w:noProof/>
          <w:sz w:val="24"/>
          <w:szCs w:val="24"/>
          <w:lang w:val="sq-AL"/>
        </w:rPr>
        <w:t>ë</w:t>
      </w:r>
      <w:r w:rsidR="007D268F" w:rsidRPr="00AD0E7D">
        <w:rPr>
          <w:rFonts w:ascii="Times New Roman" w:eastAsia="Calibri" w:hAnsi="Times New Roman" w:cs="Times New Roman"/>
          <w:noProof/>
          <w:sz w:val="24"/>
          <w:szCs w:val="24"/>
          <w:lang w:val="sq-AL"/>
        </w:rPr>
        <w:t>rmir</w:t>
      </w:r>
      <w:r w:rsidR="00754CBC" w:rsidRPr="00AD0E7D">
        <w:rPr>
          <w:rFonts w:ascii="Times New Roman" w:eastAsia="Calibri" w:hAnsi="Times New Roman" w:cs="Times New Roman"/>
          <w:noProof/>
          <w:sz w:val="24"/>
          <w:szCs w:val="24"/>
          <w:lang w:val="sq-AL"/>
        </w:rPr>
        <w:t>ë</w:t>
      </w:r>
      <w:r w:rsidR="007D268F" w:rsidRPr="00AD0E7D">
        <w:rPr>
          <w:rFonts w:ascii="Times New Roman" w:eastAsia="Calibri" w:hAnsi="Times New Roman" w:cs="Times New Roman"/>
          <w:noProof/>
          <w:sz w:val="24"/>
          <w:szCs w:val="24"/>
          <w:lang w:val="sq-AL"/>
        </w:rPr>
        <w:t xml:space="preserve">sim </w:t>
      </w:r>
      <w:r w:rsidR="0014002F" w:rsidRPr="00AD0E7D">
        <w:rPr>
          <w:rFonts w:ascii="Times New Roman" w:eastAsia="Calibri" w:hAnsi="Times New Roman" w:cs="Times New Roman"/>
          <w:noProof/>
          <w:sz w:val="24"/>
          <w:szCs w:val="24"/>
          <w:lang w:val="sq-AL"/>
        </w:rPr>
        <w:t>i duksh</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 xml:space="preserve">m </w:t>
      </w:r>
      <w:r w:rsidR="007D268F" w:rsidRPr="00AD0E7D">
        <w:rPr>
          <w:rFonts w:ascii="Times New Roman" w:eastAsia="Calibri" w:hAnsi="Times New Roman" w:cs="Times New Roman"/>
          <w:noProof/>
          <w:sz w:val="24"/>
          <w:szCs w:val="24"/>
          <w:lang w:val="sq-AL"/>
        </w:rPr>
        <w:t>n</w:t>
      </w:r>
      <w:r w:rsidR="00754CBC" w:rsidRPr="00AD0E7D">
        <w:rPr>
          <w:rFonts w:ascii="Times New Roman" w:eastAsia="Calibri" w:hAnsi="Times New Roman" w:cs="Times New Roman"/>
          <w:noProof/>
          <w:sz w:val="24"/>
          <w:szCs w:val="24"/>
          <w:lang w:val="sq-AL"/>
        </w:rPr>
        <w:t>ë</w:t>
      </w:r>
      <w:r w:rsidR="007D268F" w:rsidRPr="00AD0E7D">
        <w:rPr>
          <w:rFonts w:ascii="Times New Roman" w:eastAsia="Calibri" w:hAnsi="Times New Roman" w:cs="Times New Roman"/>
          <w:noProof/>
          <w:sz w:val="24"/>
          <w:szCs w:val="24"/>
          <w:lang w:val="sq-AL"/>
        </w:rPr>
        <w:t xml:space="preserve"> raporti</w:t>
      </w:r>
      <w:r w:rsidR="002B578C" w:rsidRPr="00AD0E7D">
        <w:rPr>
          <w:rFonts w:ascii="Times New Roman" w:eastAsia="Calibri" w:hAnsi="Times New Roman" w:cs="Times New Roman"/>
          <w:noProof/>
          <w:sz w:val="24"/>
          <w:szCs w:val="24"/>
          <w:lang w:val="sq-AL"/>
        </w:rPr>
        <w:t>n</w:t>
      </w:r>
      <w:r w:rsidR="007D268F" w:rsidRPr="00AD0E7D">
        <w:rPr>
          <w:rFonts w:ascii="Times New Roman" w:eastAsia="Calibri" w:hAnsi="Times New Roman" w:cs="Times New Roman"/>
          <w:noProof/>
          <w:sz w:val="24"/>
          <w:szCs w:val="24"/>
          <w:lang w:val="sq-AL"/>
        </w:rPr>
        <w:t xml:space="preserve"> e mbulimit</w:t>
      </w:r>
      <w:r w:rsidR="0014002F" w:rsidRPr="00AD0E7D">
        <w:rPr>
          <w:rFonts w:ascii="Times New Roman" w:eastAsia="Calibri" w:hAnsi="Times New Roman" w:cs="Times New Roman"/>
          <w:noProof/>
          <w:sz w:val="24"/>
          <w:szCs w:val="24"/>
          <w:lang w:val="sq-AL"/>
        </w:rPr>
        <w:t xml:space="preserve"> (k</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rkes</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/ofert</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w:t>
      </w:r>
      <w:r w:rsidR="007D268F" w:rsidRPr="00AD0E7D">
        <w:rPr>
          <w:rFonts w:ascii="Times New Roman" w:eastAsia="Calibri" w:hAnsi="Times New Roman" w:cs="Times New Roman"/>
          <w:noProof/>
          <w:sz w:val="24"/>
          <w:szCs w:val="24"/>
          <w:lang w:val="sq-AL"/>
        </w:rPr>
        <w:t xml:space="preserve">, </w:t>
      </w:r>
      <w:r w:rsidRPr="00AD0E7D">
        <w:rPr>
          <w:rFonts w:ascii="Times New Roman" w:eastAsia="Calibri" w:hAnsi="Times New Roman" w:cs="Times New Roman"/>
          <w:noProof/>
          <w:sz w:val="24"/>
          <w:szCs w:val="24"/>
          <w:lang w:val="sq-AL"/>
        </w:rPr>
        <w:t>megjith</w:t>
      </w:r>
      <w:r w:rsidR="00754CBC" w:rsidRPr="00AD0E7D">
        <w:rPr>
          <w:rFonts w:ascii="Times New Roman" w:eastAsia="Calibri" w:hAnsi="Times New Roman" w:cs="Times New Roman"/>
          <w:noProof/>
          <w:sz w:val="24"/>
          <w:szCs w:val="24"/>
          <w:lang w:val="sq-AL"/>
        </w:rPr>
        <w:t>ë</w:t>
      </w:r>
      <w:r w:rsidRPr="00AD0E7D">
        <w:rPr>
          <w:rFonts w:ascii="Times New Roman" w:eastAsia="Calibri" w:hAnsi="Times New Roman" w:cs="Times New Roman"/>
          <w:noProof/>
          <w:sz w:val="24"/>
          <w:szCs w:val="24"/>
          <w:lang w:val="sq-AL"/>
        </w:rPr>
        <w:t xml:space="preserve">se </w:t>
      </w:r>
      <w:r w:rsidR="0014002F" w:rsidRPr="00AD0E7D">
        <w:rPr>
          <w:rFonts w:ascii="Times New Roman" w:eastAsia="Calibri" w:hAnsi="Times New Roman" w:cs="Times New Roman"/>
          <w:noProof/>
          <w:sz w:val="24"/>
          <w:szCs w:val="24"/>
          <w:lang w:val="sq-AL"/>
        </w:rPr>
        <w:t>vlen t</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 xml:space="preserve"> theksohet se p</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rmir</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sim</w:t>
      </w:r>
      <w:r w:rsidR="00291B75" w:rsidRPr="00AD0E7D">
        <w:rPr>
          <w:rFonts w:ascii="Times New Roman" w:eastAsia="Calibri" w:hAnsi="Times New Roman" w:cs="Times New Roman"/>
          <w:noProof/>
          <w:sz w:val="24"/>
          <w:szCs w:val="24"/>
          <w:lang w:val="sq-AL"/>
        </w:rPr>
        <w:t>i</w:t>
      </w:r>
      <w:r w:rsidR="0014002F" w:rsidRPr="00AD0E7D">
        <w:rPr>
          <w:rFonts w:ascii="Times New Roman" w:eastAsia="Calibri" w:hAnsi="Times New Roman" w:cs="Times New Roman"/>
          <w:noProof/>
          <w:sz w:val="24"/>
          <w:szCs w:val="24"/>
          <w:lang w:val="sq-AL"/>
        </w:rPr>
        <w:t xml:space="preserve"> buron kryesisht nga reduktimi i nevojave t</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 xml:space="preserve"> qeveris</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 xml:space="preserve"> p</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r hua n</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 xml:space="preserve"> tregun e brendsh</w:t>
      </w:r>
      <w:r w:rsidR="00754CBC" w:rsidRPr="00AD0E7D">
        <w:rPr>
          <w:rFonts w:ascii="Times New Roman" w:eastAsia="Calibri" w:hAnsi="Times New Roman" w:cs="Times New Roman"/>
          <w:noProof/>
          <w:sz w:val="24"/>
          <w:szCs w:val="24"/>
          <w:lang w:val="sq-AL"/>
        </w:rPr>
        <w:t>ë</w:t>
      </w:r>
      <w:r w:rsidR="0014002F" w:rsidRPr="00AD0E7D">
        <w:rPr>
          <w:rFonts w:ascii="Times New Roman" w:eastAsia="Calibri" w:hAnsi="Times New Roman" w:cs="Times New Roman"/>
          <w:noProof/>
          <w:sz w:val="24"/>
          <w:szCs w:val="24"/>
          <w:lang w:val="sq-AL"/>
        </w:rPr>
        <w:t>m.</w:t>
      </w:r>
      <w:r w:rsidR="00291B75" w:rsidRPr="00AD0E7D">
        <w:rPr>
          <w:rFonts w:ascii="Times New Roman" w:eastAsia="Calibri" w:hAnsi="Times New Roman" w:cs="Times New Roman"/>
          <w:noProof/>
          <w:sz w:val="24"/>
          <w:szCs w:val="24"/>
          <w:lang w:val="sq-AL"/>
        </w:rPr>
        <w:t xml:space="preserve"> </w:t>
      </w:r>
      <w:r w:rsidR="009A7F30" w:rsidRPr="00AD0E7D">
        <w:rPr>
          <w:rFonts w:ascii="Times New Roman" w:eastAsia="Calibri" w:hAnsi="Times New Roman" w:cs="Times New Roman"/>
          <w:noProof/>
          <w:sz w:val="24"/>
          <w:szCs w:val="24"/>
          <w:lang w:val="sq-AL"/>
        </w:rPr>
        <w:t>K</w:t>
      </w:r>
      <w:r w:rsidR="00CE3559" w:rsidRPr="00AD0E7D">
        <w:rPr>
          <w:rFonts w:ascii="Times New Roman" w:eastAsia="Calibri" w:hAnsi="Times New Roman" w:cs="Times New Roman"/>
          <w:noProof/>
          <w:sz w:val="24"/>
          <w:szCs w:val="24"/>
          <w:lang w:val="sq-AL"/>
        </w:rPr>
        <w:t>arakteristikat e k</w:t>
      </w:r>
      <w:r w:rsidR="00754CBC" w:rsidRPr="00AD0E7D">
        <w:rPr>
          <w:rFonts w:ascii="Times New Roman" w:eastAsia="Calibri" w:hAnsi="Times New Roman" w:cs="Times New Roman"/>
          <w:noProof/>
          <w:sz w:val="24"/>
          <w:szCs w:val="24"/>
          <w:lang w:val="sq-AL"/>
        </w:rPr>
        <w:t>ë</w:t>
      </w:r>
      <w:r w:rsidR="00CE3559" w:rsidRPr="00AD0E7D">
        <w:rPr>
          <w:rFonts w:ascii="Times New Roman" w:eastAsia="Calibri" w:hAnsi="Times New Roman" w:cs="Times New Roman"/>
          <w:noProof/>
          <w:sz w:val="24"/>
          <w:szCs w:val="24"/>
          <w:lang w:val="sq-AL"/>
        </w:rPr>
        <w:t>rkes</w:t>
      </w:r>
      <w:r w:rsidR="00754CBC" w:rsidRPr="00AD0E7D">
        <w:rPr>
          <w:rFonts w:ascii="Times New Roman" w:eastAsia="Calibri" w:hAnsi="Times New Roman" w:cs="Times New Roman"/>
          <w:noProof/>
          <w:sz w:val="24"/>
          <w:szCs w:val="24"/>
          <w:lang w:val="sq-AL"/>
        </w:rPr>
        <w:t>ë</w:t>
      </w:r>
      <w:r w:rsidR="00CE3559" w:rsidRPr="00AD0E7D">
        <w:rPr>
          <w:rFonts w:ascii="Times New Roman" w:eastAsia="Calibri" w:hAnsi="Times New Roman" w:cs="Times New Roman"/>
          <w:noProof/>
          <w:sz w:val="24"/>
          <w:szCs w:val="24"/>
          <w:lang w:val="sq-AL"/>
        </w:rPr>
        <w:t>s kan</w:t>
      </w:r>
      <w:r w:rsidR="00754CBC" w:rsidRPr="00AD0E7D">
        <w:rPr>
          <w:rFonts w:ascii="Times New Roman" w:eastAsia="Calibri" w:hAnsi="Times New Roman" w:cs="Times New Roman"/>
          <w:noProof/>
          <w:sz w:val="24"/>
          <w:szCs w:val="24"/>
          <w:lang w:val="sq-AL"/>
        </w:rPr>
        <w:t>ë</w:t>
      </w:r>
      <w:r w:rsidR="00CE3559" w:rsidRPr="00AD0E7D">
        <w:rPr>
          <w:rFonts w:ascii="Times New Roman" w:eastAsia="Calibri" w:hAnsi="Times New Roman" w:cs="Times New Roman"/>
          <w:noProof/>
          <w:sz w:val="24"/>
          <w:szCs w:val="24"/>
          <w:lang w:val="sq-AL"/>
        </w:rPr>
        <w:t xml:space="preserve"> q</w:t>
      </w:r>
      <w:r w:rsidR="00444BD8" w:rsidRPr="00AD0E7D">
        <w:rPr>
          <w:rFonts w:ascii="Times New Roman" w:eastAsia="Calibri" w:hAnsi="Times New Roman" w:cs="Times New Roman"/>
          <w:noProof/>
          <w:sz w:val="24"/>
          <w:szCs w:val="24"/>
          <w:lang w:val="sq-AL"/>
        </w:rPr>
        <w:t>e</w:t>
      </w:r>
      <w:r w:rsidR="00CE3559" w:rsidRPr="00AD0E7D">
        <w:rPr>
          <w:rFonts w:ascii="Times New Roman" w:eastAsia="Calibri" w:hAnsi="Times New Roman" w:cs="Times New Roman"/>
          <w:noProof/>
          <w:sz w:val="24"/>
          <w:szCs w:val="24"/>
          <w:lang w:val="sq-AL"/>
        </w:rPr>
        <w:t>n</w:t>
      </w:r>
      <w:r w:rsidR="00754CBC" w:rsidRPr="00AD0E7D">
        <w:rPr>
          <w:rFonts w:ascii="Times New Roman" w:eastAsia="Calibri" w:hAnsi="Times New Roman" w:cs="Times New Roman"/>
          <w:noProof/>
          <w:sz w:val="24"/>
          <w:szCs w:val="24"/>
          <w:lang w:val="sq-AL"/>
        </w:rPr>
        <w:t>ë</w:t>
      </w:r>
      <w:r w:rsidR="00CE3559" w:rsidRPr="00AD0E7D">
        <w:rPr>
          <w:rFonts w:ascii="Times New Roman" w:eastAsia="Calibri" w:hAnsi="Times New Roman" w:cs="Times New Roman"/>
          <w:noProof/>
          <w:sz w:val="24"/>
          <w:szCs w:val="24"/>
          <w:lang w:val="sq-AL"/>
        </w:rPr>
        <w:t xml:space="preserve"> pozitive</w:t>
      </w:r>
      <w:r w:rsidR="003C35A1" w:rsidRPr="00AD0E7D">
        <w:rPr>
          <w:rFonts w:ascii="Times New Roman" w:eastAsia="Calibri" w:hAnsi="Times New Roman" w:cs="Times New Roman"/>
          <w:noProof/>
          <w:sz w:val="24"/>
          <w:szCs w:val="24"/>
          <w:lang w:val="sq-AL"/>
        </w:rPr>
        <w:t>,</w:t>
      </w:r>
      <w:r w:rsidR="00CE3559" w:rsidRPr="00AD0E7D">
        <w:rPr>
          <w:rFonts w:ascii="Times New Roman" w:eastAsia="Calibri" w:hAnsi="Times New Roman" w:cs="Times New Roman"/>
          <w:noProof/>
          <w:sz w:val="24"/>
          <w:szCs w:val="24"/>
          <w:lang w:val="sq-AL"/>
        </w:rPr>
        <w:t xml:space="preserve"> pasi </w:t>
      </w:r>
      <w:r w:rsidR="003C35A1" w:rsidRPr="00AD0E7D">
        <w:rPr>
          <w:rFonts w:ascii="Times New Roman" w:eastAsia="Calibri" w:hAnsi="Times New Roman" w:cs="Times New Roman"/>
          <w:noProof/>
          <w:sz w:val="24"/>
          <w:szCs w:val="24"/>
          <w:lang w:val="sq-AL"/>
        </w:rPr>
        <w:t>ka pasur nj</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prirje t</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saj n</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drejtim t</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titujve afatgjat</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duke i mund</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suar qeveris</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realizimin e huamarrjes n</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p</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rputhje me objektivat strategjik</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p</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r reduktimin e risqeve t</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portofolit t</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borxhit t</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 xml:space="preserve"> brendsh</w:t>
      </w:r>
      <w:r w:rsidR="00754CBC" w:rsidRPr="00AD0E7D">
        <w:rPr>
          <w:rFonts w:ascii="Times New Roman" w:eastAsia="Calibri" w:hAnsi="Times New Roman" w:cs="Times New Roman"/>
          <w:noProof/>
          <w:sz w:val="24"/>
          <w:szCs w:val="24"/>
          <w:lang w:val="sq-AL"/>
        </w:rPr>
        <w:t>ë</w:t>
      </w:r>
      <w:r w:rsidR="003C35A1" w:rsidRPr="00AD0E7D">
        <w:rPr>
          <w:rFonts w:ascii="Times New Roman" w:eastAsia="Calibri" w:hAnsi="Times New Roman" w:cs="Times New Roman"/>
          <w:noProof/>
          <w:sz w:val="24"/>
          <w:szCs w:val="24"/>
          <w:lang w:val="sq-AL"/>
        </w:rPr>
        <w:t>m.</w:t>
      </w:r>
    </w:p>
    <w:p w14:paraId="71DF5C9D" w14:textId="77777777" w:rsidR="009B24CE" w:rsidRPr="000F5C13" w:rsidRDefault="009B24CE" w:rsidP="009B24CE">
      <w:pPr>
        <w:tabs>
          <w:tab w:val="left" w:pos="540"/>
        </w:tabs>
        <w:spacing w:line="276" w:lineRule="auto"/>
        <w:ind w:left="284" w:right="237"/>
        <w:contextualSpacing/>
        <w:jc w:val="both"/>
        <w:rPr>
          <w:rFonts w:ascii="Times New Roman" w:eastAsia="Calibri" w:hAnsi="Times New Roman" w:cs="Times New Roman"/>
          <w:noProof/>
          <w:sz w:val="16"/>
          <w:szCs w:val="16"/>
          <w:lang w:val="sq-AL"/>
        </w:rPr>
      </w:pPr>
    </w:p>
    <w:p w14:paraId="71DF5C9E" w14:textId="77777777" w:rsidR="004A68BF" w:rsidRDefault="009A7D5C" w:rsidP="00E45E9E">
      <w:pPr>
        <w:spacing w:after="0" w:line="240" w:lineRule="auto"/>
        <w:ind w:left="2835" w:hanging="2551"/>
        <w:rPr>
          <w:rFonts w:ascii="Cambria" w:eastAsia="Batang" w:hAnsi="Cambria"/>
          <w:i/>
          <w:noProof/>
          <w:color w:val="8E0000"/>
          <w:sz w:val="20"/>
          <w:szCs w:val="20"/>
          <w:lang w:val="sq-AL"/>
        </w:rPr>
      </w:pPr>
      <w:r w:rsidRPr="000F5C13">
        <w:rPr>
          <w:rFonts w:ascii="Cambria" w:eastAsia="Batang" w:hAnsi="Cambria"/>
          <w:b/>
          <w:noProof/>
          <w:color w:val="8E0000"/>
          <w:sz w:val="20"/>
          <w:szCs w:val="20"/>
          <w:lang w:val="sq-AL"/>
        </w:rPr>
        <w:t xml:space="preserve">    Paraqitje Grafike 6</w:t>
      </w:r>
      <w:r w:rsidR="009B24CE" w:rsidRPr="000F5C13">
        <w:rPr>
          <w:rFonts w:ascii="Cambria" w:eastAsia="Batang" w:hAnsi="Cambria"/>
          <w:b/>
          <w:noProof/>
          <w:color w:val="8E0000"/>
          <w:sz w:val="20"/>
          <w:szCs w:val="20"/>
          <w:lang w:val="sq-AL"/>
        </w:rPr>
        <w:t>.1</w:t>
      </w:r>
      <w:r w:rsidRPr="000F5C13">
        <w:rPr>
          <w:rFonts w:ascii="Cambria" w:eastAsia="Batang" w:hAnsi="Cambria"/>
          <w:b/>
          <w:noProof/>
          <w:color w:val="8E0000"/>
          <w:sz w:val="20"/>
          <w:szCs w:val="20"/>
          <w:lang w:val="sq-AL"/>
        </w:rPr>
        <w:t xml:space="preserve"> (</w:t>
      </w:r>
      <w:r w:rsidR="00F35D90" w:rsidRPr="000F5C13">
        <w:rPr>
          <w:rFonts w:ascii="Cambria" w:eastAsia="Batang" w:hAnsi="Cambria"/>
          <w:b/>
          <w:noProof/>
          <w:color w:val="8E0000"/>
          <w:sz w:val="20"/>
          <w:szCs w:val="20"/>
          <w:lang w:val="sq-AL"/>
        </w:rPr>
        <w:t>b</w:t>
      </w:r>
      <w:r w:rsidRPr="000F5C13">
        <w:rPr>
          <w:rFonts w:ascii="Cambria" w:eastAsia="Batang" w:hAnsi="Cambria"/>
          <w:b/>
          <w:noProof/>
          <w:color w:val="8E0000"/>
          <w:sz w:val="20"/>
          <w:szCs w:val="20"/>
          <w:lang w:val="sq-AL"/>
        </w:rPr>
        <w:t>)</w:t>
      </w:r>
      <w:r w:rsidR="009B24CE" w:rsidRPr="000F5C13">
        <w:rPr>
          <w:rFonts w:ascii="Cambria" w:eastAsia="Batang" w:hAnsi="Cambria"/>
          <w:b/>
          <w:noProof/>
          <w:color w:val="8E0000"/>
          <w:sz w:val="20"/>
          <w:szCs w:val="20"/>
          <w:lang w:val="sq-AL"/>
        </w:rPr>
        <w:t xml:space="preserve">: </w:t>
      </w:r>
      <w:r w:rsidR="009B24CE" w:rsidRPr="000F5C13">
        <w:rPr>
          <w:rFonts w:ascii="Cambria" w:eastAsia="Batang" w:hAnsi="Cambria"/>
          <w:i/>
          <w:noProof/>
          <w:color w:val="8E0000"/>
          <w:sz w:val="20"/>
          <w:szCs w:val="20"/>
          <w:lang w:val="sq-AL"/>
        </w:rPr>
        <w:t>Treguesit e ecurisë së kërkesës dhe ofertës në tregun primar të titujve shtetërorë</w:t>
      </w:r>
      <w:r w:rsidR="00FB134C" w:rsidRPr="000F5C13">
        <w:rPr>
          <w:rFonts w:ascii="Cambria" w:eastAsia="Batang" w:hAnsi="Cambria"/>
          <w:i/>
          <w:noProof/>
          <w:color w:val="8E0000"/>
          <w:sz w:val="20"/>
          <w:szCs w:val="20"/>
          <w:lang w:val="sq-AL"/>
        </w:rPr>
        <w:t xml:space="preserve"> </w:t>
      </w:r>
      <w:r w:rsidR="006B7345" w:rsidRPr="000F5C13">
        <w:rPr>
          <w:rFonts w:ascii="Cambria" w:eastAsia="Batang" w:hAnsi="Cambria"/>
          <w:i/>
          <w:noProof/>
          <w:color w:val="8E0000"/>
          <w:sz w:val="20"/>
          <w:szCs w:val="20"/>
          <w:lang w:val="sq-AL"/>
        </w:rPr>
        <w:t>(201</w:t>
      </w:r>
      <w:r w:rsidR="00E45E9E">
        <w:rPr>
          <w:rFonts w:ascii="Cambria" w:eastAsia="Batang" w:hAnsi="Cambria"/>
          <w:i/>
          <w:noProof/>
          <w:color w:val="8E0000"/>
          <w:sz w:val="20"/>
          <w:szCs w:val="20"/>
          <w:lang w:val="sq-AL"/>
        </w:rPr>
        <w:t>5</w:t>
      </w:r>
      <w:r w:rsidR="007D268F" w:rsidRPr="000F5C13">
        <w:rPr>
          <w:rFonts w:ascii="Cambria" w:eastAsia="Batang" w:hAnsi="Cambria"/>
          <w:i/>
          <w:noProof/>
          <w:color w:val="8E0000"/>
          <w:sz w:val="20"/>
          <w:szCs w:val="20"/>
          <w:lang w:val="sq-AL"/>
        </w:rPr>
        <w:t>-</w:t>
      </w:r>
      <w:r w:rsidR="00217CA1">
        <w:rPr>
          <w:rFonts w:ascii="Cambria" w:eastAsia="Batang" w:hAnsi="Cambria"/>
          <w:i/>
          <w:noProof/>
          <w:color w:val="8E0000"/>
          <w:sz w:val="20"/>
          <w:szCs w:val="20"/>
          <w:lang w:val="sq-AL"/>
        </w:rPr>
        <w:t>Shtator</w:t>
      </w:r>
      <w:r w:rsidR="00E057F2">
        <w:rPr>
          <w:rFonts w:ascii="Cambria" w:eastAsia="Batang" w:hAnsi="Cambria"/>
          <w:i/>
          <w:noProof/>
          <w:color w:val="8E0000"/>
          <w:sz w:val="20"/>
          <w:szCs w:val="20"/>
          <w:lang w:val="sq-AL"/>
        </w:rPr>
        <w:t xml:space="preserve"> 2019</w:t>
      </w:r>
      <w:r w:rsidR="00FB134C" w:rsidRPr="000F5C13">
        <w:rPr>
          <w:rFonts w:ascii="Cambria" w:eastAsia="Batang" w:hAnsi="Cambria"/>
          <w:i/>
          <w:noProof/>
          <w:color w:val="8E0000"/>
          <w:sz w:val="20"/>
          <w:szCs w:val="20"/>
          <w:lang w:val="sq-AL"/>
        </w:rPr>
        <w:t>)</w:t>
      </w:r>
    </w:p>
    <w:p w14:paraId="71DF5C9F" w14:textId="77777777" w:rsidR="00217CA1" w:rsidRPr="000F5C13" w:rsidRDefault="005E6433" w:rsidP="00AD0E7D">
      <w:pPr>
        <w:spacing w:after="0" w:line="240" w:lineRule="auto"/>
        <w:rPr>
          <w:rFonts w:ascii="Cambria" w:eastAsia="Batang" w:hAnsi="Cambria"/>
          <w:i/>
          <w:noProof/>
          <w:color w:val="8E0000"/>
          <w:sz w:val="20"/>
          <w:szCs w:val="20"/>
          <w:lang w:val="sq-AL"/>
        </w:rPr>
      </w:pPr>
      <w:bookmarkStart w:id="83" w:name="_GoBack"/>
      <w:r>
        <w:rPr>
          <w:rFonts w:ascii="Cambria" w:eastAsia="Batang" w:hAnsi="Cambria"/>
          <w:i/>
          <w:noProof/>
          <w:color w:val="8E0000"/>
          <w:sz w:val="20"/>
          <w:szCs w:val="20"/>
        </w:rPr>
        <w:drawing>
          <wp:inline distT="0" distB="0" distL="0" distR="0" wp14:anchorId="71DF5F87" wp14:editId="71DF5F88">
            <wp:extent cx="5553075" cy="1981200"/>
            <wp:effectExtent l="19050" t="19050" r="2857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53075" cy="1981200"/>
                    </a:xfrm>
                    <a:prstGeom prst="rect">
                      <a:avLst/>
                    </a:prstGeom>
                    <a:noFill/>
                    <a:ln>
                      <a:solidFill>
                        <a:schemeClr val="bg1">
                          <a:lumMod val="75000"/>
                        </a:schemeClr>
                      </a:solidFill>
                    </a:ln>
                  </pic:spPr>
                </pic:pic>
              </a:graphicData>
            </a:graphic>
          </wp:inline>
        </w:drawing>
      </w:r>
      <w:bookmarkEnd w:id="83"/>
    </w:p>
    <w:p w14:paraId="71DF5CA0" w14:textId="77777777" w:rsidR="00291B75" w:rsidRPr="000F5C13" w:rsidRDefault="009B24CE" w:rsidP="00511453">
      <w:pPr>
        <w:spacing w:after="0"/>
        <w:ind w:right="283"/>
        <w:jc w:val="center"/>
        <w:rPr>
          <w:rFonts w:ascii="Cambria" w:eastAsia="Times New Roman" w:hAnsi="Cambria"/>
          <w:b/>
          <w:noProof/>
          <w:lang w:val="sq-AL"/>
        </w:rPr>
      </w:pPr>
      <w:r w:rsidRPr="000F5C13">
        <w:rPr>
          <w:rFonts w:ascii="Cambria" w:eastAsia="Batang" w:hAnsi="Cambria"/>
          <w:b/>
          <w:noProof/>
          <w:color w:val="8E0000"/>
          <w:sz w:val="20"/>
          <w:szCs w:val="20"/>
          <w:lang w:val="sq-AL"/>
        </w:rPr>
        <w:t xml:space="preserve">Burimi: </w:t>
      </w:r>
      <w:r w:rsidRPr="000F5C13">
        <w:rPr>
          <w:rFonts w:ascii="Cambria" w:eastAsia="Batang" w:hAnsi="Cambria"/>
          <w:i/>
          <w:noProof/>
          <w:color w:val="8E0000"/>
          <w:sz w:val="20"/>
          <w:szCs w:val="20"/>
          <w:lang w:val="sq-AL"/>
        </w:rPr>
        <w:t>Ministria</w:t>
      </w:r>
      <w:r w:rsidR="00E057F2">
        <w:rPr>
          <w:rFonts w:ascii="Cambria" w:eastAsia="Batang" w:hAnsi="Cambria"/>
          <w:i/>
          <w:noProof/>
          <w:color w:val="8E0000"/>
          <w:sz w:val="20"/>
          <w:szCs w:val="20"/>
          <w:lang w:val="sq-AL"/>
        </w:rPr>
        <w:t xml:space="preserve"> e Financave dhe Ekonomisë (2019</w:t>
      </w:r>
      <w:r w:rsidRPr="000F5C13">
        <w:rPr>
          <w:rFonts w:ascii="Cambria" w:eastAsia="Batang" w:hAnsi="Cambria"/>
          <w:i/>
          <w:noProof/>
          <w:color w:val="8E0000"/>
          <w:sz w:val="20"/>
          <w:szCs w:val="20"/>
          <w:lang w:val="sq-AL"/>
        </w:rPr>
        <w:t>)</w:t>
      </w:r>
    </w:p>
    <w:p w14:paraId="71DF5CA1" w14:textId="77777777" w:rsidR="00162D5D" w:rsidRPr="000F5C13" w:rsidRDefault="00162D5D" w:rsidP="00A61D4D">
      <w:pPr>
        <w:tabs>
          <w:tab w:val="left" w:pos="540"/>
        </w:tabs>
        <w:spacing w:line="276" w:lineRule="auto"/>
        <w:ind w:right="237"/>
        <w:contextualSpacing/>
        <w:jc w:val="both"/>
        <w:rPr>
          <w:rFonts w:ascii="Times New Roman" w:eastAsia="Calibri" w:hAnsi="Times New Roman" w:cs="Times New Roman"/>
          <w:noProof/>
          <w:sz w:val="16"/>
          <w:szCs w:val="24"/>
          <w:lang w:val="sq-AL"/>
        </w:rPr>
      </w:pPr>
    </w:p>
    <w:p w14:paraId="71DF5CA2" w14:textId="77777777" w:rsidR="003929C1" w:rsidRPr="008D5ACF" w:rsidRDefault="002357B9"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8D5ACF">
        <w:rPr>
          <w:rFonts w:ascii="Times New Roman" w:eastAsia="Calibri" w:hAnsi="Times New Roman" w:cs="Times New Roman"/>
          <w:noProof/>
          <w:sz w:val="24"/>
          <w:szCs w:val="24"/>
          <w:lang w:val="sq-AL"/>
        </w:rPr>
        <w:t>Karakteristikat</w:t>
      </w:r>
      <w:r w:rsidR="00097511" w:rsidRPr="008D5ACF">
        <w:rPr>
          <w:rFonts w:ascii="Times New Roman" w:eastAsia="Calibri" w:hAnsi="Times New Roman" w:cs="Times New Roman"/>
          <w:noProof/>
          <w:sz w:val="24"/>
          <w:szCs w:val="24"/>
          <w:lang w:val="sq-AL"/>
        </w:rPr>
        <w:t xml:space="preserve"> e kërkesës</w:t>
      </w:r>
      <w:r w:rsidRPr="008D5ACF">
        <w:rPr>
          <w:rFonts w:ascii="Times New Roman" w:eastAsia="Calibri" w:hAnsi="Times New Roman" w:cs="Times New Roman"/>
          <w:noProof/>
          <w:sz w:val="24"/>
          <w:szCs w:val="24"/>
          <w:lang w:val="sq-AL"/>
        </w:rPr>
        <w:t xml:space="preserve"> p</w:t>
      </w:r>
      <w:r w:rsidR="00754CBC" w:rsidRPr="008D5ACF">
        <w:rPr>
          <w:rFonts w:ascii="Times New Roman" w:eastAsia="Calibri" w:hAnsi="Times New Roman" w:cs="Times New Roman"/>
          <w:noProof/>
          <w:sz w:val="24"/>
          <w:szCs w:val="24"/>
          <w:lang w:val="sq-AL"/>
        </w:rPr>
        <w:t>ë</w:t>
      </w:r>
      <w:r w:rsidRPr="008D5ACF">
        <w:rPr>
          <w:rFonts w:ascii="Times New Roman" w:eastAsia="Calibri" w:hAnsi="Times New Roman" w:cs="Times New Roman"/>
          <w:noProof/>
          <w:sz w:val="24"/>
          <w:szCs w:val="24"/>
          <w:lang w:val="sq-AL"/>
        </w:rPr>
        <w:t>rgjith</w:t>
      </w:r>
      <w:r w:rsidR="00754CBC" w:rsidRPr="008D5ACF">
        <w:rPr>
          <w:rFonts w:ascii="Times New Roman" w:eastAsia="Calibri" w:hAnsi="Times New Roman" w:cs="Times New Roman"/>
          <w:noProof/>
          <w:sz w:val="24"/>
          <w:szCs w:val="24"/>
          <w:lang w:val="sq-AL"/>
        </w:rPr>
        <w:t>ë</w:t>
      </w:r>
      <w:r w:rsidRPr="008D5ACF">
        <w:rPr>
          <w:rFonts w:ascii="Times New Roman" w:eastAsia="Calibri" w:hAnsi="Times New Roman" w:cs="Times New Roman"/>
          <w:noProof/>
          <w:sz w:val="24"/>
          <w:szCs w:val="24"/>
          <w:lang w:val="sq-AL"/>
        </w:rPr>
        <w:t>sisht</w:t>
      </w:r>
      <w:r w:rsidR="00097511" w:rsidRPr="008D5ACF">
        <w:rPr>
          <w:rFonts w:ascii="Times New Roman" w:eastAsia="Calibri" w:hAnsi="Times New Roman" w:cs="Times New Roman"/>
          <w:noProof/>
          <w:sz w:val="24"/>
          <w:szCs w:val="24"/>
          <w:lang w:val="sq-AL"/>
        </w:rPr>
        <w:t xml:space="preserve"> ref</w:t>
      </w:r>
      <w:r w:rsidR="00516C85" w:rsidRPr="008D5ACF">
        <w:rPr>
          <w:rFonts w:ascii="Times New Roman" w:eastAsia="Calibri" w:hAnsi="Times New Roman" w:cs="Times New Roman"/>
          <w:noProof/>
          <w:sz w:val="24"/>
          <w:szCs w:val="24"/>
          <w:lang w:val="sq-AL"/>
        </w:rPr>
        <w:t>lek</w:t>
      </w:r>
      <w:r w:rsidR="00097511" w:rsidRPr="008D5ACF">
        <w:rPr>
          <w:rFonts w:ascii="Times New Roman" w:eastAsia="Calibri" w:hAnsi="Times New Roman" w:cs="Times New Roman"/>
          <w:noProof/>
          <w:sz w:val="24"/>
          <w:szCs w:val="24"/>
          <w:lang w:val="sq-AL"/>
        </w:rPr>
        <w:t>tohe</w:t>
      </w:r>
      <w:r w:rsidRPr="008D5ACF">
        <w:rPr>
          <w:rFonts w:ascii="Times New Roman" w:eastAsia="Calibri" w:hAnsi="Times New Roman" w:cs="Times New Roman"/>
          <w:noProof/>
          <w:sz w:val="24"/>
          <w:szCs w:val="24"/>
          <w:lang w:val="sq-AL"/>
        </w:rPr>
        <w:t>n</w:t>
      </w:r>
      <w:r w:rsidR="00097511" w:rsidRPr="008D5ACF">
        <w:rPr>
          <w:rFonts w:ascii="Times New Roman" w:eastAsia="Calibri" w:hAnsi="Times New Roman" w:cs="Times New Roman"/>
          <w:noProof/>
          <w:sz w:val="24"/>
          <w:szCs w:val="24"/>
          <w:lang w:val="sq-AL"/>
        </w:rPr>
        <w:t xml:space="preserve"> edhe në drejtim të mbajtësve të borxhit. </w:t>
      </w:r>
      <w:r w:rsidR="00587138" w:rsidRPr="008D5ACF">
        <w:rPr>
          <w:rFonts w:ascii="Times New Roman" w:eastAsia="Calibri" w:hAnsi="Times New Roman" w:cs="Times New Roman"/>
          <w:noProof/>
          <w:sz w:val="24"/>
          <w:szCs w:val="24"/>
          <w:lang w:val="sq-AL"/>
        </w:rPr>
        <w:t>Portofoli i borxhit t</w:t>
      </w:r>
      <w:r w:rsidR="00754CBC" w:rsidRPr="008D5ACF">
        <w:rPr>
          <w:rFonts w:ascii="Times New Roman" w:eastAsia="Calibri" w:hAnsi="Times New Roman" w:cs="Times New Roman"/>
          <w:noProof/>
          <w:sz w:val="24"/>
          <w:szCs w:val="24"/>
          <w:lang w:val="sq-AL"/>
        </w:rPr>
        <w:t>ë</w:t>
      </w:r>
      <w:r w:rsidR="00587138" w:rsidRPr="008D5ACF">
        <w:rPr>
          <w:rFonts w:ascii="Times New Roman" w:eastAsia="Calibri" w:hAnsi="Times New Roman" w:cs="Times New Roman"/>
          <w:noProof/>
          <w:sz w:val="24"/>
          <w:szCs w:val="24"/>
          <w:lang w:val="sq-AL"/>
        </w:rPr>
        <w:t xml:space="preserve"> brendsh</w:t>
      </w:r>
      <w:r w:rsidR="00754CBC" w:rsidRPr="008D5ACF">
        <w:rPr>
          <w:rFonts w:ascii="Times New Roman" w:eastAsia="Calibri" w:hAnsi="Times New Roman" w:cs="Times New Roman"/>
          <w:noProof/>
          <w:sz w:val="24"/>
          <w:szCs w:val="24"/>
          <w:lang w:val="sq-AL"/>
        </w:rPr>
        <w:t>ë</w:t>
      </w:r>
      <w:r w:rsidR="00587138" w:rsidRPr="008D5ACF">
        <w:rPr>
          <w:rFonts w:ascii="Times New Roman" w:eastAsia="Calibri" w:hAnsi="Times New Roman" w:cs="Times New Roman"/>
          <w:noProof/>
          <w:sz w:val="24"/>
          <w:szCs w:val="24"/>
          <w:lang w:val="sq-AL"/>
        </w:rPr>
        <w:t>m, vazhdon t</w:t>
      </w:r>
      <w:r w:rsidR="00754CBC" w:rsidRPr="008D5ACF">
        <w:rPr>
          <w:rFonts w:ascii="Times New Roman" w:eastAsia="Calibri" w:hAnsi="Times New Roman" w:cs="Times New Roman"/>
          <w:noProof/>
          <w:sz w:val="24"/>
          <w:szCs w:val="24"/>
          <w:lang w:val="sq-AL"/>
        </w:rPr>
        <w:t>ë</w:t>
      </w:r>
      <w:r w:rsidR="00587138" w:rsidRPr="008D5ACF">
        <w:rPr>
          <w:rFonts w:ascii="Times New Roman" w:eastAsia="Calibri" w:hAnsi="Times New Roman" w:cs="Times New Roman"/>
          <w:noProof/>
          <w:sz w:val="24"/>
          <w:szCs w:val="24"/>
          <w:lang w:val="sq-AL"/>
        </w:rPr>
        <w:t xml:space="preserve"> jet</w:t>
      </w:r>
      <w:r w:rsidR="00754CBC" w:rsidRPr="008D5ACF">
        <w:rPr>
          <w:rFonts w:ascii="Times New Roman" w:eastAsia="Calibri" w:hAnsi="Times New Roman" w:cs="Times New Roman"/>
          <w:noProof/>
          <w:sz w:val="24"/>
          <w:szCs w:val="24"/>
          <w:lang w:val="sq-AL"/>
        </w:rPr>
        <w:t>ë</w:t>
      </w:r>
      <w:r w:rsidR="00587138" w:rsidRPr="008D5ACF">
        <w:rPr>
          <w:rFonts w:ascii="Times New Roman" w:eastAsia="Calibri" w:hAnsi="Times New Roman" w:cs="Times New Roman"/>
          <w:noProof/>
          <w:sz w:val="24"/>
          <w:szCs w:val="24"/>
          <w:lang w:val="sq-AL"/>
        </w:rPr>
        <w:t xml:space="preserve"> i p</w:t>
      </w:r>
      <w:r w:rsidR="00754CBC" w:rsidRPr="008D5ACF">
        <w:rPr>
          <w:rFonts w:ascii="Times New Roman" w:eastAsia="Calibri" w:hAnsi="Times New Roman" w:cs="Times New Roman"/>
          <w:noProof/>
          <w:sz w:val="24"/>
          <w:szCs w:val="24"/>
          <w:lang w:val="sq-AL"/>
        </w:rPr>
        <w:t>ë</w:t>
      </w:r>
      <w:r w:rsidR="00587138" w:rsidRPr="008D5ACF">
        <w:rPr>
          <w:rFonts w:ascii="Times New Roman" w:eastAsia="Calibri" w:hAnsi="Times New Roman" w:cs="Times New Roman"/>
          <w:noProof/>
          <w:sz w:val="24"/>
          <w:szCs w:val="24"/>
          <w:lang w:val="sq-AL"/>
        </w:rPr>
        <w:t>rqendruar n</w:t>
      </w:r>
      <w:r w:rsidR="00754CBC" w:rsidRPr="008D5ACF">
        <w:rPr>
          <w:rFonts w:ascii="Times New Roman" w:eastAsia="Calibri" w:hAnsi="Times New Roman" w:cs="Times New Roman"/>
          <w:noProof/>
          <w:sz w:val="24"/>
          <w:szCs w:val="24"/>
          <w:lang w:val="sq-AL"/>
        </w:rPr>
        <w:t>ë</w:t>
      </w:r>
      <w:r w:rsidR="00587138" w:rsidRPr="008D5ACF">
        <w:rPr>
          <w:rFonts w:ascii="Times New Roman" w:eastAsia="Calibri" w:hAnsi="Times New Roman" w:cs="Times New Roman"/>
          <w:noProof/>
          <w:sz w:val="24"/>
          <w:szCs w:val="24"/>
          <w:lang w:val="sq-AL"/>
        </w:rPr>
        <w:t xml:space="preserve"> mbi 60% tek </w:t>
      </w:r>
      <w:r w:rsidR="00E00041" w:rsidRPr="008D5ACF">
        <w:rPr>
          <w:rFonts w:ascii="Times New Roman" w:eastAsia="Calibri" w:hAnsi="Times New Roman" w:cs="Times New Roman"/>
          <w:noProof/>
          <w:sz w:val="24"/>
          <w:szCs w:val="24"/>
          <w:lang w:val="sq-AL"/>
        </w:rPr>
        <w:t>s</w:t>
      </w:r>
      <w:r w:rsidR="00587138" w:rsidRPr="008D5ACF">
        <w:rPr>
          <w:rFonts w:ascii="Times New Roman" w:eastAsia="Calibri" w:hAnsi="Times New Roman" w:cs="Times New Roman"/>
          <w:noProof/>
          <w:sz w:val="24"/>
          <w:szCs w:val="24"/>
          <w:lang w:val="sq-AL"/>
        </w:rPr>
        <w:t xml:space="preserve">ektori </w:t>
      </w:r>
      <w:r w:rsidR="00E00041" w:rsidRPr="008D5ACF">
        <w:rPr>
          <w:rFonts w:ascii="Times New Roman" w:eastAsia="Calibri" w:hAnsi="Times New Roman" w:cs="Times New Roman"/>
          <w:noProof/>
          <w:sz w:val="24"/>
          <w:szCs w:val="24"/>
          <w:lang w:val="sq-AL"/>
        </w:rPr>
        <w:t>b</w:t>
      </w:r>
      <w:r w:rsidR="00587138" w:rsidRPr="008D5ACF">
        <w:rPr>
          <w:rFonts w:ascii="Times New Roman" w:eastAsia="Calibri" w:hAnsi="Times New Roman" w:cs="Times New Roman"/>
          <w:noProof/>
          <w:sz w:val="24"/>
          <w:szCs w:val="24"/>
          <w:lang w:val="sq-AL"/>
        </w:rPr>
        <w:t>ankar</w:t>
      </w:r>
      <w:r w:rsidR="00170ACF" w:rsidRPr="008D5ACF">
        <w:rPr>
          <w:rFonts w:ascii="Times New Roman" w:eastAsia="Calibri" w:hAnsi="Times New Roman" w:cs="Times New Roman"/>
          <w:noProof/>
          <w:sz w:val="24"/>
          <w:szCs w:val="24"/>
          <w:lang w:val="sq-AL"/>
        </w:rPr>
        <w:t xml:space="preserve"> duke e b</w:t>
      </w:r>
      <w:r w:rsidR="00982338" w:rsidRPr="008D5ACF">
        <w:rPr>
          <w:rFonts w:ascii="Times New Roman" w:eastAsia="Calibri" w:hAnsi="Times New Roman" w:cs="Times New Roman"/>
          <w:noProof/>
          <w:sz w:val="24"/>
          <w:szCs w:val="24"/>
          <w:lang w:val="sq-AL"/>
        </w:rPr>
        <w:t>ë</w:t>
      </w:r>
      <w:r w:rsidR="00170ACF" w:rsidRPr="008D5ACF">
        <w:rPr>
          <w:rFonts w:ascii="Times New Roman" w:eastAsia="Calibri" w:hAnsi="Times New Roman" w:cs="Times New Roman"/>
          <w:noProof/>
          <w:sz w:val="24"/>
          <w:szCs w:val="24"/>
          <w:lang w:val="sq-AL"/>
        </w:rPr>
        <w:t>r</w:t>
      </w:r>
      <w:r w:rsidR="00982338" w:rsidRPr="008D5ACF">
        <w:rPr>
          <w:rFonts w:ascii="Times New Roman" w:eastAsia="Calibri" w:hAnsi="Times New Roman" w:cs="Times New Roman"/>
          <w:noProof/>
          <w:sz w:val="24"/>
          <w:szCs w:val="24"/>
          <w:lang w:val="sq-AL"/>
        </w:rPr>
        <w:t>ë</w:t>
      </w:r>
      <w:r w:rsidR="00170ACF" w:rsidRPr="008D5ACF">
        <w:rPr>
          <w:rFonts w:ascii="Times New Roman" w:eastAsia="Calibri" w:hAnsi="Times New Roman" w:cs="Times New Roman"/>
          <w:noProof/>
          <w:sz w:val="24"/>
          <w:szCs w:val="24"/>
          <w:lang w:val="sq-AL"/>
        </w:rPr>
        <w:t xml:space="preserve"> </w:t>
      </w:r>
      <w:r w:rsidR="00E2305C" w:rsidRPr="008D5ACF">
        <w:rPr>
          <w:rFonts w:ascii="Times New Roman" w:eastAsia="Calibri" w:hAnsi="Times New Roman" w:cs="Times New Roman"/>
          <w:noProof/>
          <w:sz w:val="24"/>
          <w:szCs w:val="24"/>
          <w:lang w:val="sq-AL"/>
        </w:rPr>
        <w:t>a</w:t>
      </w:r>
      <w:r w:rsidR="00170ACF" w:rsidRPr="008D5ACF">
        <w:rPr>
          <w:rFonts w:ascii="Times New Roman" w:eastAsia="Calibri" w:hAnsi="Times New Roman" w:cs="Times New Roman"/>
          <w:noProof/>
          <w:sz w:val="24"/>
          <w:szCs w:val="24"/>
          <w:lang w:val="sq-AL"/>
        </w:rPr>
        <w:t>t</w:t>
      </w:r>
      <w:r w:rsidR="00982338" w:rsidRPr="008D5ACF">
        <w:rPr>
          <w:rFonts w:ascii="Times New Roman" w:eastAsia="Calibri" w:hAnsi="Times New Roman" w:cs="Times New Roman"/>
          <w:noProof/>
          <w:sz w:val="24"/>
          <w:szCs w:val="24"/>
          <w:lang w:val="sq-AL"/>
        </w:rPr>
        <w:t>ë</w:t>
      </w:r>
      <w:r w:rsidR="00E2305C" w:rsidRPr="008D5ACF">
        <w:rPr>
          <w:rFonts w:ascii="Times New Roman" w:eastAsia="Calibri" w:hAnsi="Times New Roman" w:cs="Times New Roman"/>
          <w:noProof/>
          <w:sz w:val="24"/>
          <w:szCs w:val="24"/>
          <w:lang w:val="sq-AL"/>
        </w:rPr>
        <w:t xml:space="preserve"> t</w:t>
      </w:r>
      <w:r w:rsidR="00982338" w:rsidRPr="008D5ACF">
        <w:rPr>
          <w:rFonts w:ascii="Times New Roman" w:eastAsia="Calibri" w:hAnsi="Times New Roman" w:cs="Times New Roman"/>
          <w:noProof/>
          <w:sz w:val="24"/>
          <w:szCs w:val="24"/>
          <w:lang w:val="sq-AL"/>
        </w:rPr>
        <w:t>ë</w:t>
      </w:r>
      <w:r w:rsidR="00170ACF" w:rsidRPr="008D5ACF">
        <w:rPr>
          <w:rFonts w:ascii="Times New Roman" w:eastAsia="Calibri" w:hAnsi="Times New Roman" w:cs="Times New Roman"/>
          <w:noProof/>
          <w:sz w:val="24"/>
          <w:szCs w:val="24"/>
          <w:lang w:val="sq-AL"/>
        </w:rPr>
        <w:t xml:space="preserve"> ndjesh</w:t>
      </w:r>
      <w:r w:rsidR="00982338" w:rsidRPr="008D5ACF">
        <w:rPr>
          <w:rFonts w:ascii="Times New Roman" w:eastAsia="Calibri" w:hAnsi="Times New Roman" w:cs="Times New Roman"/>
          <w:noProof/>
          <w:sz w:val="24"/>
          <w:szCs w:val="24"/>
          <w:lang w:val="sq-AL"/>
        </w:rPr>
        <w:t>ë</w:t>
      </w:r>
      <w:r w:rsidR="00170ACF" w:rsidRPr="008D5ACF">
        <w:rPr>
          <w:rFonts w:ascii="Times New Roman" w:eastAsia="Calibri" w:hAnsi="Times New Roman" w:cs="Times New Roman"/>
          <w:noProof/>
          <w:sz w:val="24"/>
          <w:szCs w:val="24"/>
          <w:lang w:val="sq-AL"/>
        </w:rPr>
        <w:t>m ndaj risqeve sistemike t</w:t>
      </w:r>
      <w:r w:rsidR="00982338" w:rsidRPr="008D5ACF">
        <w:rPr>
          <w:rFonts w:ascii="Times New Roman" w:eastAsia="Calibri" w:hAnsi="Times New Roman" w:cs="Times New Roman"/>
          <w:noProof/>
          <w:sz w:val="24"/>
          <w:szCs w:val="24"/>
          <w:lang w:val="sq-AL"/>
        </w:rPr>
        <w:t>ë</w:t>
      </w:r>
      <w:r w:rsidR="00170ACF" w:rsidRPr="008D5ACF">
        <w:rPr>
          <w:rFonts w:ascii="Times New Roman" w:eastAsia="Calibri" w:hAnsi="Times New Roman" w:cs="Times New Roman"/>
          <w:noProof/>
          <w:sz w:val="24"/>
          <w:szCs w:val="24"/>
          <w:lang w:val="sq-AL"/>
        </w:rPr>
        <w:t xml:space="preserve"> sektorit bankar dhe ndryshimeve n</w:t>
      </w:r>
      <w:r w:rsidR="00982338" w:rsidRPr="008D5ACF">
        <w:rPr>
          <w:rFonts w:ascii="Times New Roman" w:eastAsia="Calibri" w:hAnsi="Times New Roman" w:cs="Times New Roman"/>
          <w:noProof/>
          <w:sz w:val="24"/>
          <w:szCs w:val="24"/>
          <w:lang w:val="sq-AL"/>
        </w:rPr>
        <w:t>ë</w:t>
      </w:r>
      <w:r w:rsidR="00170ACF" w:rsidRPr="008D5ACF">
        <w:rPr>
          <w:rFonts w:ascii="Times New Roman" w:eastAsia="Calibri" w:hAnsi="Times New Roman" w:cs="Times New Roman"/>
          <w:noProof/>
          <w:sz w:val="24"/>
          <w:szCs w:val="24"/>
          <w:lang w:val="sq-AL"/>
        </w:rPr>
        <w:t xml:space="preserve"> politikat investuese t</w:t>
      </w:r>
      <w:r w:rsidR="00982338" w:rsidRPr="008D5ACF">
        <w:rPr>
          <w:rFonts w:ascii="Times New Roman" w:eastAsia="Calibri" w:hAnsi="Times New Roman" w:cs="Times New Roman"/>
          <w:noProof/>
          <w:sz w:val="24"/>
          <w:szCs w:val="24"/>
          <w:lang w:val="sq-AL"/>
        </w:rPr>
        <w:t>ë</w:t>
      </w:r>
      <w:r w:rsidR="00170ACF" w:rsidRPr="008D5ACF">
        <w:rPr>
          <w:rFonts w:ascii="Times New Roman" w:eastAsia="Calibri" w:hAnsi="Times New Roman" w:cs="Times New Roman"/>
          <w:noProof/>
          <w:sz w:val="24"/>
          <w:szCs w:val="24"/>
          <w:lang w:val="sq-AL"/>
        </w:rPr>
        <w:t xml:space="preserve"> bankave.</w:t>
      </w:r>
      <w:r w:rsidR="00097511" w:rsidRPr="008D5ACF">
        <w:rPr>
          <w:rFonts w:ascii="Times New Roman" w:eastAsia="Calibri" w:hAnsi="Times New Roman" w:cs="Times New Roman"/>
          <w:noProof/>
          <w:sz w:val="24"/>
          <w:szCs w:val="24"/>
          <w:lang w:val="sq-AL"/>
        </w:rPr>
        <w:t xml:space="preserve"> </w:t>
      </w:r>
    </w:p>
    <w:p w14:paraId="71DF5CA3" w14:textId="77777777" w:rsidR="00097511" w:rsidRPr="000F5C13" w:rsidRDefault="00E00041"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8D5ACF">
        <w:rPr>
          <w:rFonts w:ascii="Times New Roman" w:eastAsia="Calibri" w:hAnsi="Times New Roman" w:cs="Times New Roman"/>
          <w:noProof/>
          <w:sz w:val="24"/>
          <w:szCs w:val="24"/>
          <w:lang w:val="sq-AL"/>
        </w:rPr>
        <w:t>Banka e Sh</w:t>
      </w:r>
      <w:r w:rsidR="003929C1" w:rsidRPr="008D5ACF">
        <w:rPr>
          <w:rFonts w:ascii="Times New Roman" w:eastAsia="Calibri" w:hAnsi="Times New Roman" w:cs="Times New Roman"/>
          <w:noProof/>
          <w:sz w:val="24"/>
          <w:szCs w:val="24"/>
          <w:lang w:val="sq-AL"/>
        </w:rPr>
        <w:t>q</w:t>
      </w:r>
      <w:r w:rsidRPr="008D5ACF">
        <w:rPr>
          <w:rFonts w:ascii="Times New Roman" w:eastAsia="Calibri" w:hAnsi="Times New Roman" w:cs="Times New Roman"/>
          <w:noProof/>
          <w:sz w:val="24"/>
          <w:szCs w:val="24"/>
          <w:lang w:val="sq-AL"/>
        </w:rPr>
        <w:t>i</w:t>
      </w:r>
      <w:r w:rsidR="003929C1" w:rsidRPr="008D5ACF">
        <w:rPr>
          <w:rFonts w:ascii="Times New Roman" w:eastAsia="Calibri" w:hAnsi="Times New Roman" w:cs="Times New Roman"/>
          <w:noProof/>
          <w:sz w:val="24"/>
          <w:szCs w:val="24"/>
          <w:lang w:val="sq-AL"/>
        </w:rPr>
        <w:t>p</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ris</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pavar</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sisht reduktimit t</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portofolit n</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terma relativ</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vazhdon t</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mbaj</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t</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nj</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jtin volum titujsh </w:t>
      </w:r>
      <w:r w:rsidR="003929C1" w:rsidRPr="00626164">
        <w:rPr>
          <w:rFonts w:ascii="Times New Roman" w:eastAsia="Calibri" w:hAnsi="Times New Roman" w:cs="Times New Roman"/>
          <w:noProof/>
          <w:sz w:val="24"/>
          <w:szCs w:val="24"/>
          <w:lang w:val="sq-AL"/>
        </w:rPr>
        <w:t>(n</w:t>
      </w:r>
      <w:r w:rsidR="00FA56D8" w:rsidRPr="00626164">
        <w:rPr>
          <w:rFonts w:ascii="Times New Roman" w:eastAsia="Calibri" w:hAnsi="Times New Roman" w:cs="Times New Roman"/>
          <w:noProof/>
          <w:sz w:val="24"/>
          <w:szCs w:val="24"/>
          <w:lang w:val="sq-AL"/>
        </w:rPr>
        <w:t>ë</w:t>
      </w:r>
      <w:r w:rsidR="003929C1" w:rsidRPr="00626164">
        <w:rPr>
          <w:rFonts w:ascii="Times New Roman" w:eastAsia="Calibri" w:hAnsi="Times New Roman" w:cs="Times New Roman"/>
          <w:noProof/>
          <w:sz w:val="24"/>
          <w:szCs w:val="24"/>
          <w:lang w:val="sq-AL"/>
        </w:rPr>
        <w:t xml:space="preserve"> vler</w:t>
      </w:r>
      <w:r w:rsidR="00FA56D8" w:rsidRPr="00626164">
        <w:rPr>
          <w:rFonts w:ascii="Times New Roman" w:eastAsia="Calibri" w:hAnsi="Times New Roman" w:cs="Times New Roman"/>
          <w:noProof/>
          <w:sz w:val="24"/>
          <w:szCs w:val="24"/>
          <w:lang w:val="sq-AL"/>
        </w:rPr>
        <w:t>ë</w:t>
      </w:r>
      <w:r w:rsidR="003929C1" w:rsidRPr="00626164">
        <w:rPr>
          <w:rFonts w:ascii="Times New Roman" w:eastAsia="Calibri" w:hAnsi="Times New Roman" w:cs="Times New Roman"/>
          <w:noProof/>
          <w:sz w:val="24"/>
          <w:szCs w:val="24"/>
          <w:lang w:val="sq-AL"/>
        </w:rPr>
        <w:t xml:space="preserve"> absolute)</w:t>
      </w:r>
      <w:r w:rsidR="003929C1" w:rsidRPr="008D5ACF">
        <w:rPr>
          <w:rFonts w:ascii="Times New Roman" w:eastAsia="Calibri" w:hAnsi="Times New Roman" w:cs="Times New Roman"/>
          <w:noProof/>
          <w:sz w:val="24"/>
          <w:szCs w:val="24"/>
          <w:lang w:val="sq-AL"/>
        </w:rPr>
        <w:t xml:space="preserve"> t</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tregtuar n</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tregun primar, nd</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rkoh</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q</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ka rritur v</w:t>
      </w:r>
      <w:r w:rsidR="00D519EB" w:rsidRPr="008D5ACF">
        <w:rPr>
          <w:rFonts w:ascii="Times New Roman" w:eastAsia="Calibri" w:hAnsi="Times New Roman" w:cs="Times New Roman"/>
          <w:noProof/>
          <w:sz w:val="24"/>
          <w:szCs w:val="24"/>
          <w:lang w:val="sq-AL"/>
        </w:rPr>
        <w:t>o</w:t>
      </w:r>
      <w:r w:rsidR="003929C1" w:rsidRPr="008D5ACF">
        <w:rPr>
          <w:rFonts w:ascii="Times New Roman" w:eastAsia="Calibri" w:hAnsi="Times New Roman" w:cs="Times New Roman"/>
          <w:noProof/>
          <w:sz w:val="24"/>
          <w:szCs w:val="24"/>
          <w:lang w:val="sq-AL"/>
        </w:rPr>
        <w:t>lumin e tregtuar n</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tregun sekondar p</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r t</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 xml:space="preserve"> stimuluar aktivitetin e k</w:t>
      </w:r>
      <w:r w:rsidR="00FA56D8" w:rsidRPr="008D5ACF">
        <w:rPr>
          <w:rFonts w:ascii="Times New Roman" w:eastAsia="Calibri" w:hAnsi="Times New Roman" w:cs="Times New Roman"/>
          <w:noProof/>
          <w:sz w:val="24"/>
          <w:szCs w:val="24"/>
          <w:lang w:val="sq-AL"/>
        </w:rPr>
        <w:t>ë</w:t>
      </w:r>
      <w:r w:rsidR="003929C1" w:rsidRPr="008D5ACF">
        <w:rPr>
          <w:rFonts w:ascii="Times New Roman" w:eastAsia="Calibri" w:hAnsi="Times New Roman" w:cs="Times New Roman"/>
          <w:noProof/>
          <w:sz w:val="24"/>
          <w:szCs w:val="24"/>
          <w:lang w:val="sq-AL"/>
        </w:rPr>
        <w:t>tij tregu.</w:t>
      </w:r>
    </w:p>
    <w:p w14:paraId="71DF5CA4" w14:textId="77777777" w:rsidR="00B87479" w:rsidRPr="000F5C13" w:rsidRDefault="00B87479" w:rsidP="00097511">
      <w:pPr>
        <w:spacing w:after="0" w:line="276" w:lineRule="auto"/>
        <w:ind w:right="-46"/>
        <w:rPr>
          <w:rFonts w:ascii="Times New Roman" w:eastAsia="MS Mincho" w:hAnsi="Times New Roman" w:cs="Times New Roman"/>
          <w:b/>
          <w:noProof/>
          <w:sz w:val="16"/>
          <w:szCs w:val="24"/>
          <w:lang w:val="sq-AL"/>
        </w:rPr>
      </w:pPr>
    </w:p>
    <w:p w14:paraId="71DF5CA5" w14:textId="77777777" w:rsidR="004E6FDA" w:rsidRDefault="00097511" w:rsidP="000F2369">
      <w:pPr>
        <w:spacing w:after="0" w:line="276" w:lineRule="auto"/>
        <w:ind w:right="-46"/>
        <w:jc w:val="center"/>
        <w:rPr>
          <w:rFonts w:ascii="Cambria" w:eastAsia="Batang" w:hAnsi="Cambria"/>
          <w:i/>
          <w:noProof/>
          <w:color w:val="8E0000"/>
          <w:sz w:val="20"/>
          <w:szCs w:val="20"/>
          <w:lang w:val="sq-AL"/>
        </w:rPr>
      </w:pPr>
      <w:r w:rsidRPr="000F5C13">
        <w:rPr>
          <w:rFonts w:ascii="Cambria" w:eastAsia="Batang" w:hAnsi="Cambria"/>
          <w:b/>
          <w:noProof/>
          <w:color w:val="8E0000"/>
          <w:sz w:val="20"/>
          <w:szCs w:val="20"/>
          <w:lang w:val="sq-AL"/>
        </w:rPr>
        <w:t xml:space="preserve">Paraqitje Grafike 6.1 (c): </w:t>
      </w:r>
      <w:r w:rsidRPr="000F5C13">
        <w:rPr>
          <w:rFonts w:ascii="Cambria" w:eastAsia="Batang" w:hAnsi="Cambria"/>
          <w:i/>
          <w:noProof/>
          <w:color w:val="8E0000"/>
          <w:sz w:val="20"/>
          <w:szCs w:val="20"/>
          <w:lang w:val="sq-AL"/>
        </w:rPr>
        <w:t>Mbajtësit e borx</w:t>
      </w:r>
      <w:r w:rsidR="00E45E9E">
        <w:rPr>
          <w:rFonts w:ascii="Cambria" w:eastAsia="Batang" w:hAnsi="Cambria"/>
          <w:i/>
          <w:noProof/>
          <w:color w:val="8E0000"/>
          <w:sz w:val="20"/>
          <w:szCs w:val="20"/>
          <w:lang w:val="sq-AL"/>
        </w:rPr>
        <w:t>hit të brendshëm shtetëror (2015</w:t>
      </w:r>
      <w:r w:rsidRPr="000F5C13">
        <w:rPr>
          <w:rFonts w:ascii="Cambria" w:eastAsia="Batang" w:hAnsi="Cambria"/>
          <w:i/>
          <w:noProof/>
          <w:color w:val="8E0000"/>
          <w:sz w:val="20"/>
          <w:szCs w:val="20"/>
          <w:lang w:val="sq-AL"/>
        </w:rPr>
        <w:t>-</w:t>
      </w:r>
      <w:r w:rsidR="008D5ACF">
        <w:rPr>
          <w:rFonts w:ascii="Cambria" w:eastAsia="Batang" w:hAnsi="Cambria"/>
          <w:i/>
          <w:noProof/>
          <w:color w:val="8E0000"/>
          <w:sz w:val="20"/>
          <w:szCs w:val="20"/>
          <w:lang w:val="sq-AL"/>
        </w:rPr>
        <w:t>Shtator</w:t>
      </w:r>
      <w:r w:rsidR="00E057F2">
        <w:rPr>
          <w:rFonts w:ascii="Cambria" w:eastAsia="Batang" w:hAnsi="Cambria"/>
          <w:i/>
          <w:noProof/>
          <w:color w:val="8E0000"/>
          <w:sz w:val="20"/>
          <w:szCs w:val="20"/>
          <w:lang w:val="sq-AL"/>
        </w:rPr>
        <w:t xml:space="preserve"> 2019</w:t>
      </w:r>
      <w:r w:rsidR="000F2369">
        <w:rPr>
          <w:rFonts w:ascii="Cambria" w:eastAsia="Batang" w:hAnsi="Cambria"/>
          <w:i/>
          <w:noProof/>
          <w:color w:val="8E0000"/>
          <w:sz w:val="20"/>
          <w:szCs w:val="20"/>
          <w:lang w:val="sq-AL"/>
        </w:rPr>
        <w:t>)</w:t>
      </w:r>
    </w:p>
    <w:p w14:paraId="71DF5CA6" w14:textId="77777777" w:rsidR="008D5ACF" w:rsidRPr="000F2369" w:rsidRDefault="00CA4B5F" w:rsidP="008D5ACF">
      <w:pPr>
        <w:spacing w:after="0" w:line="276" w:lineRule="auto"/>
        <w:ind w:right="-46"/>
        <w:rPr>
          <w:rFonts w:ascii="Cambria" w:eastAsia="Batang" w:hAnsi="Cambria"/>
          <w:i/>
          <w:noProof/>
          <w:color w:val="8E0000"/>
          <w:sz w:val="20"/>
          <w:szCs w:val="20"/>
          <w:lang w:val="sq-AL"/>
        </w:rPr>
      </w:pPr>
      <w:r>
        <w:rPr>
          <w:rFonts w:ascii="Cambria" w:eastAsia="Batang" w:hAnsi="Cambria"/>
          <w:i/>
          <w:noProof/>
          <w:color w:val="8E0000"/>
          <w:sz w:val="20"/>
          <w:szCs w:val="20"/>
        </w:rPr>
        <w:drawing>
          <wp:inline distT="0" distB="0" distL="0" distR="0" wp14:anchorId="71DF5F89" wp14:editId="71DF5F8A">
            <wp:extent cx="5534025" cy="1866900"/>
            <wp:effectExtent l="19050" t="19050" r="28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34025" cy="1866900"/>
                    </a:xfrm>
                    <a:prstGeom prst="rect">
                      <a:avLst/>
                    </a:prstGeom>
                    <a:noFill/>
                    <a:ln>
                      <a:solidFill>
                        <a:schemeClr val="bg1">
                          <a:lumMod val="75000"/>
                        </a:schemeClr>
                      </a:solidFill>
                    </a:ln>
                  </pic:spPr>
                </pic:pic>
              </a:graphicData>
            </a:graphic>
          </wp:inline>
        </w:drawing>
      </w:r>
    </w:p>
    <w:p w14:paraId="71DF5CA7" w14:textId="77777777" w:rsidR="00097511" w:rsidRDefault="00097511" w:rsidP="003A4C06">
      <w:pPr>
        <w:spacing w:after="0" w:line="276" w:lineRule="auto"/>
        <w:ind w:right="-46"/>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 xml:space="preserve">Burimi: </w:t>
      </w:r>
      <w:r w:rsidRPr="000F5C13">
        <w:rPr>
          <w:rFonts w:ascii="Cambria" w:eastAsia="Calibri" w:hAnsi="Cambria" w:cs="Times New Roman"/>
          <w:i/>
          <w:noProof/>
          <w:color w:val="8E0000"/>
          <w:sz w:val="20"/>
          <w:szCs w:val="20"/>
          <w:lang w:val="sq-AL"/>
        </w:rPr>
        <w:t>Ministria</w:t>
      </w:r>
      <w:r w:rsidR="00E057F2">
        <w:rPr>
          <w:rFonts w:ascii="Cambria" w:eastAsia="Calibri" w:hAnsi="Cambria" w:cs="Times New Roman"/>
          <w:i/>
          <w:noProof/>
          <w:color w:val="8E0000"/>
          <w:sz w:val="20"/>
          <w:szCs w:val="20"/>
          <w:lang w:val="sq-AL"/>
        </w:rPr>
        <w:t xml:space="preserve"> e Financave dhe Ekonomisë (2019</w:t>
      </w:r>
      <w:r w:rsidRPr="000F5C13">
        <w:rPr>
          <w:rFonts w:ascii="Cambria" w:eastAsia="Calibri" w:hAnsi="Cambria" w:cs="Times New Roman"/>
          <w:i/>
          <w:noProof/>
          <w:color w:val="8E0000"/>
          <w:sz w:val="20"/>
          <w:szCs w:val="20"/>
          <w:lang w:val="sq-AL"/>
        </w:rPr>
        <w:t>)</w:t>
      </w:r>
    </w:p>
    <w:p w14:paraId="71DF5CA8" w14:textId="77777777" w:rsidR="000F2369" w:rsidRPr="000F5C13" w:rsidRDefault="000F2369" w:rsidP="003A4C06">
      <w:pPr>
        <w:spacing w:after="0" w:line="276" w:lineRule="auto"/>
        <w:ind w:right="-46"/>
        <w:jc w:val="center"/>
        <w:rPr>
          <w:rFonts w:ascii="Cambria" w:eastAsia="Batang" w:hAnsi="Cambria"/>
          <w:noProof/>
          <w:color w:val="8E0000"/>
          <w:sz w:val="20"/>
          <w:szCs w:val="20"/>
          <w:lang w:val="sq-AL"/>
        </w:rPr>
      </w:pPr>
    </w:p>
    <w:p w14:paraId="71DF5CA9" w14:textId="77777777" w:rsidR="00097511" w:rsidRPr="00431358" w:rsidRDefault="00097511"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431358">
        <w:rPr>
          <w:rFonts w:ascii="Times New Roman" w:eastAsia="Calibri" w:hAnsi="Times New Roman" w:cs="Times New Roman"/>
          <w:noProof/>
          <w:sz w:val="24"/>
          <w:szCs w:val="24"/>
          <w:lang w:val="sq-AL"/>
        </w:rPr>
        <w:t>Në kuadër të zhvillimit të infrastrukturës së tregut primar dhe stimulimit të tregut sekondar, kanë vazhduar të ndërmerren aktivitete të cilat kanë pasur si objektiv reduktimin e fragmentimit të kërkesës</w:t>
      </w:r>
      <w:r w:rsidR="00E941B7">
        <w:rPr>
          <w:rFonts w:ascii="Times New Roman" w:eastAsia="Calibri" w:hAnsi="Times New Roman" w:cs="Times New Roman"/>
          <w:noProof/>
          <w:sz w:val="24"/>
          <w:szCs w:val="24"/>
          <w:lang w:val="sq-AL"/>
        </w:rPr>
        <w:t>, si</w:t>
      </w:r>
      <w:r w:rsidRPr="00431358">
        <w:rPr>
          <w:rFonts w:ascii="Times New Roman" w:eastAsia="Calibri" w:hAnsi="Times New Roman" w:cs="Times New Roman"/>
          <w:noProof/>
          <w:sz w:val="24"/>
          <w:szCs w:val="24"/>
          <w:lang w:val="sq-AL"/>
        </w:rPr>
        <w:t xml:space="preserve"> dhe krijimin </w:t>
      </w:r>
      <w:r w:rsidR="00E941B7">
        <w:rPr>
          <w:rFonts w:ascii="Times New Roman" w:eastAsia="Calibri" w:hAnsi="Times New Roman" w:cs="Times New Roman"/>
          <w:noProof/>
          <w:sz w:val="24"/>
          <w:szCs w:val="24"/>
          <w:lang w:val="sq-AL"/>
        </w:rPr>
        <w:t xml:space="preserve">dhe konsolidimin </w:t>
      </w:r>
      <w:r w:rsidRPr="00431358">
        <w:rPr>
          <w:rFonts w:ascii="Times New Roman" w:eastAsia="Calibri" w:hAnsi="Times New Roman" w:cs="Times New Roman"/>
          <w:noProof/>
          <w:sz w:val="24"/>
          <w:szCs w:val="24"/>
          <w:lang w:val="sq-AL"/>
        </w:rPr>
        <w:t xml:space="preserve">e madhësive </w:t>
      </w:r>
      <w:r w:rsidRPr="00431358">
        <w:rPr>
          <w:rFonts w:ascii="Times New Roman" w:eastAsia="Calibri" w:hAnsi="Times New Roman" w:cs="Times New Roman"/>
          <w:i/>
          <w:noProof/>
          <w:sz w:val="24"/>
          <w:szCs w:val="24"/>
          <w:lang w:val="sq-AL"/>
        </w:rPr>
        <w:t>benchmark</w:t>
      </w:r>
      <w:r w:rsidRPr="00431358">
        <w:rPr>
          <w:rFonts w:ascii="Times New Roman" w:eastAsia="Calibri" w:hAnsi="Times New Roman" w:cs="Times New Roman"/>
          <w:noProof/>
          <w:sz w:val="24"/>
          <w:szCs w:val="24"/>
          <w:lang w:val="sq-AL"/>
        </w:rPr>
        <w:t xml:space="preserve"> për titujt afatgjatë. </w:t>
      </w:r>
    </w:p>
    <w:p w14:paraId="71DF5CAA" w14:textId="77777777" w:rsidR="00097511" w:rsidRPr="000C51A5" w:rsidRDefault="00097511"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0C51A5">
        <w:rPr>
          <w:rFonts w:ascii="Times New Roman" w:eastAsia="Calibri" w:hAnsi="Times New Roman" w:cs="Times New Roman"/>
          <w:noProof/>
          <w:sz w:val="24"/>
          <w:szCs w:val="24"/>
          <w:lang w:val="sq-AL"/>
        </w:rPr>
        <w:lastRenderedPageBreak/>
        <w:t>Në drejtim të uljes së fragmentimit të kërkesës</w:t>
      </w:r>
      <w:r w:rsidR="00954134" w:rsidRPr="000C51A5">
        <w:rPr>
          <w:rFonts w:ascii="Times New Roman" w:eastAsia="Calibri" w:hAnsi="Times New Roman" w:cs="Times New Roman"/>
          <w:noProof/>
          <w:sz w:val="24"/>
          <w:szCs w:val="24"/>
          <w:lang w:val="sq-AL"/>
        </w:rPr>
        <w:t>, q</w:t>
      </w:r>
      <w:r w:rsidR="00754CBC" w:rsidRPr="000C51A5">
        <w:rPr>
          <w:rFonts w:ascii="Times New Roman" w:eastAsia="Calibri" w:hAnsi="Times New Roman" w:cs="Times New Roman"/>
          <w:noProof/>
          <w:sz w:val="24"/>
          <w:szCs w:val="24"/>
          <w:lang w:val="sq-AL"/>
        </w:rPr>
        <w:t>ë</w:t>
      </w:r>
      <w:r w:rsidR="00954134" w:rsidRPr="000C51A5">
        <w:rPr>
          <w:rFonts w:ascii="Times New Roman" w:eastAsia="Calibri" w:hAnsi="Times New Roman" w:cs="Times New Roman"/>
          <w:noProof/>
          <w:sz w:val="24"/>
          <w:szCs w:val="24"/>
          <w:lang w:val="sq-AL"/>
        </w:rPr>
        <w:t xml:space="preserve"> prej vitit 2016</w:t>
      </w:r>
      <w:r w:rsidRPr="000C51A5">
        <w:rPr>
          <w:rFonts w:ascii="Times New Roman" w:eastAsia="Calibri" w:hAnsi="Times New Roman" w:cs="Times New Roman"/>
          <w:noProof/>
          <w:sz w:val="24"/>
          <w:szCs w:val="24"/>
          <w:lang w:val="sq-AL"/>
        </w:rPr>
        <w:t xml:space="preserve"> </w:t>
      </w:r>
      <w:r w:rsidR="00E2305C" w:rsidRPr="000C51A5">
        <w:rPr>
          <w:rFonts w:ascii="Times New Roman" w:eastAsia="Calibri" w:hAnsi="Times New Roman" w:cs="Times New Roman"/>
          <w:noProof/>
          <w:sz w:val="24"/>
          <w:szCs w:val="24"/>
          <w:lang w:val="sq-AL"/>
        </w:rPr>
        <w:t>jan</w:t>
      </w:r>
      <w:r w:rsidR="00982338" w:rsidRPr="000C51A5">
        <w:rPr>
          <w:rFonts w:ascii="Times New Roman" w:eastAsia="Calibri" w:hAnsi="Times New Roman" w:cs="Times New Roman"/>
          <w:noProof/>
          <w:sz w:val="24"/>
          <w:szCs w:val="24"/>
          <w:lang w:val="sq-AL"/>
        </w:rPr>
        <w:t>ë</w:t>
      </w:r>
      <w:r w:rsidR="00792FF3" w:rsidRPr="000C51A5">
        <w:rPr>
          <w:rFonts w:ascii="Times New Roman" w:eastAsia="Calibri" w:hAnsi="Times New Roman" w:cs="Times New Roman"/>
          <w:noProof/>
          <w:sz w:val="24"/>
          <w:szCs w:val="24"/>
          <w:lang w:val="sq-AL"/>
        </w:rPr>
        <w:t xml:space="preserve"> t</w:t>
      </w:r>
      <w:r w:rsidR="00754CBC" w:rsidRPr="000C51A5">
        <w:rPr>
          <w:rFonts w:ascii="Times New Roman" w:eastAsia="Calibri" w:hAnsi="Times New Roman" w:cs="Times New Roman"/>
          <w:noProof/>
          <w:sz w:val="24"/>
          <w:szCs w:val="24"/>
          <w:lang w:val="sq-AL"/>
        </w:rPr>
        <w:t>ë</w:t>
      </w:r>
      <w:r w:rsidR="00792FF3" w:rsidRPr="000C51A5">
        <w:rPr>
          <w:rFonts w:ascii="Times New Roman" w:eastAsia="Calibri" w:hAnsi="Times New Roman" w:cs="Times New Roman"/>
          <w:noProof/>
          <w:sz w:val="24"/>
          <w:szCs w:val="24"/>
          <w:lang w:val="sq-AL"/>
        </w:rPr>
        <w:t>rhequr</w:t>
      </w:r>
      <w:r w:rsidRPr="000C51A5">
        <w:rPr>
          <w:rFonts w:ascii="Times New Roman" w:eastAsia="Calibri" w:hAnsi="Times New Roman" w:cs="Times New Roman"/>
          <w:noProof/>
          <w:sz w:val="24"/>
          <w:szCs w:val="24"/>
          <w:lang w:val="sq-AL"/>
        </w:rPr>
        <w:t xml:space="preserve"> plotësisht obligacion</w:t>
      </w:r>
      <w:r w:rsidR="00E2305C" w:rsidRPr="000C51A5">
        <w:rPr>
          <w:rFonts w:ascii="Times New Roman" w:eastAsia="Calibri" w:hAnsi="Times New Roman" w:cs="Times New Roman"/>
          <w:noProof/>
          <w:sz w:val="24"/>
          <w:szCs w:val="24"/>
          <w:lang w:val="sq-AL"/>
        </w:rPr>
        <w:t>et</w:t>
      </w:r>
      <w:r w:rsidRPr="000C51A5">
        <w:rPr>
          <w:rFonts w:ascii="Times New Roman" w:eastAsia="Calibri" w:hAnsi="Times New Roman" w:cs="Times New Roman"/>
          <w:noProof/>
          <w:sz w:val="24"/>
          <w:szCs w:val="24"/>
          <w:lang w:val="sq-AL"/>
        </w:rPr>
        <w:t xml:space="preserve"> 7</w:t>
      </w:r>
      <w:r w:rsidR="00E2305C" w:rsidRPr="000C51A5">
        <w:rPr>
          <w:rFonts w:ascii="Times New Roman" w:eastAsia="Calibri" w:hAnsi="Times New Roman" w:cs="Times New Roman"/>
          <w:noProof/>
          <w:sz w:val="24"/>
          <w:szCs w:val="24"/>
          <w:lang w:val="sq-AL"/>
        </w:rPr>
        <w:t xml:space="preserve"> dhe 10</w:t>
      </w:r>
      <w:r w:rsidRPr="000C51A5">
        <w:rPr>
          <w:rFonts w:ascii="Times New Roman" w:eastAsia="Calibri" w:hAnsi="Times New Roman" w:cs="Times New Roman"/>
          <w:noProof/>
          <w:sz w:val="24"/>
          <w:szCs w:val="24"/>
          <w:lang w:val="sq-AL"/>
        </w:rPr>
        <w:t xml:space="preserve"> vjeçar</w:t>
      </w:r>
      <w:r w:rsidR="00E2305C" w:rsidRPr="000C51A5">
        <w:rPr>
          <w:rFonts w:ascii="Times New Roman" w:eastAsia="Calibri" w:hAnsi="Times New Roman" w:cs="Times New Roman"/>
          <w:noProof/>
          <w:sz w:val="24"/>
          <w:szCs w:val="24"/>
          <w:lang w:val="sq-AL"/>
        </w:rPr>
        <w:t>e</w:t>
      </w:r>
      <w:r w:rsidRPr="000C51A5">
        <w:rPr>
          <w:rFonts w:ascii="Times New Roman" w:eastAsia="Calibri" w:hAnsi="Times New Roman" w:cs="Times New Roman"/>
          <w:noProof/>
          <w:sz w:val="24"/>
          <w:szCs w:val="24"/>
          <w:lang w:val="sq-AL"/>
        </w:rPr>
        <w:t xml:space="preserve"> me norma interesi të ndryshueshme</w:t>
      </w:r>
      <w:r w:rsidR="00B01B86" w:rsidRPr="000C51A5">
        <w:rPr>
          <w:rFonts w:ascii="Times New Roman" w:eastAsia="Calibri" w:hAnsi="Times New Roman" w:cs="Times New Roman"/>
          <w:noProof/>
          <w:sz w:val="24"/>
          <w:szCs w:val="24"/>
          <w:lang w:val="sq-AL"/>
        </w:rPr>
        <w:t>.</w:t>
      </w:r>
    </w:p>
    <w:p w14:paraId="71DF5CAB" w14:textId="77777777" w:rsidR="00097511" w:rsidRPr="000C51A5" w:rsidRDefault="00F41D4E" w:rsidP="000F2369">
      <w:pPr>
        <w:tabs>
          <w:tab w:val="left" w:pos="540"/>
        </w:tabs>
        <w:spacing w:line="276" w:lineRule="auto"/>
        <w:ind w:right="237"/>
        <w:contextualSpacing/>
        <w:jc w:val="both"/>
        <w:rPr>
          <w:rFonts w:ascii="Times New Roman" w:eastAsia="Calibri" w:hAnsi="Times New Roman" w:cs="Times New Roman"/>
          <w:noProof/>
          <w:sz w:val="24"/>
          <w:szCs w:val="24"/>
          <w:lang w:val="sq-AL"/>
        </w:rPr>
      </w:pPr>
      <w:r w:rsidRPr="000C51A5">
        <w:rPr>
          <w:rFonts w:ascii="Times New Roman" w:eastAsia="Calibri" w:hAnsi="Times New Roman" w:cs="Times New Roman"/>
          <w:noProof/>
          <w:sz w:val="24"/>
          <w:szCs w:val="24"/>
          <w:lang w:val="sq-AL"/>
        </w:rPr>
        <w:t>N</w:t>
      </w:r>
      <w:r w:rsidR="00097511" w:rsidRPr="000C51A5">
        <w:rPr>
          <w:rFonts w:ascii="Times New Roman" w:eastAsia="Calibri" w:hAnsi="Times New Roman" w:cs="Times New Roman"/>
          <w:noProof/>
          <w:sz w:val="24"/>
          <w:szCs w:val="24"/>
          <w:lang w:val="sq-AL"/>
        </w:rPr>
        <w:t xml:space="preserve">ë drejtim të krijimit të madhësive </w:t>
      </w:r>
      <w:r w:rsidR="00097511" w:rsidRPr="000C51A5">
        <w:rPr>
          <w:rFonts w:ascii="Times New Roman" w:eastAsia="Calibri" w:hAnsi="Times New Roman" w:cs="Times New Roman"/>
          <w:i/>
          <w:noProof/>
          <w:sz w:val="24"/>
          <w:szCs w:val="24"/>
          <w:lang w:val="sq-AL"/>
        </w:rPr>
        <w:t>benchmark</w:t>
      </w:r>
      <w:r w:rsidR="00097511" w:rsidRPr="000C51A5">
        <w:rPr>
          <w:rFonts w:ascii="Times New Roman" w:eastAsia="Calibri" w:hAnsi="Times New Roman" w:cs="Times New Roman"/>
          <w:noProof/>
          <w:sz w:val="24"/>
          <w:szCs w:val="24"/>
          <w:lang w:val="sq-AL"/>
        </w:rPr>
        <w:t xml:space="preserve"> është vijuar me konsolidimin e numrit të </w:t>
      </w:r>
      <w:r w:rsidR="002A53E7" w:rsidRPr="000C51A5">
        <w:rPr>
          <w:rFonts w:ascii="Times New Roman" w:eastAsia="Calibri" w:hAnsi="Times New Roman" w:cs="Times New Roman"/>
          <w:noProof/>
          <w:sz w:val="24"/>
          <w:szCs w:val="24"/>
          <w:lang w:val="sq-AL"/>
        </w:rPr>
        <w:t>ankandeve t</w:t>
      </w:r>
      <w:r w:rsidR="004D1E37" w:rsidRPr="000C51A5">
        <w:rPr>
          <w:rFonts w:ascii="Times New Roman" w:eastAsia="Calibri" w:hAnsi="Times New Roman" w:cs="Times New Roman"/>
          <w:noProof/>
          <w:sz w:val="24"/>
          <w:szCs w:val="24"/>
          <w:lang w:val="sq-AL"/>
        </w:rPr>
        <w:t>ë</w:t>
      </w:r>
      <w:r w:rsidR="002A53E7" w:rsidRPr="000C51A5">
        <w:rPr>
          <w:rFonts w:ascii="Times New Roman" w:eastAsia="Calibri" w:hAnsi="Times New Roman" w:cs="Times New Roman"/>
          <w:noProof/>
          <w:sz w:val="24"/>
          <w:szCs w:val="24"/>
          <w:lang w:val="sq-AL"/>
        </w:rPr>
        <w:t xml:space="preserve"> </w:t>
      </w:r>
      <w:r w:rsidR="00097511" w:rsidRPr="000C51A5">
        <w:rPr>
          <w:rFonts w:ascii="Times New Roman" w:eastAsia="Calibri" w:hAnsi="Times New Roman" w:cs="Times New Roman"/>
          <w:noProof/>
          <w:sz w:val="24"/>
          <w:szCs w:val="24"/>
          <w:lang w:val="sq-AL"/>
        </w:rPr>
        <w:t xml:space="preserve">titujve shtetërorë, duke ulur frekuencën e emetimeve të titujve të rinj dhe duke </w:t>
      </w:r>
      <w:r w:rsidR="00346691" w:rsidRPr="000C51A5">
        <w:rPr>
          <w:rFonts w:ascii="Times New Roman" w:eastAsia="Calibri" w:hAnsi="Times New Roman" w:cs="Times New Roman"/>
          <w:noProof/>
          <w:sz w:val="24"/>
          <w:szCs w:val="24"/>
          <w:lang w:val="sq-AL"/>
        </w:rPr>
        <w:t>p</w:t>
      </w:r>
      <w:r w:rsidR="006F6B74" w:rsidRPr="000C51A5">
        <w:rPr>
          <w:rFonts w:ascii="Times New Roman" w:eastAsia="Calibri" w:hAnsi="Times New Roman" w:cs="Times New Roman"/>
          <w:noProof/>
          <w:sz w:val="24"/>
          <w:szCs w:val="24"/>
          <w:lang w:val="sq-AL"/>
        </w:rPr>
        <w:t>ë</w:t>
      </w:r>
      <w:r w:rsidR="00346691" w:rsidRPr="000C51A5">
        <w:rPr>
          <w:rFonts w:ascii="Times New Roman" w:eastAsia="Calibri" w:hAnsi="Times New Roman" w:cs="Times New Roman"/>
          <w:noProof/>
          <w:sz w:val="24"/>
          <w:szCs w:val="24"/>
          <w:lang w:val="sq-AL"/>
        </w:rPr>
        <w:t>rdorur</w:t>
      </w:r>
      <w:r w:rsidR="00097511" w:rsidRPr="000C51A5">
        <w:rPr>
          <w:rFonts w:ascii="Times New Roman" w:eastAsia="Calibri" w:hAnsi="Times New Roman" w:cs="Times New Roman"/>
          <w:noProof/>
          <w:sz w:val="24"/>
          <w:szCs w:val="24"/>
          <w:lang w:val="sq-AL"/>
        </w:rPr>
        <w:t xml:space="preserve"> rihapjet e titujve ekzistues.</w:t>
      </w:r>
    </w:p>
    <w:p w14:paraId="71DF5CAC" w14:textId="77777777" w:rsidR="00097511" w:rsidRPr="000C51A5" w:rsidRDefault="00097511" w:rsidP="00097511">
      <w:pPr>
        <w:spacing w:after="0" w:line="276" w:lineRule="auto"/>
        <w:ind w:right="-46"/>
        <w:jc w:val="both"/>
        <w:rPr>
          <w:rFonts w:ascii="Times New Roman" w:eastAsia="MS Mincho" w:hAnsi="Times New Roman" w:cs="Times New Roman"/>
          <w:noProof/>
          <w:sz w:val="16"/>
          <w:szCs w:val="24"/>
          <w:lang w:val="sq-AL"/>
        </w:rPr>
      </w:pPr>
    </w:p>
    <w:p w14:paraId="71DF5CAD" w14:textId="77777777" w:rsidR="00F35C0C" w:rsidRPr="000C51A5" w:rsidRDefault="00097511" w:rsidP="000F2369">
      <w:pPr>
        <w:spacing w:after="0" w:line="240" w:lineRule="auto"/>
        <w:ind w:right="-46"/>
        <w:jc w:val="center"/>
        <w:rPr>
          <w:rFonts w:ascii="Cambria" w:eastAsia="Batang" w:hAnsi="Cambria"/>
          <w:i/>
          <w:noProof/>
          <w:color w:val="8E0000"/>
          <w:sz w:val="20"/>
          <w:szCs w:val="20"/>
          <w:lang w:val="sq-AL"/>
        </w:rPr>
      </w:pPr>
      <w:r w:rsidRPr="000C51A5">
        <w:rPr>
          <w:rFonts w:ascii="Cambria" w:eastAsia="Batang" w:hAnsi="Cambria"/>
          <w:b/>
          <w:noProof/>
          <w:color w:val="8E0000"/>
          <w:sz w:val="20"/>
          <w:szCs w:val="20"/>
          <w:lang w:val="sq-AL"/>
        </w:rPr>
        <w:t xml:space="preserve">Paraqitje Grafike 6.1 (d): </w:t>
      </w:r>
      <w:r w:rsidRPr="000C51A5">
        <w:rPr>
          <w:rFonts w:ascii="Cambria" w:eastAsia="Batang" w:hAnsi="Cambria"/>
          <w:i/>
          <w:noProof/>
          <w:color w:val="8E0000"/>
          <w:sz w:val="20"/>
          <w:szCs w:val="20"/>
          <w:lang w:val="sq-AL"/>
        </w:rPr>
        <w:t>Ecuria e ankan</w:t>
      </w:r>
      <w:r w:rsidR="00621496" w:rsidRPr="000C51A5">
        <w:rPr>
          <w:rFonts w:ascii="Cambria" w:eastAsia="Batang" w:hAnsi="Cambria"/>
          <w:i/>
          <w:noProof/>
          <w:color w:val="8E0000"/>
          <w:sz w:val="20"/>
          <w:szCs w:val="20"/>
          <w:lang w:val="sq-AL"/>
        </w:rPr>
        <w:t>deve të titujve shtetërorë (2015</w:t>
      </w:r>
      <w:r w:rsidRPr="000C51A5">
        <w:rPr>
          <w:rFonts w:ascii="Cambria" w:eastAsia="Batang" w:hAnsi="Cambria"/>
          <w:i/>
          <w:noProof/>
          <w:color w:val="8E0000"/>
          <w:sz w:val="20"/>
          <w:szCs w:val="20"/>
          <w:lang w:val="sq-AL"/>
        </w:rPr>
        <w:t>-</w:t>
      </w:r>
      <w:r w:rsidR="00621496" w:rsidRPr="000C51A5">
        <w:rPr>
          <w:rFonts w:ascii="Cambria" w:eastAsia="Batang" w:hAnsi="Cambria"/>
          <w:i/>
          <w:noProof/>
          <w:color w:val="8E0000"/>
          <w:sz w:val="20"/>
          <w:szCs w:val="20"/>
          <w:lang w:val="sq-AL"/>
        </w:rPr>
        <w:t>2019</w:t>
      </w:r>
      <w:r w:rsidRPr="000C51A5">
        <w:rPr>
          <w:rFonts w:ascii="Cambria" w:eastAsia="Batang" w:hAnsi="Cambria"/>
          <w:i/>
          <w:noProof/>
          <w:color w:val="8E0000"/>
          <w:sz w:val="20"/>
          <w:szCs w:val="20"/>
          <w:lang w:val="sq-AL"/>
        </w:rPr>
        <w:t>)</w:t>
      </w:r>
    </w:p>
    <w:p w14:paraId="71DF5CAE" w14:textId="77777777" w:rsidR="00E45E9E" w:rsidRPr="000C51A5" w:rsidRDefault="000C51A5" w:rsidP="00F928B9">
      <w:pPr>
        <w:spacing w:after="0" w:line="276" w:lineRule="auto"/>
        <w:ind w:right="-46"/>
        <w:rPr>
          <w:rFonts w:ascii="Cambria" w:eastAsia="Calibri" w:hAnsi="Cambria" w:cs="Times New Roman"/>
          <w:b/>
          <w:noProof/>
          <w:color w:val="8E0000"/>
          <w:sz w:val="20"/>
          <w:szCs w:val="20"/>
          <w:lang w:val="sq-AL"/>
        </w:rPr>
      </w:pPr>
      <w:r w:rsidRPr="000C51A5">
        <w:rPr>
          <w:rFonts w:ascii="Cambria" w:eastAsia="Calibri" w:hAnsi="Cambria" w:cs="Times New Roman"/>
          <w:b/>
          <w:noProof/>
          <w:color w:val="8E0000"/>
          <w:sz w:val="20"/>
          <w:szCs w:val="20"/>
        </w:rPr>
        <w:drawing>
          <wp:inline distT="0" distB="0" distL="0" distR="0" wp14:anchorId="71DF5F8B" wp14:editId="71DF5F8C">
            <wp:extent cx="5537200" cy="1809750"/>
            <wp:effectExtent l="19050" t="19050" r="25400" b="190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37200" cy="1809750"/>
                    </a:xfrm>
                    <a:prstGeom prst="rect">
                      <a:avLst/>
                    </a:prstGeom>
                    <a:noFill/>
                    <a:ln>
                      <a:solidFill>
                        <a:schemeClr val="bg1">
                          <a:lumMod val="75000"/>
                        </a:schemeClr>
                      </a:solidFill>
                    </a:ln>
                  </pic:spPr>
                </pic:pic>
              </a:graphicData>
            </a:graphic>
          </wp:inline>
        </w:drawing>
      </w:r>
    </w:p>
    <w:p w14:paraId="71DF5CAF" w14:textId="77777777" w:rsidR="00F2183C" w:rsidRPr="000C51A5" w:rsidRDefault="00097511" w:rsidP="001655F6">
      <w:pPr>
        <w:spacing w:after="0" w:line="276" w:lineRule="auto"/>
        <w:ind w:right="-46"/>
        <w:jc w:val="center"/>
        <w:rPr>
          <w:rFonts w:ascii="Cambria" w:eastAsia="Calibri" w:hAnsi="Cambria" w:cs="Times New Roman"/>
          <w:i/>
          <w:noProof/>
          <w:color w:val="8E0000"/>
          <w:sz w:val="20"/>
          <w:szCs w:val="20"/>
          <w:lang w:val="sq-AL"/>
        </w:rPr>
      </w:pPr>
      <w:r w:rsidRPr="000C51A5">
        <w:rPr>
          <w:rFonts w:ascii="Cambria" w:eastAsia="Calibri" w:hAnsi="Cambria" w:cs="Times New Roman"/>
          <w:b/>
          <w:noProof/>
          <w:color w:val="8E0000"/>
          <w:sz w:val="20"/>
          <w:szCs w:val="20"/>
          <w:lang w:val="sq-AL"/>
        </w:rPr>
        <w:t xml:space="preserve">Burimi: </w:t>
      </w:r>
      <w:r w:rsidRPr="000C51A5">
        <w:rPr>
          <w:rFonts w:ascii="Cambria" w:eastAsia="Calibri" w:hAnsi="Cambria" w:cs="Times New Roman"/>
          <w:i/>
          <w:noProof/>
          <w:color w:val="8E0000"/>
          <w:sz w:val="20"/>
          <w:szCs w:val="20"/>
          <w:lang w:val="sq-AL"/>
        </w:rPr>
        <w:t xml:space="preserve">Ministria </w:t>
      </w:r>
      <w:r w:rsidR="001655F6" w:rsidRPr="000C51A5">
        <w:rPr>
          <w:rFonts w:ascii="Cambria" w:eastAsia="Calibri" w:hAnsi="Cambria" w:cs="Times New Roman"/>
          <w:i/>
          <w:noProof/>
          <w:color w:val="8E0000"/>
          <w:sz w:val="20"/>
          <w:szCs w:val="20"/>
          <w:lang w:val="sq-AL"/>
        </w:rPr>
        <w:t>e Financave dhe E</w:t>
      </w:r>
      <w:r w:rsidR="00621496" w:rsidRPr="000C51A5">
        <w:rPr>
          <w:rFonts w:ascii="Cambria" w:eastAsia="Calibri" w:hAnsi="Cambria" w:cs="Times New Roman"/>
          <w:i/>
          <w:noProof/>
          <w:color w:val="8E0000"/>
          <w:sz w:val="20"/>
          <w:szCs w:val="20"/>
          <w:lang w:val="sq-AL"/>
        </w:rPr>
        <w:t>konomisë (2019</w:t>
      </w:r>
      <w:r w:rsidR="009416D2" w:rsidRPr="000C51A5">
        <w:rPr>
          <w:rFonts w:ascii="Cambria" w:eastAsia="Calibri" w:hAnsi="Cambria" w:cs="Times New Roman"/>
          <w:i/>
          <w:noProof/>
          <w:color w:val="8E0000"/>
          <w:sz w:val="20"/>
          <w:szCs w:val="20"/>
          <w:lang w:val="sq-AL"/>
        </w:rPr>
        <w:t>)</w:t>
      </w:r>
    </w:p>
    <w:p w14:paraId="71DF5CB0" w14:textId="77777777" w:rsidR="00511453" w:rsidRPr="000C51A5" w:rsidRDefault="00511453" w:rsidP="001655F6">
      <w:pPr>
        <w:spacing w:after="0" w:line="276" w:lineRule="auto"/>
        <w:ind w:right="-46"/>
        <w:jc w:val="center"/>
        <w:rPr>
          <w:rFonts w:ascii="Cambria" w:eastAsia="Calibri" w:hAnsi="Cambria" w:cs="Times New Roman"/>
          <w:i/>
          <w:noProof/>
          <w:color w:val="8E0000"/>
          <w:sz w:val="16"/>
          <w:szCs w:val="20"/>
          <w:lang w:val="sq-AL"/>
        </w:rPr>
      </w:pPr>
    </w:p>
    <w:p w14:paraId="71DF5CB1" w14:textId="77777777" w:rsidR="00E45E9E" w:rsidRPr="00E45E9E" w:rsidRDefault="00604908" w:rsidP="00F928B9">
      <w:pPr>
        <w:tabs>
          <w:tab w:val="left" w:pos="360"/>
        </w:tabs>
        <w:spacing w:after="0" w:line="276" w:lineRule="auto"/>
        <w:ind w:right="238"/>
        <w:jc w:val="both"/>
        <w:rPr>
          <w:rFonts w:ascii="Times New Roman" w:eastAsia="Calibri" w:hAnsi="Times New Roman" w:cs="Times New Roman"/>
          <w:noProof/>
          <w:sz w:val="24"/>
          <w:szCs w:val="24"/>
          <w:lang w:val="sq-AL"/>
        </w:rPr>
      </w:pPr>
      <w:r w:rsidRPr="000C51A5">
        <w:rPr>
          <w:rFonts w:ascii="Times New Roman" w:eastAsia="Calibri" w:hAnsi="Times New Roman" w:cs="Times New Roman"/>
          <w:noProof/>
          <w:sz w:val="24"/>
          <w:szCs w:val="24"/>
          <w:lang w:val="sq-AL"/>
        </w:rPr>
        <w:t>Gjithashtu, gjat</w:t>
      </w:r>
      <w:r w:rsidR="00754CBC" w:rsidRPr="000C51A5">
        <w:rPr>
          <w:rFonts w:ascii="Times New Roman" w:eastAsia="Calibri" w:hAnsi="Times New Roman" w:cs="Times New Roman"/>
          <w:noProof/>
          <w:sz w:val="24"/>
          <w:szCs w:val="24"/>
          <w:lang w:val="sq-AL"/>
        </w:rPr>
        <w:t>ë</w:t>
      </w:r>
      <w:r w:rsidRPr="000C51A5">
        <w:rPr>
          <w:rFonts w:ascii="Times New Roman" w:eastAsia="Calibri" w:hAnsi="Times New Roman" w:cs="Times New Roman"/>
          <w:noProof/>
          <w:sz w:val="24"/>
          <w:szCs w:val="24"/>
          <w:lang w:val="sq-AL"/>
        </w:rPr>
        <w:t xml:space="preserve"> vitit 2018 </w:t>
      </w:r>
      <w:r w:rsidR="00754CBC" w:rsidRPr="000C51A5">
        <w:rPr>
          <w:rFonts w:ascii="Times New Roman" w:eastAsia="Calibri" w:hAnsi="Times New Roman" w:cs="Times New Roman"/>
          <w:noProof/>
          <w:sz w:val="24"/>
          <w:szCs w:val="24"/>
          <w:lang w:val="sq-AL"/>
        </w:rPr>
        <w:t>ë</w:t>
      </w:r>
      <w:r w:rsidRPr="000C51A5">
        <w:rPr>
          <w:rFonts w:ascii="Times New Roman" w:eastAsia="Calibri" w:hAnsi="Times New Roman" w:cs="Times New Roman"/>
          <w:noProof/>
          <w:sz w:val="24"/>
          <w:szCs w:val="24"/>
          <w:lang w:val="sq-AL"/>
        </w:rPr>
        <w:t>sht</w:t>
      </w:r>
      <w:r w:rsidR="00754CBC" w:rsidRPr="000C51A5">
        <w:rPr>
          <w:rFonts w:ascii="Times New Roman" w:eastAsia="Calibri" w:hAnsi="Times New Roman" w:cs="Times New Roman"/>
          <w:noProof/>
          <w:sz w:val="24"/>
          <w:szCs w:val="24"/>
          <w:lang w:val="sq-AL"/>
        </w:rPr>
        <w:t>ë</w:t>
      </w:r>
      <w:r w:rsidRPr="000C51A5">
        <w:rPr>
          <w:rFonts w:ascii="Times New Roman" w:eastAsia="Calibri" w:hAnsi="Times New Roman" w:cs="Times New Roman"/>
          <w:noProof/>
          <w:sz w:val="24"/>
          <w:szCs w:val="24"/>
          <w:lang w:val="sq-AL"/>
        </w:rPr>
        <w:t xml:space="preserve"> testuar projekti pilot p</w:t>
      </w:r>
      <w:r w:rsidR="00754CBC" w:rsidRPr="000C51A5">
        <w:rPr>
          <w:rFonts w:ascii="Times New Roman" w:eastAsia="Calibri" w:hAnsi="Times New Roman" w:cs="Times New Roman"/>
          <w:noProof/>
          <w:sz w:val="24"/>
          <w:szCs w:val="24"/>
          <w:lang w:val="sq-AL"/>
        </w:rPr>
        <w:t>ë</w:t>
      </w:r>
      <w:r w:rsidRPr="000C51A5">
        <w:rPr>
          <w:rFonts w:ascii="Times New Roman" w:eastAsia="Calibri" w:hAnsi="Times New Roman" w:cs="Times New Roman"/>
          <w:noProof/>
          <w:sz w:val="24"/>
          <w:szCs w:val="24"/>
          <w:lang w:val="sq-AL"/>
        </w:rPr>
        <w:t>r emetimin e obligacioneve 5 vjeçare referenc</w:t>
      </w:r>
      <w:r w:rsidR="00754CBC" w:rsidRPr="000C51A5">
        <w:rPr>
          <w:rFonts w:ascii="Times New Roman" w:eastAsia="Calibri" w:hAnsi="Times New Roman" w:cs="Times New Roman"/>
          <w:noProof/>
          <w:sz w:val="24"/>
          <w:szCs w:val="24"/>
          <w:lang w:val="sq-AL"/>
        </w:rPr>
        <w:t>ë</w:t>
      </w:r>
      <w:r w:rsidRPr="000C51A5">
        <w:rPr>
          <w:rFonts w:ascii="Times New Roman" w:eastAsia="Calibri" w:hAnsi="Times New Roman" w:cs="Times New Roman"/>
          <w:noProof/>
          <w:sz w:val="24"/>
          <w:szCs w:val="24"/>
          <w:lang w:val="sq-AL"/>
        </w:rPr>
        <w:t xml:space="preserve"> n</w:t>
      </w:r>
      <w:r w:rsidR="00754CBC" w:rsidRPr="000C51A5">
        <w:rPr>
          <w:rFonts w:ascii="Times New Roman" w:eastAsia="Calibri" w:hAnsi="Times New Roman" w:cs="Times New Roman"/>
          <w:noProof/>
          <w:sz w:val="24"/>
          <w:szCs w:val="24"/>
          <w:lang w:val="sq-AL"/>
        </w:rPr>
        <w:t>ë</w:t>
      </w:r>
      <w:r w:rsidRPr="000C51A5">
        <w:rPr>
          <w:rFonts w:ascii="Times New Roman" w:eastAsia="Calibri" w:hAnsi="Times New Roman" w:cs="Times New Roman"/>
          <w:noProof/>
          <w:sz w:val="24"/>
          <w:szCs w:val="24"/>
          <w:lang w:val="sq-AL"/>
        </w:rPr>
        <w:t xml:space="preserve"> form</w:t>
      </w:r>
      <w:r w:rsidR="00754CBC" w:rsidRPr="000C51A5">
        <w:rPr>
          <w:rFonts w:ascii="Times New Roman" w:eastAsia="Calibri" w:hAnsi="Times New Roman" w:cs="Times New Roman"/>
          <w:noProof/>
          <w:sz w:val="24"/>
          <w:szCs w:val="24"/>
          <w:lang w:val="sq-AL"/>
        </w:rPr>
        <w:t>ë</w:t>
      </w:r>
      <w:r w:rsidRPr="000C51A5">
        <w:rPr>
          <w:rFonts w:ascii="Times New Roman" w:eastAsia="Calibri" w:hAnsi="Times New Roman" w:cs="Times New Roman"/>
          <w:noProof/>
          <w:sz w:val="24"/>
          <w:szCs w:val="24"/>
          <w:lang w:val="sq-AL"/>
        </w:rPr>
        <w:t xml:space="preserve">n e </w:t>
      </w:r>
      <w:r w:rsidR="00972739" w:rsidRPr="000C51A5">
        <w:rPr>
          <w:rFonts w:ascii="Times New Roman" w:eastAsia="Calibri" w:hAnsi="Times New Roman" w:cs="Times New Roman"/>
          <w:i/>
          <w:noProof/>
          <w:sz w:val="24"/>
          <w:szCs w:val="24"/>
          <w:lang w:val="sq-AL"/>
        </w:rPr>
        <w:t>s</w:t>
      </w:r>
      <w:r w:rsidRPr="000C51A5">
        <w:rPr>
          <w:rFonts w:ascii="Times New Roman" w:eastAsia="Calibri" w:hAnsi="Times New Roman" w:cs="Times New Roman"/>
          <w:i/>
          <w:noProof/>
          <w:sz w:val="24"/>
          <w:szCs w:val="24"/>
          <w:lang w:val="sq-AL"/>
        </w:rPr>
        <w:t>istemit</w:t>
      </w:r>
      <w:r w:rsidRPr="000C51A5">
        <w:rPr>
          <w:rFonts w:ascii="Times New Roman" w:eastAsia="Calibri" w:hAnsi="Times New Roman" w:cs="Times New Roman"/>
          <w:noProof/>
          <w:sz w:val="24"/>
          <w:szCs w:val="24"/>
          <w:lang w:val="sq-AL"/>
        </w:rPr>
        <w:t xml:space="preserve"> </w:t>
      </w:r>
      <w:r w:rsidR="0003164C">
        <w:rPr>
          <w:rFonts w:ascii="Times New Roman" w:eastAsia="Calibri" w:hAnsi="Times New Roman" w:cs="Times New Roman"/>
          <w:i/>
          <w:noProof/>
          <w:sz w:val="24"/>
          <w:szCs w:val="24"/>
          <w:lang w:val="sq-AL"/>
        </w:rPr>
        <w:t>Market Maker</w:t>
      </w:r>
      <w:r w:rsidR="00D54E2F" w:rsidRPr="000C51A5">
        <w:rPr>
          <w:rFonts w:ascii="Times New Roman" w:eastAsia="Calibri" w:hAnsi="Times New Roman" w:cs="Times New Roman"/>
          <w:i/>
          <w:noProof/>
          <w:sz w:val="24"/>
          <w:szCs w:val="24"/>
          <w:lang w:val="sq-AL"/>
        </w:rPr>
        <w:t xml:space="preserve">. </w:t>
      </w:r>
      <w:r w:rsidR="00E45E9E" w:rsidRPr="000C51A5">
        <w:rPr>
          <w:rFonts w:ascii="Times New Roman" w:eastAsia="Calibri" w:hAnsi="Times New Roman" w:cs="Times New Roman"/>
          <w:noProof/>
          <w:sz w:val="24"/>
          <w:szCs w:val="24"/>
          <w:lang w:val="sq-AL"/>
        </w:rPr>
        <w:t xml:space="preserve">Rezultatet </w:t>
      </w:r>
      <w:r w:rsidR="00D54E2F" w:rsidRPr="000C51A5">
        <w:rPr>
          <w:rFonts w:ascii="Times New Roman" w:eastAsia="Calibri" w:hAnsi="Times New Roman" w:cs="Times New Roman"/>
          <w:noProof/>
          <w:sz w:val="24"/>
          <w:szCs w:val="24"/>
          <w:lang w:val="sq-AL"/>
        </w:rPr>
        <w:t>paraprake t</w:t>
      </w:r>
      <w:r w:rsidR="00982338" w:rsidRPr="000C51A5">
        <w:rPr>
          <w:rFonts w:ascii="Times New Roman" w:eastAsia="Calibri" w:hAnsi="Times New Roman" w:cs="Times New Roman"/>
          <w:noProof/>
          <w:sz w:val="24"/>
          <w:szCs w:val="24"/>
          <w:lang w:val="sq-AL"/>
        </w:rPr>
        <w:t>ë</w:t>
      </w:r>
      <w:r w:rsidR="00E45E9E" w:rsidRPr="000C51A5">
        <w:rPr>
          <w:rFonts w:ascii="Times New Roman" w:eastAsia="Calibri" w:hAnsi="Times New Roman" w:cs="Times New Roman"/>
          <w:noProof/>
          <w:sz w:val="24"/>
          <w:szCs w:val="24"/>
          <w:lang w:val="sq-AL"/>
        </w:rPr>
        <w:t xml:space="preserve"> këtij projekti kanë treguar se ka pasur rritje të volumit të tregtimit të këtij titulli në tregun sekondar dhe për më tepër edhe rritje të volumit të titujve me maturitet të mbetur 5 vite.</w:t>
      </w:r>
      <w:r w:rsidR="00D54E2F" w:rsidRPr="000C51A5">
        <w:rPr>
          <w:rFonts w:ascii="Times New Roman" w:eastAsia="Calibri" w:hAnsi="Times New Roman" w:cs="Times New Roman"/>
          <w:noProof/>
          <w:sz w:val="24"/>
          <w:szCs w:val="24"/>
          <w:lang w:val="sq-AL"/>
        </w:rPr>
        <w:t xml:space="preserve"> Nisur nga k</w:t>
      </w:r>
      <w:r w:rsidR="00982338" w:rsidRPr="000C51A5">
        <w:rPr>
          <w:rFonts w:ascii="Times New Roman" w:eastAsia="Calibri" w:hAnsi="Times New Roman" w:cs="Times New Roman"/>
          <w:noProof/>
          <w:sz w:val="24"/>
          <w:szCs w:val="24"/>
          <w:lang w:val="sq-AL"/>
        </w:rPr>
        <w:t>ë</w:t>
      </w:r>
      <w:r w:rsidR="00D54E2F" w:rsidRPr="000C51A5">
        <w:rPr>
          <w:rFonts w:ascii="Times New Roman" w:eastAsia="Calibri" w:hAnsi="Times New Roman" w:cs="Times New Roman"/>
          <w:noProof/>
          <w:sz w:val="24"/>
          <w:szCs w:val="24"/>
          <w:lang w:val="sq-AL"/>
        </w:rPr>
        <w:t>to rezultate, gjat</w:t>
      </w:r>
      <w:r w:rsidR="00982338" w:rsidRPr="000C51A5">
        <w:rPr>
          <w:rFonts w:ascii="Times New Roman" w:eastAsia="Calibri" w:hAnsi="Times New Roman" w:cs="Times New Roman"/>
          <w:noProof/>
          <w:sz w:val="24"/>
          <w:szCs w:val="24"/>
          <w:lang w:val="sq-AL"/>
        </w:rPr>
        <w:t>ë</w:t>
      </w:r>
      <w:r w:rsidR="00D54E2F" w:rsidRPr="000C51A5">
        <w:rPr>
          <w:rFonts w:ascii="Times New Roman" w:eastAsia="Calibri" w:hAnsi="Times New Roman" w:cs="Times New Roman"/>
          <w:noProof/>
          <w:sz w:val="24"/>
          <w:szCs w:val="24"/>
          <w:lang w:val="sq-AL"/>
        </w:rPr>
        <w:t xml:space="preserve"> vitit 2019 ky projekt </w:t>
      </w:r>
      <w:r w:rsidR="00982338" w:rsidRPr="000C51A5">
        <w:rPr>
          <w:rFonts w:ascii="Times New Roman" w:eastAsia="Calibri" w:hAnsi="Times New Roman" w:cs="Times New Roman"/>
          <w:noProof/>
          <w:sz w:val="24"/>
          <w:szCs w:val="24"/>
          <w:lang w:val="sq-AL"/>
        </w:rPr>
        <w:t>ë</w:t>
      </w:r>
      <w:r w:rsidR="00D54E2F" w:rsidRPr="000C51A5">
        <w:rPr>
          <w:rFonts w:ascii="Times New Roman" w:eastAsia="Calibri" w:hAnsi="Times New Roman" w:cs="Times New Roman"/>
          <w:noProof/>
          <w:sz w:val="24"/>
          <w:szCs w:val="24"/>
          <w:lang w:val="sq-AL"/>
        </w:rPr>
        <w:t>sht</w:t>
      </w:r>
      <w:r w:rsidR="00982338" w:rsidRPr="000C51A5">
        <w:rPr>
          <w:rFonts w:ascii="Times New Roman" w:eastAsia="Calibri" w:hAnsi="Times New Roman" w:cs="Times New Roman"/>
          <w:noProof/>
          <w:sz w:val="24"/>
          <w:szCs w:val="24"/>
          <w:lang w:val="sq-AL"/>
        </w:rPr>
        <w:t>ë</w:t>
      </w:r>
      <w:r w:rsidR="00D54E2F" w:rsidRPr="000C51A5">
        <w:rPr>
          <w:rFonts w:ascii="Times New Roman" w:eastAsia="Calibri" w:hAnsi="Times New Roman" w:cs="Times New Roman"/>
          <w:noProof/>
          <w:sz w:val="24"/>
          <w:szCs w:val="24"/>
          <w:lang w:val="sq-AL"/>
        </w:rPr>
        <w:t xml:space="preserve"> shtrir</w:t>
      </w:r>
      <w:r w:rsidR="00982338" w:rsidRPr="000C51A5">
        <w:rPr>
          <w:rFonts w:ascii="Times New Roman" w:eastAsia="Calibri" w:hAnsi="Times New Roman" w:cs="Times New Roman"/>
          <w:noProof/>
          <w:sz w:val="24"/>
          <w:szCs w:val="24"/>
          <w:lang w:val="sq-AL"/>
        </w:rPr>
        <w:t>ë</w:t>
      </w:r>
      <w:r w:rsidR="00D54E2F" w:rsidRPr="000C51A5">
        <w:rPr>
          <w:rFonts w:ascii="Times New Roman" w:eastAsia="Calibri" w:hAnsi="Times New Roman" w:cs="Times New Roman"/>
          <w:noProof/>
          <w:sz w:val="24"/>
          <w:szCs w:val="24"/>
          <w:lang w:val="sq-AL"/>
        </w:rPr>
        <w:t xml:space="preserve"> edhe tek obligacionet me afat maturimi 3 vite.</w:t>
      </w:r>
    </w:p>
    <w:p w14:paraId="71DF5CB2" w14:textId="77777777" w:rsidR="00621496" w:rsidRPr="000F5C13" w:rsidRDefault="00621496" w:rsidP="00E45E9E">
      <w:pPr>
        <w:spacing w:after="0" w:line="276" w:lineRule="auto"/>
        <w:ind w:right="238"/>
        <w:jc w:val="both"/>
        <w:rPr>
          <w:rFonts w:ascii="Cambria" w:eastAsia="Calibri" w:hAnsi="Cambria" w:cs="Times New Roman"/>
          <w:noProof/>
          <w:color w:val="8E0000"/>
          <w:sz w:val="20"/>
          <w:szCs w:val="20"/>
          <w:lang w:val="sq-AL"/>
        </w:rPr>
      </w:pPr>
    </w:p>
    <w:p w14:paraId="71DF5CB3" w14:textId="77777777" w:rsidR="00F2183C" w:rsidRPr="000F5C13" w:rsidRDefault="00F2183C" w:rsidP="004A70BC">
      <w:pPr>
        <w:pStyle w:val="Heading2"/>
        <w:numPr>
          <w:ilvl w:val="1"/>
          <w:numId w:val="8"/>
        </w:numPr>
        <w:ind w:left="709" w:hanging="709"/>
        <w:rPr>
          <w:noProof/>
          <w:lang w:val="sq-AL"/>
        </w:rPr>
      </w:pPr>
      <w:bookmarkStart w:id="84" w:name="_Toc524506542"/>
      <w:r w:rsidRPr="000F5C13">
        <w:rPr>
          <w:noProof/>
          <w:lang w:val="sq-AL"/>
        </w:rPr>
        <w:t>Ecuria e normave të interesit</w:t>
      </w:r>
      <w:bookmarkEnd w:id="84"/>
    </w:p>
    <w:p w14:paraId="71DF5CB4" w14:textId="77777777" w:rsidR="00F2183C" w:rsidRPr="000F5C13" w:rsidRDefault="00F2183C" w:rsidP="005915CA">
      <w:pPr>
        <w:tabs>
          <w:tab w:val="left" w:pos="8647"/>
        </w:tabs>
        <w:spacing w:after="0" w:line="276" w:lineRule="auto"/>
        <w:ind w:left="270" w:right="207"/>
        <w:contextualSpacing/>
        <w:jc w:val="both"/>
        <w:rPr>
          <w:rFonts w:ascii="Times New Roman" w:eastAsia="Calibri" w:hAnsi="Times New Roman" w:cs="Times New Roman"/>
          <w:noProof/>
          <w:sz w:val="20"/>
          <w:szCs w:val="24"/>
          <w:lang w:val="sq-AL"/>
        </w:rPr>
      </w:pPr>
    </w:p>
    <w:p w14:paraId="71DF5CB5" w14:textId="77777777" w:rsidR="00806722" w:rsidRDefault="005A4FB2" w:rsidP="00806722">
      <w:pPr>
        <w:tabs>
          <w:tab w:val="left" w:pos="8647"/>
        </w:tabs>
        <w:spacing w:after="0" w:line="276" w:lineRule="auto"/>
        <w:ind w:right="207"/>
        <w:contextualSpacing/>
        <w:jc w:val="both"/>
        <w:rPr>
          <w:rFonts w:ascii="Times New Roman" w:eastAsia="Calibri" w:hAnsi="Times New Roman" w:cs="Times New Roman"/>
          <w:noProof/>
          <w:sz w:val="24"/>
          <w:szCs w:val="24"/>
          <w:lang w:val="sq-AL"/>
        </w:rPr>
      </w:pPr>
      <w:r w:rsidRPr="00B32803">
        <w:rPr>
          <w:rFonts w:ascii="Times New Roman" w:eastAsia="Calibri" w:hAnsi="Times New Roman" w:cs="Times New Roman"/>
          <w:noProof/>
          <w:sz w:val="24"/>
          <w:szCs w:val="24"/>
          <w:lang w:val="sq-AL"/>
        </w:rPr>
        <w:t>N</w:t>
      </w:r>
      <w:r w:rsidR="00097511" w:rsidRPr="00B32803">
        <w:rPr>
          <w:rFonts w:ascii="Times New Roman" w:eastAsia="Calibri" w:hAnsi="Times New Roman" w:cs="Times New Roman"/>
          <w:noProof/>
          <w:sz w:val="24"/>
          <w:szCs w:val="24"/>
          <w:lang w:val="sq-AL"/>
        </w:rPr>
        <w:t>ormat e i</w:t>
      </w:r>
      <w:r w:rsidR="00884B70" w:rsidRPr="00B32803">
        <w:rPr>
          <w:rFonts w:ascii="Times New Roman" w:eastAsia="Calibri" w:hAnsi="Times New Roman" w:cs="Times New Roman"/>
          <w:noProof/>
          <w:sz w:val="24"/>
          <w:szCs w:val="24"/>
          <w:lang w:val="sq-AL"/>
        </w:rPr>
        <w:t>nteresit të titujve shtetërorë,</w:t>
      </w:r>
      <w:r w:rsidR="00E5138B" w:rsidRPr="00B32803">
        <w:rPr>
          <w:rFonts w:ascii="Times New Roman" w:eastAsia="Calibri" w:hAnsi="Times New Roman" w:cs="Times New Roman"/>
          <w:noProof/>
          <w:sz w:val="24"/>
          <w:szCs w:val="24"/>
          <w:lang w:val="sq-AL"/>
        </w:rPr>
        <w:t xml:space="preserve"> gjat</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viteve t</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fundit kan</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p</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suar r</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nie t</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vazhdueshme duke u stabilizuar n</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periudh</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n 2017-2018.</w:t>
      </w:r>
      <w:r w:rsidR="00884B70" w:rsidRPr="00B32803">
        <w:rPr>
          <w:rFonts w:ascii="Times New Roman" w:eastAsia="Calibri" w:hAnsi="Times New Roman" w:cs="Times New Roman"/>
          <w:noProof/>
          <w:sz w:val="24"/>
          <w:szCs w:val="24"/>
          <w:lang w:val="sq-AL"/>
        </w:rPr>
        <w:t xml:space="preserve"> </w:t>
      </w:r>
      <w:r w:rsidR="00E5138B" w:rsidRPr="00B32803">
        <w:rPr>
          <w:rFonts w:ascii="Times New Roman" w:eastAsia="Calibri" w:hAnsi="Times New Roman" w:cs="Times New Roman"/>
          <w:noProof/>
          <w:sz w:val="24"/>
          <w:szCs w:val="24"/>
          <w:lang w:val="sq-AL"/>
        </w:rPr>
        <w:t>Megjithat</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gjat</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vitit 2019 normat e interesit kan</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vijuar s</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rish t</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 shfaqin tendenca r</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n</w:t>
      </w:r>
      <w:r w:rsidR="00982338" w:rsidRPr="00B32803">
        <w:rPr>
          <w:rFonts w:ascii="Times New Roman" w:eastAsia="Calibri" w:hAnsi="Times New Roman" w:cs="Times New Roman"/>
          <w:noProof/>
          <w:sz w:val="24"/>
          <w:szCs w:val="24"/>
          <w:lang w:val="sq-AL"/>
        </w:rPr>
        <w:t>ë</w:t>
      </w:r>
      <w:r w:rsidR="00E5138B" w:rsidRPr="00B32803">
        <w:rPr>
          <w:rFonts w:ascii="Times New Roman" w:eastAsia="Calibri" w:hAnsi="Times New Roman" w:cs="Times New Roman"/>
          <w:noProof/>
          <w:sz w:val="24"/>
          <w:szCs w:val="24"/>
          <w:lang w:val="sq-AL"/>
        </w:rPr>
        <w:t xml:space="preserve">se, </w:t>
      </w:r>
      <w:r w:rsidR="009E6841" w:rsidRPr="00B32803">
        <w:rPr>
          <w:rFonts w:ascii="Times New Roman" w:eastAsia="Calibri" w:hAnsi="Times New Roman" w:cs="Times New Roman"/>
          <w:noProof/>
          <w:sz w:val="24"/>
          <w:szCs w:val="24"/>
          <w:lang w:val="sq-AL"/>
        </w:rPr>
        <w:t xml:space="preserve">duke </w:t>
      </w:r>
      <w:r w:rsidR="000D1BEF" w:rsidRPr="00B32803">
        <w:rPr>
          <w:rFonts w:ascii="Times New Roman" w:eastAsia="Calibri" w:hAnsi="Times New Roman" w:cs="Times New Roman"/>
          <w:noProof/>
          <w:sz w:val="24"/>
          <w:szCs w:val="24"/>
          <w:lang w:val="sq-AL"/>
        </w:rPr>
        <w:t>ref</w:t>
      </w:r>
      <w:r w:rsidR="00516C85" w:rsidRPr="00B32803">
        <w:rPr>
          <w:rFonts w:ascii="Times New Roman" w:eastAsia="Calibri" w:hAnsi="Times New Roman" w:cs="Times New Roman"/>
          <w:noProof/>
          <w:sz w:val="24"/>
          <w:szCs w:val="24"/>
          <w:lang w:val="sq-AL"/>
        </w:rPr>
        <w:t>lek</w:t>
      </w:r>
      <w:r w:rsidR="000D1BEF" w:rsidRPr="00B32803">
        <w:rPr>
          <w:rFonts w:ascii="Times New Roman" w:eastAsia="Calibri" w:hAnsi="Times New Roman" w:cs="Times New Roman"/>
          <w:noProof/>
          <w:sz w:val="24"/>
          <w:szCs w:val="24"/>
          <w:lang w:val="sq-AL"/>
        </w:rPr>
        <w:t>t</w:t>
      </w:r>
      <w:r w:rsidR="009E6841" w:rsidRPr="00B32803">
        <w:rPr>
          <w:rFonts w:ascii="Times New Roman" w:eastAsia="Calibri" w:hAnsi="Times New Roman" w:cs="Times New Roman"/>
          <w:noProof/>
          <w:sz w:val="24"/>
          <w:szCs w:val="24"/>
          <w:lang w:val="sq-AL"/>
        </w:rPr>
        <w:t>uar</w:t>
      </w:r>
      <w:r w:rsidR="000D1BEF" w:rsidRPr="00B32803">
        <w:rPr>
          <w:rFonts w:ascii="Times New Roman" w:eastAsia="Calibri" w:hAnsi="Times New Roman" w:cs="Times New Roman"/>
          <w:noProof/>
          <w:sz w:val="24"/>
          <w:szCs w:val="24"/>
          <w:lang w:val="sq-AL"/>
        </w:rPr>
        <w:t xml:space="preserve"> </w:t>
      </w:r>
      <w:r w:rsidR="00232DD9" w:rsidRPr="00B32803">
        <w:rPr>
          <w:rFonts w:ascii="Times New Roman" w:eastAsia="Calibri" w:hAnsi="Times New Roman" w:cs="Times New Roman"/>
          <w:noProof/>
          <w:sz w:val="24"/>
          <w:szCs w:val="24"/>
          <w:lang w:val="sq-AL"/>
        </w:rPr>
        <w:t xml:space="preserve">vazhdimin e politikave </w:t>
      </w:r>
      <w:r w:rsidR="000D1BEF" w:rsidRPr="00B32803">
        <w:rPr>
          <w:rFonts w:ascii="Times New Roman" w:eastAsia="Calibri" w:hAnsi="Times New Roman" w:cs="Times New Roman"/>
          <w:noProof/>
          <w:sz w:val="24"/>
          <w:szCs w:val="24"/>
          <w:lang w:val="sq-AL"/>
        </w:rPr>
        <w:t>leht</w:t>
      </w:r>
      <w:r w:rsidR="00754CBC" w:rsidRPr="00B32803">
        <w:rPr>
          <w:rFonts w:ascii="Times New Roman" w:eastAsia="Calibri" w:hAnsi="Times New Roman" w:cs="Times New Roman"/>
          <w:noProof/>
          <w:sz w:val="24"/>
          <w:szCs w:val="24"/>
          <w:lang w:val="sq-AL"/>
        </w:rPr>
        <w:t>ë</w:t>
      </w:r>
      <w:r w:rsidR="000D1BEF" w:rsidRPr="00B32803">
        <w:rPr>
          <w:rFonts w:ascii="Times New Roman" w:eastAsia="Calibri" w:hAnsi="Times New Roman" w:cs="Times New Roman"/>
          <w:noProof/>
          <w:sz w:val="24"/>
          <w:szCs w:val="24"/>
          <w:lang w:val="sq-AL"/>
        </w:rPr>
        <w:t>suese t</w:t>
      </w:r>
      <w:r w:rsidR="00754CBC" w:rsidRPr="00B32803">
        <w:rPr>
          <w:rFonts w:ascii="Times New Roman" w:eastAsia="Calibri" w:hAnsi="Times New Roman" w:cs="Times New Roman"/>
          <w:noProof/>
          <w:sz w:val="24"/>
          <w:szCs w:val="24"/>
          <w:lang w:val="sq-AL"/>
        </w:rPr>
        <w:t>ë</w:t>
      </w:r>
      <w:r w:rsidR="000D1BEF" w:rsidRPr="00B32803">
        <w:rPr>
          <w:rFonts w:ascii="Times New Roman" w:eastAsia="Calibri" w:hAnsi="Times New Roman" w:cs="Times New Roman"/>
          <w:noProof/>
          <w:sz w:val="24"/>
          <w:szCs w:val="24"/>
          <w:lang w:val="sq-AL"/>
        </w:rPr>
        <w:t xml:space="preserve"> nd</w:t>
      </w:r>
      <w:r w:rsidR="00754CBC" w:rsidRPr="00B32803">
        <w:rPr>
          <w:rFonts w:ascii="Times New Roman" w:eastAsia="Calibri" w:hAnsi="Times New Roman" w:cs="Times New Roman"/>
          <w:noProof/>
          <w:sz w:val="24"/>
          <w:szCs w:val="24"/>
          <w:lang w:val="sq-AL"/>
        </w:rPr>
        <w:t>ë</w:t>
      </w:r>
      <w:r w:rsidR="000D1BEF" w:rsidRPr="00B32803">
        <w:rPr>
          <w:rFonts w:ascii="Times New Roman" w:eastAsia="Calibri" w:hAnsi="Times New Roman" w:cs="Times New Roman"/>
          <w:noProof/>
          <w:sz w:val="24"/>
          <w:szCs w:val="24"/>
          <w:lang w:val="sq-AL"/>
        </w:rPr>
        <w:t>rmarra nga Banka e Shqip</w:t>
      </w:r>
      <w:r w:rsidR="00754CBC" w:rsidRPr="00B32803">
        <w:rPr>
          <w:rFonts w:ascii="Times New Roman" w:eastAsia="Calibri" w:hAnsi="Times New Roman" w:cs="Times New Roman"/>
          <w:noProof/>
          <w:sz w:val="24"/>
          <w:szCs w:val="24"/>
          <w:lang w:val="sq-AL"/>
        </w:rPr>
        <w:t>ë</w:t>
      </w:r>
      <w:r w:rsidR="000D1BEF" w:rsidRPr="00B32803">
        <w:rPr>
          <w:rFonts w:ascii="Times New Roman" w:eastAsia="Calibri" w:hAnsi="Times New Roman" w:cs="Times New Roman"/>
          <w:noProof/>
          <w:sz w:val="24"/>
          <w:szCs w:val="24"/>
          <w:lang w:val="sq-AL"/>
        </w:rPr>
        <w:t>ris</w:t>
      </w:r>
      <w:r w:rsidR="00754CBC" w:rsidRPr="00B32803">
        <w:rPr>
          <w:rFonts w:ascii="Times New Roman" w:eastAsia="Calibri" w:hAnsi="Times New Roman" w:cs="Times New Roman"/>
          <w:noProof/>
          <w:sz w:val="24"/>
          <w:szCs w:val="24"/>
          <w:lang w:val="sq-AL"/>
        </w:rPr>
        <w:t>ë</w:t>
      </w:r>
      <w:r w:rsidR="00232DD9" w:rsidRPr="00B32803">
        <w:rPr>
          <w:rFonts w:ascii="Times New Roman" w:eastAsia="Calibri" w:hAnsi="Times New Roman" w:cs="Times New Roman"/>
          <w:noProof/>
          <w:sz w:val="24"/>
          <w:szCs w:val="24"/>
          <w:lang w:val="sq-AL"/>
        </w:rPr>
        <w:t>,</w:t>
      </w:r>
      <w:r w:rsidR="000D1BEF" w:rsidRPr="00B32803">
        <w:rPr>
          <w:rFonts w:ascii="Times New Roman" w:eastAsia="Calibri" w:hAnsi="Times New Roman" w:cs="Times New Roman"/>
          <w:noProof/>
          <w:sz w:val="24"/>
          <w:szCs w:val="24"/>
          <w:lang w:val="sq-AL"/>
        </w:rPr>
        <w:t xml:space="preserve"> si edhe </w:t>
      </w:r>
      <w:r w:rsidR="00804C0F" w:rsidRPr="00B32803">
        <w:rPr>
          <w:rFonts w:ascii="Times New Roman" w:eastAsia="Calibri" w:hAnsi="Times New Roman" w:cs="Times New Roman"/>
          <w:noProof/>
          <w:sz w:val="24"/>
          <w:szCs w:val="24"/>
          <w:lang w:val="sq-AL"/>
        </w:rPr>
        <w:t xml:space="preserve">reduktimin e </w:t>
      </w:r>
      <w:r w:rsidR="000D1BEF" w:rsidRPr="00B32803">
        <w:rPr>
          <w:rFonts w:ascii="Times New Roman" w:eastAsia="Calibri" w:hAnsi="Times New Roman" w:cs="Times New Roman"/>
          <w:noProof/>
          <w:sz w:val="24"/>
          <w:szCs w:val="24"/>
          <w:lang w:val="sq-AL"/>
        </w:rPr>
        <w:t>nevoja</w:t>
      </w:r>
      <w:r w:rsidR="00804C0F" w:rsidRPr="00B32803">
        <w:rPr>
          <w:rFonts w:ascii="Times New Roman" w:eastAsia="Calibri" w:hAnsi="Times New Roman" w:cs="Times New Roman"/>
          <w:noProof/>
          <w:sz w:val="24"/>
          <w:szCs w:val="24"/>
          <w:lang w:val="sq-AL"/>
        </w:rPr>
        <w:t>ve</w:t>
      </w:r>
      <w:r w:rsidR="000D1BEF" w:rsidRPr="00B32803">
        <w:rPr>
          <w:rFonts w:ascii="Times New Roman" w:eastAsia="Calibri" w:hAnsi="Times New Roman" w:cs="Times New Roman"/>
          <w:noProof/>
          <w:sz w:val="24"/>
          <w:szCs w:val="24"/>
          <w:lang w:val="sq-AL"/>
        </w:rPr>
        <w:t xml:space="preserve"> p</w:t>
      </w:r>
      <w:r w:rsidR="00754CBC" w:rsidRPr="00B32803">
        <w:rPr>
          <w:rFonts w:ascii="Times New Roman" w:eastAsia="Calibri" w:hAnsi="Times New Roman" w:cs="Times New Roman"/>
          <w:noProof/>
          <w:sz w:val="24"/>
          <w:szCs w:val="24"/>
          <w:lang w:val="sq-AL"/>
        </w:rPr>
        <w:t>ë</w:t>
      </w:r>
      <w:r w:rsidR="000D1BEF" w:rsidRPr="00B32803">
        <w:rPr>
          <w:rFonts w:ascii="Times New Roman" w:eastAsia="Calibri" w:hAnsi="Times New Roman" w:cs="Times New Roman"/>
          <w:noProof/>
          <w:sz w:val="24"/>
          <w:szCs w:val="24"/>
          <w:lang w:val="sq-AL"/>
        </w:rPr>
        <w:t>r hua t</w:t>
      </w:r>
      <w:r w:rsidR="00754CBC" w:rsidRPr="00B32803">
        <w:rPr>
          <w:rFonts w:ascii="Times New Roman" w:eastAsia="Calibri" w:hAnsi="Times New Roman" w:cs="Times New Roman"/>
          <w:noProof/>
          <w:sz w:val="24"/>
          <w:szCs w:val="24"/>
          <w:lang w:val="sq-AL"/>
        </w:rPr>
        <w:t>ë</w:t>
      </w:r>
      <w:r w:rsidR="000D1BEF" w:rsidRPr="00B32803">
        <w:rPr>
          <w:rFonts w:ascii="Times New Roman" w:eastAsia="Calibri" w:hAnsi="Times New Roman" w:cs="Times New Roman"/>
          <w:noProof/>
          <w:sz w:val="24"/>
          <w:szCs w:val="24"/>
          <w:lang w:val="sq-AL"/>
        </w:rPr>
        <w:t xml:space="preserve"> qeveris</w:t>
      </w:r>
      <w:r w:rsidR="00754CBC" w:rsidRPr="00B32803">
        <w:rPr>
          <w:rFonts w:ascii="Times New Roman" w:eastAsia="Calibri" w:hAnsi="Times New Roman" w:cs="Times New Roman"/>
          <w:noProof/>
          <w:sz w:val="24"/>
          <w:szCs w:val="24"/>
          <w:lang w:val="sq-AL"/>
        </w:rPr>
        <w:t>ë</w:t>
      </w:r>
      <w:r w:rsidR="00232DD9" w:rsidRPr="00B32803">
        <w:rPr>
          <w:rFonts w:ascii="Times New Roman" w:eastAsia="Calibri" w:hAnsi="Times New Roman" w:cs="Times New Roman"/>
          <w:noProof/>
          <w:sz w:val="24"/>
          <w:szCs w:val="24"/>
          <w:lang w:val="sq-AL"/>
        </w:rPr>
        <w:t xml:space="preserve"> n</w:t>
      </w:r>
      <w:r w:rsidR="00754CBC" w:rsidRPr="00B32803">
        <w:rPr>
          <w:rFonts w:ascii="Times New Roman" w:eastAsia="Calibri" w:hAnsi="Times New Roman" w:cs="Times New Roman"/>
          <w:noProof/>
          <w:sz w:val="24"/>
          <w:szCs w:val="24"/>
          <w:lang w:val="sq-AL"/>
        </w:rPr>
        <w:t>ë</w:t>
      </w:r>
      <w:r w:rsidR="00232DD9" w:rsidRPr="00B32803">
        <w:rPr>
          <w:rFonts w:ascii="Times New Roman" w:eastAsia="Calibri" w:hAnsi="Times New Roman" w:cs="Times New Roman"/>
          <w:noProof/>
          <w:sz w:val="24"/>
          <w:szCs w:val="24"/>
          <w:lang w:val="sq-AL"/>
        </w:rPr>
        <w:t xml:space="preserve"> </w:t>
      </w:r>
      <w:r w:rsidR="009E6841" w:rsidRPr="00B32803">
        <w:rPr>
          <w:rFonts w:ascii="Times New Roman" w:eastAsia="Calibri" w:hAnsi="Times New Roman" w:cs="Times New Roman"/>
          <w:noProof/>
          <w:sz w:val="24"/>
          <w:szCs w:val="24"/>
          <w:lang w:val="sq-AL"/>
        </w:rPr>
        <w:t>gjysm</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n e par</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 xml:space="preserve"> t</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 xml:space="preserve"> vitit, p</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r shkak t</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 xml:space="preserve"> likuiditetit t</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 xml:space="preserve"> mjaftuesh</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m t</w:t>
      </w:r>
      <w:r w:rsidR="00982338" w:rsidRPr="00B32803">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 xml:space="preserve"> siguruar nga emetimi i Eurobondit </w:t>
      </w:r>
      <w:r w:rsidR="000C51A5" w:rsidRPr="00B32803">
        <w:rPr>
          <w:rFonts w:ascii="Times New Roman" w:eastAsia="Calibri" w:hAnsi="Times New Roman" w:cs="Times New Roman"/>
          <w:noProof/>
          <w:sz w:val="24"/>
          <w:szCs w:val="24"/>
          <w:lang w:val="sq-AL"/>
        </w:rPr>
        <w:t>n</w:t>
      </w:r>
      <w:r w:rsidR="00205ABE">
        <w:rPr>
          <w:rFonts w:ascii="Times New Roman" w:eastAsia="Calibri" w:hAnsi="Times New Roman" w:cs="Times New Roman"/>
          <w:noProof/>
          <w:sz w:val="24"/>
          <w:szCs w:val="24"/>
          <w:lang w:val="sq-AL"/>
        </w:rPr>
        <w:t>ë</w:t>
      </w:r>
      <w:r w:rsidR="000C51A5" w:rsidRPr="00B32803">
        <w:rPr>
          <w:rFonts w:ascii="Times New Roman" w:eastAsia="Calibri" w:hAnsi="Times New Roman" w:cs="Times New Roman"/>
          <w:noProof/>
          <w:sz w:val="24"/>
          <w:szCs w:val="24"/>
          <w:lang w:val="sq-AL"/>
        </w:rPr>
        <w:t xml:space="preserve"> fund t</w:t>
      </w:r>
      <w:r w:rsidR="00205ABE">
        <w:rPr>
          <w:rFonts w:ascii="Times New Roman" w:eastAsia="Calibri" w:hAnsi="Times New Roman" w:cs="Times New Roman"/>
          <w:noProof/>
          <w:sz w:val="24"/>
          <w:szCs w:val="24"/>
          <w:lang w:val="sq-AL"/>
        </w:rPr>
        <w:t>ë</w:t>
      </w:r>
      <w:r w:rsidR="009E6841" w:rsidRPr="00B32803">
        <w:rPr>
          <w:rFonts w:ascii="Times New Roman" w:eastAsia="Calibri" w:hAnsi="Times New Roman" w:cs="Times New Roman"/>
          <w:noProof/>
          <w:sz w:val="24"/>
          <w:szCs w:val="24"/>
          <w:lang w:val="sq-AL"/>
        </w:rPr>
        <w:t xml:space="preserve"> vitit 2018.</w:t>
      </w:r>
      <w:r w:rsidR="00806722">
        <w:rPr>
          <w:rFonts w:ascii="Times New Roman" w:eastAsia="Calibri" w:hAnsi="Times New Roman" w:cs="Times New Roman"/>
          <w:noProof/>
          <w:sz w:val="24"/>
          <w:szCs w:val="24"/>
          <w:lang w:val="sq-AL"/>
        </w:rPr>
        <w:t xml:space="preserve"> </w:t>
      </w:r>
    </w:p>
    <w:p w14:paraId="71DF5CB6" w14:textId="77777777" w:rsidR="00806722" w:rsidRPr="00806722" w:rsidRDefault="00806722" w:rsidP="00806722">
      <w:pPr>
        <w:tabs>
          <w:tab w:val="left" w:pos="8647"/>
        </w:tabs>
        <w:spacing w:after="0" w:line="276" w:lineRule="auto"/>
        <w:ind w:right="207"/>
        <w:contextualSpacing/>
        <w:jc w:val="both"/>
        <w:rPr>
          <w:rFonts w:ascii="Times New Roman" w:eastAsia="Calibri" w:hAnsi="Times New Roman" w:cs="Times New Roman"/>
          <w:noProof/>
          <w:sz w:val="16"/>
          <w:szCs w:val="24"/>
          <w:lang w:val="sq-AL"/>
        </w:rPr>
      </w:pPr>
    </w:p>
    <w:p w14:paraId="71DF5CB7" w14:textId="77777777" w:rsidR="00BB29E1" w:rsidRDefault="00097511" w:rsidP="00AC43FE">
      <w:pPr>
        <w:spacing w:after="0" w:line="276" w:lineRule="auto"/>
        <w:ind w:right="-46"/>
        <w:jc w:val="center"/>
        <w:rPr>
          <w:rFonts w:ascii="Cambria" w:eastAsia="Batang" w:hAnsi="Cambria"/>
          <w:i/>
          <w:noProof/>
          <w:color w:val="8E0000"/>
          <w:sz w:val="20"/>
          <w:szCs w:val="20"/>
          <w:lang w:val="sq-AL"/>
        </w:rPr>
      </w:pPr>
      <w:r w:rsidRPr="000F5C13">
        <w:rPr>
          <w:rFonts w:ascii="Cambria" w:eastAsia="Batang" w:hAnsi="Cambria"/>
          <w:b/>
          <w:noProof/>
          <w:color w:val="8E0000"/>
          <w:sz w:val="20"/>
          <w:szCs w:val="20"/>
          <w:lang w:val="sq-AL"/>
        </w:rPr>
        <w:t xml:space="preserve">Paraqitje Grafike 6.2: </w:t>
      </w:r>
      <w:r w:rsidR="005563E1">
        <w:rPr>
          <w:rFonts w:ascii="Cambria" w:eastAsia="Batang" w:hAnsi="Cambria"/>
          <w:i/>
          <w:noProof/>
          <w:color w:val="8E0000"/>
          <w:sz w:val="20"/>
          <w:szCs w:val="20"/>
          <w:lang w:val="sq-AL"/>
        </w:rPr>
        <w:t xml:space="preserve">Norma </w:t>
      </w:r>
      <w:r w:rsidR="00884B70" w:rsidRPr="000F5C13">
        <w:rPr>
          <w:rFonts w:ascii="Cambria" w:eastAsia="Batang" w:hAnsi="Cambria"/>
          <w:i/>
          <w:noProof/>
          <w:color w:val="8E0000"/>
          <w:sz w:val="20"/>
          <w:szCs w:val="20"/>
          <w:lang w:val="sq-AL"/>
        </w:rPr>
        <w:t>mesatar</w:t>
      </w:r>
      <w:r w:rsidR="005563E1">
        <w:rPr>
          <w:rFonts w:ascii="Cambria" w:eastAsia="Batang" w:hAnsi="Cambria"/>
          <w:i/>
          <w:noProof/>
          <w:color w:val="8E0000"/>
          <w:sz w:val="20"/>
          <w:szCs w:val="20"/>
          <w:lang w:val="sq-AL"/>
        </w:rPr>
        <w:t>e e</w:t>
      </w:r>
      <w:r w:rsidR="00884B70" w:rsidRPr="000F5C13">
        <w:rPr>
          <w:rFonts w:ascii="Cambria" w:eastAsia="Batang" w:hAnsi="Cambria"/>
          <w:i/>
          <w:noProof/>
          <w:color w:val="8E0000"/>
          <w:sz w:val="20"/>
          <w:szCs w:val="20"/>
          <w:lang w:val="sq-AL"/>
        </w:rPr>
        <w:t xml:space="preserve"> ponderuar i </w:t>
      </w:r>
      <w:r w:rsidR="00091A81" w:rsidRPr="000F5C13">
        <w:rPr>
          <w:rFonts w:ascii="Cambria" w:eastAsia="Batang" w:hAnsi="Cambria"/>
          <w:i/>
          <w:noProof/>
          <w:color w:val="8E0000"/>
          <w:sz w:val="20"/>
          <w:szCs w:val="20"/>
          <w:lang w:val="sq-AL"/>
        </w:rPr>
        <w:t>titujve sht</w:t>
      </w:r>
      <w:r w:rsidR="00D953C0">
        <w:rPr>
          <w:rFonts w:ascii="Cambria" w:eastAsia="Batang" w:hAnsi="Cambria"/>
          <w:i/>
          <w:noProof/>
          <w:color w:val="8E0000"/>
          <w:sz w:val="20"/>
          <w:szCs w:val="20"/>
          <w:lang w:val="sq-AL"/>
        </w:rPr>
        <w:t>e</w:t>
      </w:r>
      <w:r w:rsidR="00091A81" w:rsidRPr="000F5C13">
        <w:rPr>
          <w:rFonts w:ascii="Cambria" w:eastAsia="Batang" w:hAnsi="Cambria"/>
          <w:i/>
          <w:noProof/>
          <w:color w:val="8E0000"/>
          <w:sz w:val="20"/>
          <w:szCs w:val="20"/>
          <w:lang w:val="sq-AL"/>
        </w:rPr>
        <w:t>t</w:t>
      </w:r>
      <w:r w:rsidR="00FA56D8" w:rsidRPr="000F5C13">
        <w:rPr>
          <w:rFonts w:ascii="Cambria" w:eastAsia="Batang" w:hAnsi="Cambria"/>
          <w:i/>
          <w:noProof/>
          <w:color w:val="8E0000"/>
          <w:sz w:val="20"/>
          <w:szCs w:val="20"/>
          <w:lang w:val="sq-AL"/>
        </w:rPr>
        <w:t>ë</w:t>
      </w:r>
      <w:r w:rsidR="00091A81" w:rsidRPr="000F5C13">
        <w:rPr>
          <w:rFonts w:ascii="Cambria" w:eastAsia="Batang" w:hAnsi="Cambria"/>
          <w:i/>
          <w:noProof/>
          <w:color w:val="8E0000"/>
          <w:sz w:val="20"/>
          <w:szCs w:val="20"/>
          <w:lang w:val="sq-AL"/>
        </w:rPr>
        <w:t>ror</w:t>
      </w:r>
      <w:r w:rsidR="00FA56D8" w:rsidRPr="000F5C13">
        <w:rPr>
          <w:rFonts w:ascii="Cambria" w:eastAsia="Batang" w:hAnsi="Cambria"/>
          <w:i/>
          <w:noProof/>
          <w:color w:val="8E0000"/>
          <w:sz w:val="20"/>
          <w:szCs w:val="20"/>
          <w:lang w:val="sq-AL"/>
        </w:rPr>
        <w:t>ë</w:t>
      </w:r>
      <w:r w:rsidR="00871AC1" w:rsidRPr="000F5C13">
        <w:rPr>
          <w:rFonts w:ascii="Cambria" w:eastAsia="Batang" w:hAnsi="Cambria"/>
          <w:i/>
          <w:noProof/>
          <w:color w:val="8E0000"/>
          <w:sz w:val="20"/>
          <w:szCs w:val="20"/>
          <w:lang w:val="sq-AL"/>
        </w:rPr>
        <w:t xml:space="preserve"> </w:t>
      </w:r>
      <w:r w:rsidR="00155FD9" w:rsidRPr="000F5C13">
        <w:rPr>
          <w:rStyle w:val="FootnoteReference"/>
          <w:rFonts w:ascii="Cambria" w:eastAsia="Batang" w:hAnsi="Cambria"/>
          <w:i/>
          <w:noProof/>
          <w:color w:val="8E0000"/>
          <w:sz w:val="20"/>
          <w:szCs w:val="20"/>
          <w:lang w:val="sq-AL"/>
        </w:rPr>
        <w:footnoteReference w:id="7"/>
      </w:r>
    </w:p>
    <w:p w14:paraId="71DF5CB8" w14:textId="77777777" w:rsidR="00B32803" w:rsidRPr="000F5C13" w:rsidRDefault="00D22FA6" w:rsidP="00B32803">
      <w:pPr>
        <w:spacing w:after="0" w:line="276" w:lineRule="auto"/>
        <w:ind w:right="-46"/>
        <w:rPr>
          <w:rFonts w:ascii="Cambria" w:eastAsia="Batang" w:hAnsi="Cambria"/>
          <w:i/>
          <w:noProof/>
          <w:color w:val="8E0000"/>
          <w:sz w:val="20"/>
          <w:szCs w:val="20"/>
          <w:lang w:val="sq-AL"/>
        </w:rPr>
      </w:pPr>
      <w:r>
        <w:rPr>
          <w:rFonts w:ascii="Cambria" w:eastAsia="Batang" w:hAnsi="Cambria"/>
          <w:i/>
          <w:noProof/>
          <w:color w:val="8E0000"/>
          <w:sz w:val="20"/>
          <w:szCs w:val="20"/>
        </w:rPr>
        <w:drawing>
          <wp:inline distT="0" distB="0" distL="0" distR="0" wp14:anchorId="71DF5F8D" wp14:editId="71DF5F8E">
            <wp:extent cx="5553075" cy="1743075"/>
            <wp:effectExtent l="19050" t="19050" r="28575"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53075" cy="1743075"/>
                    </a:xfrm>
                    <a:prstGeom prst="rect">
                      <a:avLst/>
                    </a:prstGeom>
                    <a:noFill/>
                    <a:ln>
                      <a:solidFill>
                        <a:schemeClr val="bg1">
                          <a:lumMod val="75000"/>
                        </a:schemeClr>
                      </a:solidFill>
                    </a:ln>
                  </pic:spPr>
                </pic:pic>
              </a:graphicData>
            </a:graphic>
          </wp:inline>
        </w:drawing>
      </w:r>
    </w:p>
    <w:p w14:paraId="71DF5CB9" w14:textId="77777777" w:rsidR="009E6841" w:rsidRDefault="004D1E37" w:rsidP="00B32803">
      <w:pPr>
        <w:spacing w:after="0" w:line="276" w:lineRule="auto"/>
        <w:ind w:right="-46"/>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 xml:space="preserve">Burimi: </w:t>
      </w:r>
      <w:r w:rsidRPr="000F5C13">
        <w:rPr>
          <w:rFonts w:ascii="Cambria" w:eastAsia="Calibri" w:hAnsi="Cambria" w:cs="Times New Roman"/>
          <w:i/>
          <w:noProof/>
          <w:color w:val="8E0000"/>
          <w:sz w:val="20"/>
          <w:szCs w:val="20"/>
          <w:lang w:val="sq-AL"/>
        </w:rPr>
        <w:t>Ministria</w:t>
      </w:r>
      <w:r w:rsidR="00BE7E0C">
        <w:rPr>
          <w:rFonts w:ascii="Cambria" w:eastAsia="Calibri" w:hAnsi="Cambria" w:cs="Times New Roman"/>
          <w:i/>
          <w:noProof/>
          <w:color w:val="8E0000"/>
          <w:sz w:val="20"/>
          <w:szCs w:val="20"/>
          <w:lang w:val="sq-AL"/>
        </w:rPr>
        <w:t xml:space="preserve"> e Financave dhe Ekonomisë (2019</w:t>
      </w:r>
      <w:r w:rsidRPr="000F5C13">
        <w:rPr>
          <w:rFonts w:ascii="Cambria" w:eastAsia="Calibri" w:hAnsi="Cambria" w:cs="Times New Roman"/>
          <w:i/>
          <w:noProof/>
          <w:color w:val="8E0000"/>
          <w:sz w:val="20"/>
          <w:szCs w:val="20"/>
          <w:lang w:val="sq-AL"/>
        </w:rPr>
        <w:t>)</w:t>
      </w:r>
    </w:p>
    <w:p w14:paraId="71DF5CBA" w14:textId="77777777" w:rsidR="00E57778" w:rsidRPr="000F5C13" w:rsidRDefault="00E57778" w:rsidP="004A70BC">
      <w:pPr>
        <w:pStyle w:val="Heading1"/>
        <w:numPr>
          <w:ilvl w:val="0"/>
          <w:numId w:val="22"/>
        </w:numPr>
        <w:ind w:left="567" w:hanging="567"/>
        <w:rPr>
          <w:rFonts w:eastAsia="Times New Roman"/>
          <w:noProof/>
          <w:color w:val="C00000"/>
          <w:lang w:val="sq-AL"/>
        </w:rPr>
      </w:pPr>
      <w:bookmarkStart w:id="85" w:name="_Toc449351160"/>
      <w:bookmarkStart w:id="86" w:name="_Toc491861003"/>
      <w:bookmarkStart w:id="87" w:name="_Toc491954316"/>
      <w:bookmarkStart w:id="88" w:name="_Toc524506543"/>
      <w:r w:rsidRPr="000F5C13">
        <w:rPr>
          <w:rFonts w:eastAsia="Times New Roman"/>
          <w:noProof/>
          <w:color w:val="C00000"/>
          <w:lang w:val="sq-AL"/>
        </w:rPr>
        <w:lastRenderedPageBreak/>
        <w:t>STRATEGJIA E MENAXHIMIT TË BORXHIT</w:t>
      </w:r>
      <w:bookmarkEnd w:id="85"/>
      <w:bookmarkEnd w:id="86"/>
      <w:bookmarkEnd w:id="87"/>
      <w:bookmarkEnd w:id="88"/>
    </w:p>
    <w:p w14:paraId="71DF5CBB" w14:textId="77777777" w:rsidR="00E57778" w:rsidRPr="000F5C13" w:rsidRDefault="00E57778" w:rsidP="004A70BC">
      <w:pPr>
        <w:pStyle w:val="Heading1"/>
        <w:numPr>
          <w:ilvl w:val="0"/>
          <w:numId w:val="21"/>
        </w:numPr>
        <w:ind w:left="567" w:hanging="567"/>
        <w:rPr>
          <w:noProof/>
          <w:lang w:val="sq-AL"/>
        </w:rPr>
      </w:pPr>
      <w:bookmarkStart w:id="89" w:name="_Toc491861004"/>
      <w:bookmarkStart w:id="90" w:name="_Toc491954317"/>
      <w:bookmarkStart w:id="91" w:name="_Toc524506544"/>
      <w:r w:rsidRPr="000F5C13">
        <w:rPr>
          <w:noProof/>
          <w:lang w:val="sq-AL"/>
        </w:rPr>
        <w:t>Supozimet Bazë</w:t>
      </w:r>
      <w:bookmarkEnd w:id="89"/>
      <w:bookmarkEnd w:id="90"/>
      <w:bookmarkEnd w:id="91"/>
    </w:p>
    <w:p w14:paraId="71DF5CBC" w14:textId="77777777" w:rsidR="00E57778" w:rsidRPr="000F5C13" w:rsidRDefault="00E57778" w:rsidP="00E57778">
      <w:pPr>
        <w:tabs>
          <w:tab w:val="left" w:pos="2730"/>
        </w:tabs>
        <w:ind w:left="720" w:right="237"/>
        <w:contextualSpacing/>
        <w:jc w:val="both"/>
        <w:rPr>
          <w:rFonts w:ascii="Times New Roman" w:eastAsia="Batang" w:hAnsi="Times New Roman" w:cs="Times New Roman"/>
          <w:noProof/>
          <w:sz w:val="20"/>
          <w:szCs w:val="16"/>
          <w:lang w:val="sq-AL"/>
        </w:rPr>
      </w:pPr>
    </w:p>
    <w:p w14:paraId="71DF5CBD" w14:textId="77777777" w:rsidR="00E57778" w:rsidRDefault="00E57778" w:rsidP="00293B51">
      <w:pPr>
        <w:tabs>
          <w:tab w:val="left" w:pos="2730"/>
        </w:tabs>
        <w:spacing w:line="276" w:lineRule="auto"/>
        <w:ind w:right="237"/>
        <w:contextualSpacing/>
        <w:jc w:val="both"/>
        <w:rPr>
          <w:rFonts w:ascii="Times New Roman" w:eastAsia="Batang" w:hAnsi="Times New Roman" w:cs="Times New Roman"/>
          <w:noProof/>
          <w:sz w:val="24"/>
          <w:szCs w:val="24"/>
          <w:lang w:val="sq-AL"/>
        </w:rPr>
      </w:pPr>
      <w:r w:rsidRPr="00205ABE">
        <w:rPr>
          <w:rFonts w:ascii="Times New Roman" w:eastAsia="Batang" w:hAnsi="Times New Roman" w:cs="Times New Roman"/>
          <w:noProof/>
          <w:sz w:val="24"/>
          <w:szCs w:val="24"/>
          <w:lang w:val="sq-AL"/>
        </w:rPr>
        <w:t>Në këtë kapitull paraqiten pritshmëritë, si edhe supozimet bazë q</w:t>
      </w:r>
      <w:r w:rsidR="00982338" w:rsidRPr="00205ABE">
        <w:rPr>
          <w:rFonts w:ascii="Times New Roman" w:eastAsia="Batang" w:hAnsi="Times New Roman" w:cs="Times New Roman"/>
          <w:noProof/>
          <w:sz w:val="24"/>
          <w:szCs w:val="24"/>
          <w:lang w:val="sq-AL"/>
        </w:rPr>
        <w:t>ë</w:t>
      </w:r>
      <w:r w:rsidRPr="00205ABE">
        <w:rPr>
          <w:rFonts w:ascii="Times New Roman" w:eastAsia="Batang" w:hAnsi="Times New Roman" w:cs="Times New Roman"/>
          <w:noProof/>
          <w:sz w:val="24"/>
          <w:szCs w:val="24"/>
          <w:lang w:val="sq-AL"/>
        </w:rPr>
        <w:t xml:space="preserve"> jan</w:t>
      </w:r>
      <w:r w:rsidR="00982338" w:rsidRPr="00205ABE">
        <w:rPr>
          <w:rFonts w:ascii="Times New Roman" w:eastAsia="Batang" w:hAnsi="Times New Roman" w:cs="Times New Roman"/>
          <w:noProof/>
          <w:sz w:val="24"/>
          <w:szCs w:val="24"/>
          <w:lang w:val="sq-AL"/>
        </w:rPr>
        <w:t>ë</w:t>
      </w:r>
      <w:r w:rsidRPr="00205ABE">
        <w:rPr>
          <w:rFonts w:ascii="Times New Roman" w:eastAsia="Batang" w:hAnsi="Times New Roman" w:cs="Times New Roman"/>
          <w:noProof/>
          <w:sz w:val="24"/>
          <w:szCs w:val="24"/>
          <w:lang w:val="sq-AL"/>
        </w:rPr>
        <w:t xml:space="preserve"> p</w:t>
      </w:r>
      <w:r w:rsidR="00982338" w:rsidRPr="00205ABE">
        <w:rPr>
          <w:rFonts w:ascii="Times New Roman" w:eastAsia="Batang" w:hAnsi="Times New Roman" w:cs="Times New Roman"/>
          <w:noProof/>
          <w:sz w:val="24"/>
          <w:szCs w:val="24"/>
          <w:lang w:val="sq-AL"/>
        </w:rPr>
        <w:t>ë</w:t>
      </w:r>
      <w:r w:rsidRPr="00205ABE">
        <w:rPr>
          <w:rFonts w:ascii="Times New Roman" w:eastAsia="Batang" w:hAnsi="Times New Roman" w:cs="Times New Roman"/>
          <w:noProof/>
          <w:sz w:val="24"/>
          <w:szCs w:val="24"/>
          <w:lang w:val="sq-AL"/>
        </w:rPr>
        <w:t xml:space="preserve">rdorur, në lidhje me mjedisin makroekonomik dhe kushtet e tregut në të cilin do të menaxhohet borxhi në periudhën afatmesme 2020-2022. </w:t>
      </w:r>
    </w:p>
    <w:p w14:paraId="71DF5CBE" w14:textId="77777777" w:rsidR="00205ABE" w:rsidRPr="00205ABE" w:rsidRDefault="00205ABE" w:rsidP="00293B51">
      <w:pPr>
        <w:tabs>
          <w:tab w:val="left" w:pos="2730"/>
        </w:tabs>
        <w:spacing w:line="276" w:lineRule="auto"/>
        <w:ind w:right="237"/>
        <w:contextualSpacing/>
        <w:jc w:val="both"/>
        <w:rPr>
          <w:rFonts w:ascii="Times New Roman" w:eastAsia="Batang" w:hAnsi="Times New Roman" w:cs="Times New Roman"/>
          <w:noProof/>
          <w:sz w:val="16"/>
          <w:szCs w:val="24"/>
          <w:lang w:val="sq-AL"/>
        </w:rPr>
      </w:pPr>
      <w:r w:rsidRPr="00E57778">
        <w:rPr>
          <w:rFonts w:eastAsia="Batang"/>
          <w:noProof/>
          <w:highlight w:val="yellow"/>
        </w:rPr>
        <mc:AlternateContent>
          <mc:Choice Requires="wps">
            <w:drawing>
              <wp:anchor distT="0" distB="0" distL="114300" distR="114300" simplePos="0" relativeHeight="251854848" behindDoc="1" locked="0" layoutInCell="1" allowOverlap="1" wp14:anchorId="71DF5F8F" wp14:editId="71DF5F90">
                <wp:simplePos x="0" y="0"/>
                <wp:positionH relativeFrom="margin">
                  <wp:align>left</wp:align>
                </wp:positionH>
                <wp:positionV relativeFrom="paragraph">
                  <wp:posOffset>116205</wp:posOffset>
                </wp:positionV>
                <wp:extent cx="5572125" cy="6000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5572125" cy="600075"/>
                        </a:xfrm>
                        <a:prstGeom prst="rect">
                          <a:avLst/>
                        </a:prstGeom>
                        <a:solidFill>
                          <a:schemeClr val="accent1">
                            <a:lumMod val="20000"/>
                            <a:lumOff val="80000"/>
                          </a:scheme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2AA41" id="Rectangle 40" o:spid="_x0000_s1026" style="position:absolute;margin-left:0;margin-top:9.15pt;width:438.75pt;height:47.25pt;z-index:-251461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" fillcolor="#deeaf6 [660]" strokecolor="#595959" strokeweight="1pt">
                <w10:wrap anchorx="margin"/>
              </v:rect>
            </w:pict>
          </mc:Fallback>
        </mc:AlternateContent>
      </w:r>
    </w:p>
    <w:p w14:paraId="71DF5CBF" w14:textId="77777777" w:rsidR="00E57778" w:rsidRPr="000F5C13" w:rsidRDefault="00E57778" w:rsidP="00D63A4E">
      <w:pPr>
        <w:tabs>
          <w:tab w:val="left" w:pos="2730"/>
          <w:tab w:val="left" w:pos="8647"/>
        </w:tabs>
        <w:ind w:left="142" w:right="379"/>
        <w:jc w:val="both"/>
        <w:rPr>
          <w:rFonts w:ascii="Times New Roman" w:eastAsia="Batang" w:hAnsi="Times New Roman" w:cs="Times New Roman"/>
          <w:i/>
          <w:noProof/>
          <w:sz w:val="24"/>
          <w:szCs w:val="24"/>
          <w:lang w:val="sq-AL"/>
        </w:rPr>
      </w:pPr>
      <w:r w:rsidRPr="00205ABE">
        <w:rPr>
          <w:rFonts w:ascii="Times New Roman" w:eastAsia="Batang" w:hAnsi="Times New Roman" w:cs="Times New Roman"/>
          <w:i/>
          <w:noProof/>
          <w:sz w:val="24"/>
          <w:szCs w:val="24"/>
          <w:lang w:val="sq-AL"/>
        </w:rPr>
        <w:t>Supozimet e p</w:t>
      </w:r>
      <w:r w:rsidR="00982338" w:rsidRPr="00205ABE">
        <w:rPr>
          <w:rFonts w:ascii="Times New Roman" w:eastAsia="Batang" w:hAnsi="Times New Roman" w:cs="Times New Roman"/>
          <w:i/>
          <w:noProof/>
          <w:sz w:val="24"/>
          <w:szCs w:val="24"/>
          <w:lang w:val="sq-AL"/>
        </w:rPr>
        <w:t>ë</w:t>
      </w:r>
      <w:r w:rsidRPr="00205ABE">
        <w:rPr>
          <w:rFonts w:ascii="Times New Roman" w:eastAsia="Batang" w:hAnsi="Times New Roman" w:cs="Times New Roman"/>
          <w:i/>
          <w:noProof/>
          <w:sz w:val="24"/>
          <w:szCs w:val="24"/>
          <w:lang w:val="sq-AL"/>
        </w:rPr>
        <w:t>rdorura janë faktorë kyç dhe çdo ndryshim i tyre nga skenari bazë mund të ketë ndikim mbi nivelin e financimit dhe për rrjedhojë edhe mbi kostot e borxhit dhe realizimin e objektivave strategjikë të përcaktuara në SAMB.</w:t>
      </w:r>
      <w:r w:rsidRPr="000F5C13">
        <w:rPr>
          <w:rFonts w:ascii="Times New Roman" w:eastAsia="Batang" w:hAnsi="Times New Roman" w:cs="Times New Roman"/>
          <w:i/>
          <w:noProof/>
          <w:sz w:val="24"/>
          <w:szCs w:val="24"/>
          <w:lang w:val="sq-AL"/>
        </w:rPr>
        <w:t xml:space="preserve"> </w:t>
      </w:r>
    </w:p>
    <w:p w14:paraId="71DF5CC0" w14:textId="77777777" w:rsidR="00E57778" w:rsidRPr="000F5C13" w:rsidRDefault="00E57778" w:rsidP="00293B51">
      <w:pPr>
        <w:tabs>
          <w:tab w:val="left" w:pos="2730"/>
          <w:tab w:val="left" w:pos="8647"/>
        </w:tabs>
        <w:ind w:right="379"/>
        <w:jc w:val="both"/>
        <w:rPr>
          <w:rFonts w:ascii="Times New Roman" w:eastAsia="Batang" w:hAnsi="Times New Roman" w:cs="Times New Roman"/>
          <w:i/>
          <w:noProof/>
          <w:sz w:val="2"/>
          <w:szCs w:val="24"/>
          <w:lang w:val="sq-AL"/>
        </w:rPr>
      </w:pPr>
    </w:p>
    <w:p w14:paraId="71DF5CC1" w14:textId="77777777" w:rsidR="00845172" w:rsidRPr="00845172" w:rsidRDefault="00C57569" w:rsidP="00C57569">
      <w:pPr>
        <w:pStyle w:val="Heading2"/>
        <w:numPr>
          <w:ilvl w:val="1"/>
          <w:numId w:val="21"/>
        </w:numPr>
        <w:ind w:left="709" w:right="238" w:hanging="709"/>
        <w:rPr>
          <w:noProof/>
          <w:lang w:val="sq-AL"/>
        </w:rPr>
      </w:pPr>
      <w:r>
        <w:rPr>
          <w:noProof/>
          <w:lang w:val="sq-AL"/>
        </w:rPr>
        <w:t>Zhvillimet aktuale dhe pritshmëritë në sektorin real, sektorin e jashtëm, atë financiar dhe sektorin fiskal.</w:t>
      </w:r>
    </w:p>
    <w:p w14:paraId="71DF5CC2" w14:textId="77777777" w:rsidR="003B37E2" w:rsidRPr="001D06D7" w:rsidRDefault="003B37E2" w:rsidP="00293B51">
      <w:pPr>
        <w:spacing w:after="0" w:line="276" w:lineRule="auto"/>
        <w:ind w:right="237"/>
        <w:jc w:val="both"/>
        <w:rPr>
          <w:rFonts w:ascii="Times New Roman" w:eastAsia="Times New Roman" w:hAnsi="Times New Roman" w:cs="Times New Roman"/>
          <w:noProof/>
          <w:sz w:val="20"/>
          <w:szCs w:val="24"/>
        </w:rPr>
      </w:pPr>
    </w:p>
    <w:p w14:paraId="71DF5CC3" w14:textId="77777777" w:rsidR="003B37E2" w:rsidRPr="003B37E2" w:rsidRDefault="003B37E2" w:rsidP="003B37E2">
      <w:pPr>
        <w:spacing w:after="0" w:line="276" w:lineRule="auto"/>
        <w:ind w:right="237"/>
        <w:jc w:val="both"/>
        <w:rPr>
          <w:rFonts w:ascii="Times New Roman" w:eastAsia="Times New Roman" w:hAnsi="Times New Roman" w:cs="Times New Roman"/>
          <w:noProof/>
          <w:sz w:val="24"/>
          <w:szCs w:val="24"/>
          <w:lang w:val="sq-AL"/>
        </w:rPr>
      </w:pPr>
      <w:r w:rsidRPr="003B37E2">
        <w:rPr>
          <w:rFonts w:ascii="Times New Roman" w:eastAsia="Times New Roman" w:hAnsi="Times New Roman" w:cs="Times New Roman"/>
          <w:i/>
          <w:noProof/>
          <w:sz w:val="24"/>
          <w:szCs w:val="24"/>
          <w:lang w:val="sq-AL"/>
        </w:rPr>
        <w:t>Rritja ekonomike</w:t>
      </w:r>
      <w:r w:rsidRPr="003B37E2">
        <w:rPr>
          <w:rFonts w:ascii="Times New Roman" w:eastAsia="Times New Roman" w:hAnsi="Times New Roman" w:cs="Times New Roman"/>
          <w:noProof/>
          <w:sz w:val="24"/>
          <w:szCs w:val="24"/>
          <w:lang w:val="sq-AL"/>
        </w:rPr>
        <w:t xml:space="preserve"> në pesëvjeçarin e fundit ka rezultuar në një trend rritës, me bazë të gjerë mbështetjeje në aspektin sektorial. Gjatë gjysmës së parë së vitit 2019, rritja ekonomike u ngadalësua krahasuar me një vit më parë, në rreth 2.</w:t>
      </w:r>
      <w:r w:rsidR="008B61FF">
        <w:rPr>
          <w:rFonts w:ascii="Times New Roman" w:eastAsia="Times New Roman" w:hAnsi="Times New Roman" w:cs="Times New Roman"/>
          <w:noProof/>
          <w:sz w:val="24"/>
          <w:szCs w:val="24"/>
          <w:lang w:val="sq-AL"/>
        </w:rPr>
        <w:t>4</w:t>
      </w:r>
      <w:r w:rsidRPr="003B37E2">
        <w:rPr>
          <w:rFonts w:ascii="Times New Roman" w:eastAsia="Times New Roman" w:hAnsi="Times New Roman" w:cs="Times New Roman"/>
          <w:noProof/>
          <w:sz w:val="24"/>
          <w:szCs w:val="24"/>
          <w:lang w:val="sq-AL"/>
        </w:rPr>
        <w:t>%. Në masën më të madhe ky ngadalësim i atribuohej goditjeve nga ana e ofertës, të ilustruara kryesisht nga prodhimi më i ulët i energjisë elektrike. Për vitin 2019 në tërësi pritet një rritje ekonomike më e ngadaltë se ajo e një viti më parë. Megjithatë, në mungesën e goditjeve të tjera si në krahun e ofertës apo atë të kërkesës, ritmi i rritjes së aktivitetit ekonomik në vend pritet të jetë më i lartë</w:t>
      </w:r>
      <w:r>
        <w:rPr>
          <w:rFonts w:ascii="Times New Roman" w:eastAsia="Times New Roman" w:hAnsi="Times New Roman" w:cs="Times New Roman"/>
          <w:noProof/>
          <w:sz w:val="24"/>
          <w:szCs w:val="24"/>
          <w:lang w:val="sq-AL"/>
        </w:rPr>
        <w:t>, në rreth 4%</w:t>
      </w:r>
      <w:r w:rsidRPr="003B37E2">
        <w:rPr>
          <w:rFonts w:ascii="Times New Roman" w:eastAsia="Times New Roman" w:hAnsi="Times New Roman" w:cs="Times New Roman"/>
          <w:noProof/>
          <w:sz w:val="24"/>
          <w:szCs w:val="24"/>
          <w:lang w:val="sq-AL"/>
        </w:rPr>
        <w:t xml:space="preserve"> në vitet në vijim.</w:t>
      </w:r>
    </w:p>
    <w:p w14:paraId="71DF5CC4" w14:textId="77777777" w:rsidR="003B37E2" w:rsidRPr="00434984" w:rsidRDefault="003B37E2" w:rsidP="00293B51">
      <w:pPr>
        <w:spacing w:after="0" w:line="276" w:lineRule="auto"/>
        <w:ind w:right="237"/>
        <w:jc w:val="both"/>
        <w:rPr>
          <w:rFonts w:ascii="Times New Roman" w:eastAsia="Times New Roman" w:hAnsi="Times New Roman" w:cs="Times New Roman"/>
          <w:noProof/>
          <w:sz w:val="16"/>
          <w:szCs w:val="24"/>
        </w:rPr>
      </w:pPr>
    </w:p>
    <w:p w14:paraId="71DF5CC5" w14:textId="77777777" w:rsidR="00434984" w:rsidRPr="00434984" w:rsidRDefault="00434984" w:rsidP="00434984">
      <w:pPr>
        <w:spacing w:after="0" w:line="276" w:lineRule="auto"/>
        <w:ind w:right="237"/>
        <w:jc w:val="both"/>
        <w:rPr>
          <w:rFonts w:ascii="Times New Roman" w:eastAsia="Times New Roman" w:hAnsi="Times New Roman" w:cs="Times New Roman"/>
          <w:noProof/>
          <w:sz w:val="24"/>
          <w:szCs w:val="24"/>
          <w:lang w:val="sq-AL"/>
        </w:rPr>
      </w:pPr>
      <w:r w:rsidRPr="00434984">
        <w:rPr>
          <w:rFonts w:ascii="Times New Roman" w:eastAsia="Times New Roman" w:hAnsi="Times New Roman" w:cs="Times New Roman"/>
          <w:i/>
          <w:noProof/>
          <w:sz w:val="24"/>
          <w:szCs w:val="24"/>
          <w:lang w:val="sq-AL"/>
        </w:rPr>
        <w:t xml:space="preserve">Inflacioni </w:t>
      </w:r>
      <w:r w:rsidRPr="00434984">
        <w:rPr>
          <w:rFonts w:ascii="Times New Roman" w:eastAsia="Times New Roman" w:hAnsi="Times New Roman" w:cs="Times New Roman"/>
          <w:noProof/>
          <w:sz w:val="24"/>
          <w:szCs w:val="24"/>
          <w:lang w:val="sq-AL"/>
        </w:rPr>
        <w:t>është luhatur në interval vlerash të ulëta</w:t>
      </w:r>
      <w:r w:rsidRPr="00434984">
        <w:rPr>
          <w:rFonts w:ascii="Times New Roman" w:eastAsia="Times New Roman" w:hAnsi="Times New Roman" w:cs="Times New Roman"/>
          <w:i/>
          <w:noProof/>
          <w:sz w:val="24"/>
          <w:szCs w:val="24"/>
          <w:lang w:val="sq-AL"/>
        </w:rPr>
        <w:t xml:space="preserve"> </w:t>
      </w:r>
      <w:r w:rsidRPr="00434984">
        <w:rPr>
          <w:rFonts w:ascii="Times New Roman" w:eastAsia="Times New Roman" w:hAnsi="Times New Roman" w:cs="Times New Roman"/>
          <w:noProof/>
          <w:sz w:val="24"/>
          <w:szCs w:val="24"/>
          <w:lang w:val="sq-AL"/>
        </w:rPr>
        <w:t xml:space="preserve">gjatë viteve të fundit, duke qëndruar nën objektivin e Bankës së Shqipërisë, prej 3%. Gjatë pjesës më të madhe të vitit 2019, inflacioni ka rezultuar i ulët, mesatarisht 1.4%, në reflektim të presioneve të dobësuara inflacioniste nga jashtë, si pasojë e normave më të ulëta të inflacionit në Eurozonë, çmimeve në rënie të lëndëve bazë, si edhe të vijimësisë së mbiçmimit të monedhës vendase. Në vitin 2019 në tërësi pritet një inflacion më i ulët se në 2018, megjithatë ky tregues pritet të njohë vlera në rritje gjatë viteve në vijim, por pa arritur objektivin pikësor të përcaktuar nga autoriteti monetar i vendit. </w:t>
      </w:r>
    </w:p>
    <w:p w14:paraId="71DF5CC6" w14:textId="77777777" w:rsidR="00434984" w:rsidRPr="00434984" w:rsidRDefault="00434984" w:rsidP="007E3227">
      <w:pPr>
        <w:spacing w:after="0" w:line="276" w:lineRule="auto"/>
        <w:ind w:right="237"/>
        <w:jc w:val="both"/>
        <w:rPr>
          <w:rFonts w:ascii="Times New Roman" w:eastAsia="Times New Roman" w:hAnsi="Times New Roman" w:cs="Times New Roman"/>
          <w:noProof/>
          <w:sz w:val="16"/>
          <w:szCs w:val="24"/>
          <w:lang w:val="sq-AL"/>
        </w:rPr>
      </w:pPr>
    </w:p>
    <w:p w14:paraId="71DF5CC7" w14:textId="77777777" w:rsidR="00E57778" w:rsidRPr="00D63A4E" w:rsidRDefault="00434984" w:rsidP="007E3227">
      <w:pPr>
        <w:spacing w:after="0" w:line="276" w:lineRule="auto"/>
        <w:ind w:right="237"/>
        <w:jc w:val="both"/>
        <w:rPr>
          <w:rFonts w:ascii="Times New Roman" w:eastAsia="Times New Roman" w:hAnsi="Times New Roman" w:cs="Times New Roman"/>
          <w:noProof/>
          <w:sz w:val="24"/>
          <w:szCs w:val="24"/>
          <w:lang w:val="sq-AL"/>
        </w:rPr>
      </w:pPr>
      <w:r w:rsidRPr="00434984">
        <w:rPr>
          <w:rFonts w:ascii="Times New Roman" w:eastAsia="Times New Roman" w:hAnsi="Times New Roman" w:cs="Times New Roman"/>
          <w:i/>
          <w:noProof/>
          <w:sz w:val="24"/>
          <w:szCs w:val="24"/>
          <w:lang w:val="sq-AL"/>
        </w:rPr>
        <w:t>Pozicioni fiskal</w:t>
      </w:r>
      <w:r w:rsidRPr="00434984">
        <w:rPr>
          <w:rFonts w:ascii="Times New Roman" w:eastAsia="Times New Roman" w:hAnsi="Times New Roman" w:cs="Times New Roman"/>
          <w:noProof/>
          <w:sz w:val="24"/>
          <w:szCs w:val="24"/>
          <w:lang w:val="sq-AL"/>
        </w:rPr>
        <w:t xml:space="preserve"> ësht</w:t>
      </w:r>
      <w:r>
        <w:rPr>
          <w:rFonts w:ascii="Times New Roman" w:eastAsia="Times New Roman" w:hAnsi="Times New Roman" w:cs="Times New Roman"/>
          <w:noProof/>
          <w:sz w:val="24"/>
          <w:szCs w:val="24"/>
          <w:lang w:val="sq-AL"/>
        </w:rPr>
        <w:t>ë përmirësuar në vitet e fundit</w:t>
      </w:r>
      <w:r w:rsidRPr="00434984">
        <w:rPr>
          <w:rFonts w:ascii="Times New Roman" w:eastAsia="Times New Roman" w:hAnsi="Times New Roman" w:cs="Times New Roman"/>
          <w:noProof/>
          <w:sz w:val="24"/>
          <w:szCs w:val="24"/>
          <w:lang w:val="sq-AL"/>
        </w:rPr>
        <w:t xml:space="preserve"> në sajë të sjelljes konsoliduese që ka shfaqur politika fiskale, në funksion të arritjes dhe ruajtjes së qëndrueshmërisë fiskale në afatin e mesëm e më tej. Balanca primare për vitin 2019, pritet të jetë pozitive, duke</w:t>
      </w:r>
      <w:r>
        <w:rPr>
          <w:rFonts w:ascii="Times New Roman" w:eastAsia="Times New Roman" w:hAnsi="Times New Roman" w:cs="Times New Roman"/>
          <w:noProof/>
          <w:sz w:val="24"/>
          <w:szCs w:val="24"/>
          <w:lang w:val="sq-AL"/>
        </w:rPr>
        <w:t xml:space="preserve"> kontribu</w:t>
      </w:r>
      <w:r w:rsidRPr="00434984">
        <w:rPr>
          <w:rFonts w:ascii="Times New Roman" w:eastAsia="Times New Roman" w:hAnsi="Times New Roman" w:cs="Times New Roman"/>
          <w:noProof/>
          <w:sz w:val="24"/>
          <w:szCs w:val="24"/>
          <w:lang w:val="sq-AL"/>
        </w:rPr>
        <w:t>ar në mënyrë të drejtpërdrejtë në rënien e borxhit publik në terma të PBB-së. Procesi i konsolidimit fiskal pritet të vijojë edhe në vitet e ardhshme, e si i tillë pritet të jetë një prej faktorëve që do ndikojë në përmirësimin e trajektores afatmesme të borxhit publik.</w:t>
      </w:r>
      <w:r w:rsidR="00E57778" w:rsidRPr="00D63A4E">
        <w:rPr>
          <w:rFonts w:ascii="Times New Roman" w:eastAsia="Times New Roman" w:hAnsi="Times New Roman" w:cs="Times New Roman"/>
          <w:noProof/>
          <w:sz w:val="24"/>
          <w:szCs w:val="24"/>
          <w:lang w:val="sq-AL"/>
        </w:rPr>
        <w:t xml:space="preserve"> </w:t>
      </w:r>
    </w:p>
    <w:p w14:paraId="71DF5CC8" w14:textId="77777777" w:rsidR="00E57778" w:rsidRDefault="00E57778" w:rsidP="00E57778">
      <w:pPr>
        <w:tabs>
          <w:tab w:val="left" w:pos="2730"/>
        </w:tabs>
        <w:spacing w:after="0" w:line="276" w:lineRule="auto"/>
        <w:jc w:val="both"/>
        <w:rPr>
          <w:rFonts w:ascii="Times New Roman" w:eastAsia="Times New Roman" w:hAnsi="Times New Roman" w:cs="Times New Roman"/>
          <w:noProof/>
          <w:sz w:val="16"/>
          <w:szCs w:val="16"/>
          <w:lang w:val="sq-AL"/>
        </w:rPr>
      </w:pPr>
    </w:p>
    <w:p w14:paraId="71DF5CC9" w14:textId="77777777" w:rsidR="001039A7" w:rsidRPr="001039A7" w:rsidRDefault="001039A7" w:rsidP="001039A7">
      <w:pPr>
        <w:tabs>
          <w:tab w:val="left" w:pos="2730"/>
        </w:tabs>
        <w:spacing w:after="0" w:line="276" w:lineRule="auto"/>
        <w:ind w:right="238"/>
        <w:jc w:val="both"/>
        <w:rPr>
          <w:rFonts w:ascii="Times New Roman" w:eastAsia="Times New Roman" w:hAnsi="Times New Roman" w:cs="Times New Roman"/>
          <w:noProof/>
          <w:sz w:val="24"/>
          <w:szCs w:val="16"/>
          <w:lang w:val="sq-AL"/>
        </w:rPr>
      </w:pPr>
      <w:r w:rsidRPr="001039A7">
        <w:rPr>
          <w:rFonts w:ascii="Times New Roman" w:eastAsia="Times New Roman" w:hAnsi="Times New Roman" w:cs="Times New Roman"/>
          <w:i/>
          <w:noProof/>
          <w:sz w:val="24"/>
          <w:szCs w:val="16"/>
          <w:lang w:val="sq-AL"/>
        </w:rPr>
        <w:t>Pozicioni i jashtëm i ekonomisë</w:t>
      </w:r>
      <w:r w:rsidRPr="001039A7">
        <w:rPr>
          <w:rFonts w:ascii="Times New Roman" w:eastAsia="Times New Roman" w:hAnsi="Times New Roman" w:cs="Times New Roman"/>
          <w:noProof/>
          <w:sz w:val="24"/>
          <w:szCs w:val="16"/>
          <w:lang w:val="sq-AL"/>
        </w:rPr>
        <w:t xml:space="preserve"> ka njohur një përmirësim të lehtë në vitet e fundit, reflektuar në ngushtim të deficitit të llogarisë korrente në terma të PBB-së. Ky deficit u ngushtua kryesisht si pasojë e përmirësimit të bilancit të shërbimeve, në reflektim të të hyrave më të larta nga turizmi. Nga ana tjetër, rezerva valutore ka qenë mjaftueshëm e lartë si në terma të mbulimit në muaj importe, ashtu edhe të borxhit të jashtëm afatshkurtër (privat dhe publik), ndonëse ky i fundit është në nivel relativisht të lartë. Kështu, referuar treguesve për gjysmën </w:t>
      </w:r>
      <w:r w:rsidRPr="001039A7">
        <w:rPr>
          <w:rFonts w:ascii="Times New Roman" w:eastAsia="Times New Roman" w:hAnsi="Times New Roman" w:cs="Times New Roman"/>
          <w:noProof/>
          <w:sz w:val="24"/>
          <w:szCs w:val="16"/>
          <w:lang w:val="sq-AL"/>
        </w:rPr>
        <w:lastRenderedPageBreak/>
        <w:t>e parë të vitit 2019, stoku i rezervës valutore rezultoi i mjaftueshëm për të mbuluar 6.6 muaj importe, ose 160% të borxhit afatshkurtër të të gjithë agjentëve ekonomikë. Këto raporte mbulimi vlerësohen të jenë adekuate në minimizimin e r</w:t>
      </w:r>
      <w:r>
        <w:rPr>
          <w:rFonts w:ascii="Times New Roman" w:eastAsia="Times New Roman" w:hAnsi="Times New Roman" w:cs="Times New Roman"/>
          <w:noProof/>
          <w:sz w:val="24"/>
          <w:szCs w:val="16"/>
          <w:lang w:val="sq-AL"/>
        </w:rPr>
        <w:t xml:space="preserve">iskut </w:t>
      </w:r>
      <w:r w:rsidRPr="001039A7">
        <w:rPr>
          <w:rFonts w:ascii="Times New Roman" w:eastAsia="Times New Roman" w:hAnsi="Times New Roman" w:cs="Times New Roman"/>
          <w:noProof/>
          <w:sz w:val="24"/>
          <w:szCs w:val="16"/>
          <w:lang w:val="sq-AL"/>
        </w:rPr>
        <w:t>të ekspozimit ndaj monedhës së huaj, r</w:t>
      </w:r>
      <w:r>
        <w:rPr>
          <w:rFonts w:ascii="Times New Roman" w:eastAsia="Times New Roman" w:hAnsi="Times New Roman" w:cs="Times New Roman"/>
          <w:noProof/>
          <w:sz w:val="24"/>
          <w:szCs w:val="16"/>
          <w:lang w:val="sq-AL"/>
        </w:rPr>
        <w:t>isk</w:t>
      </w:r>
      <w:r w:rsidRPr="001039A7">
        <w:rPr>
          <w:rFonts w:ascii="Times New Roman" w:eastAsia="Times New Roman" w:hAnsi="Times New Roman" w:cs="Times New Roman"/>
          <w:noProof/>
          <w:sz w:val="24"/>
          <w:szCs w:val="16"/>
          <w:lang w:val="sq-AL"/>
        </w:rPr>
        <w:t xml:space="preserve"> i cili është prezent jo vetëm si pasojë e nivelit të lartë të borxhit (publik e privat) në monedhë të huaj, por edhe si rezultat i eurozimit të pjesshëm të ekonomisë.</w:t>
      </w:r>
    </w:p>
    <w:p w14:paraId="71DF5CCA" w14:textId="77777777" w:rsidR="00EB0356" w:rsidRPr="00E939B9" w:rsidRDefault="00EB0356" w:rsidP="007E3227">
      <w:pPr>
        <w:spacing w:after="0" w:line="276" w:lineRule="auto"/>
        <w:ind w:right="237"/>
        <w:jc w:val="both"/>
        <w:rPr>
          <w:rFonts w:ascii="Times New Roman" w:eastAsia="Times New Roman" w:hAnsi="Times New Roman" w:cs="Times New Roman"/>
          <w:noProof/>
          <w:sz w:val="16"/>
          <w:szCs w:val="24"/>
        </w:rPr>
      </w:pPr>
    </w:p>
    <w:p w14:paraId="71DF5CCB" w14:textId="77777777" w:rsidR="00F827EE" w:rsidRPr="00EB0356" w:rsidRDefault="00EB0356" w:rsidP="00F827EE">
      <w:pPr>
        <w:spacing w:after="0" w:line="276" w:lineRule="auto"/>
        <w:ind w:right="237"/>
        <w:jc w:val="both"/>
        <w:rPr>
          <w:rFonts w:ascii="Times New Roman" w:eastAsia="Times New Roman" w:hAnsi="Times New Roman" w:cs="Times New Roman"/>
          <w:noProof/>
          <w:sz w:val="24"/>
          <w:szCs w:val="24"/>
        </w:rPr>
      </w:pPr>
      <w:r w:rsidRPr="00EB0356">
        <w:rPr>
          <w:rFonts w:ascii="Times New Roman" w:eastAsia="Times New Roman" w:hAnsi="Times New Roman" w:cs="Times New Roman"/>
          <w:i/>
          <w:noProof/>
          <w:sz w:val="24"/>
          <w:szCs w:val="24"/>
          <w:lang w:val="sq-AL"/>
        </w:rPr>
        <w:t>Normat e interesit në tregun primar</w:t>
      </w:r>
      <w:r w:rsidRPr="00EB0356">
        <w:rPr>
          <w:rFonts w:ascii="Times New Roman" w:eastAsia="Times New Roman" w:hAnsi="Times New Roman" w:cs="Times New Roman"/>
          <w:noProof/>
          <w:sz w:val="24"/>
          <w:szCs w:val="24"/>
          <w:lang w:val="sq-AL"/>
        </w:rPr>
        <w:t xml:space="preserve"> kanë njohur një trend rënës në vitet e fundit, pavarësisht volatititetit të përkohshëm që kanë pasur normat e interesit në titujt shtetërorë me afat të shkurtër maturimi. Në segmentin afatgjatë të titujve shtetërorë prirja rënëse ka qenë më evidente, duke u bërë kështu një premisë kosto më të ulëta shërbimi të borxhit në të ardhmen. Në periudhën e ardhshme normat e interesit pritet të ruajnë tendencën aktuale, duke qëndruar në të njëjtën linjë me kahun e pritur stimulues të politikës monetare. Bazuar në vlerësimet e Bankës së Shqipërisë normalizimi gradual i politikës monetare pritet të fillojë pas gjysmës së parë të vitit 2020.</w:t>
      </w:r>
    </w:p>
    <w:p w14:paraId="71DF5CCC" w14:textId="77777777" w:rsidR="00F827EE" w:rsidRPr="000927F8" w:rsidRDefault="00F827EE" w:rsidP="007E3227">
      <w:pPr>
        <w:spacing w:after="0" w:line="276" w:lineRule="auto"/>
        <w:ind w:right="237"/>
        <w:jc w:val="both"/>
        <w:rPr>
          <w:rFonts w:ascii="Times New Roman" w:eastAsia="Times New Roman" w:hAnsi="Times New Roman" w:cs="Times New Roman"/>
          <w:noProof/>
          <w:sz w:val="24"/>
          <w:szCs w:val="24"/>
        </w:rPr>
      </w:pPr>
      <w:r w:rsidRPr="000927F8">
        <w:rPr>
          <w:rFonts w:ascii="Times New Roman" w:eastAsia="Times New Roman" w:hAnsi="Times New Roman" w:cs="Times New Roman"/>
          <w:noProof/>
          <w:sz w:val="24"/>
          <w:szCs w:val="24"/>
        </w:rPr>
        <w:t>Në tregun e jashtëm, lufta tregtare SHBA-Kinë dhe pasiguria për arritjen e një marr</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veshje tregtare ndërmjet </w:t>
      </w:r>
      <w:r w:rsidR="00A73182" w:rsidRPr="000927F8">
        <w:rPr>
          <w:rFonts w:ascii="Times New Roman" w:eastAsia="Times New Roman" w:hAnsi="Times New Roman" w:cs="Times New Roman"/>
          <w:noProof/>
          <w:sz w:val="24"/>
          <w:szCs w:val="24"/>
        </w:rPr>
        <w:t>BE-s</w:t>
      </w:r>
      <w:r w:rsidR="00982338" w:rsidRPr="000927F8">
        <w:rPr>
          <w:rFonts w:ascii="Times New Roman" w:eastAsia="Times New Roman" w:hAnsi="Times New Roman" w:cs="Times New Roman"/>
          <w:noProof/>
          <w:sz w:val="24"/>
          <w:szCs w:val="24"/>
        </w:rPr>
        <w:t>ë</w:t>
      </w:r>
      <w:r w:rsidR="00A73182" w:rsidRPr="000927F8">
        <w:rPr>
          <w:rFonts w:ascii="Times New Roman" w:eastAsia="Times New Roman" w:hAnsi="Times New Roman" w:cs="Times New Roman"/>
          <w:noProof/>
          <w:sz w:val="24"/>
          <w:szCs w:val="24"/>
        </w:rPr>
        <w:t xml:space="preserve"> dhe Britanis</w:t>
      </w:r>
      <w:r w:rsidR="00982338" w:rsidRPr="000927F8">
        <w:rPr>
          <w:rFonts w:ascii="Times New Roman" w:eastAsia="Times New Roman" w:hAnsi="Times New Roman" w:cs="Times New Roman"/>
          <w:noProof/>
          <w:sz w:val="24"/>
          <w:szCs w:val="24"/>
        </w:rPr>
        <w:t>ë</w:t>
      </w:r>
      <w:r w:rsidR="00A73182" w:rsidRPr="000927F8">
        <w:rPr>
          <w:rFonts w:ascii="Times New Roman" w:eastAsia="Times New Roman" w:hAnsi="Times New Roman" w:cs="Times New Roman"/>
          <w:noProof/>
          <w:sz w:val="24"/>
          <w:szCs w:val="24"/>
        </w:rPr>
        <w:t xml:space="preserve"> s</w:t>
      </w:r>
      <w:r w:rsidR="00982338" w:rsidRPr="000927F8">
        <w:rPr>
          <w:rFonts w:ascii="Times New Roman" w:eastAsia="Times New Roman" w:hAnsi="Times New Roman" w:cs="Times New Roman"/>
          <w:noProof/>
          <w:sz w:val="24"/>
          <w:szCs w:val="24"/>
        </w:rPr>
        <w:t>ë</w:t>
      </w:r>
      <w:r w:rsidR="00A73182" w:rsidRPr="000927F8">
        <w:rPr>
          <w:rFonts w:ascii="Times New Roman" w:eastAsia="Times New Roman" w:hAnsi="Times New Roman" w:cs="Times New Roman"/>
          <w:noProof/>
          <w:sz w:val="24"/>
          <w:szCs w:val="24"/>
        </w:rPr>
        <w:t xml:space="preserve"> Madhe</w:t>
      </w:r>
      <w:r w:rsidRPr="000927F8">
        <w:rPr>
          <w:rFonts w:ascii="Times New Roman" w:eastAsia="Times New Roman" w:hAnsi="Times New Roman" w:cs="Times New Roman"/>
          <w:noProof/>
          <w:sz w:val="24"/>
          <w:szCs w:val="24"/>
        </w:rPr>
        <w:t xml:space="preserve"> </w:t>
      </w:r>
      <w:r w:rsidR="002201AA" w:rsidRPr="000927F8">
        <w:rPr>
          <w:rFonts w:ascii="Times New Roman" w:eastAsia="Times New Roman" w:hAnsi="Times New Roman" w:cs="Times New Roman"/>
          <w:noProof/>
          <w:sz w:val="24"/>
          <w:szCs w:val="24"/>
        </w:rPr>
        <w:t>(</w:t>
      </w:r>
      <w:r w:rsidR="00AF7BA1" w:rsidRPr="000927F8">
        <w:rPr>
          <w:rFonts w:ascii="Times New Roman" w:eastAsia="Times New Roman" w:hAnsi="Times New Roman" w:cs="Times New Roman"/>
          <w:noProof/>
          <w:sz w:val="24"/>
          <w:szCs w:val="24"/>
        </w:rPr>
        <w:t>q</w:t>
      </w:r>
      <w:r w:rsidR="00982338" w:rsidRPr="000927F8">
        <w:rPr>
          <w:rFonts w:ascii="Times New Roman" w:eastAsia="Times New Roman" w:hAnsi="Times New Roman" w:cs="Times New Roman"/>
          <w:noProof/>
          <w:sz w:val="24"/>
          <w:szCs w:val="24"/>
        </w:rPr>
        <w:t>ë</w:t>
      </w:r>
      <w:r w:rsidR="00AF7BA1" w:rsidRPr="000927F8">
        <w:rPr>
          <w:rFonts w:ascii="Times New Roman" w:eastAsia="Times New Roman" w:hAnsi="Times New Roman" w:cs="Times New Roman"/>
          <w:noProof/>
          <w:sz w:val="24"/>
          <w:szCs w:val="24"/>
        </w:rPr>
        <w:t xml:space="preserve"> pas</w:t>
      </w:r>
      <w:r w:rsidR="002201AA" w:rsidRPr="000927F8">
        <w:rPr>
          <w:rFonts w:ascii="Times New Roman" w:eastAsia="Times New Roman" w:hAnsi="Times New Roman" w:cs="Times New Roman"/>
          <w:noProof/>
          <w:sz w:val="24"/>
          <w:szCs w:val="24"/>
        </w:rPr>
        <w:t xml:space="preserve"> dalje</w:t>
      </w:r>
      <w:r w:rsidR="00AF7BA1" w:rsidRPr="000927F8">
        <w:rPr>
          <w:rFonts w:ascii="Times New Roman" w:eastAsia="Times New Roman" w:hAnsi="Times New Roman" w:cs="Times New Roman"/>
          <w:noProof/>
          <w:sz w:val="24"/>
          <w:szCs w:val="24"/>
        </w:rPr>
        <w:t>s</w:t>
      </w:r>
      <w:r w:rsidR="002201AA" w:rsidRPr="000927F8">
        <w:rPr>
          <w:rFonts w:ascii="Times New Roman" w:eastAsia="Times New Roman" w:hAnsi="Times New Roman" w:cs="Times New Roman"/>
          <w:noProof/>
          <w:sz w:val="24"/>
          <w:szCs w:val="24"/>
        </w:rPr>
        <w:t xml:space="preserve"> nga BE</w:t>
      </w:r>
      <w:r w:rsidRPr="000927F8">
        <w:rPr>
          <w:rFonts w:ascii="Times New Roman" w:eastAsia="Times New Roman" w:hAnsi="Times New Roman" w:cs="Times New Roman"/>
          <w:noProof/>
          <w:sz w:val="24"/>
          <w:szCs w:val="24"/>
        </w:rPr>
        <w:t xml:space="preserve"> </w:t>
      </w:r>
      <w:r w:rsidR="002201AA" w:rsidRPr="000927F8">
        <w:rPr>
          <w:rFonts w:ascii="Times New Roman" w:eastAsia="Times New Roman" w:hAnsi="Times New Roman" w:cs="Times New Roman"/>
          <w:noProof/>
          <w:sz w:val="24"/>
          <w:szCs w:val="24"/>
        </w:rPr>
        <w:t>t</w:t>
      </w:r>
      <w:r w:rsidR="00982338" w:rsidRPr="000927F8">
        <w:rPr>
          <w:rFonts w:ascii="Times New Roman" w:eastAsia="Times New Roman" w:hAnsi="Times New Roman" w:cs="Times New Roman"/>
          <w:noProof/>
          <w:sz w:val="24"/>
          <w:szCs w:val="24"/>
        </w:rPr>
        <w:t>ë</w:t>
      </w:r>
      <w:r w:rsidR="002201AA" w:rsidRPr="000927F8">
        <w:rPr>
          <w:rFonts w:ascii="Times New Roman" w:eastAsia="Times New Roman" w:hAnsi="Times New Roman" w:cs="Times New Roman"/>
          <w:noProof/>
          <w:sz w:val="24"/>
          <w:szCs w:val="24"/>
        </w:rPr>
        <w:t xml:space="preserve"> Britanis</w:t>
      </w:r>
      <w:r w:rsidR="00982338" w:rsidRPr="000927F8">
        <w:rPr>
          <w:rFonts w:ascii="Times New Roman" w:eastAsia="Times New Roman" w:hAnsi="Times New Roman" w:cs="Times New Roman"/>
          <w:noProof/>
          <w:sz w:val="24"/>
          <w:szCs w:val="24"/>
        </w:rPr>
        <w:t>ë</w:t>
      </w:r>
      <w:r w:rsidR="002201AA" w:rsidRPr="000927F8">
        <w:rPr>
          <w:rFonts w:ascii="Times New Roman" w:eastAsia="Times New Roman" w:hAnsi="Times New Roman" w:cs="Times New Roman"/>
          <w:noProof/>
          <w:sz w:val="24"/>
          <w:szCs w:val="24"/>
        </w:rPr>
        <w:t xml:space="preserve"> s</w:t>
      </w:r>
      <w:r w:rsidR="00982338" w:rsidRPr="000927F8">
        <w:rPr>
          <w:rFonts w:ascii="Times New Roman" w:eastAsia="Times New Roman" w:hAnsi="Times New Roman" w:cs="Times New Roman"/>
          <w:noProof/>
          <w:sz w:val="24"/>
          <w:szCs w:val="24"/>
        </w:rPr>
        <w:t>ë</w:t>
      </w:r>
      <w:r w:rsidR="002201AA" w:rsidRPr="000927F8">
        <w:rPr>
          <w:rFonts w:ascii="Times New Roman" w:eastAsia="Times New Roman" w:hAnsi="Times New Roman" w:cs="Times New Roman"/>
          <w:noProof/>
          <w:sz w:val="24"/>
          <w:szCs w:val="24"/>
        </w:rPr>
        <w:t xml:space="preserve"> Madhe), </w:t>
      </w:r>
      <w:r w:rsidRPr="000927F8">
        <w:rPr>
          <w:rFonts w:ascii="Times New Roman" w:eastAsia="Times New Roman" w:hAnsi="Times New Roman" w:cs="Times New Roman"/>
          <w:noProof/>
          <w:sz w:val="24"/>
          <w:szCs w:val="24"/>
        </w:rPr>
        <w:t>kanë ndi</w:t>
      </w:r>
      <w:r w:rsidR="002201AA" w:rsidRPr="000927F8">
        <w:rPr>
          <w:rFonts w:ascii="Times New Roman" w:eastAsia="Times New Roman" w:hAnsi="Times New Roman" w:cs="Times New Roman"/>
          <w:noProof/>
          <w:sz w:val="24"/>
          <w:szCs w:val="24"/>
        </w:rPr>
        <w:t>k</w:t>
      </w:r>
      <w:r w:rsidRPr="000927F8">
        <w:rPr>
          <w:rFonts w:ascii="Times New Roman" w:eastAsia="Times New Roman" w:hAnsi="Times New Roman" w:cs="Times New Roman"/>
          <w:noProof/>
          <w:sz w:val="24"/>
          <w:szCs w:val="24"/>
        </w:rPr>
        <w:t>uar në moderim</w:t>
      </w:r>
      <w:r w:rsidR="00AF7BA1" w:rsidRPr="000927F8">
        <w:rPr>
          <w:rFonts w:ascii="Times New Roman" w:eastAsia="Times New Roman" w:hAnsi="Times New Roman" w:cs="Times New Roman"/>
          <w:noProof/>
          <w:sz w:val="24"/>
          <w:szCs w:val="24"/>
        </w:rPr>
        <w:t>in</w:t>
      </w:r>
      <w:r w:rsidRPr="000927F8">
        <w:rPr>
          <w:rFonts w:ascii="Times New Roman" w:eastAsia="Times New Roman" w:hAnsi="Times New Roman" w:cs="Times New Roman"/>
          <w:noProof/>
          <w:sz w:val="24"/>
          <w:szCs w:val="24"/>
        </w:rPr>
        <w:t xml:space="preserve"> </w:t>
      </w:r>
      <w:r w:rsidR="00AF7BA1" w:rsidRPr="000927F8">
        <w:rPr>
          <w:rFonts w:ascii="Times New Roman" w:eastAsia="Times New Roman" w:hAnsi="Times New Roman" w:cs="Times New Roman"/>
          <w:noProof/>
          <w:sz w:val="24"/>
          <w:szCs w:val="24"/>
        </w:rPr>
        <w:t>e</w:t>
      </w:r>
      <w:r w:rsidRPr="000927F8">
        <w:rPr>
          <w:rFonts w:ascii="Times New Roman" w:eastAsia="Times New Roman" w:hAnsi="Times New Roman" w:cs="Times New Roman"/>
          <w:noProof/>
          <w:sz w:val="24"/>
          <w:szCs w:val="24"/>
        </w:rPr>
        <w:t xml:space="preserve"> rritjes ekonomike globale</w:t>
      </w:r>
      <w:r w:rsidR="002201AA" w:rsidRPr="000927F8">
        <w:rPr>
          <w:rFonts w:ascii="Times New Roman" w:eastAsia="Times New Roman" w:hAnsi="Times New Roman" w:cs="Times New Roman"/>
          <w:noProof/>
          <w:sz w:val="24"/>
          <w:szCs w:val="24"/>
        </w:rPr>
        <w:t>,</w:t>
      </w:r>
      <w:r w:rsidRPr="000927F8">
        <w:rPr>
          <w:rFonts w:ascii="Times New Roman" w:eastAsia="Times New Roman" w:hAnsi="Times New Roman" w:cs="Times New Roman"/>
          <w:noProof/>
          <w:sz w:val="24"/>
          <w:szCs w:val="24"/>
        </w:rPr>
        <w:t xml:space="preserve"> më e dukshme kjo në ekonominë kineze dhe at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evropiane.  </w:t>
      </w:r>
    </w:p>
    <w:p w14:paraId="71DF5CCD" w14:textId="77777777" w:rsidR="004C7586" w:rsidRPr="000927F8" w:rsidRDefault="00F827EE" w:rsidP="007E3227">
      <w:pPr>
        <w:spacing w:after="0" w:line="276" w:lineRule="auto"/>
        <w:ind w:right="237"/>
        <w:jc w:val="both"/>
        <w:rPr>
          <w:rFonts w:ascii="Times New Roman" w:eastAsia="Times New Roman" w:hAnsi="Times New Roman" w:cs="Times New Roman"/>
          <w:i/>
          <w:noProof/>
          <w:sz w:val="24"/>
          <w:szCs w:val="24"/>
        </w:rPr>
      </w:pPr>
      <w:r w:rsidRPr="000927F8">
        <w:rPr>
          <w:rFonts w:ascii="Times New Roman" w:eastAsia="Times New Roman" w:hAnsi="Times New Roman" w:cs="Times New Roman"/>
          <w:noProof/>
          <w:sz w:val="24"/>
          <w:szCs w:val="24"/>
        </w:rPr>
        <w:t>Në reflektim të kësaj</w:t>
      </w:r>
      <w:r w:rsidR="002201AA" w:rsidRPr="000927F8">
        <w:rPr>
          <w:rFonts w:ascii="Times New Roman" w:eastAsia="Times New Roman" w:hAnsi="Times New Roman" w:cs="Times New Roman"/>
          <w:noProof/>
          <w:sz w:val="24"/>
          <w:szCs w:val="24"/>
        </w:rPr>
        <w:t xml:space="preserve"> situate,</w:t>
      </w:r>
      <w:r w:rsidRPr="000927F8">
        <w:rPr>
          <w:rFonts w:ascii="Times New Roman" w:eastAsia="Times New Roman" w:hAnsi="Times New Roman" w:cs="Times New Roman"/>
          <w:noProof/>
          <w:sz w:val="24"/>
          <w:szCs w:val="24"/>
        </w:rPr>
        <w:t xml:space="preserve"> një sër</w:t>
      </w:r>
      <w:r w:rsidR="004C7586"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bankash qëndrore kanë rishikuar politikën monetare duke rritur edhe më</w:t>
      </w:r>
      <w:r w:rsidR="002201AA" w:rsidRPr="000927F8">
        <w:rPr>
          <w:rFonts w:ascii="Times New Roman" w:eastAsia="Times New Roman" w:hAnsi="Times New Roman" w:cs="Times New Roman"/>
          <w:noProof/>
          <w:sz w:val="24"/>
          <w:szCs w:val="24"/>
        </w:rPr>
        <w:t xml:space="preserve"> tej ekpansionin mo</w:t>
      </w:r>
      <w:r w:rsidR="00CE54B0">
        <w:rPr>
          <w:rFonts w:ascii="Times New Roman" w:eastAsia="Times New Roman" w:hAnsi="Times New Roman" w:cs="Times New Roman"/>
          <w:noProof/>
          <w:sz w:val="24"/>
          <w:szCs w:val="24"/>
        </w:rPr>
        <w:t>ne</w:t>
      </w:r>
      <w:r w:rsidR="002201AA" w:rsidRPr="000927F8">
        <w:rPr>
          <w:rFonts w:ascii="Times New Roman" w:eastAsia="Times New Roman" w:hAnsi="Times New Roman" w:cs="Times New Roman"/>
          <w:noProof/>
          <w:sz w:val="24"/>
          <w:szCs w:val="24"/>
        </w:rPr>
        <w:t>tar (</w:t>
      </w:r>
      <w:r w:rsidRPr="000927F8">
        <w:rPr>
          <w:rFonts w:ascii="Times New Roman" w:eastAsia="Times New Roman" w:hAnsi="Times New Roman" w:cs="Times New Roman"/>
          <w:noProof/>
          <w:sz w:val="24"/>
          <w:szCs w:val="24"/>
        </w:rPr>
        <w:t>përfshirë këtu BQE, Rezervën Federale, Bankën Popullore të Kinës</w:t>
      </w:r>
      <w:r w:rsidR="002201AA" w:rsidRPr="000927F8">
        <w:rPr>
          <w:rFonts w:ascii="Times New Roman" w:eastAsia="Times New Roman" w:hAnsi="Times New Roman" w:cs="Times New Roman"/>
          <w:noProof/>
          <w:sz w:val="24"/>
          <w:szCs w:val="24"/>
        </w:rPr>
        <w:t>,</w:t>
      </w:r>
      <w:r w:rsidRPr="000927F8">
        <w:rPr>
          <w:rFonts w:ascii="Times New Roman" w:eastAsia="Times New Roman" w:hAnsi="Times New Roman" w:cs="Times New Roman"/>
          <w:noProof/>
          <w:sz w:val="24"/>
          <w:szCs w:val="24"/>
        </w:rPr>
        <w:t xml:space="preserve"> etj</w:t>
      </w:r>
      <w:r w:rsidR="002201AA" w:rsidRPr="000927F8">
        <w:rPr>
          <w:rFonts w:ascii="Times New Roman" w:eastAsia="Times New Roman" w:hAnsi="Times New Roman" w:cs="Times New Roman"/>
          <w:noProof/>
          <w:sz w:val="24"/>
          <w:szCs w:val="24"/>
        </w:rPr>
        <w:t>.)</w:t>
      </w:r>
    </w:p>
    <w:p w14:paraId="71DF5CCE" w14:textId="77777777" w:rsidR="004C7586" w:rsidRPr="004C7586" w:rsidRDefault="004C7586" w:rsidP="007E3227">
      <w:pPr>
        <w:spacing w:after="0" w:line="276" w:lineRule="auto"/>
        <w:ind w:right="237"/>
        <w:jc w:val="both"/>
        <w:rPr>
          <w:rFonts w:ascii="Times New Roman" w:eastAsia="Times New Roman" w:hAnsi="Times New Roman" w:cs="Times New Roman"/>
          <w:noProof/>
          <w:sz w:val="24"/>
          <w:szCs w:val="24"/>
        </w:rPr>
      </w:pPr>
      <w:r w:rsidRPr="000927F8">
        <w:rPr>
          <w:rFonts w:ascii="Times New Roman" w:eastAsia="Times New Roman" w:hAnsi="Times New Roman" w:cs="Times New Roman"/>
          <w:noProof/>
          <w:sz w:val="24"/>
          <w:szCs w:val="24"/>
        </w:rPr>
        <w:t>BQE ka vijuar me shtimin e mëtejshëm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likuiditetit nëpërmjet një programi të ri blerjesh të titujve dhe kreditimi afatgjatë të sistemit bankar. Nd</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rkoh</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Rezerva Federale në fillim të vitit ndaloi ciklin rritës të inter</w:t>
      </w:r>
      <w:r w:rsidR="000927F8" w:rsidRPr="000927F8">
        <w:rPr>
          <w:rFonts w:ascii="Times New Roman" w:eastAsia="Times New Roman" w:hAnsi="Times New Roman" w:cs="Times New Roman"/>
          <w:noProof/>
          <w:sz w:val="24"/>
          <w:szCs w:val="24"/>
        </w:rPr>
        <w:t>esa</w:t>
      </w:r>
      <w:r w:rsidRPr="000927F8">
        <w:rPr>
          <w:rFonts w:ascii="Times New Roman" w:eastAsia="Times New Roman" w:hAnsi="Times New Roman" w:cs="Times New Roman"/>
          <w:noProof/>
          <w:sz w:val="24"/>
          <w:szCs w:val="24"/>
        </w:rPr>
        <w:t>ve dhe uli me 50 pb normën bazë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interesit gjat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muajve Korrik-Shtator. N</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k</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to kushte</w:t>
      </w:r>
      <w:r w:rsidR="000927F8" w:rsidRPr="000927F8">
        <w:rPr>
          <w:rFonts w:ascii="Times New Roman" w:eastAsia="Times New Roman" w:hAnsi="Times New Roman" w:cs="Times New Roman"/>
          <w:noProof/>
          <w:sz w:val="24"/>
          <w:szCs w:val="24"/>
        </w:rPr>
        <w:t>,</w:t>
      </w:r>
      <w:r w:rsidRPr="000927F8">
        <w:rPr>
          <w:rFonts w:ascii="Times New Roman" w:eastAsia="Times New Roman" w:hAnsi="Times New Roman" w:cs="Times New Roman"/>
          <w:noProof/>
          <w:sz w:val="24"/>
          <w:szCs w:val="24"/>
        </w:rPr>
        <w:t xml:space="preserve"> pri</w:t>
      </w:r>
      <w:r w:rsidR="006A1C14">
        <w:rPr>
          <w:rFonts w:ascii="Times New Roman" w:eastAsia="Times New Roman" w:hAnsi="Times New Roman" w:cs="Times New Roman"/>
          <w:noProof/>
          <w:sz w:val="24"/>
          <w:szCs w:val="24"/>
        </w:rPr>
        <w:t>t</w:t>
      </w:r>
      <w:r w:rsidRPr="000927F8">
        <w:rPr>
          <w:rFonts w:ascii="Times New Roman" w:eastAsia="Times New Roman" w:hAnsi="Times New Roman" w:cs="Times New Roman"/>
          <w:noProof/>
          <w:sz w:val="24"/>
          <w:szCs w:val="24"/>
        </w:rPr>
        <w:t>shmëritë jan</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q</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normat e interesit do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vijojn</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q</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ndrojn</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n</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nivele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w:t>
      </w:r>
      <w:r w:rsidR="006C55D4">
        <w:rPr>
          <w:rFonts w:ascii="Times New Roman" w:eastAsia="Times New Roman" w:hAnsi="Times New Roman" w:cs="Times New Roman"/>
          <w:noProof/>
          <w:sz w:val="24"/>
          <w:szCs w:val="24"/>
        </w:rPr>
        <w:t>krahasueshme me aktualet</w:t>
      </w:r>
      <w:r w:rsidRPr="000927F8">
        <w:rPr>
          <w:rFonts w:ascii="Times New Roman" w:eastAsia="Times New Roman" w:hAnsi="Times New Roman" w:cs="Times New Roman"/>
          <w:noProof/>
          <w:sz w:val="24"/>
          <w:szCs w:val="24"/>
        </w:rPr>
        <w:t>.</w:t>
      </w:r>
      <w:r w:rsidRPr="004C7586">
        <w:rPr>
          <w:rFonts w:ascii="Times New Roman" w:eastAsia="Times New Roman" w:hAnsi="Times New Roman" w:cs="Times New Roman"/>
          <w:noProof/>
          <w:sz w:val="24"/>
          <w:szCs w:val="24"/>
        </w:rPr>
        <w:t xml:space="preserve"> </w:t>
      </w:r>
    </w:p>
    <w:p w14:paraId="71DF5CCF" w14:textId="77777777" w:rsidR="004C7586" w:rsidRPr="004E3D84" w:rsidRDefault="004C7586" w:rsidP="00F827EE">
      <w:pPr>
        <w:spacing w:after="0" w:line="276" w:lineRule="auto"/>
        <w:ind w:left="284" w:right="237"/>
        <w:jc w:val="both"/>
        <w:rPr>
          <w:rFonts w:ascii="Times New Roman" w:eastAsia="Times New Roman" w:hAnsi="Times New Roman" w:cs="Times New Roman"/>
          <w:noProof/>
          <w:sz w:val="16"/>
          <w:szCs w:val="24"/>
        </w:rPr>
      </w:pPr>
    </w:p>
    <w:p w14:paraId="71DF5CD0" w14:textId="77777777" w:rsidR="004E3D84" w:rsidRDefault="004E3D84" w:rsidP="007E3227">
      <w:pPr>
        <w:spacing w:after="0" w:line="276" w:lineRule="auto"/>
        <w:ind w:right="237"/>
        <w:jc w:val="both"/>
        <w:rPr>
          <w:rFonts w:ascii="Times New Roman" w:eastAsia="Times New Roman" w:hAnsi="Times New Roman" w:cs="Times New Roman"/>
          <w:noProof/>
          <w:sz w:val="24"/>
          <w:szCs w:val="24"/>
        </w:rPr>
      </w:pPr>
      <w:r w:rsidRPr="006C55D4">
        <w:rPr>
          <w:rFonts w:ascii="Times New Roman" w:eastAsia="Times New Roman" w:hAnsi="Times New Roman" w:cs="Times New Roman"/>
          <w:i/>
          <w:noProof/>
          <w:sz w:val="24"/>
          <w:szCs w:val="24"/>
        </w:rPr>
        <w:t>Kursi i këmbimit</w:t>
      </w:r>
      <w:r w:rsidRPr="000927F8">
        <w:rPr>
          <w:rFonts w:ascii="Times New Roman" w:eastAsia="Times New Roman" w:hAnsi="Times New Roman" w:cs="Times New Roman"/>
          <w:noProof/>
          <w:sz w:val="24"/>
          <w:szCs w:val="24"/>
        </w:rPr>
        <w:t xml:space="preserve"> të monedhës vendase kundrejt monedhës Euro, ka vijuar mbiçmimin </w:t>
      </w:r>
      <w:r w:rsidR="00CC2615">
        <w:rPr>
          <w:rFonts w:ascii="Times New Roman" w:eastAsia="Times New Roman" w:hAnsi="Times New Roman" w:cs="Times New Roman"/>
          <w:noProof/>
          <w:sz w:val="24"/>
          <w:szCs w:val="24"/>
        </w:rPr>
        <w:t>e</w:t>
      </w:r>
      <w:r w:rsidRPr="000927F8">
        <w:rPr>
          <w:rFonts w:ascii="Times New Roman" w:eastAsia="Times New Roman" w:hAnsi="Times New Roman" w:cs="Times New Roman"/>
          <w:noProof/>
          <w:sz w:val="24"/>
          <w:szCs w:val="24"/>
        </w:rPr>
        <w:t>dhe gjatë pjesës së parë të vitit 2019</w:t>
      </w:r>
      <w:r w:rsidR="00CC2615">
        <w:rPr>
          <w:rFonts w:ascii="Times New Roman" w:eastAsia="Times New Roman" w:hAnsi="Times New Roman" w:cs="Times New Roman"/>
          <w:noProof/>
          <w:sz w:val="24"/>
          <w:szCs w:val="24"/>
        </w:rPr>
        <w:t>,</w:t>
      </w:r>
      <w:r w:rsidRPr="000927F8">
        <w:rPr>
          <w:rFonts w:ascii="Times New Roman" w:eastAsia="Times New Roman" w:hAnsi="Times New Roman" w:cs="Times New Roman"/>
          <w:noProof/>
          <w:sz w:val="24"/>
          <w:szCs w:val="24"/>
        </w:rPr>
        <w:t xml:space="preserve"> duke kapur nivelin 121.4 Lek</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Për të shmangur efektet negative në inflacion nga mbiçmimi i monedhës vendase, Banka e Shqipërisë ka ndër</w:t>
      </w:r>
      <w:r w:rsidR="006A1C14">
        <w:rPr>
          <w:rFonts w:ascii="Times New Roman" w:eastAsia="Times New Roman" w:hAnsi="Times New Roman" w:cs="Times New Roman"/>
          <w:noProof/>
          <w:sz w:val="24"/>
          <w:szCs w:val="24"/>
        </w:rPr>
        <w:t>hyrë në tregun e brendshëm valu</w:t>
      </w:r>
      <w:r w:rsidRPr="000927F8">
        <w:rPr>
          <w:rFonts w:ascii="Times New Roman" w:eastAsia="Times New Roman" w:hAnsi="Times New Roman" w:cs="Times New Roman"/>
          <w:noProof/>
          <w:sz w:val="24"/>
          <w:szCs w:val="24"/>
        </w:rPr>
        <w:t>tor duke tërhequr ofertën e tepërt të valutës</w:t>
      </w:r>
      <w:r w:rsidR="000927F8" w:rsidRPr="000927F8">
        <w:rPr>
          <w:rFonts w:ascii="Times New Roman" w:eastAsia="Times New Roman" w:hAnsi="Times New Roman" w:cs="Times New Roman"/>
          <w:noProof/>
          <w:sz w:val="24"/>
          <w:szCs w:val="24"/>
        </w:rPr>
        <w:t>,</w:t>
      </w:r>
      <w:r w:rsidRPr="000927F8">
        <w:rPr>
          <w:rFonts w:ascii="Times New Roman" w:eastAsia="Times New Roman" w:hAnsi="Times New Roman" w:cs="Times New Roman"/>
          <w:noProof/>
          <w:sz w:val="24"/>
          <w:szCs w:val="24"/>
        </w:rPr>
        <w:t xml:space="preserve">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ndikuar edhe nga flukset e larta sezonale të verës. Pritshmëritë vlerësojnë nj</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stabilizim të presioneve mbiçmuese të monedh</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s vendase n</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periudh</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n afatshkurt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r dhe nj</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rritje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moderuar t</w:t>
      </w:r>
      <w:r w:rsidR="00982338" w:rsidRPr="000927F8">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 xml:space="preserve"> kursit të k</w:t>
      </w:r>
      <w:r w:rsidR="008545B3">
        <w:rPr>
          <w:rFonts w:ascii="Times New Roman" w:eastAsia="Times New Roman" w:hAnsi="Times New Roman" w:cs="Times New Roman"/>
          <w:noProof/>
          <w:sz w:val="24"/>
          <w:szCs w:val="24"/>
        </w:rPr>
        <w:t>ë</w:t>
      </w:r>
      <w:r w:rsidRPr="000927F8">
        <w:rPr>
          <w:rFonts w:ascii="Times New Roman" w:eastAsia="Times New Roman" w:hAnsi="Times New Roman" w:cs="Times New Roman"/>
          <w:noProof/>
          <w:sz w:val="24"/>
          <w:szCs w:val="24"/>
        </w:rPr>
        <w:t>mbimit EUR/LEK në përiudhën afatmesme, por duke qëndruar konsiderueshëm poshtë mesatares historike.</w:t>
      </w:r>
    </w:p>
    <w:p w14:paraId="71DF5CD1" w14:textId="77777777" w:rsidR="004E3D84" w:rsidRPr="004E3D84" w:rsidRDefault="004E3D84" w:rsidP="00FB7947">
      <w:pPr>
        <w:spacing w:after="0" w:line="276" w:lineRule="auto"/>
        <w:ind w:right="237"/>
        <w:jc w:val="both"/>
        <w:rPr>
          <w:rFonts w:ascii="Times New Roman" w:eastAsia="Times New Roman" w:hAnsi="Times New Roman" w:cs="Times New Roman"/>
          <w:noProof/>
          <w:sz w:val="16"/>
          <w:szCs w:val="24"/>
        </w:rPr>
      </w:pPr>
    </w:p>
    <w:p w14:paraId="71DF5CD2" w14:textId="77777777" w:rsidR="00E57778" w:rsidRPr="000927F8" w:rsidRDefault="00A47AB7" w:rsidP="00E57778">
      <w:pPr>
        <w:tabs>
          <w:tab w:val="left" w:pos="270"/>
          <w:tab w:val="left" w:pos="8647"/>
        </w:tabs>
        <w:spacing w:after="0" w:line="240" w:lineRule="auto"/>
        <w:ind w:left="284" w:right="295"/>
        <w:contextualSpacing/>
        <w:jc w:val="center"/>
        <w:rPr>
          <w:rFonts w:ascii="Cambria" w:eastAsia="Calibri" w:hAnsi="Cambria" w:cs="Times New Roman"/>
          <w:i/>
          <w:noProof/>
          <w:color w:val="8E0000"/>
          <w:sz w:val="20"/>
          <w:szCs w:val="20"/>
          <w:lang w:val="sq-AL"/>
        </w:rPr>
      </w:pPr>
      <w:r>
        <w:rPr>
          <w:rFonts w:ascii="Cambria" w:eastAsia="Calibri" w:hAnsi="Cambria" w:cs="Times New Roman"/>
          <w:b/>
          <w:noProof/>
          <w:color w:val="8E0000"/>
          <w:sz w:val="20"/>
          <w:szCs w:val="20"/>
          <w:lang w:val="sq-AL"/>
        </w:rPr>
        <w:t>Tabela 1.1</w:t>
      </w:r>
      <w:r w:rsidR="00E57778" w:rsidRPr="000927F8">
        <w:rPr>
          <w:rFonts w:ascii="Cambria" w:eastAsia="Calibri" w:hAnsi="Cambria" w:cs="Times New Roman"/>
          <w:b/>
          <w:noProof/>
          <w:color w:val="8E0000"/>
          <w:sz w:val="20"/>
          <w:szCs w:val="20"/>
          <w:lang w:val="sq-AL"/>
        </w:rPr>
        <w:t>:</w:t>
      </w:r>
      <w:r w:rsidR="00E57778" w:rsidRPr="000927F8">
        <w:rPr>
          <w:rFonts w:ascii="Cambria" w:eastAsia="Calibri" w:hAnsi="Cambria" w:cs="Times New Roman"/>
          <w:i/>
          <w:noProof/>
          <w:color w:val="8E0000"/>
          <w:sz w:val="20"/>
          <w:szCs w:val="20"/>
          <w:lang w:val="sq-AL"/>
        </w:rPr>
        <w:t xml:space="preserve"> P</w:t>
      </w:r>
      <w:r w:rsidR="0010432A">
        <w:rPr>
          <w:rFonts w:ascii="Cambria" w:eastAsia="Calibri" w:hAnsi="Cambria" w:cs="Times New Roman"/>
          <w:i/>
          <w:noProof/>
          <w:color w:val="8E0000"/>
          <w:sz w:val="20"/>
          <w:szCs w:val="20"/>
          <w:lang w:val="sq-AL"/>
        </w:rPr>
        <w:t>ritjet</w:t>
      </w:r>
      <w:r w:rsidR="00E57778" w:rsidRPr="000927F8">
        <w:rPr>
          <w:rFonts w:ascii="Cambria" w:eastAsia="Calibri" w:hAnsi="Cambria" w:cs="Times New Roman"/>
          <w:i/>
          <w:noProof/>
          <w:color w:val="8E0000"/>
          <w:sz w:val="20"/>
          <w:szCs w:val="20"/>
          <w:lang w:val="sq-AL"/>
        </w:rPr>
        <w:t xml:space="preserve"> e treguesve</w:t>
      </w:r>
      <w:r w:rsidR="0010432A">
        <w:rPr>
          <w:rFonts w:ascii="Cambria" w:eastAsia="Calibri" w:hAnsi="Cambria" w:cs="Times New Roman"/>
          <w:i/>
          <w:noProof/>
          <w:color w:val="8E0000"/>
          <w:sz w:val="20"/>
          <w:szCs w:val="20"/>
          <w:lang w:val="sq-AL"/>
        </w:rPr>
        <w:t xml:space="preserve"> kryesorë</w:t>
      </w:r>
      <w:r w:rsidR="00E57778" w:rsidRPr="000927F8">
        <w:rPr>
          <w:rFonts w:ascii="Cambria" w:eastAsia="Calibri" w:hAnsi="Cambria" w:cs="Times New Roman"/>
          <w:i/>
          <w:noProof/>
          <w:color w:val="8E0000"/>
          <w:sz w:val="20"/>
          <w:szCs w:val="20"/>
          <w:lang w:val="sq-AL"/>
        </w:rPr>
        <w:t xml:space="preserve"> makroekonomikë</w:t>
      </w:r>
      <w:r w:rsidR="0010432A">
        <w:rPr>
          <w:rFonts w:ascii="Cambria" w:eastAsia="Calibri" w:hAnsi="Cambria" w:cs="Times New Roman"/>
          <w:i/>
          <w:noProof/>
          <w:color w:val="8E0000"/>
          <w:sz w:val="20"/>
          <w:szCs w:val="20"/>
          <w:lang w:val="sq-AL"/>
        </w:rPr>
        <w:t xml:space="preserve"> e fiskalë</w:t>
      </w:r>
      <w:r w:rsidR="00E57778" w:rsidRPr="000927F8">
        <w:rPr>
          <w:rFonts w:ascii="Cambria" w:eastAsia="Calibri" w:hAnsi="Cambria" w:cs="Times New Roman"/>
          <w:i/>
          <w:noProof/>
          <w:color w:val="8E0000"/>
          <w:sz w:val="20"/>
          <w:szCs w:val="20"/>
          <w:lang w:val="sq-AL"/>
        </w:rPr>
        <w:t xml:space="preserve"> (201</w:t>
      </w:r>
      <w:r w:rsidR="00845172" w:rsidRPr="000927F8">
        <w:rPr>
          <w:rFonts w:ascii="Cambria" w:eastAsia="Calibri" w:hAnsi="Cambria" w:cs="Times New Roman"/>
          <w:i/>
          <w:noProof/>
          <w:color w:val="8E0000"/>
          <w:sz w:val="20"/>
          <w:szCs w:val="20"/>
          <w:lang w:val="sq-AL"/>
        </w:rPr>
        <w:t>9</w:t>
      </w:r>
      <w:r w:rsidR="00E57778" w:rsidRPr="000927F8">
        <w:rPr>
          <w:rFonts w:ascii="Cambria" w:eastAsia="Calibri" w:hAnsi="Cambria" w:cs="Times New Roman"/>
          <w:i/>
          <w:noProof/>
          <w:color w:val="8E0000"/>
          <w:sz w:val="20"/>
          <w:szCs w:val="20"/>
          <w:lang w:val="sq-AL"/>
        </w:rPr>
        <w:t>-202</w:t>
      </w:r>
      <w:r w:rsidR="00845172" w:rsidRPr="000927F8">
        <w:rPr>
          <w:rFonts w:ascii="Cambria" w:eastAsia="Calibri" w:hAnsi="Cambria" w:cs="Times New Roman"/>
          <w:i/>
          <w:noProof/>
          <w:color w:val="8E0000"/>
          <w:sz w:val="20"/>
          <w:szCs w:val="20"/>
          <w:lang w:val="sq-AL"/>
        </w:rPr>
        <w:t>2</w:t>
      </w:r>
      <w:r w:rsidR="00E57778" w:rsidRPr="000927F8">
        <w:rPr>
          <w:rFonts w:ascii="Cambria" w:eastAsia="Calibri" w:hAnsi="Cambria" w:cs="Times New Roman"/>
          <w:i/>
          <w:noProof/>
          <w:color w:val="8E0000"/>
          <w:sz w:val="20"/>
          <w:szCs w:val="20"/>
          <w:lang w:val="sq-AL"/>
        </w:rPr>
        <w:t xml:space="preserve">) </w:t>
      </w:r>
    </w:p>
    <w:p w14:paraId="71DF5CD3" w14:textId="77777777" w:rsidR="00FB7947" w:rsidRDefault="00FB7947" w:rsidP="00FB7947">
      <w:pPr>
        <w:tabs>
          <w:tab w:val="left" w:pos="0"/>
          <w:tab w:val="left" w:pos="8647"/>
        </w:tabs>
        <w:spacing w:after="0" w:line="240" w:lineRule="auto"/>
        <w:ind w:right="295"/>
        <w:contextualSpacing/>
        <w:jc w:val="center"/>
        <w:rPr>
          <w:rFonts w:ascii="Cambria" w:eastAsia="Calibri" w:hAnsi="Cambria" w:cs="Times New Roman"/>
          <w:b/>
          <w:noProof/>
          <w:color w:val="8E0000"/>
          <w:sz w:val="20"/>
          <w:szCs w:val="20"/>
          <w:lang w:val="sq-AL"/>
        </w:rPr>
      </w:pPr>
      <w:r w:rsidRPr="00FB7947">
        <w:rPr>
          <w:noProof/>
        </w:rPr>
        <w:drawing>
          <wp:inline distT="0" distB="0" distL="0" distR="0" wp14:anchorId="71DF5F91" wp14:editId="71DF5F92">
            <wp:extent cx="5553075" cy="1133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56045" cy="1134081"/>
                    </a:xfrm>
                    <a:prstGeom prst="rect">
                      <a:avLst/>
                    </a:prstGeom>
                    <a:noFill/>
                    <a:ln>
                      <a:noFill/>
                    </a:ln>
                  </pic:spPr>
                </pic:pic>
              </a:graphicData>
            </a:graphic>
          </wp:inline>
        </w:drawing>
      </w:r>
    </w:p>
    <w:p w14:paraId="71DF5CD4" w14:textId="77777777" w:rsidR="00E57778" w:rsidRPr="000F5C13" w:rsidRDefault="00E57778" w:rsidP="00B67115">
      <w:pPr>
        <w:tabs>
          <w:tab w:val="left" w:pos="8647"/>
        </w:tabs>
        <w:spacing w:after="0" w:line="240" w:lineRule="auto"/>
        <w:ind w:right="96"/>
        <w:contextualSpacing/>
        <w:rPr>
          <w:rFonts w:ascii="Cambria" w:eastAsia="Calibri" w:hAnsi="Cambria" w:cs="Times New Roman"/>
          <w:i/>
          <w:noProof/>
          <w:color w:val="8E0000"/>
          <w:sz w:val="20"/>
          <w:szCs w:val="20"/>
          <w:lang w:val="sq-AL"/>
        </w:rPr>
      </w:pPr>
      <w:r w:rsidRPr="000927F8">
        <w:rPr>
          <w:rFonts w:ascii="Cambria" w:eastAsia="Calibri" w:hAnsi="Cambria" w:cs="Times New Roman"/>
          <w:b/>
          <w:noProof/>
          <w:color w:val="8E0000"/>
          <w:sz w:val="20"/>
          <w:szCs w:val="20"/>
          <w:lang w:val="sq-AL"/>
        </w:rPr>
        <w:t xml:space="preserve">Burimi: </w:t>
      </w:r>
      <w:r w:rsidR="00B67115" w:rsidRPr="00B67115">
        <w:rPr>
          <w:rFonts w:ascii="Cambria" w:eastAsia="Calibri" w:hAnsi="Cambria" w:cs="Times New Roman"/>
          <w:i/>
          <w:noProof/>
          <w:color w:val="8E0000"/>
          <w:sz w:val="20"/>
          <w:szCs w:val="20"/>
          <w:lang w:val="sq-AL"/>
        </w:rPr>
        <w:t xml:space="preserve">FMN, </w:t>
      </w:r>
      <w:r w:rsidR="00B67115">
        <w:rPr>
          <w:rFonts w:ascii="Cambria" w:eastAsia="Calibri" w:hAnsi="Cambria" w:cs="Times New Roman"/>
          <w:i/>
          <w:noProof/>
          <w:color w:val="8E0000"/>
          <w:sz w:val="20"/>
          <w:szCs w:val="20"/>
          <w:lang w:val="sq-AL"/>
        </w:rPr>
        <w:t>W</w:t>
      </w:r>
      <w:r w:rsidR="00B67115" w:rsidRPr="00B67115">
        <w:rPr>
          <w:rFonts w:ascii="Cambria" w:eastAsia="Calibri" w:hAnsi="Cambria" w:cs="Times New Roman"/>
          <w:i/>
          <w:noProof/>
          <w:color w:val="8E0000"/>
          <w:sz w:val="20"/>
          <w:szCs w:val="20"/>
          <w:lang w:val="sq-AL"/>
        </w:rPr>
        <w:t xml:space="preserve">OE </w:t>
      </w:r>
      <w:r w:rsidR="00B67115">
        <w:rPr>
          <w:rFonts w:ascii="Cambria" w:eastAsia="Calibri" w:hAnsi="Cambria" w:cs="Times New Roman"/>
          <w:i/>
          <w:noProof/>
          <w:color w:val="8E0000"/>
          <w:sz w:val="20"/>
          <w:szCs w:val="20"/>
          <w:lang w:val="sq-AL"/>
        </w:rPr>
        <w:t xml:space="preserve">(Tetor </w:t>
      </w:r>
      <w:r w:rsidR="00B67115" w:rsidRPr="00B67115">
        <w:rPr>
          <w:rFonts w:ascii="Cambria" w:eastAsia="Calibri" w:hAnsi="Cambria" w:cs="Times New Roman"/>
          <w:i/>
          <w:noProof/>
          <w:color w:val="8E0000"/>
          <w:sz w:val="20"/>
          <w:szCs w:val="20"/>
          <w:lang w:val="sq-AL"/>
        </w:rPr>
        <w:t>2019</w:t>
      </w:r>
      <w:r w:rsidR="00B67115">
        <w:rPr>
          <w:rFonts w:ascii="Cambria" w:eastAsia="Calibri" w:hAnsi="Cambria" w:cs="Times New Roman"/>
          <w:i/>
          <w:noProof/>
          <w:color w:val="8E0000"/>
          <w:sz w:val="20"/>
          <w:szCs w:val="20"/>
          <w:lang w:val="sq-AL"/>
        </w:rPr>
        <w:t>);</w:t>
      </w:r>
      <w:r w:rsidR="00B67115" w:rsidRPr="00B67115">
        <w:rPr>
          <w:rFonts w:ascii="Cambria" w:eastAsia="Calibri" w:hAnsi="Cambria" w:cs="Times New Roman"/>
          <w:i/>
          <w:noProof/>
          <w:color w:val="8E0000"/>
          <w:sz w:val="20"/>
          <w:szCs w:val="20"/>
          <w:lang w:val="sq-AL"/>
        </w:rPr>
        <w:t xml:space="preserve"> Ministria e Financave dhe Ekonomisë</w:t>
      </w:r>
      <w:r w:rsidR="00B67115">
        <w:rPr>
          <w:rFonts w:ascii="Cambria" w:eastAsia="Calibri" w:hAnsi="Cambria" w:cs="Times New Roman"/>
          <w:i/>
          <w:noProof/>
          <w:color w:val="8E0000"/>
          <w:sz w:val="20"/>
          <w:szCs w:val="20"/>
          <w:lang w:val="sq-AL"/>
        </w:rPr>
        <w:t xml:space="preserve"> (2019); Banka e Shqipërisë (2019)</w:t>
      </w:r>
    </w:p>
    <w:p w14:paraId="71DF5CD5" w14:textId="77777777" w:rsidR="00E57778" w:rsidRPr="000F5C13" w:rsidRDefault="00E57778" w:rsidP="00E57778">
      <w:pPr>
        <w:spacing w:after="0" w:line="240" w:lineRule="auto"/>
        <w:rPr>
          <w:rFonts w:ascii="Times New Roman" w:eastAsia="Times New Roman" w:hAnsi="Times New Roman" w:cs="Times New Roman"/>
          <w:b/>
          <w:i/>
          <w:noProof/>
          <w:sz w:val="20"/>
          <w:szCs w:val="16"/>
          <w:lang w:val="sq-AL"/>
        </w:rPr>
      </w:pPr>
    </w:p>
    <w:p w14:paraId="71DF5CD6" w14:textId="77777777" w:rsidR="00E57778" w:rsidRPr="000F5C13" w:rsidRDefault="00E57778" w:rsidP="004A70BC">
      <w:pPr>
        <w:pStyle w:val="Heading2"/>
        <w:numPr>
          <w:ilvl w:val="1"/>
          <w:numId w:val="21"/>
        </w:numPr>
        <w:ind w:left="709" w:right="238" w:hanging="709"/>
        <w:jc w:val="both"/>
        <w:rPr>
          <w:rFonts w:eastAsia="Times New Roman"/>
          <w:noProof/>
          <w:lang w:val="sq-AL"/>
        </w:rPr>
      </w:pPr>
      <w:bookmarkStart w:id="92" w:name="_Toc491861006"/>
      <w:bookmarkStart w:id="93" w:name="_Toc491954319"/>
      <w:bookmarkStart w:id="94" w:name="_Toc524506546"/>
      <w:r w:rsidRPr="000F5C13">
        <w:rPr>
          <w:rFonts w:eastAsia="Times New Roman"/>
          <w:noProof/>
          <w:lang w:val="sq-AL"/>
        </w:rPr>
        <w:lastRenderedPageBreak/>
        <w:t>Vlerësime referuar borxhit ekzistues, tregjeve të instrumenteve financiare dhe faktorëve makroekonomik</w:t>
      </w:r>
      <w:bookmarkEnd w:id="92"/>
      <w:bookmarkEnd w:id="93"/>
      <w:bookmarkEnd w:id="94"/>
      <w:r w:rsidRPr="000F5C13">
        <w:rPr>
          <w:rFonts w:eastAsia="Times New Roman"/>
          <w:noProof/>
          <w:lang w:val="sq-AL"/>
        </w:rPr>
        <w:t xml:space="preserve">ë </w:t>
      </w:r>
    </w:p>
    <w:p w14:paraId="71DF5CD7" w14:textId="77777777" w:rsidR="00E57778" w:rsidRPr="000F5C13" w:rsidRDefault="00E57778" w:rsidP="00590B71">
      <w:pPr>
        <w:pStyle w:val="Heading2"/>
        <w:rPr>
          <w:rFonts w:ascii="Times New Roman" w:eastAsia="Times New Roman" w:hAnsi="Times New Roman" w:cs="Times New Roman"/>
          <w:noProof/>
          <w:sz w:val="20"/>
          <w:szCs w:val="16"/>
          <w:lang w:val="sq-AL"/>
        </w:rPr>
      </w:pPr>
    </w:p>
    <w:p w14:paraId="71DF5CD8" w14:textId="77777777" w:rsidR="00D22726" w:rsidRPr="00AF0FD1" w:rsidRDefault="00D22726" w:rsidP="00590B71">
      <w:pPr>
        <w:spacing w:after="0" w:line="276" w:lineRule="auto"/>
        <w:ind w:right="237"/>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Gjat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viteve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fundit struktura e borxhit shtet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ror </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sht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p</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rmir</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suar ndjesh</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m n</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aspektin e ekspozimit ndaj risqeve. Megjithat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borxhi shtet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ror vijon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mbetet i ekspozuar kryesisht kundrejt riskut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rifinancimit, riskut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normave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interesit dhe riskut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kursit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k</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mbimit. </w:t>
      </w:r>
    </w:p>
    <w:p w14:paraId="71DF5CD9" w14:textId="77777777" w:rsidR="00D22726" w:rsidRPr="00AF0FD1" w:rsidRDefault="00D22726" w:rsidP="00590B71">
      <w:pPr>
        <w:spacing w:after="0" w:line="276" w:lineRule="auto"/>
        <w:ind w:right="237"/>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Risku i rifinancimit dhe risku i normave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interesit vijojn</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jen</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w:t>
      </w:r>
      <w:r w:rsidR="00D73939" w:rsidRPr="00AF0FD1">
        <w:rPr>
          <w:rFonts w:ascii="Times New Roman" w:eastAsia="Times New Roman" w:hAnsi="Times New Roman" w:cs="Times New Roman"/>
          <w:noProof/>
          <w:sz w:val="24"/>
          <w:szCs w:val="24"/>
          <w:lang w:val="sq-AL"/>
        </w:rPr>
        <w:t>burimet kryesore t</w:t>
      </w:r>
      <w:r w:rsidR="00982338" w:rsidRPr="00AF0FD1">
        <w:rPr>
          <w:rFonts w:ascii="Times New Roman" w:eastAsia="Times New Roman" w:hAnsi="Times New Roman" w:cs="Times New Roman"/>
          <w:noProof/>
          <w:sz w:val="24"/>
          <w:szCs w:val="24"/>
          <w:lang w:val="sq-AL"/>
        </w:rPr>
        <w:t>ë</w:t>
      </w:r>
      <w:r w:rsidR="00D73939" w:rsidRPr="00AF0FD1">
        <w:rPr>
          <w:rFonts w:ascii="Times New Roman" w:eastAsia="Times New Roman" w:hAnsi="Times New Roman" w:cs="Times New Roman"/>
          <w:noProof/>
          <w:sz w:val="24"/>
          <w:szCs w:val="24"/>
          <w:lang w:val="sq-AL"/>
        </w:rPr>
        <w:t xml:space="preserve"> riskut</w:t>
      </w:r>
      <w:r w:rsidRPr="00AF0FD1">
        <w:rPr>
          <w:rFonts w:ascii="Times New Roman" w:eastAsia="Times New Roman" w:hAnsi="Times New Roman" w:cs="Times New Roman"/>
          <w:noProof/>
          <w:sz w:val="24"/>
          <w:szCs w:val="24"/>
          <w:lang w:val="sq-AL"/>
        </w:rPr>
        <w:t xml:space="preserve"> n</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portofolin e borxhit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brendsh</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m</w:t>
      </w:r>
      <w:r w:rsidR="00D73939" w:rsidRPr="00AF0FD1">
        <w:rPr>
          <w:rFonts w:ascii="Times New Roman" w:eastAsia="Times New Roman" w:hAnsi="Times New Roman" w:cs="Times New Roman"/>
          <w:noProof/>
          <w:sz w:val="24"/>
          <w:szCs w:val="24"/>
          <w:lang w:val="sq-AL"/>
        </w:rPr>
        <w:t>, kryesisht</w:t>
      </w:r>
      <w:r w:rsidRPr="00AF0FD1">
        <w:rPr>
          <w:rFonts w:ascii="Times New Roman" w:eastAsia="Times New Roman" w:hAnsi="Times New Roman" w:cs="Times New Roman"/>
          <w:noProof/>
          <w:sz w:val="24"/>
          <w:szCs w:val="24"/>
          <w:lang w:val="sq-AL"/>
        </w:rPr>
        <w:t xml:space="preserve"> </w:t>
      </w:r>
      <w:r w:rsidR="00D73939" w:rsidRPr="00AF0FD1">
        <w:rPr>
          <w:rFonts w:ascii="Times New Roman" w:eastAsia="Times New Roman" w:hAnsi="Times New Roman" w:cs="Times New Roman"/>
          <w:noProof/>
          <w:sz w:val="24"/>
          <w:szCs w:val="24"/>
          <w:lang w:val="sq-AL"/>
        </w:rPr>
        <w:t>p</w:t>
      </w:r>
      <w:r w:rsidR="00982338" w:rsidRPr="00AF0FD1">
        <w:rPr>
          <w:rFonts w:ascii="Times New Roman" w:eastAsia="Times New Roman" w:hAnsi="Times New Roman" w:cs="Times New Roman"/>
          <w:noProof/>
          <w:sz w:val="24"/>
          <w:szCs w:val="24"/>
          <w:lang w:val="sq-AL"/>
        </w:rPr>
        <w:t>ë</w:t>
      </w:r>
      <w:r w:rsidR="00D73939" w:rsidRPr="00AF0FD1">
        <w:rPr>
          <w:rFonts w:ascii="Times New Roman" w:eastAsia="Times New Roman" w:hAnsi="Times New Roman" w:cs="Times New Roman"/>
          <w:noProof/>
          <w:sz w:val="24"/>
          <w:szCs w:val="24"/>
          <w:lang w:val="sq-AL"/>
        </w:rPr>
        <w:t>r shkaqe</w:t>
      </w:r>
      <w:r w:rsidR="00730763" w:rsidRPr="00AF0FD1">
        <w:rPr>
          <w:rFonts w:ascii="Times New Roman" w:eastAsia="Times New Roman" w:hAnsi="Times New Roman" w:cs="Times New Roman"/>
          <w:noProof/>
          <w:sz w:val="24"/>
          <w:szCs w:val="24"/>
          <w:lang w:val="sq-AL"/>
        </w:rPr>
        <w:t xml:space="preserve"> strukturor</w:t>
      </w:r>
      <w:r w:rsidR="00D73939" w:rsidRPr="00AF0FD1">
        <w:rPr>
          <w:rFonts w:ascii="Times New Roman" w:eastAsia="Times New Roman" w:hAnsi="Times New Roman" w:cs="Times New Roman"/>
          <w:noProof/>
          <w:sz w:val="24"/>
          <w:szCs w:val="24"/>
          <w:lang w:val="sq-AL"/>
        </w:rPr>
        <w:t>e</w:t>
      </w:r>
      <w:r w:rsidR="00730763" w:rsidRPr="00AF0FD1">
        <w:rPr>
          <w:rFonts w:ascii="Times New Roman" w:eastAsia="Times New Roman" w:hAnsi="Times New Roman" w:cs="Times New Roman"/>
          <w:noProof/>
          <w:sz w:val="24"/>
          <w:szCs w:val="24"/>
          <w:lang w:val="sq-AL"/>
        </w:rPr>
        <w:t xml:space="preserve"> </w:t>
      </w:r>
      <w:r w:rsidR="00D73939" w:rsidRPr="00AF0FD1">
        <w:rPr>
          <w:rFonts w:ascii="Times New Roman" w:eastAsia="Times New Roman" w:hAnsi="Times New Roman" w:cs="Times New Roman"/>
          <w:noProof/>
          <w:sz w:val="24"/>
          <w:szCs w:val="24"/>
          <w:lang w:val="sq-AL"/>
        </w:rPr>
        <w:t>t</w:t>
      </w:r>
      <w:r w:rsidR="00982338" w:rsidRPr="00AF0FD1">
        <w:rPr>
          <w:rFonts w:ascii="Times New Roman" w:eastAsia="Times New Roman" w:hAnsi="Times New Roman" w:cs="Times New Roman"/>
          <w:noProof/>
          <w:sz w:val="24"/>
          <w:szCs w:val="24"/>
          <w:lang w:val="sq-AL"/>
        </w:rPr>
        <w:t>ë</w:t>
      </w:r>
      <w:r w:rsidR="00D73939" w:rsidRPr="00AF0FD1">
        <w:rPr>
          <w:rFonts w:ascii="Times New Roman" w:eastAsia="Times New Roman" w:hAnsi="Times New Roman" w:cs="Times New Roman"/>
          <w:noProof/>
          <w:sz w:val="24"/>
          <w:szCs w:val="24"/>
          <w:lang w:val="sq-AL"/>
        </w:rPr>
        <w:t xml:space="preserve"> lidhura me tregun e brendsh</w:t>
      </w:r>
      <w:r w:rsidR="00982338" w:rsidRPr="00AF0FD1">
        <w:rPr>
          <w:rFonts w:ascii="Times New Roman" w:eastAsia="Times New Roman" w:hAnsi="Times New Roman" w:cs="Times New Roman"/>
          <w:noProof/>
          <w:sz w:val="24"/>
          <w:szCs w:val="24"/>
          <w:lang w:val="sq-AL"/>
        </w:rPr>
        <w:t>ë</w:t>
      </w:r>
      <w:r w:rsidR="00D73939" w:rsidRPr="00AF0FD1">
        <w:rPr>
          <w:rFonts w:ascii="Times New Roman" w:eastAsia="Times New Roman" w:hAnsi="Times New Roman" w:cs="Times New Roman"/>
          <w:noProof/>
          <w:sz w:val="24"/>
          <w:szCs w:val="24"/>
          <w:lang w:val="sq-AL"/>
        </w:rPr>
        <w:t>m t</w:t>
      </w:r>
      <w:r w:rsidR="00982338" w:rsidRPr="00AF0FD1">
        <w:rPr>
          <w:rFonts w:ascii="Times New Roman" w:eastAsia="Times New Roman" w:hAnsi="Times New Roman" w:cs="Times New Roman"/>
          <w:noProof/>
          <w:sz w:val="24"/>
          <w:szCs w:val="24"/>
          <w:lang w:val="sq-AL"/>
        </w:rPr>
        <w:t>ë</w:t>
      </w:r>
      <w:r w:rsidR="00D73939" w:rsidRPr="00AF0FD1">
        <w:rPr>
          <w:rFonts w:ascii="Times New Roman" w:eastAsia="Times New Roman" w:hAnsi="Times New Roman" w:cs="Times New Roman"/>
          <w:noProof/>
          <w:sz w:val="24"/>
          <w:szCs w:val="24"/>
          <w:lang w:val="sq-AL"/>
        </w:rPr>
        <w:t xml:space="preserve"> titujve shtet</w:t>
      </w:r>
      <w:r w:rsidR="00982338" w:rsidRPr="00AF0FD1">
        <w:rPr>
          <w:rFonts w:ascii="Times New Roman" w:eastAsia="Times New Roman" w:hAnsi="Times New Roman" w:cs="Times New Roman"/>
          <w:noProof/>
          <w:sz w:val="24"/>
          <w:szCs w:val="24"/>
          <w:lang w:val="sq-AL"/>
        </w:rPr>
        <w:t>ë</w:t>
      </w:r>
      <w:r w:rsidR="00D73939" w:rsidRPr="00AF0FD1">
        <w:rPr>
          <w:rFonts w:ascii="Times New Roman" w:eastAsia="Times New Roman" w:hAnsi="Times New Roman" w:cs="Times New Roman"/>
          <w:noProof/>
          <w:sz w:val="24"/>
          <w:szCs w:val="24"/>
          <w:lang w:val="sq-AL"/>
        </w:rPr>
        <w:t>ror</w:t>
      </w:r>
      <w:r w:rsidR="00982338" w:rsidRPr="00AF0FD1">
        <w:rPr>
          <w:rFonts w:ascii="Times New Roman" w:eastAsia="Times New Roman" w:hAnsi="Times New Roman" w:cs="Times New Roman"/>
          <w:noProof/>
          <w:sz w:val="24"/>
          <w:szCs w:val="24"/>
          <w:lang w:val="sq-AL"/>
        </w:rPr>
        <w:t>ë</w:t>
      </w:r>
      <w:r w:rsidR="00D73939" w:rsidRPr="00AF0FD1">
        <w:rPr>
          <w:rFonts w:ascii="Times New Roman" w:eastAsia="Times New Roman" w:hAnsi="Times New Roman" w:cs="Times New Roman"/>
          <w:noProof/>
          <w:sz w:val="24"/>
          <w:szCs w:val="24"/>
          <w:lang w:val="sq-AL"/>
        </w:rPr>
        <w:t>.</w:t>
      </w:r>
    </w:p>
    <w:p w14:paraId="71DF5CDA" w14:textId="77777777" w:rsidR="00D22726" w:rsidRDefault="00D73939" w:rsidP="00590B71">
      <w:pPr>
        <w:spacing w:after="0" w:line="276" w:lineRule="auto"/>
        <w:ind w:right="237"/>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Nd</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rkoh</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risku i kursit t</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k</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mbimit </w:t>
      </w:r>
      <w:r w:rsidR="00E576CA" w:rsidRPr="00AF0FD1">
        <w:rPr>
          <w:rFonts w:ascii="Times New Roman" w:eastAsia="Times New Roman" w:hAnsi="Times New Roman" w:cs="Times New Roman"/>
          <w:noProof/>
          <w:sz w:val="24"/>
          <w:szCs w:val="24"/>
          <w:lang w:val="sq-AL"/>
        </w:rPr>
        <w:t>megjith</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se </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sht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brenda parametrave 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vler</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suara </w:t>
      </w:r>
      <w:r w:rsidR="00772FAD">
        <w:rPr>
          <w:rFonts w:ascii="Times New Roman" w:eastAsia="Times New Roman" w:hAnsi="Times New Roman" w:cs="Times New Roman"/>
          <w:noProof/>
          <w:sz w:val="24"/>
          <w:szCs w:val="24"/>
          <w:lang w:val="sq-AL"/>
        </w:rPr>
        <w:t xml:space="preserve">në </w:t>
      </w:r>
      <w:r w:rsidR="00E576CA" w:rsidRPr="00AF0FD1">
        <w:rPr>
          <w:rFonts w:ascii="Times New Roman" w:eastAsia="Times New Roman" w:hAnsi="Times New Roman" w:cs="Times New Roman"/>
          <w:noProof/>
          <w:sz w:val="24"/>
          <w:szCs w:val="24"/>
          <w:lang w:val="sq-AL"/>
        </w:rPr>
        <w:t>analizat e qëndrueshmërisë së borxhit</w:t>
      </w:r>
      <w:r w:rsidR="00E576CA" w:rsidRPr="00AF0FD1">
        <w:rPr>
          <w:rStyle w:val="FootnoteReference"/>
          <w:rFonts w:ascii="Times New Roman" w:eastAsia="Times New Roman" w:hAnsi="Times New Roman" w:cs="Times New Roman"/>
          <w:noProof/>
          <w:sz w:val="24"/>
          <w:szCs w:val="24"/>
          <w:lang w:val="sq-AL"/>
        </w:rPr>
        <w:footnoteReference w:id="8"/>
      </w:r>
      <w:r w:rsidR="00C15E90">
        <w:rPr>
          <w:rFonts w:ascii="Times New Roman" w:eastAsia="Times New Roman" w:hAnsi="Times New Roman" w:cs="Times New Roman"/>
          <w:noProof/>
          <w:sz w:val="24"/>
          <w:szCs w:val="24"/>
          <w:lang w:val="sq-AL"/>
        </w:rPr>
        <w:t xml:space="preserve">, </w:t>
      </w:r>
      <w:r w:rsidR="00E576CA" w:rsidRPr="00AF0FD1">
        <w:rPr>
          <w:rFonts w:ascii="Times New Roman" w:eastAsia="Times New Roman" w:hAnsi="Times New Roman" w:cs="Times New Roman"/>
          <w:noProof/>
          <w:sz w:val="24"/>
          <w:szCs w:val="24"/>
          <w:lang w:val="sq-AL"/>
        </w:rPr>
        <w:t>mund 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paraqes</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problem</w:t>
      </w:r>
      <w:r w:rsidR="00C15E90">
        <w:rPr>
          <w:rFonts w:ascii="Times New Roman" w:eastAsia="Times New Roman" w:hAnsi="Times New Roman" w:cs="Times New Roman"/>
          <w:noProof/>
          <w:sz w:val="24"/>
          <w:szCs w:val="24"/>
          <w:lang w:val="sq-AL"/>
        </w:rPr>
        <w:t>atika</w:t>
      </w:r>
      <w:r w:rsidR="00E576CA" w:rsidRPr="00AF0FD1">
        <w:rPr>
          <w:rFonts w:ascii="Times New Roman" w:eastAsia="Times New Roman" w:hAnsi="Times New Roman" w:cs="Times New Roman"/>
          <w:noProof/>
          <w:sz w:val="24"/>
          <w:szCs w:val="24"/>
          <w:lang w:val="sq-AL"/>
        </w:rPr>
        <w:t xml:space="preserve"> duke qen</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se pjesa d</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r</w:t>
      </w:r>
      <w:r w:rsidR="009341B7">
        <w:rPr>
          <w:rFonts w:ascii="Times New Roman" w:eastAsia="Times New Roman" w:hAnsi="Times New Roman" w:cs="Times New Roman"/>
          <w:noProof/>
          <w:sz w:val="24"/>
          <w:szCs w:val="24"/>
          <w:lang w:val="sq-AL"/>
        </w:rPr>
        <w:t>r</w:t>
      </w:r>
      <w:r w:rsidR="00E576CA" w:rsidRPr="00AF0FD1">
        <w:rPr>
          <w:rFonts w:ascii="Times New Roman" w:eastAsia="Times New Roman" w:hAnsi="Times New Roman" w:cs="Times New Roman"/>
          <w:noProof/>
          <w:sz w:val="24"/>
          <w:szCs w:val="24"/>
          <w:lang w:val="sq-AL"/>
        </w:rPr>
        <w:t>muese e portofolit 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borxhit n</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valut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sht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e p</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rqendruar n</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monedh</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n Euro dhe aft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sit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w:t>
      </w:r>
      <w:r w:rsidR="00CC2615">
        <w:rPr>
          <w:rFonts w:ascii="Times New Roman" w:eastAsia="Times New Roman" w:hAnsi="Times New Roman" w:cs="Times New Roman"/>
          <w:noProof/>
          <w:sz w:val="24"/>
          <w:szCs w:val="24"/>
          <w:lang w:val="sq-AL"/>
        </w:rPr>
        <w:t xml:space="preserve">e </w:t>
      </w:r>
      <w:r w:rsidR="00E576CA" w:rsidRPr="00AF0FD1">
        <w:rPr>
          <w:rFonts w:ascii="Times New Roman" w:eastAsia="Times New Roman" w:hAnsi="Times New Roman" w:cs="Times New Roman"/>
          <w:noProof/>
          <w:sz w:val="24"/>
          <w:szCs w:val="24"/>
          <w:lang w:val="sq-AL"/>
        </w:rPr>
        <w:t>shtetit p</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r 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gjeneruar valut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nga 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ardhurat apo burime 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tjera mbeten t</w:t>
      </w:r>
      <w:r w:rsidR="00982338" w:rsidRPr="00AF0FD1">
        <w:rPr>
          <w:rFonts w:ascii="Times New Roman" w:eastAsia="Times New Roman" w:hAnsi="Times New Roman" w:cs="Times New Roman"/>
          <w:noProof/>
          <w:sz w:val="24"/>
          <w:szCs w:val="24"/>
          <w:lang w:val="sq-AL"/>
        </w:rPr>
        <w:t>ë</w:t>
      </w:r>
      <w:r w:rsidR="00E576CA" w:rsidRPr="00AF0FD1">
        <w:rPr>
          <w:rFonts w:ascii="Times New Roman" w:eastAsia="Times New Roman" w:hAnsi="Times New Roman" w:cs="Times New Roman"/>
          <w:noProof/>
          <w:sz w:val="24"/>
          <w:szCs w:val="24"/>
          <w:lang w:val="sq-AL"/>
        </w:rPr>
        <w:t xml:space="preserve"> kufizuara.</w:t>
      </w:r>
    </w:p>
    <w:p w14:paraId="71DF5CDB" w14:textId="77777777" w:rsidR="00E57778" w:rsidRPr="000F5C13" w:rsidRDefault="00E57778" w:rsidP="00590B71">
      <w:pPr>
        <w:spacing w:after="0" w:line="276" w:lineRule="auto"/>
        <w:jc w:val="both"/>
        <w:rPr>
          <w:rFonts w:ascii="Times New Roman" w:eastAsia="Times New Roman" w:hAnsi="Times New Roman" w:cs="Times New Roman"/>
          <w:noProof/>
          <w:sz w:val="16"/>
          <w:szCs w:val="16"/>
          <w:lang w:val="sq-AL"/>
        </w:rPr>
      </w:pPr>
    </w:p>
    <w:p w14:paraId="71DF5CDC" w14:textId="77777777" w:rsidR="00E57778" w:rsidRPr="00AF0FD1" w:rsidRDefault="00E57778" w:rsidP="00590B71">
      <w:pPr>
        <w:spacing w:after="0" w:line="276" w:lineRule="auto"/>
        <w:ind w:right="237"/>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 xml:space="preserve">Referuar </w:t>
      </w:r>
      <w:r w:rsidR="00CA19E7" w:rsidRPr="00AF0FD1">
        <w:rPr>
          <w:rFonts w:ascii="Times New Roman" w:eastAsia="Times New Roman" w:hAnsi="Times New Roman" w:cs="Times New Roman"/>
          <w:noProof/>
          <w:sz w:val="24"/>
          <w:szCs w:val="24"/>
          <w:lang w:val="sq-AL"/>
        </w:rPr>
        <w:t>treguesve</w:t>
      </w:r>
      <w:r w:rsidRPr="00AF0FD1">
        <w:rPr>
          <w:rFonts w:ascii="Times New Roman" w:eastAsia="Times New Roman" w:hAnsi="Times New Roman" w:cs="Times New Roman"/>
          <w:noProof/>
          <w:sz w:val="24"/>
          <w:szCs w:val="24"/>
          <w:lang w:val="sq-AL"/>
        </w:rPr>
        <w:t xml:space="preserve"> makroekonomik</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dhe riskut të kreditit, </w:t>
      </w:r>
      <w:r w:rsidR="00CA19E7" w:rsidRPr="00AF0FD1">
        <w:rPr>
          <w:rFonts w:ascii="Times New Roman" w:eastAsia="Times New Roman" w:hAnsi="Times New Roman" w:cs="Times New Roman"/>
          <w:noProof/>
          <w:sz w:val="24"/>
          <w:szCs w:val="24"/>
          <w:lang w:val="sq-AL"/>
        </w:rPr>
        <w:t>shteti Shqiptar</w:t>
      </w:r>
      <w:r w:rsidRPr="00AF0FD1">
        <w:rPr>
          <w:rFonts w:ascii="Times New Roman" w:eastAsia="Times New Roman" w:hAnsi="Times New Roman" w:cs="Times New Roman"/>
          <w:noProof/>
          <w:sz w:val="24"/>
          <w:szCs w:val="24"/>
          <w:lang w:val="sq-AL"/>
        </w:rPr>
        <w:t xml:space="preserve"> </w:t>
      </w:r>
      <w:r w:rsidR="00CA19E7" w:rsidRPr="00AF0FD1">
        <w:rPr>
          <w:rFonts w:ascii="Times New Roman" w:eastAsia="Times New Roman" w:hAnsi="Times New Roman" w:cs="Times New Roman"/>
          <w:noProof/>
          <w:sz w:val="24"/>
          <w:szCs w:val="24"/>
          <w:lang w:val="sq-AL"/>
        </w:rPr>
        <w:t>a</w:t>
      </w:r>
      <w:r w:rsidR="00AF0FD1" w:rsidRPr="00AF0FD1">
        <w:rPr>
          <w:rFonts w:ascii="Times New Roman" w:eastAsia="Times New Roman" w:hAnsi="Times New Roman" w:cs="Times New Roman"/>
          <w:noProof/>
          <w:sz w:val="24"/>
          <w:szCs w:val="24"/>
          <w:lang w:val="sq-AL"/>
        </w:rPr>
        <w:t>k</w:t>
      </w:r>
      <w:r w:rsidR="00CA19E7" w:rsidRPr="00AF0FD1">
        <w:rPr>
          <w:rFonts w:ascii="Times New Roman" w:eastAsia="Times New Roman" w:hAnsi="Times New Roman" w:cs="Times New Roman"/>
          <w:noProof/>
          <w:sz w:val="24"/>
          <w:szCs w:val="24"/>
          <w:lang w:val="sq-AL"/>
        </w:rPr>
        <w:t xml:space="preserve">tualisht </w:t>
      </w:r>
      <w:r w:rsidRPr="00AF0FD1">
        <w:rPr>
          <w:rFonts w:ascii="Times New Roman" w:eastAsia="Times New Roman" w:hAnsi="Times New Roman" w:cs="Times New Roman"/>
          <w:noProof/>
          <w:sz w:val="24"/>
          <w:szCs w:val="24"/>
          <w:lang w:val="sq-AL"/>
        </w:rPr>
        <w:t xml:space="preserve">është në gjendje të marrë hua si në tregun </w:t>
      </w:r>
      <w:r w:rsidR="00CA19E7" w:rsidRPr="00AF0FD1">
        <w:rPr>
          <w:rFonts w:ascii="Times New Roman" w:eastAsia="Times New Roman" w:hAnsi="Times New Roman" w:cs="Times New Roman"/>
          <w:noProof/>
          <w:sz w:val="24"/>
          <w:szCs w:val="24"/>
          <w:lang w:val="sq-AL"/>
        </w:rPr>
        <w:t>venda</w:t>
      </w:r>
      <w:r w:rsidR="00AF0FD1" w:rsidRPr="00AF0FD1">
        <w:rPr>
          <w:rFonts w:ascii="Times New Roman" w:eastAsia="Times New Roman" w:hAnsi="Times New Roman" w:cs="Times New Roman"/>
          <w:noProof/>
          <w:sz w:val="24"/>
          <w:szCs w:val="24"/>
          <w:lang w:val="sq-AL"/>
        </w:rPr>
        <w:t>s</w:t>
      </w:r>
      <w:r w:rsidR="00CA19E7" w:rsidRPr="00AF0FD1">
        <w:rPr>
          <w:rFonts w:ascii="Times New Roman" w:eastAsia="Times New Roman" w:hAnsi="Times New Roman" w:cs="Times New Roman"/>
          <w:noProof/>
          <w:sz w:val="24"/>
          <w:szCs w:val="24"/>
          <w:lang w:val="sq-AL"/>
        </w:rPr>
        <w:t>,</w:t>
      </w:r>
      <w:r w:rsidRPr="00AF0FD1">
        <w:rPr>
          <w:rFonts w:ascii="Times New Roman" w:eastAsia="Times New Roman" w:hAnsi="Times New Roman" w:cs="Times New Roman"/>
          <w:noProof/>
          <w:sz w:val="24"/>
          <w:szCs w:val="24"/>
          <w:lang w:val="sq-AL"/>
        </w:rPr>
        <w:t xml:space="preserve"> ashtu edhe në atë të huaj.</w:t>
      </w:r>
    </w:p>
    <w:p w14:paraId="71DF5CDD" w14:textId="77777777" w:rsidR="00E57778" w:rsidRPr="00AF0FD1" w:rsidRDefault="00E57778" w:rsidP="00590B71">
      <w:pPr>
        <w:spacing w:after="0" w:line="276" w:lineRule="auto"/>
        <w:ind w:right="237"/>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Huamarrja nëpërmjet burimeve të tregut të brendshëm është më e thjeshtë për t’u realizuar përsa i përket anës proceduriale, është më fleksibël</w:t>
      </w:r>
      <w:r w:rsidR="00762581" w:rsidRPr="00AF0FD1">
        <w:rPr>
          <w:rFonts w:ascii="Times New Roman" w:eastAsia="Times New Roman" w:hAnsi="Times New Roman" w:cs="Times New Roman"/>
          <w:noProof/>
          <w:sz w:val="24"/>
          <w:szCs w:val="24"/>
          <w:lang w:val="sq-AL"/>
        </w:rPr>
        <w:t xml:space="preserve"> n</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 xml:space="preserve"> t</w:t>
      </w:r>
      <w:r w:rsidR="00EE6F11">
        <w:rPr>
          <w:rFonts w:ascii="Times New Roman" w:eastAsia="Times New Roman" w:hAnsi="Times New Roman" w:cs="Times New Roman"/>
          <w:noProof/>
          <w:sz w:val="24"/>
          <w:szCs w:val="24"/>
          <w:lang w:val="sq-AL"/>
        </w:rPr>
        <w:t>er</w:t>
      </w:r>
      <w:r w:rsidR="00762581" w:rsidRPr="00AF0FD1">
        <w:rPr>
          <w:rFonts w:ascii="Times New Roman" w:eastAsia="Times New Roman" w:hAnsi="Times New Roman" w:cs="Times New Roman"/>
          <w:noProof/>
          <w:sz w:val="24"/>
          <w:szCs w:val="24"/>
          <w:lang w:val="sq-AL"/>
        </w:rPr>
        <w:t>ma t</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 xml:space="preserve"> p</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rzgjedhjes s</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 xml:space="preserve"> instrumenteve</w:t>
      </w:r>
      <w:r w:rsidRPr="00AF0FD1">
        <w:rPr>
          <w:rFonts w:ascii="Times New Roman" w:eastAsia="Times New Roman" w:hAnsi="Times New Roman" w:cs="Times New Roman"/>
          <w:noProof/>
          <w:sz w:val="24"/>
          <w:szCs w:val="24"/>
          <w:lang w:val="sq-AL"/>
        </w:rPr>
        <w:t xml:space="preserve">, </w:t>
      </w:r>
      <w:r w:rsidR="00762581" w:rsidRPr="00AF0FD1">
        <w:rPr>
          <w:rFonts w:ascii="Times New Roman" w:eastAsia="Times New Roman" w:hAnsi="Times New Roman" w:cs="Times New Roman"/>
          <w:noProof/>
          <w:sz w:val="24"/>
          <w:szCs w:val="24"/>
          <w:lang w:val="sq-AL"/>
        </w:rPr>
        <w:t>shmang</w:t>
      </w:r>
      <w:r w:rsidRPr="00AF0FD1">
        <w:rPr>
          <w:rFonts w:ascii="Times New Roman" w:eastAsia="Times New Roman" w:hAnsi="Times New Roman" w:cs="Times New Roman"/>
          <w:noProof/>
          <w:sz w:val="24"/>
          <w:szCs w:val="24"/>
          <w:lang w:val="sq-AL"/>
        </w:rPr>
        <w:t xml:space="preserve"> ekspozimin ndaj riskut të kursit të këmbimit, si </w:t>
      </w:r>
      <w:r w:rsidR="00762581" w:rsidRPr="00AF0FD1">
        <w:rPr>
          <w:rFonts w:ascii="Times New Roman" w:eastAsia="Times New Roman" w:hAnsi="Times New Roman" w:cs="Times New Roman"/>
          <w:noProof/>
          <w:sz w:val="24"/>
          <w:szCs w:val="24"/>
          <w:lang w:val="sq-AL"/>
        </w:rPr>
        <w:t>edhe stimulon n</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 xml:space="preserve"> p</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rgjth</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si zhvillimin e tregut financiar dhe n</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 xml:space="preserve"> veçanti zhvillimin e tregun</w:t>
      </w:r>
      <w:r w:rsidRPr="00AF0FD1">
        <w:rPr>
          <w:rFonts w:ascii="Times New Roman" w:eastAsia="Times New Roman" w:hAnsi="Times New Roman" w:cs="Times New Roman"/>
          <w:noProof/>
          <w:sz w:val="24"/>
          <w:szCs w:val="24"/>
          <w:lang w:val="sq-AL"/>
        </w:rPr>
        <w:t xml:space="preserve"> të titujve shtetërorë. Megjithatë, edhe hua</w:t>
      </w:r>
      <w:r w:rsidR="00762581" w:rsidRPr="00AF0FD1">
        <w:rPr>
          <w:rFonts w:ascii="Times New Roman" w:eastAsia="Times New Roman" w:hAnsi="Times New Roman" w:cs="Times New Roman"/>
          <w:noProof/>
          <w:sz w:val="24"/>
          <w:szCs w:val="24"/>
          <w:lang w:val="sq-AL"/>
        </w:rPr>
        <w:t>marrja</w:t>
      </w:r>
      <w:r w:rsidRPr="00AF0FD1">
        <w:rPr>
          <w:rFonts w:ascii="Times New Roman" w:eastAsia="Times New Roman" w:hAnsi="Times New Roman" w:cs="Times New Roman"/>
          <w:noProof/>
          <w:sz w:val="24"/>
          <w:szCs w:val="24"/>
          <w:lang w:val="sq-AL"/>
        </w:rPr>
        <w:t xml:space="preserve"> në tregun e brendshëm mund të shoqërohet me kufizime, të cilat rrjedhin</w:t>
      </w:r>
      <w:r w:rsidR="00762581" w:rsidRPr="00AF0FD1">
        <w:rPr>
          <w:rFonts w:ascii="Times New Roman" w:eastAsia="Times New Roman" w:hAnsi="Times New Roman" w:cs="Times New Roman"/>
          <w:noProof/>
          <w:sz w:val="24"/>
          <w:szCs w:val="24"/>
          <w:lang w:val="sq-AL"/>
        </w:rPr>
        <w:t xml:space="preserve"> kryesisht</w:t>
      </w:r>
      <w:r w:rsidRPr="00AF0FD1">
        <w:rPr>
          <w:rFonts w:ascii="Times New Roman" w:eastAsia="Times New Roman" w:hAnsi="Times New Roman" w:cs="Times New Roman"/>
          <w:noProof/>
          <w:sz w:val="24"/>
          <w:szCs w:val="24"/>
          <w:lang w:val="sq-AL"/>
        </w:rPr>
        <w:t xml:space="preserve"> nga: </w:t>
      </w:r>
    </w:p>
    <w:p w14:paraId="71DF5CDE" w14:textId="77777777" w:rsidR="00E57778" w:rsidRPr="00A83369" w:rsidRDefault="00E57778" w:rsidP="00E57778">
      <w:pPr>
        <w:spacing w:after="0" w:line="276" w:lineRule="auto"/>
        <w:ind w:left="284" w:right="237"/>
        <w:jc w:val="both"/>
        <w:rPr>
          <w:rFonts w:ascii="Times New Roman" w:eastAsia="Times New Roman" w:hAnsi="Times New Roman" w:cs="Times New Roman"/>
          <w:noProof/>
          <w:sz w:val="16"/>
          <w:szCs w:val="16"/>
          <w:highlight w:val="yellow"/>
          <w:lang w:val="sq-AL"/>
        </w:rPr>
      </w:pPr>
    </w:p>
    <w:p w14:paraId="71DF5CDF" w14:textId="77777777" w:rsidR="00E57778" w:rsidRPr="00AF0FD1" w:rsidRDefault="00E57778" w:rsidP="00AF0FD1">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Jetëgjatësia relativisht e shkurtër e borxhit të brendshëm (rreth 2.1 vite) dhe niveli i lartë i borxhit që rifinancohet në harkun kohor të një viti (mbi 300 miliard Lekë)</w:t>
      </w:r>
      <w:r w:rsidRPr="00AF0FD1">
        <w:rPr>
          <w:rFonts w:ascii="Times New Roman" w:eastAsia="Times New Roman" w:hAnsi="Times New Roman" w:cs="Times New Roman"/>
          <w:i/>
          <w:noProof/>
          <w:sz w:val="24"/>
          <w:szCs w:val="24"/>
          <w:lang w:val="sq-AL"/>
        </w:rPr>
        <w:t>;</w:t>
      </w:r>
      <w:r w:rsidRPr="00AF0FD1">
        <w:rPr>
          <w:rFonts w:ascii="Times New Roman" w:eastAsia="Times New Roman" w:hAnsi="Times New Roman" w:cs="Times New Roman"/>
          <w:noProof/>
          <w:sz w:val="24"/>
          <w:szCs w:val="24"/>
          <w:lang w:val="sq-AL"/>
        </w:rPr>
        <w:t xml:space="preserve"> </w:t>
      </w:r>
    </w:p>
    <w:p w14:paraId="71DF5CE0" w14:textId="77777777" w:rsidR="00E57778" w:rsidRPr="00AF0FD1" w:rsidRDefault="00E57778" w:rsidP="00AF0FD1">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 xml:space="preserve">Baza e kufizuar e investitorëve dhe përqendrimi i saj në më shumë se 60% tek sektori bankar; </w:t>
      </w:r>
    </w:p>
    <w:p w14:paraId="71DF5CE1" w14:textId="77777777" w:rsidR="00E57778" w:rsidRPr="00AF0FD1" w:rsidRDefault="00E57778" w:rsidP="00AF0FD1">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 xml:space="preserve">Tregu jo plotësisht i zhvilluar i titujve shtetërorë, për shkak të mungesës së një tregu sekondar të mirëfilltë; </w:t>
      </w:r>
    </w:p>
    <w:p w14:paraId="71DF5CE2" w14:textId="77777777" w:rsidR="00E57778" w:rsidRPr="00AF0FD1" w:rsidRDefault="00E57778" w:rsidP="00AF0FD1">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Kufizimet e vendosura nga bankat mëma në drejtim të bankave vendase në lidhje me kufizimin e ekspozimit ndaj borxhit sovran dhe ruajtjen e raporteve të caktuara të likuiditetit.</w:t>
      </w:r>
    </w:p>
    <w:p w14:paraId="71DF5CE3" w14:textId="77777777" w:rsidR="00E57778" w:rsidRPr="00A83369" w:rsidRDefault="00E57778" w:rsidP="00E57778">
      <w:pPr>
        <w:spacing w:after="0" w:line="276" w:lineRule="auto"/>
        <w:ind w:left="284" w:right="237"/>
        <w:contextualSpacing/>
        <w:jc w:val="both"/>
        <w:rPr>
          <w:rFonts w:ascii="Times New Roman" w:eastAsia="Times New Roman" w:hAnsi="Times New Roman" w:cs="Times New Roman"/>
          <w:noProof/>
          <w:sz w:val="16"/>
          <w:szCs w:val="16"/>
          <w:highlight w:val="yellow"/>
          <w:lang w:val="sq-AL"/>
        </w:rPr>
      </w:pPr>
    </w:p>
    <w:p w14:paraId="71DF5CE4" w14:textId="77777777" w:rsidR="00E57778" w:rsidRPr="003F62ED" w:rsidRDefault="00E57778" w:rsidP="003F62ED">
      <w:pPr>
        <w:spacing w:after="0" w:line="276" w:lineRule="auto"/>
        <w:ind w:right="237"/>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Duke marrë në konsideratë faktorët e mësipërm, shoqëruar me borxhin në vlerë absolute në rritje, pritshmëritë për rënien e mëtejshme të nivelit të kredive me probleme</w:t>
      </w:r>
      <w:r w:rsidR="002C3553">
        <w:rPr>
          <w:rFonts w:ascii="Times New Roman" w:eastAsia="Times New Roman" w:hAnsi="Times New Roman" w:cs="Times New Roman"/>
          <w:noProof/>
          <w:sz w:val="24"/>
          <w:szCs w:val="24"/>
          <w:lang w:val="sq-AL"/>
        </w:rPr>
        <w:t xml:space="preserve"> dhe</w:t>
      </w:r>
      <w:r w:rsidR="00530B39">
        <w:rPr>
          <w:rFonts w:ascii="Times New Roman" w:eastAsia="Times New Roman" w:hAnsi="Times New Roman" w:cs="Times New Roman"/>
          <w:noProof/>
          <w:sz w:val="24"/>
          <w:szCs w:val="24"/>
          <w:lang w:val="sq-AL"/>
        </w:rPr>
        <w:t xml:space="preserve"> prirjet e sektorit bankar p</w:t>
      </w:r>
      <w:r w:rsidR="002C3553">
        <w:rPr>
          <w:rFonts w:ascii="Times New Roman" w:eastAsia="Times New Roman" w:hAnsi="Times New Roman" w:cs="Times New Roman"/>
          <w:noProof/>
          <w:sz w:val="24"/>
          <w:szCs w:val="24"/>
          <w:lang w:val="sq-AL"/>
        </w:rPr>
        <w:t>ë</w:t>
      </w:r>
      <w:r w:rsidR="00530B39">
        <w:rPr>
          <w:rFonts w:ascii="Times New Roman" w:eastAsia="Times New Roman" w:hAnsi="Times New Roman" w:cs="Times New Roman"/>
          <w:noProof/>
          <w:sz w:val="24"/>
          <w:szCs w:val="24"/>
          <w:lang w:val="sq-AL"/>
        </w:rPr>
        <w:t xml:space="preserve">r rritur kreditimin </w:t>
      </w:r>
      <w:r w:rsidR="002C3553">
        <w:rPr>
          <w:rFonts w:ascii="Times New Roman" w:eastAsia="Times New Roman" w:hAnsi="Times New Roman" w:cs="Times New Roman"/>
          <w:noProof/>
          <w:sz w:val="24"/>
          <w:szCs w:val="24"/>
          <w:lang w:val="sq-AL"/>
        </w:rPr>
        <w:t>ndaj</w:t>
      </w:r>
      <w:r w:rsidR="00530B39">
        <w:rPr>
          <w:rFonts w:ascii="Times New Roman" w:eastAsia="Times New Roman" w:hAnsi="Times New Roman" w:cs="Times New Roman"/>
          <w:noProof/>
          <w:sz w:val="24"/>
          <w:szCs w:val="24"/>
          <w:lang w:val="sq-AL"/>
        </w:rPr>
        <w:t xml:space="preserve"> sektorit privat, </w:t>
      </w:r>
      <w:r w:rsidRPr="00AF0FD1">
        <w:rPr>
          <w:rFonts w:ascii="Times New Roman" w:eastAsia="Times New Roman" w:hAnsi="Times New Roman" w:cs="Times New Roman"/>
          <w:noProof/>
          <w:sz w:val="24"/>
          <w:szCs w:val="24"/>
          <w:lang w:val="sq-AL"/>
        </w:rPr>
        <w:t xml:space="preserve">financimi i brendshëm </w:t>
      </w:r>
      <w:r w:rsidR="00762581" w:rsidRPr="00AF0FD1">
        <w:rPr>
          <w:rFonts w:ascii="Times New Roman" w:eastAsia="Times New Roman" w:hAnsi="Times New Roman" w:cs="Times New Roman"/>
          <w:noProof/>
          <w:sz w:val="24"/>
          <w:szCs w:val="24"/>
          <w:lang w:val="sq-AL"/>
        </w:rPr>
        <w:t>rezulton t</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 xml:space="preserve"> jet</w:t>
      </w:r>
      <w:r w:rsidR="00982338" w:rsidRPr="00AF0FD1">
        <w:rPr>
          <w:rFonts w:ascii="Times New Roman" w:eastAsia="Times New Roman" w:hAnsi="Times New Roman" w:cs="Times New Roman"/>
          <w:noProof/>
          <w:sz w:val="24"/>
          <w:szCs w:val="24"/>
          <w:lang w:val="sq-AL"/>
        </w:rPr>
        <w:t>ë</w:t>
      </w:r>
      <w:r w:rsidR="00762581" w:rsidRPr="00AF0FD1">
        <w:rPr>
          <w:rFonts w:ascii="Times New Roman" w:eastAsia="Times New Roman" w:hAnsi="Times New Roman" w:cs="Times New Roman"/>
          <w:noProof/>
          <w:sz w:val="24"/>
          <w:szCs w:val="24"/>
          <w:lang w:val="sq-AL"/>
        </w:rPr>
        <w:t xml:space="preserve"> </w:t>
      </w:r>
      <w:r w:rsidRPr="00AF0FD1">
        <w:rPr>
          <w:rFonts w:ascii="Times New Roman" w:eastAsia="Times New Roman" w:hAnsi="Times New Roman" w:cs="Times New Roman"/>
          <w:noProof/>
          <w:sz w:val="24"/>
          <w:szCs w:val="24"/>
          <w:lang w:val="sq-AL"/>
        </w:rPr>
        <w:t xml:space="preserve">i kufizuar dhe rritja vjetore </w:t>
      </w:r>
      <w:r w:rsidR="00762581" w:rsidRPr="00AF0FD1">
        <w:rPr>
          <w:rFonts w:ascii="Times New Roman" w:eastAsia="Times New Roman" w:hAnsi="Times New Roman" w:cs="Times New Roman"/>
          <w:noProof/>
          <w:sz w:val="24"/>
          <w:szCs w:val="24"/>
          <w:lang w:val="sq-AL"/>
        </w:rPr>
        <w:t xml:space="preserve">e tij </w:t>
      </w:r>
      <w:r w:rsidRPr="00AF0FD1">
        <w:rPr>
          <w:rFonts w:ascii="Times New Roman" w:eastAsia="Times New Roman" w:hAnsi="Times New Roman" w:cs="Times New Roman"/>
          <w:noProof/>
          <w:sz w:val="24"/>
          <w:szCs w:val="24"/>
          <w:lang w:val="sq-AL"/>
        </w:rPr>
        <w:t>përtej nivelit 20-2</w:t>
      </w:r>
      <w:r w:rsidR="00762581" w:rsidRPr="00AF0FD1">
        <w:rPr>
          <w:rFonts w:ascii="Times New Roman" w:eastAsia="Times New Roman" w:hAnsi="Times New Roman" w:cs="Times New Roman"/>
          <w:noProof/>
          <w:sz w:val="24"/>
          <w:szCs w:val="24"/>
          <w:lang w:val="sq-AL"/>
        </w:rPr>
        <w:t>5</w:t>
      </w:r>
      <w:r w:rsidRPr="00AF0FD1">
        <w:rPr>
          <w:rFonts w:ascii="Times New Roman" w:eastAsia="Times New Roman" w:hAnsi="Times New Roman" w:cs="Times New Roman"/>
          <w:noProof/>
          <w:sz w:val="24"/>
          <w:szCs w:val="24"/>
          <w:lang w:val="sq-AL"/>
        </w:rPr>
        <w:t xml:space="preserve"> miliard Lekë mund të ushtrojë presion rritës mbi normat e interesit dhe në të njëjtën kohë të </w:t>
      </w:r>
      <w:r w:rsidR="002C3553">
        <w:rPr>
          <w:rFonts w:ascii="Times New Roman" w:eastAsia="Times New Roman" w:hAnsi="Times New Roman" w:cs="Times New Roman"/>
          <w:noProof/>
          <w:sz w:val="24"/>
          <w:szCs w:val="24"/>
          <w:lang w:val="sq-AL"/>
        </w:rPr>
        <w:t xml:space="preserve">vëjë në vështirësi realizimin e </w:t>
      </w:r>
      <w:r w:rsidR="002C3553">
        <w:rPr>
          <w:rFonts w:ascii="Times New Roman" w:eastAsia="Times New Roman" w:hAnsi="Times New Roman" w:cs="Times New Roman"/>
          <w:noProof/>
          <w:sz w:val="24"/>
          <w:szCs w:val="24"/>
          <w:lang w:val="sq-AL"/>
        </w:rPr>
        <w:lastRenderedPageBreak/>
        <w:t>planeve të huamarrjes me instrumentet e targetuara për të reduktuar riskun e rifinancimit dhe atë të normave të interesit</w:t>
      </w:r>
      <w:r w:rsidRPr="00AF0FD1">
        <w:rPr>
          <w:rFonts w:ascii="Times New Roman" w:eastAsia="Times New Roman" w:hAnsi="Times New Roman" w:cs="Times New Roman"/>
          <w:noProof/>
          <w:sz w:val="24"/>
          <w:szCs w:val="24"/>
          <w:lang w:val="sq-AL"/>
        </w:rPr>
        <w:t>.</w:t>
      </w:r>
    </w:p>
    <w:p w14:paraId="71DF5CE5" w14:textId="77777777" w:rsidR="003F62ED" w:rsidRPr="003F62ED" w:rsidRDefault="003F62ED" w:rsidP="003F62ED">
      <w:pPr>
        <w:spacing w:after="0" w:line="276" w:lineRule="auto"/>
        <w:ind w:right="237"/>
        <w:jc w:val="both"/>
        <w:rPr>
          <w:rFonts w:ascii="Times New Roman" w:eastAsia="Times New Roman" w:hAnsi="Times New Roman" w:cs="Times New Roman"/>
          <w:noProof/>
          <w:sz w:val="24"/>
          <w:szCs w:val="24"/>
          <w:lang w:val="sq-AL"/>
        </w:rPr>
      </w:pPr>
      <w:r w:rsidRPr="003F62ED">
        <w:rPr>
          <w:rFonts w:ascii="Times New Roman" w:eastAsia="Times New Roman" w:hAnsi="Times New Roman" w:cs="Times New Roman"/>
          <w:noProof/>
          <w:sz w:val="24"/>
          <w:szCs w:val="24"/>
          <w:lang w:val="sq-AL"/>
        </w:rPr>
        <w:t xml:space="preserve">Shërbimi i borxhit në valutë vlerësohet në rritje gjatë gjithë periudhës afatmesme 2020-2022. Duke qenë se të ardhurat e vendit tonë janë kryesisht në monedhë vendase dhe llogaria korrente në bilancin e pagesave është dhe pritet të jetë deficitare, aftësia për të siguruar valutë mbetet e limituar. Sigurimi i valutës nga burimet e brendshme (nëpërmjet titujve shtetërorë në valutë) është i kufizuar, kryesisht në aspektin e maturitetit të dëshiruar për të reduktuar rreziqet në përputhje me objektivat. Nga ana tjetër, përdorimi si instrument i tregut të këmbimit valutor është gjithashtu i kufizuar dhe mund të krijojë implikime në ruajtjen e qëndrueshmërisë së kursit të këmbimit të monedhës vendase, kryesisht kundrejt monedhës Euro. </w:t>
      </w:r>
    </w:p>
    <w:p w14:paraId="71DF5CE6" w14:textId="77777777" w:rsidR="00E57778" w:rsidRPr="00A83369" w:rsidRDefault="00E57778" w:rsidP="00E57778">
      <w:pPr>
        <w:spacing w:after="0" w:line="276" w:lineRule="auto"/>
        <w:ind w:left="284" w:right="237"/>
        <w:jc w:val="both"/>
        <w:rPr>
          <w:rFonts w:ascii="Times New Roman" w:eastAsia="Times New Roman" w:hAnsi="Times New Roman" w:cs="Times New Roman"/>
          <w:noProof/>
          <w:sz w:val="16"/>
          <w:szCs w:val="24"/>
          <w:highlight w:val="yellow"/>
          <w:lang w:val="sq-AL"/>
        </w:rPr>
      </w:pPr>
    </w:p>
    <w:p w14:paraId="71DF5CE7" w14:textId="77777777" w:rsidR="00E57778" w:rsidRPr="00AF0FD1" w:rsidRDefault="00E57778" w:rsidP="00AF0FD1">
      <w:pPr>
        <w:spacing w:after="0" w:line="276" w:lineRule="auto"/>
        <w:ind w:right="237"/>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Tregu i jashtëm</w:t>
      </w:r>
      <w:r w:rsidR="008D6D37" w:rsidRPr="00AF0FD1">
        <w:rPr>
          <w:rFonts w:ascii="Times New Roman" w:eastAsia="Times New Roman" w:hAnsi="Times New Roman" w:cs="Times New Roman"/>
          <w:noProof/>
          <w:sz w:val="24"/>
          <w:szCs w:val="24"/>
          <w:lang w:val="sq-AL"/>
        </w:rPr>
        <w:t xml:space="preserve"> duke q</w:t>
      </w:r>
      <w:r w:rsidR="00F54BA5">
        <w:rPr>
          <w:rFonts w:ascii="Times New Roman" w:eastAsia="Times New Roman" w:hAnsi="Times New Roman" w:cs="Times New Roman"/>
          <w:noProof/>
          <w:sz w:val="24"/>
          <w:szCs w:val="24"/>
          <w:lang w:val="sq-AL"/>
        </w:rPr>
        <w:t>e</w:t>
      </w:r>
      <w:r w:rsidR="008D6D37" w:rsidRPr="00AF0FD1">
        <w:rPr>
          <w:rFonts w:ascii="Times New Roman" w:eastAsia="Times New Roman" w:hAnsi="Times New Roman" w:cs="Times New Roman"/>
          <w:noProof/>
          <w:sz w:val="24"/>
          <w:szCs w:val="24"/>
          <w:lang w:val="sq-AL"/>
        </w:rPr>
        <w:t>n</w:t>
      </w:r>
      <w:r w:rsidR="00982338" w:rsidRPr="00AF0FD1">
        <w:rPr>
          <w:rFonts w:ascii="Times New Roman" w:eastAsia="Times New Roman" w:hAnsi="Times New Roman" w:cs="Times New Roman"/>
          <w:noProof/>
          <w:sz w:val="24"/>
          <w:szCs w:val="24"/>
          <w:lang w:val="sq-AL"/>
        </w:rPr>
        <w:t>ë</w:t>
      </w:r>
      <w:r w:rsidR="008D6D37" w:rsidRPr="00AF0FD1">
        <w:rPr>
          <w:rFonts w:ascii="Times New Roman" w:eastAsia="Times New Roman" w:hAnsi="Times New Roman" w:cs="Times New Roman"/>
          <w:noProof/>
          <w:sz w:val="24"/>
          <w:szCs w:val="24"/>
          <w:lang w:val="sq-AL"/>
        </w:rPr>
        <w:t xml:space="preserve"> se</w:t>
      </w:r>
      <w:r w:rsidRPr="00AF0FD1">
        <w:rPr>
          <w:rFonts w:ascii="Times New Roman" w:eastAsia="Times New Roman" w:hAnsi="Times New Roman" w:cs="Times New Roman"/>
          <w:noProof/>
          <w:sz w:val="24"/>
          <w:szCs w:val="24"/>
          <w:lang w:val="sq-AL"/>
        </w:rPr>
        <w:t xml:space="preserve"> ofron burime të </w:t>
      </w:r>
      <w:r w:rsidR="008D6D37" w:rsidRPr="00AF0FD1">
        <w:rPr>
          <w:rFonts w:ascii="Times New Roman" w:eastAsia="Times New Roman" w:hAnsi="Times New Roman" w:cs="Times New Roman"/>
          <w:noProof/>
          <w:sz w:val="24"/>
          <w:szCs w:val="24"/>
          <w:lang w:val="sq-AL"/>
        </w:rPr>
        <w:t>mir</w:t>
      </w:r>
      <w:r w:rsidR="00982338" w:rsidRPr="00AF0FD1">
        <w:rPr>
          <w:rFonts w:ascii="Times New Roman" w:eastAsia="Times New Roman" w:hAnsi="Times New Roman" w:cs="Times New Roman"/>
          <w:noProof/>
          <w:sz w:val="24"/>
          <w:szCs w:val="24"/>
          <w:lang w:val="sq-AL"/>
        </w:rPr>
        <w:t>ë</w:t>
      </w:r>
      <w:r w:rsidR="008D6D37" w:rsidRPr="00AF0FD1">
        <w:rPr>
          <w:rFonts w:ascii="Times New Roman" w:eastAsia="Times New Roman" w:hAnsi="Times New Roman" w:cs="Times New Roman"/>
          <w:noProof/>
          <w:sz w:val="24"/>
          <w:szCs w:val="24"/>
          <w:lang w:val="sq-AL"/>
        </w:rPr>
        <w:t>-diversifikuara</w:t>
      </w:r>
      <w:r w:rsidRPr="00AF0FD1">
        <w:rPr>
          <w:rFonts w:ascii="Times New Roman" w:eastAsia="Times New Roman" w:hAnsi="Times New Roman" w:cs="Times New Roman"/>
          <w:noProof/>
          <w:sz w:val="24"/>
          <w:szCs w:val="24"/>
          <w:lang w:val="sq-AL"/>
        </w:rPr>
        <w:t xml:space="preserve"> financimi dhe është i aksesueshëm nga </w:t>
      </w:r>
      <w:r w:rsidR="008A1FC6" w:rsidRPr="00AF0FD1">
        <w:rPr>
          <w:rFonts w:ascii="Times New Roman" w:eastAsia="Times New Roman" w:hAnsi="Times New Roman" w:cs="Times New Roman"/>
          <w:noProof/>
          <w:sz w:val="24"/>
          <w:szCs w:val="24"/>
          <w:lang w:val="sq-AL"/>
        </w:rPr>
        <w:t>s</w:t>
      </w:r>
      <w:r w:rsidRPr="00AF0FD1">
        <w:rPr>
          <w:rFonts w:ascii="Times New Roman" w:eastAsia="Times New Roman" w:hAnsi="Times New Roman" w:cs="Times New Roman"/>
          <w:noProof/>
          <w:sz w:val="24"/>
          <w:szCs w:val="24"/>
          <w:lang w:val="sq-AL"/>
        </w:rPr>
        <w:t>hteti Shqiptar</w:t>
      </w:r>
      <w:r w:rsidR="008D6D37" w:rsidRPr="00AF0FD1">
        <w:rPr>
          <w:rFonts w:ascii="Times New Roman" w:eastAsia="Times New Roman" w:hAnsi="Times New Roman" w:cs="Times New Roman"/>
          <w:noProof/>
          <w:sz w:val="24"/>
          <w:szCs w:val="24"/>
          <w:lang w:val="sq-AL"/>
        </w:rPr>
        <w:t>, mund t</w:t>
      </w:r>
      <w:r w:rsidR="00982338" w:rsidRPr="00AF0FD1">
        <w:rPr>
          <w:rFonts w:ascii="Times New Roman" w:eastAsia="Times New Roman" w:hAnsi="Times New Roman" w:cs="Times New Roman"/>
          <w:noProof/>
          <w:sz w:val="24"/>
          <w:szCs w:val="24"/>
          <w:lang w:val="sq-AL"/>
        </w:rPr>
        <w:t>ë</w:t>
      </w:r>
      <w:r w:rsidR="008D6D37" w:rsidRPr="00AF0FD1">
        <w:rPr>
          <w:rFonts w:ascii="Times New Roman" w:eastAsia="Times New Roman" w:hAnsi="Times New Roman" w:cs="Times New Roman"/>
          <w:noProof/>
          <w:sz w:val="24"/>
          <w:szCs w:val="24"/>
          <w:lang w:val="sq-AL"/>
        </w:rPr>
        <w:t xml:space="preserve"> sh</w:t>
      </w:r>
      <w:r w:rsidR="00982338" w:rsidRPr="00AF0FD1">
        <w:rPr>
          <w:rFonts w:ascii="Times New Roman" w:eastAsia="Times New Roman" w:hAnsi="Times New Roman" w:cs="Times New Roman"/>
          <w:noProof/>
          <w:sz w:val="24"/>
          <w:szCs w:val="24"/>
          <w:lang w:val="sq-AL"/>
        </w:rPr>
        <w:t>ë</w:t>
      </w:r>
      <w:r w:rsidR="008D6D37" w:rsidRPr="00AF0FD1">
        <w:rPr>
          <w:rFonts w:ascii="Times New Roman" w:eastAsia="Times New Roman" w:hAnsi="Times New Roman" w:cs="Times New Roman"/>
          <w:noProof/>
          <w:sz w:val="24"/>
          <w:szCs w:val="24"/>
          <w:lang w:val="sq-AL"/>
        </w:rPr>
        <w:t>rbej</w:t>
      </w:r>
      <w:r w:rsidR="00982338" w:rsidRPr="00AF0FD1">
        <w:rPr>
          <w:rFonts w:ascii="Times New Roman" w:eastAsia="Times New Roman" w:hAnsi="Times New Roman" w:cs="Times New Roman"/>
          <w:noProof/>
          <w:sz w:val="24"/>
          <w:szCs w:val="24"/>
          <w:lang w:val="sq-AL"/>
        </w:rPr>
        <w:t>ë</w:t>
      </w:r>
      <w:r w:rsidR="008D6D37" w:rsidRPr="00AF0FD1">
        <w:rPr>
          <w:rFonts w:ascii="Times New Roman" w:eastAsia="Times New Roman" w:hAnsi="Times New Roman" w:cs="Times New Roman"/>
          <w:noProof/>
          <w:sz w:val="24"/>
          <w:szCs w:val="24"/>
          <w:lang w:val="sq-AL"/>
        </w:rPr>
        <w:t xml:space="preserve"> si </w:t>
      </w:r>
      <w:r w:rsidRPr="00AF0FD1">
        <w:rPr>
          <w:rFonts w:ascii="Times New Roman" w:eastAsia="Times New Roman" w:hAnsi="Times New Roman" w:cs="Times New Roman"/>
          <w:noProof/>
          <w:sz w:val="24"/>
          <w:szCs w:val="24"/>
          <w:lang w:val="sq-AL"/>
        </w:rPr>
        <w:t>një alternativë e mirë për të reduktuar kon</w:t>
      </w:r>
      <w:r w:rsidR="008D6D37" w:rsidRPr="00AF0FD1">
        <w:rPr>
          <w:rFonts w:ascii="Times New Roman" w:eastAsia="Times New Roman" w:hAnsi="Times New Roman" w:cs="Times New Roman"/>
          <w:noProof/>
          <w:sz w:val="24"/>
          <w:szCs w:val="24"/>
          <w:lang w:val="sq-AL"/>
        </w:rPr>
        <w:t>sumimin e burimeve t</w:t>
      </w:r>
      <w:r w:rsidR="00982338" w:rsidRPr="00AF0FD1">
        <w:rPr>
          <w:rFonts w:ascii="Times New Roman" w:eastAsia="Times New Roman" w:hAnsi="Times New Roman" w:cs="Times New Roman"/>
          <w:noProof/>
          <w:sz w:val="24"/>
          <w:szCs w:val="24"/>
          <w:lang w:val="sq-AL"/>
        </w:rPr>
        <w:t>ë</w:t>
      </w:r>
      <w:r w:rsidR="008D6D37" w:rsidRPr="00AF0FD1">
        <w:rPr>
          <w:rFonts w:ascii="Times New Roman" w:eastAsia="Times New Roman" w:hAnsi="Times New Roman" w:cs="Times New Roman"/>
          <w:noProof/>
          <w:sz w:val="24"/>
          <w:szCs w:val="24"/>
          <w:lang w:val="sq-AL"/>
        </w:rPr>
        <w:t xml:space="preserve"> brendshme</w:t>
      </w:r>
      <w:r w:rsidRPr="00AF0FD1">
        <w:rPr>
          <w:rFonts w:ascii="Times New Roman" w:eastAsia="Times New Roman" w:hAnsi="Times New Roman" w:cs="Times New Roman"/>
          <w:noProof/>
          <w:sz w:val="24"/>
          <w:szCs w:val="24"/>
          <w:lang w:val="sq-AL"/>
        </w:rPr>
        <w:t>, për të siguruar valutën e nevojshme për të shërbyer borxhin e huaj, si edhe për të reduktuar kostot</w:t>
      </w:r>
      <w:r w:rsidRPr="00AF0FD1">
        <w:rPr>
          <w:rFonts w:ascii="Times New Roman" w:eastAsia="Times New Roman" w:hAnsi="Times New Roman" w:cs="Times New Roman"/>
          <w:noProof/>
          <w:sz w:val="24"/>
          <w:szCs w:val="24"/>
          <w:vertAlign w:val="superscript"/>
          <w:lang w:val="sq-AL"/>
        </w:rPr>
        <w:footnoteReference w:id="9"/>
      </w:r>
      <w:r w:rsidR="008D6D37" w:rsidRPr="00AF0FD1">
        <w:rPr>
          <w:rFonts w:ascii="Times New Roman" w:eastAsia="Times New Roman" w:hAnsi="Times New Roman" w:cs="Times New Roman"/>
          <w:noProof/>
          <w:sz w:val="24"/>
          <w:szCs w:val="24"/>
          <w:lang w:val="sq-AL"/>
        </w:rPr>
        <w:t xml:space="preserve"> e huamarrjes</w:t>
      </w:r>
      <w:r w:rsidRPr="00AF0FD1">
        <w:rPr>
          <w:rFonts w:ascii="Times New Roman" w:eastAsia="Times New Roman" w:hAnsi="Times New Roman" w:cs="Times New Roman"/>
          <w:noProof/>
          <w:sz w:val="24"/>
          <w:szCs w:val="24"/>
          <w:lang w:val="sq-AL"/>
        </w:rPr>
        <w:t xml:space="preserve">. Megjithatë, edhe huamarrja në tregjet e huaja mund të </w:t>
      </w:r>
      <w:r w:rsidR="00D22726" w:rsidRPr="00AF0FD1">
        <w:rPr>
          <w:rFonts w:ascii="Times New Roman" w:eastAsia="Times New Roman" w:hAnsi="Times New Roman" w:cs="Times New Roman"/>
          <w:noProof/>
          <w:sz w:val="24"/>
          <w:szCs w:val="24"/>
          <w:lang w:val="sq-AL"/>
        </w:rPr>
        <w:t>paraqes</w:t>
      </w:r>
      <w:r w:rsidR="00982338" w:rsidRPr="00AF0FD1">
        <w:rPr>
          <w:rFonts w:ascii="Times New Roman" w:eastAsia="Times New Roman" w:hAnsi="Times New Roman" w:cs="Times New Roman"/>
          <w:noProof/>
          <w:sz w:val="24"/>
          <w:szCs w:val="24"/>
          <w:lang w:val="sq-AL"/>
        </w:rPr>
        <w:t>ë</w:t>
      </w:r>
      <w:r w:rsidRPr="00AF0FD1">
        <w:rPr>
          <w:rFonts w:ascii="Times New Roman" w:eastAsia="Times New Roman" w:hAnsi="Times New Roman" w:cs="Times New Roman"/>
          <w:noProof/>
          <w:sz w:val="24"/>
          <w:szCs w:val="24"/>
          <w:lang w:val="sq-AL"/>
        </w:rPr>
        <w:t xml:space="preserve"> </w:t>
      </w:r>
      <w:r w:rsidR="00D22726" w:rsidRPr="00AF0FD1">
        <w:rPr>
          <w:rFonts w:ascii="Times New Roman" w:eastAsia="Times New Roman" w:hAnsi="Times New Roman" w:cs="Times New Roman"/>
          <w:noProof/>
          <w:sz w:val="24"/>
          <w:szCs w:val="24"/>
          <w:lang w:val="sq-AL"/>
        </w:rPr>
        <w:t>risqe</w:t>
      </w:r>
      <w:r w:rsidRPr="00AF0FD1">
        <w:rPr>
          <w:rFonts w:ascii="Times New Roman" w:eastAsia="Times New Roman" w:hAnsi="Times New Roman" w:cs="Times New Roman"/>
          <w:noProof/>
          <w:sz w:val="24"/>
          <w:szCs w:val="24"/>
          <w:lang w:val="sq-AL"/>
        </w:rPr>
        <w:t xml:space="preserve">, </w:t>
      </w:r>
      <w:r w:rsidR="008D6D37" w:rsidRPr="00AF0FD1">
        <w:rPr>
          <w:rFonts w:ascii="Times New Roman" w:eastAsia="Times New Roman" w:hAnsi="Times New Roman" w:cs="Times New Roman"/>
          <w:noProof/>
          <w:sz w:val="24"/>
          <w:szCs w:val="24"/>
          <w:lang w:val="sq-AL"/>
        </w:rPr>
        <w:t>t</w:t>
      </w:r>
      <w:r w:rsidR="00982338" w:rsidRPr="00AF0FD1">
        <w:rPr>
          <w:rFonts w:ascii="Times New Roman" w:eastAsia="Times New Roman" w:hAnsi="Times New Roman" w:cs="Times New Roman"/>
          <w:noProof/>
          <w:sz w:val="24"/>
          <w:szCs w:val="24"/>
          <w:lang w:val="sq-AL"/>
        </w:rPr>
        <w:t>ë</w:t>
      </w:r>
      <w:r w:rsidR="008D6D37" w:rsidRPr="00AF0FD1">
        <w:rPr>
          <w:rFonts w:ascii="Times New Roman" w:eastAsia="Times New Roman" w:hAnsi="Times New Roman" w:cs="Times New Roman"/>
          <w:noProof/>
          <w:sz w:val="24"/>
          <w:szCs w:val="24"/>
          <w:lang w:val="sq-AL"/>
        </w:rPr>
        <w:t xml:space="preserve"> cilat</w:t>
      </w:r>
      <w:r w:rsidRPr="00AF0FD1">
        <w:rPr>
          <w:rFonts w:ascii="Times New Roman" w:eastAsia="Times New Roman" w:hAnsi="Times New Roman" w:cs="Times New Roman"/>
          <w:noProof/>
          <w:sz w:val="24"/>
          <w:szCs w:val="24"/>
          <w:lang w:val="sq-AL"/>
        </w:rPr>
        <w:t xml:space="preserve"> lidhen me faktorë të tillë si: </w:t>
      </w:r>
    </w:p>
    <w:p w14:paraId="71DF5CE8" w14:textId="77777777" w:rsidR="00E57778" w:rsidRPr="00A83369" w:rsidRDefault="00E57778" w:rsidP="00E57778">
      <w:pPr>
        <w:spacing w:after="0" w:line="276" w:lineRule="auto"/>
        <w:ind w:left="284" w:right="238"/>
        <w:jc w:val="both"/>
        <w:rPr>
          <w:rFonts w:ascii="Times New Roman" w:eastAsia="Times New Roman" w:hAnsi="Times New Roman" w:cs="Times New Roman"/>
          <w:noProof/>
          <w:sz w:val="16"/>
          <w:szCs w:val="16"/>
          <w:highlight w:val="yellow"/>
          <w:lang w:val="sq-AL"/>
        </w:rPr>
      </w:pPr>
    </w:p>
    <w:p w14:paraId="71DF5CE9" w14:textId="77777777" w:rsidR="00E57778" w:rsidRDefault="00E57778" w:rsidP="00DE1276">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 xml:space="preserve">Mungesa e kontrollit dhe influencës së politikave fiskale dhe monetare të vendit tonë mbi normat e interesit dhe kursin e këmbimit, që </w:t>
      </w:r>
      <w:r w:rsidR="00584854" w:rsidRPr="00AF0FD1">
        <w:rPr>
          <w:rFonts w:ascii="Times New Roman" w:eastAsia="Times New Roman" w:hAnsi="Times New Roman" w:cs="Times New Roman"/>
          <w:noProof/>
          <w:sz w:val="24"/>
          <w:szCs w:val="24"/>
          <w:lang w:val="sq-AL"/>
        </w:rPr>
        <w:t>influencohen</w:t>
      </w:r>
      <w:r w:rsidRPr="00AF0FD1">
        <w:rPr>
          <w:rFonts w:ascii="Times New Roman" w:eastAsia="Times New Roman" w:hAnsi="Times New Roman" w:cs="Times New Roman"/>
          <w:noProof/>
          <w:sz w:val="24"/>
          <w:szCs w:val="24"/>
          <w:lang w:val="sq-AL"/>
        </w:rPr>
        <w:t xml:space="preserve"> kryesisht nga politikat fiskale të vendeve të tjera dhe politikat monetare të BQE dhe Rezervës Federale. Këta faktorë mund të përshkallëzojnë rritjen e kostove të borxhit, zgjerimin e deficitit dhe si rrjedhojë edhe rritjen e pavullnetshme të borxhit; </w:t>
      </w:r>
    </w:p>
    <w:p w14:paraId="71DF5CEA" w14:textId="77777777" w:rsidR="00F54BA5" w:rsidRPr="00F54BA5" w:rsidRDefault="00F54BA5" w:rsidP="00F54BA5">
      <w:pPr>
        <w:spacing w:after="0" w:line="276" w:lineRule="auto"/>
        <w:ind w:left="284" w:right="237"/>
        <w:contextualSpacing/>
        <w:jc w:val="both"/>
        <w:rPr>
          <w:rFonts w:ascii="Times New Roman" w:eastAsia="Times New Roman" w:hAnsi="Times New Roman" w:cs="Times New Roman"/>
          <w:noProof/>
          <w:sz w:val="16"/>
          <w:szCs w:val="24"/>
          <w:lang w:val="sq-AL"/>
        </w:rPr>
      </w:pPr>
    </w:p>
    <w:p w14:paraId="71DF5CEB" w14:textId="77777777" w:rsidR="00F54BA5" w:rsidRDefault="00F54BA5" w:rsidP="00F54BA5">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Rritja e varësisë nga huamarrja e huaj dhe kufizimi i zhvillimit potencial të tregut të brendshëm të titujve shtetërorë.</w:t>
      </w:r>
    </w:p>
    <w:p w14:paraId="71DF5CEC" w14:textId="77777777" w:rsidR="00AF0FD1" w:rsidRPr="00F54BA5" w:rsidRDefault="00AF0FD1" w:rsidP="00F54BA5">
      <w:pPr>
        <w:spacing w:after="0" w:line="276" w:lineRule="auto"/>
        <w:ind w:left="284" w:right="237"/>
        <w:contextualSpacing/>
        <w:jc w:val="both"/>
        <w:rPr>
          <w:rFonts w:ascii="Times New Roman" w:eastAsia="Times New Roman" w:hAnsi="Times New Roman" w:cs="Times New Roman"/>
          <w:noProof/>
          <w:sz w:val="16"/>
          <w:szCs w:val="24"/>
          <w:lang w:val="sq-AL"/>
        </w:rPr>
      </w:pPr>
    </w:p>
    <w:p w14:paraId="71DF5CED" w14:textId="77777777" w:rsidR="00F54BA5" w:rsidRDefault="00E57778" w:rsidP="00F54BA5">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sidRPr="00AF0FD1">
        <w:rPr>
          <w:rFonts w:ascii="Times New Roman" w:eastAsia="Times New Roman" w:hAnsi="Times New Roman" w:cs="Times New Roman"/>
          <w:noProof/>
          <w:sz w:val="24"/>
          <w:szCs w:val="24"/>
          <w:lang w:val="sq-AL"/>
        </w:rPr>
        <w:t xml:space="preserve">Niveli i kufizuar i të ardhurave në valutë mund të krijojë mospërputhje ndërmjet aktiveve dhe pasiveve në bilancin e shtetit, duke rritur ndjeshëm kostot shtesë që burojnë nga një nënçmim i mundshëm i monedhës vendase;  </w:t>
      </w:r>
    </w:p>
    <w:p w14:paraId="71DF5CEE" w14:textId="77777777" w:rsidR="00F54BA5" w:rsidRPr="00F54BA5" w:rsidRDefault="00F54BA5" w:rsidP="00F54BA5">
      <w:pPr>
        <w:spacing w:after="0" w:line="276" w:lineRule="auto"/>
        <w:ind w:right="237"/>
        <w:contextualSpacing/>
        <w:jc w:val="both"/>
        <w:rPr>
          <w:rFonts w:ascii="Times New Roman" w:eastAsia="Times New Roman" w:hAnsi="Times New Roman" w:cs="Times New Roman"/>
          <w:noProof/>
          <w:sz w:val="16"/>
          <w:szCs w:val="24"/>
          <w:lang w:val="sq-AL"/>
        </w:rPr>
      </w:pPr>
    </w:p>
    <w:p w14:paraId="71DF5CEF" w14:textId="77777777" w:rsidR="00E57778" w:rsidRPr="00AF0FD1" w:rsidRDefault="00F54BA5" w:rsidP="00EF5108">
      <w:pPr>
        <w:numPr>
          <w:ilvl w:val="0"/>
          <w:numId w:val="4"/>
        </w:numPr>
        <w:spacing w:after="0" w:line="276" w:lineRule="auto"/>
        <w:ind w:left="284" w:right="237" w:hanging="284"/>
        <w:contextualSpacing/>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Rritja e detyrimeve afatshkurtra t</w:t>
      </w:r>
      <w:r w:rsidR="00A47AB7">
        <w:rPr>
          <w:rFonts w:ascii="Times New Roman" w:eastAsia="Times New Roman" w:hAnsi="Times New Roman" w:cs="Times New Roman"/>
          <w:noProof/>
          <w:sz w:val="24"/>
          <w:szCs w:val="24"/>
          <w:lang w:val="sq-AL"/>
        </w:rPr>
        <w:t>ë</w:t>
      </w:r>
      <w:r>
        <w:rPr>
          <w:rFonts w:ascii="Times New Roman" w:eastAsia="Times New Roman" w:hAnsi="Times New Roman" w:cs="Times New Roman"/>
          <w:noProof/>
          <w:sz w:val="24"/>
          <w:szCs w:val="24"/>
          <w:lang w:val="sq-AL"/>
        </w:rPr>
        <w:t xml:space="preserve"> borxhit n</w:t>
      </w:r>
      <w:r w:rsidR="00A47AB7">
        <w:rPr>
          <w:rFonts w:ascii="Times New Roman" w:eastAsia="Times New Roman" w:hAnsi="Times New Roman" w:cs="Times New Roman"/>
          <w:noProof/>
          <w:sz w:val="24"/>
          <w:szCs w:val="24"/>
          <w:lang w:val="sq-AL"/>
        </w:rPr>
        <w:t>ë</w:t>
      </w:r>
      <w:r>
        <w:rPr>
          <w:rFonts w:ascii="Times New Roman" w:eastAsia="Times New Roman" w:hAnsi="Times New Roman" w:cs="Times New Roman"/>
          <w:noProof/>
          <w:sz w:val="24"/>
          <w:szCs w:val="24"/>
          <w:lang w:val="sq-AL"/>
        </w:rPr>
        <w:t xml:space="preserve"> valut</w:t>
      </w:r>
      <w:r w:rsidR="00A47AB7">
        <w:rPr>
          <w:rFonts w:ascii="Times New Roman" w:eastAsia="Times New Roman" w:hAnsi="Times New Roman" w:cs="Times New Roman"/>
          <w:noProof/>
          <w:sz w:val="24"/>
          <w:szCs w:val="24"/>
          <w:lang w:val="sq-AL"/>
        </w:rPr>
        <w:t>ë</w:t>
      </w:r>
      <w:r>
        <w:rPr>
          <w:rFonts w:ascii="Times New Roman" w:eastAsia="Times New Roman" w:hAnsi="Times New Roman" w:cs="Times New Roman"/>
          <w:noProof/>
          <w:sz w:val="24"/>
          <w:szCs w:val="24"/>
          <w:lang w:val="sq-AL"/>
        </w:rPr>
        <w:t xml:space="preserve"> me ritme m</w:t>
      </w:r>
      <w:r w:rsidR="00A47AB7">
        <w:rPr>
          <w:rFonts w:ascii="Times New Roman" w:eastAsia="Times New Roman" w:hAnsi="Times New Roman" w:cs="Times New Roman"/>
          <w:noProof/>
          <w:sz w:val="24"/>
          <w:szCs w:val="24"/>
          <w:lang w:val="sq-AL"/>
        </w:rPr>
        <w:t>ë</w:t>
      </w:r>
      <w:r>
        <w:rPr>
          <w:rFonts w:ascii="Times New Roman" w:eastAsia="Times New Roman" w:hAnsi="Times New Roman" w:cs="Times New Roman"/>
          <w:noProof/>
          <w:sz w:val="24"/>
          <w:szCs w:val="24"/>
          <w:lang w:val="sq-AL"/>
        </w:rPr>
        <w:t xml:space="preserve"> t</w:t>
      </w:r>
      <w:r w:rsidR="00A47AB7">
        <w:rPr>
          <w:rFonts w:ascii="Times New Roman" w:eastAsia="Times New Roman" w:hAnsi="Times New Roman" w:cs="Times New Roman"/>
          <w:noProof/>
          <w:sz w:val="24"/>
          <w:szCs w:val="24"/>
          <w:lang w:val="sq-AL"/>
        </w:rPr>
        <w:t>ë</w:t>
      </w:r>
      <w:r>
        <w:rPr>
          <w:rFonts w:ascii="Times New Roman" w:eastAsia="Times New Roman" w:hAnsi="Times New Roman" w:cs="Times New Roman"/>
          <w:noProof/>
          <w:sz w:val="24"/>
          <w:szCs w:val="24"/>
          <w:lang w:val="sq-AL"/>
        </w:rPr>
        <w:t xml:space="preserve"> larta se n</w:t>
      </w:r>
      <w:r w:rsidR="00E57778" w:rsidRPr="00AF0FD1">
        <w:rPr>
          <w:rFonts w:ascii="Times New Roman" w:eastAsia="Times New Roman" w:hAnsi="Times New Roman" w:cs="Times New Roman"/>
          <w:noProof/>
          <w:sz w:val="24"/>
          <w:szCs w:val="24"/>
          <w:lang w:val="sq-AL"/>
        </w:rPr>
        <w:t xml:space="preserve">iveli i eksporteve ose rezervave valutore mund të vendosë shtetin në vështirësi për të likuiduar detyrimet në valutë, duke rrezikuar qëndrueshmërinë e monedhës vendase dhe treguesve të tjerë makroekonomikë; </w:t>
      </w:r>
    </w:p>
    <w:p w14:paraId="71DF5CF0" w14:textId="77777777" w:rsidR="00E57778" w:rsidRPr="000F5C13" w:rsidRDefault="00E57778" w:rsidP="00E57778">
      <w:pPr>
        <w:spacing w:after="0" w:line="276" w:lineRule="auto"/>
        <w:ind w:left="709" w:right="237"/>
        <w:contextualSpacing/>
        <w:jc w:val="both"/>
        <w:rPr>
          <w:rFonts w:ascii="Times New Roman" w:eastAsia="Times New Roman" w:hAnsi="Times New Roman" w:cs="Times New Roman"/>
          <w:noProof/>
          <w:sz w:val="16"/>
          <w:szCs w:val="16"/>
          <w:lang w:val="sq-AL"/>
        </w:rPr>
      </w:pPr>
    </w:p>
    <w:p w14:paraId="71DF5CF1" w14:textId="77777777" w:rsidR="00E57778" w:rsidRPr="000F5C13" w:rsidRDefault="00E57778" w:rsidP="004A70BC">
      <w:pPr>
        <w:pStyle w:val="Heading2"/>
        <w:numPr>
          <w:ilvl w:val="1"/>
          <w:numId w:val="21"/>
        </w:numPr>
        <w:ind w:left="709" w:hanging="709"/>
        <w:rPr>
          <w:rFonts w:eastAsia="Times New Roman"/>
          <w:noProof/>
          <w:lang w:val="sq-AL"/>
        </w:rPr>
      </w:pPr>
      <w:bookmarkStart w:id="95" w:name="_Toc491861007"/>
      <w:bookmarkStart w:id="96" w:name="_Toc491954320"/>
      <w:bookmarkStart w:id="97" w:name="_Toc524506547"/>
      <w:r w:rsidRPr="000F5C13">
        <w:rPr>
          <w:rFonts w:eastAsia="Times New Roman"/>
          <w:noProof/>
          <w:lang w:val="sq-AL"/>
        </w:rPr>
        <w:t>Burimet e financimit</w:t>
      </w:r>
      <w:bookmarkEnd w:id="95"/>
      <w:bookmarkEnd w:id="96"/>
      <w:bookmarkEnd w:id="97"/>
    </w:p>
    <w:p w14:paraId="71DF5CF2" w14:textId="77777777" w:rsidR="00E57778" w:rsidRPr="000F5C13" w:rsidRDefault="00E57778" w:rsidP="00E57778">
      <w:pPr>
        <w:keepNext/>
        <w:keepLines/>
        <w:spacing w:after="0" w:line="240" w:lineRule="auto"/>
        <w:outlineLvl w:val="0"/>
        <w:rPr>
          <w:rFonts w:ascii="Times New Roman" w:eastAsia="Times New Roman" w:hAnsi="Times New Roman" w:cs="Times New Roman"/>
          <w:b/>
          <w:bCs/>
          <w:noProof/>
          <w:color w:val="943634"/>
          <w:sz w:val="20"/>
          <w:szCs w:val="28"/>
          <w:lang w:val="sq-AL"/>
        </w:rPr>
      </w:pPr>
    </w:p>
    <w:p w14:paraId="71DF5CF3" w14:textId="77777777" w:rsidR="00E57778" w:rsidRPr="009F5373" w:rsidRDefault="00E57778" w:rsidP="004A70BC">
      <w:pPr>
        <w:tabs>
          <w:tab w:val="left" w:pos="2730"/>
        </w:tabs>
        <w:spacing w:after="0" w:line="276" w:lineRule="auto"/>
        <w:ind w:right="237"/>
        <w:jc w:val="both"/>
        <w:rPr>
          <w:rFonts w:ascii="Times New Roman" w:eastAsia="Times New Roman" w:hAnsi="Times New Roman" w:cs="Times New Roman"/>
          <w:noProof/>
          <w:sz w:val="24"/>
          <w:szCs w:val="24"/>
          <w:lang w:val="sq-AL"/>
        </w:rPr>
      </w:pPr>
      <w:r w:rsidRPr="009F5373">
        <w:rPr>
          <w:rFonts w:ascii="Times New Roman" w:eastAsia="Times New Roman" w:hAnsi="Times New Roman" w:cs="Times New Roman"/>
          <w:noProof/>
          <w:sz w:val="24"/>
          <w:szCs w:val="24"/>
          <w:lang w:val="sq-AL"/>
        </w:rPr>
        <w:t xml:space="preserve">Në kuadër të shërbimit të borxhit ekzistues dhe në kuadër të plotësimit të nevojave të qeverisjes qendrore për huamarrje, paraprakisht janë vlerësuar kushtet e tregut të brendshëm dhe ato të tregjeve ndërkombëtare të kapitalit, duke përcaktuar burimet </w:t>
      </w:r>
      <w:r w:rsidR="009F5373" w:rsidRPr="009F5373">
        <w:rPr>
          <w:rFonts w:ascii="Times New Roman" w:eastAsia="Times New Roman" w:hAnsi="Times New Roman" w:cs="Times New Roman"/>
          <w:noProof/>
          <w:sz w:val="24"/>
          <w:szCs w:val="24"/>
          <w:lang w:val="sq-AL"/>
        </w:rPr>
        <w:t>potenciale</w:t>
      </w:r>
      <w:r w:rsidRPr="009F5373">
        <w:rPr>
          <w:rFonts w:ascii="Times New Roman" w:eastAsia="Times New Roman" w:hAnsi="Times New Roman" w:cs="Times New Roman"/>
          <w:noProof/>
          <w:sz w:val="24"/>
          <w:szCs w:val="24"/>
          <w:lang w:val="sq-AL"/>
        </w:rPr>
        <w:t xml:space="preserve"> të financimit për vendin tonë. </w:t>
      </w:r>
    </w:p>
    <w:p w14:paraId="71DF5CF4" w14:textId="77777777" w:rsidR="00E57778" w:rsidRPr="009F5373" w:rsidRDefault="00E57778" w:rsidP="004A70BC">
      <w:pPr>
        <w:tabs>
          <w:tab w:val="left" w:pos="2730"/>
        </w:tabs>
        <w:spacing w:after="0" w:line="276" w:lineRule="auto"/>
        <w:ind w:right="237"/>
        <w:jc w:val="both"/>
        <w:rPr>
          <w:rFonts w:ascii="Times New Roman" w:eastAsia="Times New Roman" w:hAnsi="Times New Roman" w:cs="Times New Roman"/>
          <w:noProof/>
          <w:sz w:val="2"/>
          <w:szCs w:val="2"/>
          <w:lang w:val="sq-AL"/>
        </w:rPr>
      </w:pPr>
    </w:p>
    <w:p w14:paraId="71DF5CF5" w14:textId="77777777" w:rsidR="00E57778" w:rsidRPr="009F5373" w:rsidRDefault="00E57778" w:rsidP="004A70BC">
      <w:pPr>
        <w:tabs>
          <w:tab w:val="left" w:pos="2730"/>
        </w:tabs>
        <w:spacing w:after="0" w:line="276" w:lineRule="auto"/>
        <w:ind w:right="237"/>
        <w:jc w:val="both"/>
        <w:rPr>
          <w:rFonts w:ascii="Times New Roman" w:eastAsia="Times New Roman" w:hAnsi="Times New Roman" w:cs="Times New Roman"/>
          <w:noProof/>
          <w:sz w:val="16"/>
          <w:szCs w:val="12"/>
          <w:lang w:val="sq-AL"/>
        </w:rPr>
      </w:pPr>
    </w:p>
    <w:p w14:paraId="71DF5CF6" w14:textId="77777777" w:rsidR="00E57778" w:rsidRPr="000F5C13" w:rsidRDefault="00E57778" w:rsidP="004A70BC">
      <w:pPr>
        <w:tabs>
          <w:tab w:val="left" w:pos="2730"/>
        </w:tabs>
        <w:spacing w:after="0" w:line="276" w:lineRule="auto"/>
        <w:ind w:right="237"/>
        <w:jc w:val="both"/>
        <w:rPr>
          <w:rFonts w:ascii="Times New Roman" w:eastAsia="Times New Roman" w:hAnsi="Times New Roman" w:cs="Times New Roman"/>
          <w:noProof/>
          <w:sz w:val="24"/>
          <w:szCs w:val="24"/>
          <w:lang w:val="sq-AL"/>
        </w:rPr>
      </w:pPr>
      <w:r w:rsidRPr="009F5373">
        <w:rPr>
          <w:rFonts w:ascii="Times New Roman" w:eastAsia="Times New Roman" w:hAnsi="Times New Roman" w:cs="Times New Roman"/>
          <w:noProof/>
          <w:sz w:val="24"/>
          <w:szCs w:val="24"/>
          <w:lang w:val="sq-AL"/>
        </w:rPr>
        <w:lastRenderedPageBreak/>
        <w:t xml:space="preserve">Në tregun e brendshëm është mbajtur kontakt i vazhdueshëm kryesisht me sektorin bankar për të vlerësuar </w:t>
      </w:r>
      <w:r w:rsidR="00212EC5" w:rsidRPr="009F5373">
        <w:rPr>
          <w:rFonts w:ascii="Times New Roman" w:eastAsia="Times New Roman" w:hAnsi="Times New Roman" w:cs="Times New Roman"/>
          <w:noProof/>
          <w:sz w:val="24"/>
          <w:szCs w:val="24"/>
          <w:lang w:val="sq-AL"/>
        </w:rPr>
        <w:t>nivelin potencial t</w:t>
      </w:r>
      <w:r w:rsidR="00982338" w:rsidRPr="009F5373">
        <w:rPr>
          <w:rFonts w:ascii="Times New Roman" w:eastAsia="Times New Roman" w:hAnsi="Times New Roman" w:cs="Times New Roman"/>
          <w:noProof/>
          <w:sz w:val="24"/>
          <w:szCs w:val="24"/>
          <w:lang w:val="sq-AL"/>
        </w:rPr>
        <w:t>ë</w:t>
      </w:r>
      <w:r w:rsidR="00212EC5" w:rsidRPr="009F5373">
        <w:rPr>
          <w:rFonts w:ascii="Times New Roman" w:eastAsia="Times New Roman" w:hAnsi="Times New Roman" w:cs="Times New Roman"/>
          <w:noProof/>
          <w:sz w:val="24"/>
          <w:szCs w:val="24"/>
          <w:lang w:val="sq-AL"/>
        </w:rPr>
        <w:t xml:space="preserve"> </w:t>
      </w:r>
      <w:r w:rsidRPr="009F5373">
        <w:rPr>
          <w:rFonts w:ascii="Times New Roman" w:eastAsia="Times New Roman" w:hAnsi="Times New Roman" w:cs="Times New Roman"/>
          <w:noProof/>
          <w:sz w:val="24"/>
          <w:szCs w:val="24"/>
          <w:lang w:val="sq-AL"/>
        </w:rPr>
        <w:t>kërkesë</w:t>
      </w:r>
      <w:r w:rsidR="00212EC5" w:rsidRPr="009F5373">
        <w:rPr>
          <w:rFonts w:ascii="Times New Roman" w:eastAsia="Times New Roman" w:hAnsi="Times New Roman" w:cs="Times New Roman"/>
          <w:noProof/>
          <w:sz w:val="24"/>
          <w:szCs w:val="24"/>
          <w:lang w:val="sq-AL"/>
        </w:rPr>
        <w:t>s</w:t>
      </w:r>
      <w:r w:rsidRPr="009F5373">
        <w:rPr>
          <w:rFonts w:ascii="Times New Roman" w:eastAsia="Times New Roman" w:hAnsi="Times New Roman" w:cs="Times New Roman"/>
          <w:noProof/>
          <w:sz w:val="24"/>
          <w:szCs w:val="24"/>
          <w:lang w:val="sq-AL"/>
        </w:rPr>
        <w:t xml:space="preserve"> dhe preferencën </w:t>
      </w:r>
      <w:r w:rsidR="00212EC5" w:rsidRPr="009F5373">
        <w:rPr>
          <w:rFonts w:ascii="Times New Roman" w:eastAsia="Times New Roman" w:hAnsi="Times New Roman" w:cs="Times New Roman"/>
          <w:noProof/>
          <w:sz w:val="24"/>
          <w:szCs w:val="24"/>
          <w:lang w:val="sq-AL"/>
        </w:rPr>
        <w:t xml:space="preserve">e saj </w:t>
      </w:r>
      <w:r w:rsidRPr="009F5373">
        <w:rPr>
          <w:rFonts w:ascii="Times New Roman" w:eastAsia="Times New Roman" w:hAnsi="Times New Roman" w:cs="Times New Roman"/>
          <w:noProof/>
          <w:sz w:val="24"/>
          <w:szCs w:val="24"/>
          <w:lang w:val="sq-AL"/>
        </w:rPr>
        <w:t xml:space="preserve">për tituj shtetërorë. Ndërkohë, në tregun e jashtëm janë bërë vlerësime me qëllim evidentimin e termave dhe kushteve kundrejt të cilave investitorët e huaj janë të gatshëm të kreditojnë vendin tonë. </w:t>
      </w:r>
      <w:r w:rsidR="007E11A9" w:rsidRPr="009F5373">
        <w:rPr>
          <w:rFonts w:ascii="Times New Roman" w:eastAsia="Times New Roman" w:hAnsi="Times New Roman" w:cs="Times New Roman"/>
          <w:noProof/>
          <w:sz w:val="24"/>
          <w:szCs w:val="24"/>
          <w:lang w:val="sq-AL"/>
        </w:rPr>
        <w:t>Mbi baz</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n e k</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tyre vler</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simeve jan</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 xml:space="preserve"> p</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rcaktuar burimet potenciale t</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 xml:space="preserve"> financimit n</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 xml:space="preserve"> periudh</w:t>
      </w:r>
      <w:r w:rsidR="00982338" w:rsidRPr="009F5373">
        <w:rPr>
          <w:rFonts w:ascii="Times New Roman" w:eastAsia="Times New Roman" w:hAnsi="Times New Roman" w:cs="Times New Roman"/>
          <w:noProof/>
          <w:sz w:val="24"/>
          <w:szCs w:val="24"/>
          <w:lang w:val="sq-AL"/>
        </w:rPr>
        <w:t>ë</w:t>
      </w:r>
      <w:r w:rsidR="007E11A9" w:rsidRPr="009F5373">
        <w:rPr>
          <w:rFonts w:ascii="Times New Roman" w:eastAsia="Times New Roman" w:hAnsi="Times New Roman" w:cs="Times New Roman"/>
          <w:noProof/>
          <w:sz w:val="24"/>
          <w:szCs w:val="24"/>
          <w:lang w:val="sq-AL"/>
        </w:rPr>
        <w:t>n afatmesme 2020-2022.</w:t>
      </w:r>
    </w:p>
    <w:p w14:paraId="71DF5CF7" w14:textId="77777777" w:rsidR="00E57778" w:rsidRPr="000F5C13" w:rsidRDefault="00E57778" w:rsidP="00E57778">
      <w:pPr>
        <w:tabs>
          <w:tab w:val="left" w:pos="2730"/>
        </w:tabs>
        <w:spacing w:after="0" w:line="276" w:lineRule="auto"/>
        <w:ind w:right="237"/>
        <w:jc w:val="both"/>
        <w:rPr>
          <w:rFonts w:ascii="Times New Roman" w:eastAsia="Times New Roman" w:hAnsi="Times New Roman" w:cs="Times New Roman"/>
          <w:noProof/>
          <w:sz w:val="16"/>
          <w:szCs w:val="16"/>
          <w:lang w:val="sq-AL"/>
        </w:rPr>
      </w:pPr>
    </w:p>
    <w:p w14:paraId="71DF5CF8" w14:textId="77777777" w:rsidR="00E57778" w:rsidRPr="000F5C13" w:rsidRDefault="00E57778" w:rsidP="004A70BC">
      <w:pPr>
        <w:pStyle w:val="Heading3"/>
        <w:numPr>
          <w:ilvl w:val="2"/>
          <w:numId w:val="21"/>
        </w:numPr>
        <w:ind w:left="851" w:hanging="851"/>
        <w:rPr>
          <w:rFonts w:eastAsia="Times New Roman"/>
          <w:noProof/>
        </w:rPr>
      </w:pPr>
      <w:bookmarkStart w:id="98" w:name="_Toc491861008"/>
      <w:bookmarkStart w:id="99" w:name="_Toc491954321"/>
      <w:bookmarkStart w:id="100" w:name="_Toc524506548"/>
      <w:r w:rsidRPr="000F5C13">
        <w:rPr>
          <w:rFonts w:eastAsia="Times New Roman"/>
          <w:noProof/>
        </w:rPr>
        <w:t>Burimet e brendshme</w:t>
      </w:r>
      <w:bookmarkEnd w:id="98"/>
      <w:bookmarkEnd w:id="99"/>
      <w:bookmarkEnd w:id="100"/>
    </w:p>
    <w:p w14:paraId="71DF5CF9" w14:textId="77777777" w:rsidR="00E57778" w:rsidRPr="000F5C13" w:rsidRDefault="00E57778" w:rsidP="00E57778">
      <w:pPr>
        <w:tabs>
          <w:tab w:val="left" w:pos="2730"/>
        </w:tabs>
        <w:spacing w:after="0" w:line="240" w:lineRule="auto"/>
        <w:jc w:val="both"/>
        <w:rPr>
          <w:rFonts w:ascii="Times New Roman" w:eastAsia="Times New Roman" w:hAnsi="Times New Roman" w:cs="Times New Roman"/>
          <w:noProof/>
          <w:sz w:val="16"/>
          <w:szCs w:val="24"/>
          <w:lang w:val="sq-AL"/>
        </w:rPr>
      </w:pPr>
    </w:p>
    <w:p w14:paraId="71DF5CFA" w14:textId="77777777" w:rsidR="00E57778" w:rsidRPr="009F5373" w:rsidRDefault="00E57778" w:rsidP="00002331">
      <w:pPr>
        <w:tabs>
          <w:tab w:val="left" w:pos="2730"/>
          <w:tab w:val="left" w:pos="8789"/>
        </w:tabs>
        <w:spacing w:after="0" w:line="276" w:lineRule="auto"/>
        <w:ind w:right="237"/>
        <w:jc w:val="both"/>
        <w:rPr>
          <w:rFonts w:ascii="Times New Roman" w:eastAsia="Times New Roman" w:hAnsi="Times New Roman" w:cs="Times New Roman"/>
          <w:noProof/>
          <w:sz w:val="24"/>
          <w:szCs w:val="24"/>
          <w:lang w:val="sq-AL"/>
        </w:rPr>
      </w:pPr>
      <w:r w:rsidRPr="009F5373">
        <w:rPr>
          <w:rFonts w:ascii="Times New Roman" w:eastAsia="Times New Roman" w:hAnsi="Times New Roman" w:cs="Times New Roman"/>
          <w:noProof/>
          <w:sz w:val="24"/>
          <w:szCs w:val="24"/>
          <w:lang w:val="sq-AL"/>
        </w:rPr>
        <w:t>Në periudhën afatmesme, tregu i brendshëm do të vazhdojë të mbetet burimi kryesor i financimit</w:t>
      </w:r>
      <w:r w:rsidR="00BA4C5F" w:rsidRPr="009F5373">
        <w:rPr>
          <w:rFonts w:ascii="Times New Roman" w:eastAsia="Times New Roman" w:hAnsi="Times New Roman" w:cs="Times New Roman"/>
          <w:noProof/>
          <w:sz w:val="24"/>
          <w:szCs w:val="24"/>
          <w:lang w:val="sq-AL"/>
        </w:rPr>
        <w:t>,</w:t>
      </w:r>
      <w:r w:rsidRPr="009F5373">
        <w:rPr>
          <w:rFonts w:ascii="Times New Roman" w:eastAsia="Times New Roman" w:hAnsi="Times New Roman" w:cs="Times New Roman"/>
          <w:noProof/>
          <w:sz w:val="24"/>
          <w:szCs w:val="24"/>
          <w:lang w:val="sq-AL"/>
        </w:rPr>
        <w:t xml:space="preserve"> </w:t>
      </w:r>
      <w:r w:rsidR="009C5306" w:rsidRPr="009F5373">
        <w:rPr>
          <w:rFonts w:ascii="Times New Roman" w:eastAsia="Times New Roman" w:hAnsi="Times New Roman" w:cs="Times New Roman"/>
          <w:noProof/>
          <w:sz w:val="24"/>
          <w:szCs w:val="24"/>
          <w:lang w:val="sq-AL"/>
        </w:rPr>
        <w:t>i cili do t</w:t>
      </w:r>
      <w:r w:rsidR="00982338" w:rsidRPr="009F5373">
        <w:rPr>
          <w:rFonts w:ascii="Times New Roman" w:eastAsia="Times New Roman" w:hAnsi="Times New Roman" w:cs="Times New Roman"/>
          <w:noProof/>
          <w:sz w:val="24"/>
          <w:szCs w:val="24"/>
          <w:lang w:val="sq-AL"/>
        </w:rPr>
        <w:t>ë</w:t>
      </w:r>
      <w:r w:rsidR="009C5306" w:rsidRPr="009F5373">
        <w:rPr>
          <w:rFonts w:ascii="Times New Roman" w:eastAsia="Times New Roman" w:hAnsi="Times New Roman" w:cs="Times New Roman"/>
          <w:noProof/>
          <w:sz w:val="24"/>
          <w:szCs w:val="24"/>
          <w:lang w:val="sq-AL"/>
        </w:rPr>
        <w:t xml:space="preserve"> mbuloj</w:t>
      </w:r>
      <w:r w:rsidR="00982338" w:rsidRPr="009F5373">
        <w:rPr>
          <w:rFonts w:ascii="Times New Roman" w:eastAsia="Times New Roman" w:hAnsi="Times New Roman" w:cs="Times New Roman"/>
          <w:noProof/>
          <w:sz w:val="24"/>
          <w:szCs w:val="24"/>
          <w:lang w:val="sq-AL"/>
        </w:rPr>
        <w:t>ë</w:t>
      </w:r>
      <w:r w:rsidR="009C5306" w:rsidRPr="009F5373">
        <w:rPr>
          <w:rFonts w:ascii="Times New Roman" w:eastAsia="Times New Roman" w:hAnsi="Times New Roman" w:cs="Times New Roman"/>
          <w:noProof/>
          <w:sz w:val="24"/>
          <w:szCs w:val="24"/>
          <w:lang w:val="sq-AL"/>
        </w:rPr>
        <w:t xml:space="preserve"> shumic</w:t>
      </w:r>
      <w:r w:rsidR="00982338" w:rsidRPr="009F5373">
        <w:rPr>
          <w:rFonts w:ascii="Times New Roman" w:eastAsia="Times New Roman" w:hAnsi="Times New Roman" w:cs="Times New Roman"/>
          <w:noProof/>
          <w:sz w:val="24"/>
          <w:szCs w:val="24"/>
          <w:lang w:val="sq-AL"/>
        </w:rPr>
        <w:t>ë</w:t>
      </w:r>
      <w:r w:rsidR="009C5306" w:rsidRPr="009F5373">
        <w:rPr>
          <w:rFonts w:ascii="Times New Roman" w:eastAsia="Times New Roman" w:hAnsi="Times New Roman" w:cs="Times New Roman"/>
          <w:noProof/>
          <w:sz w:val="24"/>
          <w:szCs w:val="24"/>
          <w:lang w:val="sq-AL"/>
        </w:rPr>
        <w:t>n e nevojave</w:t>
      </w:r>
      <w:r w:rsidRPr="009F5373">
        <w:rPr>
          <w:rFonts w:ascii="Times New Roman" w:eastAsia="Times New Roman" w:hAnsi="Times New Roman" w:cs="Times New Roman"/>
          <w:noProof/>
          <w:sz w:val="24"/>
          <w:szCs w:val="24"/>
          <w:lang w:val="sq-AL"/>
        </w:rPr>
        <w:t xml:space="preserve"> të qeverisjes qendrore për hua. Instrumentet kryesore që do të përdoren për sigurimin e financimit janë titujt shtetërorë. Burimet e brendshme të financimit do të vazhdojnë të mbështeten kryesisht tek sektori bankar, ndërkohë që ka pritshmëri pozitive për rritjen e aktivitetit në tregun e titujve shtetërorë nga institucionet jo-financiare dhe investitorët jo-rezident. </w:t>
      </w:r>
    </w:p>
    <w:p w14:paraId="71DF5CFB" w14:textId="77777777" w:rsidR="00E57778" w:rsidRPr="0096711F" w:rsidRDefault="00E57778" w:rsidP="00002331">
      <w:pPr>
        <w:tabs>
          <w:tab w:val="left" w:pos="2730"/>
          <w:tab w:val="left" w:pos="8789"/>
        </w:tabs>
        <w:spacing w:after="0" w:line="276" w:lineRule="auto"/>
        <w:ind w:right="237"/>
        <w:jc w:val="both"/>
        <w:rPr>
          <w:rFonts w:ascii="Times New Roman" w:eastAsia="Times New Roman" w:hAnsi="Times New Roman" w:cs="Times New Roman"/>
          <w:noProof/>
          <w:sz w:val="2"/>
          <w:szCs w:val="2"/>
          <w:highlight w:val="yellow"/>
          <w:lang w:val="sq-AL"/>
        </w:rPr>
      </w:pPr>
    </w:p>
    <w:p w14:paraId="71DF5CFC" w14:textId="77777777" w:rsidR="00E57778" w:rsidRPr="009F5373" w:rsidRDefault="00E57778" w:rsidP="00002331">
      <w:pPr>
        <w:tabs>
          <w:tab w:val="left" w:pos="2730"/>
          <w:tab w:val="left" w:pos="8789"/>
        </w:tabs>
        <w:spacing w:after="0" w:line="276" w:lineRule="auto"/>
        <w:ind w:right="237"/>
        <w:jc w:val="both"/>
        <w:rPr>
          <w:rFonts w:ascii="Times New Roman" w:eastAsia="Times New Roman" w:hAnsi="Times New Roman" w:cs="Times New Roman"/>
          <w:noProof/>
          <w:sz w:val="24"/>
          <w:szCs w:val="24"/>
          <w:lang w:val="sq-AL"/>
        </w:rPr>
      </w:pPr>
      <w:r w:rsidRPr="009F5373">
        <w:rPr>
          <w:rFonts w:ascii="Times New Roman" w:eastAsia="Times New Roman" w:hAnsi="Times New Roman" w:cs="Times New Roman"/>
          <w:noProof/>
          <w:sz w:val="24"/>
          <w:szCs w:val="24"/>
          <w:lang w:val="sq-AL"/>
        </w:rPr>
        <w:t xml:space="preserve">Sektori bankar do të tentojë më së shumti të orientohet drejt bonove të thesarit dhe titujve afatmesëm për shkak të orientimit të bankave mëma, si dhe në kuadër të kufizimeve lidhur me raportet e likuiditetit, barrën e kapitalit dhe ekspozimin ndaj borxhit sovran. Gjithsesi, orientimi i sektorit bankar drejt titujve afatshkurtër pritet të kompensohet nga rritja e kërkesës në kategoritë e tjera dhe orientimi i tyre në drejtim të titujve afatgjatë. </w:t>
      </w:r>
    </w:p>
    <w:p w14:paraId="71DF5CFD" w14:textId="77777777" w:rsidR="00E57778" w:rsidRPr="0096711F" w:rsidRDefault="00E57778" w:rsidP="00E57778">
      <w:pPr>
        <w:tabs>
          <w:tab w:val="left" w:pos="2730"/>
        </w:tabs>
        <w:spacing w:after="0" w:line="276" w:lineRule="auto"/>
        <w:ind w:left="284" w:right="237"/>
        <w:jc w:val="both"/>
        <w:rPr>
          <w:rFonts w:ascii="Times New Roman" w:eastAsia="Times New Roman" w:hAnsi="Times New Roman" w:cs="Times New Roman"/>
          <w:noProof/>
          <w:sz w:val="16"/>
          <w:szCs w:val="24"/>
          <w:highlight w:val="yellow"/>
          <w:lang w:val="sq-AL"/>
        </w:rPr>
      </w:pPr>
    </w:p>
    <w:p w14:paraId="71DF5CFE" w14:textId="77777777" w:rsidR="00E57778" w:rsidRPr="009F5373" w:rsidRDefault="00E57778" w:rsidP="00002331">
      <w:pPr>
        <w:pStyle w:val="Heading3"/>
        <w:numPr>
          <w:ilvl w:val="2"/>
          <w:numId w:val="21"/>
        </w:numPr>
        <w:ind w:left="851" w:hanging="851"/>
        <w:rPr>
          <w:rFonts w:ascii="Times New Roman" w:eastAsia="Times New Roman" w:hAnsi="Times New Roman"/>
          <w:noProof/>
        </w:rPr>
      </w:pPr>
      <w:bookmarkStart w:id="101" w:name="_Toc491861009"/>
      <w:bookmarkStart w:id="102" w:name="_Toc491954322"/>
      <w:bookmarkStart w:id="103" w:name="_Toc524506549"/>
      <w:r w:rsidRPr="009F5373">
        <w:rPr>
          <w:rFonts w:eastAsia="Times New Roman"/>
          <w:noProof/>
        </w:rPr>
        <w:t>Burimet e huaja</w:t>
      </w:r>
      <w:bookmarkEnd w:id="101"/>
      <w:bookmarkEnd w:id="102"/>
      <w:bookmarkEnd w:id="103"/>
    </w:p>
    <w:p w14:paraId="71DF5CFF" w14:textId="77777777" w:rsidR="00E57778" w:rsidRPr="009F5373" w:rsidRDefault="00E57778" w:rsidP="00002331">
      <w:pPr>
        <w:tabs>
          <w:tab w:val="left" w:pos="2730"/>
        </w:tabs>
        <w:spacing w:after="0" w:line="276" w:lineRule="auto"/>
        <w:ind w:right="237"/>
        <w:jc w:val="both"/>
        <w:rPr>
          <w:rFonts w:ascii="Times New Roman" w:eastAsia="Times New Roman" w:hAnsi="Times New Roman" w:cs="Times New Roman"/>
          <w:noProof/>
          <w:sz w:val="16"/>
          <w:szCs w:val="24"/>
          <w:lang w:val="sq-AL"/>
        </w:rPr>
      </w:pPr>
    </w:p>
    <w:p w14:paraId="71DF5D00" w14:textId="77777777" w:rsidR="00E57778" w:rsidRPr="009F5373" w:rsidRDefault="00E57778" w:rsidP="00002331">
      <w:pPr>
        <w:tabs>
          <w:tab w:val="left" w:pos="2730"/>
        </w:tabs>
        <w:spacing w:after="0" w:line="276" w:lineRule="auto"/>
        <w:ind w:right="237"/>
        <w:jc w:val="both"/>
        <w:rPr>
          <w:rFonts w:ascii="Times New Roman" w:eastAsia="Times New Roman" w:hAnsi="Times New Roman" w:cs="Times New Roman"/>
          <w:bCs/>
          <w:iCs/>
          <w:noProof/>
          <w:sz w:val="24"/>
          <w:szCs w:val="24"/>
          <w:lang w:val="sq-AL"/>
        </w:rPr>
      </w:pPr>
      <w:r w:rsidRPr="009F5373">
        <w:rPr>
          <w:rFonts w:ascii="Times New Roman" w:eastAsia="Times New Roman" w:hAnsi="Times New Roman" w:cs="Times New Roman"/>
          <w:bCs/>
          <w:iCs/>
          <w:noProof/>
          <w:sz w:val="24"/>
          <w:szCs w:val="24"/>
          <w:lang w:val="sq-AL"/>
        </w:rPr>
        <w:t xml:space="preserve">Burimet e huaja të financimit në periudhën afatmesme do të shërbejnë si një plotësues i mirë i burimeve të brendshme dhe do të shërbejnë përveç të tjerash edhe si optimizues i kostove të borxhit, duke qenë se këto burime paraqiten të mirëdiversifikuara dhe ofrojnë mundësi financimi jo vetëm me terma tregtare, por edhe me terma koncensionale. Instrumentet kryesore që planifikohen të përdoren në sigurimin e financimit të huaj janë: </w:t>
      </w:r>
    </w:p>
    <w:p w14:paraId="71DF5D01" w14:textId="77777777" w:rsidR="00E57778" w:rsidRPr="000F5C13" w:rsidRDefault="00E57778" w:rsidP="00002331">
      <w:pPr>
        <w:tabs>
          <w:tab w:val="left" w:pos="2730"/>
        </w:tabs>
        <w:spacing w:after="0" w:line="276" w:lineRule="auto"/>
        <w:ind w:right="237"/>
        <w:contextualSpacing/>
        <w:jc w:val="both"/>
        <w:rPr>
          <w:rFonts w:ascii="Times New Roman" w:eastAsia="Times New Roman" w:hAnsi="Times New Roman" w:cs="Times New Roman"/>
          <w:bCs/>
          <w:i/>
          <w:iCs/>
          <w:noProof/>
          <w:sz w:val="24"/>
          <w:szCs w:val="24"/>
          <w:lang w:val="sq-AL"/>
        </w:rPr>
      </w:pPr>
      <w:r w:rsidRPr="009F5373">
        <w:rPr>
          <w:rFonts w:ascii="Times New Roman" w:eastAsia="Times New Roman" w:hAnsi="Times New Roman" w:cs="Times New Roman"/>
          <w:bCs/>
          <w:iCs/>
          <w:noProof/>
          <w:sz w:val="24"/>
          <w:szCs w:val="24"/>
          <w:lang w:val="sq-AL"/>
        </w:rPr>
        <w:t>a) huatë për financimin e projekteve</w:t>
      </w:r>
      <w:r w:rsidRPr="009F5373">
        <w:rPr>
          <w:rFonts w:ascii="Times New Roman" w:eastAsia="Times New Roman" w:hAnsi="Times New Roman" w:cs="Times New Roman"/>
          <w:bCs/>
          <w:iCs/>
          <w:noProof/>
          <w:sz w:val="24"/>
          <w:szCs w:val="24"/>
          <w:vertAlign w:val="superscript"/>
          <w:lang w:val="sq-AL"/>
        </w:rPr>
        <w:footnoteReference w:id="10"/>
      </w:r>
      <w:r w:rsidRPr="009F5373">
        <w:rPr>
          <w:rFonts w:ascii="Times New Roman" w:eastAsia="Times New Roman" w:hAnsi="Times New Roman" w:cs="Times New Roman"/>
          <w:bCs/>
          <w:iCs/>
          <w:noProof/>
          <w:sz w:val="24"/>
          <w:szCs w:val="24"/>
          <w:lang w:val="sq-AL"/>
        </w:rPr>
        <w:t>, të siguruara kryesisht nga burime dypalëshe dhe shumëpalëshe; b) huatë në formën e mbështetjes buxhetore</w:t>
      </w:r>
      <w:r w:rsidRPr="009F5373">
        <w:rPr>
          <w:rFonts w:ascii="Times New Roman" w:eastAsia="Times New Roman" w:hAnsi="Times New Roman" w:cs="Times New Roman"/>
          <w:bCs/>
          <w:iCs/>
          <w:noProof/>
          <w:sz w:val="24"/>
          <w:szCs w:val="24"/>
          <w:vertAlign w:val="superscript"/>
          <w:lang w:val="sq-AL"/>
        </w:rPr>
        <w:footnoteReference w:id="11"/>
      </w:r>
      <w:r w:rsidRPr="009F5373">
        <w:rPr>
          <w:rFonts w:ascii="Times New Roman" w:eastAsia="Times New Roman" w:hAnsi="Times New Roman" w:cs="Times New Roman"/>
          <w:bCs/>
          <w:iCs/>
          <w:noProof/>
          <w:sz w:val="24"/>
          <w:szCs w:val="24"/>
          <w:lang w:val="sq-AL"/>
        </w:rPr>
        <w:t xml:space="preserve"> të akorduar</w:t>
      </w:r>
      <w:r w:rsidR="009F5373" w:rsidRPr="009F5373">
        <w:rPr>
          <w:rFonts w:ascii="Times New Roman" w:eastAsia="Times New Roman" w:hAnsi="Times New Roman" w:cs="Times New Roman"/>
          <w:bCs/>
          <w:iCs/>
          <w:noProof/>
          <w:sz w:val="24"/>
          <w:szCs w:val="24"/>
          <w:lang w:val="sq-AL"/>
        </w:rPr>
        <w:t>a</w:t>
      </w:r>
      <w:r w:rsidRPr="009F5373">
        <w:rPr>
          <w:rFonts w:ascii="Times New Roman" w:eastAsia="Times New Roman" w:hAnsi="Times New Roman" w:cs="Times New Roman"/>
          <w:bCs/>
          <w:iCs/>
          <w:noProof/>
          <w:sz w:val="24"/>
          <w:szCs w:val="24"/>
          <w:lang w:val="sq-AL"/>
        </w:rPr>
        <w:t xml:space="preserve"> nga institucionet ndërkombëtare financiare</w:t>
      </w:r>
      <w:r w:rsidR="009F5373" w:rsidRPr="009F5373">
        <w:rPr>
          <w:rFonts w:ascii="Times New Roman" w:eastAsia="Times New Roman" w:hAnsi="Times New Roman" w:cs="Times New Roman"/>
          <w:bCs/>
          <w:iCs/>
          <w:noProof/>
          <w:sz w:val="24"/>
          <w:szCs w:val="24"/>
          <w:lang w:val="sq-AL"/>
        </w:rPr>
        <w:t xml:space="preserve"> n</w:t>
      </w:r>
      <w:r w:rsidR="009F5373">
        <w:rPr>
          <w:rFonts w:ascii="Times New Roman" w:eastAsia="Times New Roman" w:hAnsi="Times New Roman" w:cs="Times New Roman"/>
          <w:bCs/>
          <w:iCs/>
          <w:noProof/>
          <w:sz w:val="24"/>
          <w:szCs w:val="24"/>
          <w:lang w:val="sq-AL"/>
        </w:rPr>
        <w:t>ë</w:t>
      </w:r>
      <w:r w:rsidR="009F5373" w:rsidRPr="009F5373">
        <w:rPr>
          <w:rFonts w:ascii="Times New Roman" w:eastAsia="Times New Roman" w:hAnsi="Times New Roman" w:cs="Times New Roman"/>
          <w:bCs/>
          <w:iCs/>
          <w:noProof/>
          <w:sz w:val="24"/>
          <w:szCs w:val="24"/>
          <w:lang w:val="sq-AL"/>
        </w:rPr>
        <w:t xml:space="preserve"> kuad</w:t>
      </w:r>
      <w:r w:rsidR="009F5373">
        <w:rPr>
          <w:rFonts w:ascii="Times New Roman" w:eastAsia="Times New Roman" w:hAnsi="Times New Roman" w:cs="Times New Roman"/>
          <w:bCs/>
          <w:iCs/>
          <w:noProof/>
          <w:sz w:val="24"/>
          <w:szCs w:val="24"/>
          <w:lang w:val="sq-AL"/>
        </w:rPr>
        <w:t>ë</w:t>
      </w:r>
      <w:r w:rsidR="009F5373" w:rsidRPr="009F5373">
        <w:rPr>
          <w:rFonts w:ascii="Times New Roman" w:eastAsia="Times New Roman" w:hAnsi="Times New Roman" w:cs="Times New Roman"/>
          <w:bCs/>
          <w:iCs/>
          <w:noProof/>
          <w:sz w:val="24"/>
          <w:szCs w:val="24"/>
          <w:lang w:val="sq-AL"/>
        </w:rPr>
        <w:t>r t</w:t>
      </w:r>
      <w:r w:rsidR="009F5373">
        <w:rPr>
          <w:rFonts w:ascii="Times New Roman" w:eastAsia="Times New Roman" w:hAnsi="Times New Roman" w:cs="Times New Roman"/>
          <w:bCs/>
          <w:iCs/>
          <w:noProof/>
          <w:sz w:val="24"/>
          <w:szCs w:val="24"/>
          <w:lang w:val="sq-AL"/>
        </w:rPr>
        <w:t>ë</w:t>
      </w:r>
      <w:r w:rsidR="009F5373" w:rsidRPr="009F5373">
        <w:rPr>
          <w:rFonts w:ascii="Times New Roman" w:eastAsia="Times New Roman" w:hAnsi="Times New Roman" w:cs="Times New Roman"/>
          <w:bCs/>
          <w:iCs/>
          <w:noProof/>
          <w:sz w:val="24"/>
          <w:szCs w:val="24"/>
          <w:lang w:val="sq-AL"/>
        </w:rPr>
        <w:t xml:space="preserve"> mb</w:t>
      </w:r>
      <w:r w:rsidR="009F5373">
        <w:rPr>
          <w:rFonts w:ascii="Times New Roman" w:eastAsia="Times New Roman" w:hAnsi="Times New Roman" w:cs="Times New Roman"/>
          <w:bCs/>
          <w:iCs/>
          <w:noProof/>
          <w:sz w:val="24"/>
          <w:szCs w:val="24"/>
          <w:lang w:val="sq-AL"/>
        </w:rPr>
        <w:t>ë</w:t>
      </w:r>
      <w:r w:rsidR="009F5373" w:rsidRPr="009F5373">
        <w:rPr>
          <w:rFonts w:ascii="Times New Roman" w:eastAsia="Times New Roman" w:hAnsi="Times New Roman" w:cs="Times New Roman"/>
          <w:bCs/>
          <w:iCs/>
          <w:noProof/>
          <w:sz w:val="24"/>
          <w:szCs w:val="24"/>
          <w:lang w:val="sq-AL"/>
        </w:rPr>
        <w:t>shtetjes s</w:t>
      </w:r>
      <w:r w:rsidR="009F5373">
        <w:rPr>
          <w:rFonts w:ascii="Times New Roman" w:eastAsia="Times New Roman" w:hAnsi="Times New Roman" w:cs="Times New Roman"/>
          <w:bCs/>
          <w:iCs/>
          <w:noProof/>
          <w:sz w:val="24"/>
          <w:szCs w:val="24"/>
          <w:lang w:val="sq-AL"/>
        </w:rPr>
        <w:t>ë</w:t>
      </w:r>
      <w:r w:rsidR="009F5373" w:rsidRPr="009F5373">
        <w:rPr>
          <w:rFonts w:ascii="Times New Roman" w:eastAsia="Times New Roman" w:hAnsi="Times New Roman" w:cs="Times New Roman"/>
          <w:bCs/>
          <w:iCs/>
          <w:noProof/>
          <w:sz w:val="24"/>
          <w:szCs w:val="24"/>
          <w:lang w:val="sq-AL"/>
        </w:rPr>
        <w:t xml:space="preserve"> reformave</w:t>
      </w:r>
      <w:r w:rsidR="0067088E">
        <w:rPr>
          <w:rFonts w:ascii="Times New Roman" w:eastAsia="Times New Roman" w:hAnsi="Times New Roman" w:cs="Times New Roman"/>
          <w:bCs/>
          <w:iCs/>
          <w:noProof/>
          <w:sz w:val="24"/>
          <w:szCs w:val="24"/>
          <w:lang w:val="sq-AL"/>
        </w:rPr>
        <w:t xml:space="preserve"> (megjithëse vlerësohen në rënie krahasuar me periudhat e mëparshme)</w:t>
      </w:r>
      <w:r w:rsidRPr="009F5373">
        <w:rPr>
          <w:rFonts w:ascii="Times New Roman" w:eastAsia="Times New Roman" w:hAnsi="Times New Roman" w:cs="Times New Roman"/>
          <w:bCs/>
          <w:iCs/>
          <w:noProof/>
          <w:sz w:val="24"/>
          <w:szCs w:val="24"/>
          <w:lang w:val="sq-AL"/>
        </w:rPr>
        <w:t>; dhe c) Eurobond dhe/ose instrumente alternative të siguruara nga burime private.</w:t>
      </w:r>
    </w:p>
    <w:p w14:paraId="71DF5D02" w14:textId="77777777" w:rsidR="00E57778" w:rsidRPr="000F5C13" w:rsidRDefault="00E57778" w:rsidP="00002331">
      <w:pPr>
        <w:pStyle w:val="Heading1"/>
        <w:numPr>
          <w:ilvl w:val="0"/>
          <w:numId w:val="21"/>
        </w:numPr>
        <w:ind w:left="567" w:hanging="567"/>
        <w:rPr>
          <w:rFonts w:eastAsia="Times New Roman"/>
          <w:noProof/>
          <w:lang w:val="sq-AL"/>
        </w:rPr>
      </w:pPr>
      <w:bookmarkStart w:id="104" w:name="_Toc491861010"/>
      <w:bookmarkStart w:id="105" w:name="_Toc491954323"/>
      <w:bookmarkStart w:id="106" w:name="_Toc524506550"/>
      <w:r w:rsidRPr="000F5C13">
        <w:rPr>
          <w:rFonts w:eastAsia="Times New Roman"/>
          <w:noProof/>
          <w:lang w:val="sq-AL"/>
        </w:rPr>
        <w:t xml:space="preserve">Strategjia </w:t>
      </w:r>
      <w:r w:rsidRPr="000F5C13">
        <w:rPr>
          <w:noProof/>
          <w:lang w:val="sq-AL"/>
        </w:rPr>
        <w:t>Afatmesme</w:t>
      </w:r>
      <w:bookmarkEnd w:id="104"/>
      <w:bookmarkEnd w:id="105"/>
      <w:bookmarkEnd w:id="106"/>
    </w:p>
    <w:p w14:paraId="71DF5D03" w14:textId="77777777" w:rsidR="00E57778" w:rsidRPr="000F5C13" w:rsidRDefault="00E57778" w:rsidP="00E57778">
      <w:pPr>
        <w:tabs>
          <w:tab w:val="left" w:pos="2730"/>
        </w:tabs>
        <w:spacing w:after="0" w:line="276" w:lineRule="auto"/>
        <w:ind w:left="644" w:right="237"/>
        <w:contextualSpacing/>
        <w:jc w:val="both"/>
        <w:rPr>
          <w:rFonts w:ascii="Times New Roman" w:eastAsia="Times New Roman" w:hAnsi="Times New Roman" w:cs="Times New Roman"/>
          <w:b/>
          <w:bCs/>
          <w:noProof/>
          <w:sz w:val="20"/>
          <w:szCs w:val="28"/>
          <w:lang w:val="sq-AL"/>
        </w:rPr>
      </w:pPr>
    </w:p>
    <w:p w14:paraId="71DF5D04" w14:textId="77777777" w:rsidR="00E57778" w:rsidRPr="000F5C13" w:rsidRDefault="00E57778" w:rsidP="00002331">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967D4C">
        <w:rPr>
          <w:rFonts w:ascii="Times New Roman" w:eastAsia="Times New Roman" w:hAnsi="Times New Roman" w:cs="Times New Roman"/>
          <w:bCs/>
          <w:noProof/>
          <w:sz w:val="24"/>
          <w:szCs w:val="28"/>
          <w:lang w:val="sq-AL"/>
        </w:rPr>
        <w:t>Në periudhën afatmesme 20</w:t>
      </w:r>
      <w:r w:rsidR="00B112B2" w:rsidRPr="00967D4C">
        <w:rPr>
          <w:rFonts w:ascii="Times New Roman" w:eastAsia="Times New Roman" w:hAnsi="Times New Roman" w:cs="Times New Roman"/>
          <w:bCs/>
          <w:noProof/>
          <w:sz w:val="24"/>
          <w:szCs w:val="28"/>
          <w:lang w:val="sq-AL"/>
        </w:rPr>
        <w:t>20</w:t>
      </w:r>
      <w:r w:rsidRPr="00967D4C">
        <w:rPr>
          <w:rFonts w:ascii="Times New Roman" w:eastAsia="Times New Roman" w:hAnsi="Times New Roman" w:cs="Times New Roman"/>
          <w:bCs/>
          <w:noProof/>
          <w:sz w:val="24"/>
          <w:szCs w:val="28"/>
          <w:lang w:val="sq-AL"/>
        </w:rPr>
        <w:t>-202</w:t>
      </w:r>
      <w:r w:rsidR="00B112B2" w:rsidRPr="00967D4C">
        <w:rPr>
          <w:rFonts w:ascii="Times New Roman" w:eastAsia="Times New Roman" w:hAnsi="Times New Roman" w:cs="Times New Roman"/>
          <w:bCs/>
          <w:noProof/>
          <w:sz w:val="24"/>
          <w:szCs w:val="28"/>
          <w:lang w:val="sq-AL"/>
        </w:rPr>
        <w:t>2</w:t>
      </w:r>
      <w:r w:rsidRPr="00967D4C">
        <w:rPr>
          <w:rFonts w:ascii="Times New Roman" w:eastAsia="Times New Roman" w:hAnsi="Times New Roman" w:cs="Times New Roman"/>
          <w:bCs/>
          <w:noProof/>
          <w:sz w:val="24"/>
          <w:szCs w:val="28"/>
          <w:lang w:val="sq-AL"/>
        </w:rPr>
        <w:t>, Strategjia e Menaxhimit të Borxhit do të përqendrohet në dy objektiva kryesore: a) në drejtim të optimizimit të kostove afatgjata të borxhit</w:t>
      </w:r>
      <w:r w:rsidR="00B112B2" w:rsidRPr="00967D4C">
        <w:rPr>
          <w:rFonts w:ascii="Times New Roman" w:eastAsia="Times New Roman" w:hAnsi="Times New Roman" w:cs="Times New Roman"/>
          <w:bCs/>
          <w:noProof/>
          <w:sz w:val="24"/>
          <w:szCs w:val="28"/>
          <w:lang w:val="sq-AL"/>
        </w:rPr>
        <w:t>,</w:t>
      </w:r>
      <w:r w:rsidRPr="00967D4C">
        <w:rPr>
          <w:rFonts w:ascii="Times New Roman" w:eastAsia="Times New Roman" w:hAnsi="Times New Roman" w:cs="Times New Roman"/>
          <w:bCs/>
          <w:noProof/>
          <w:sz w:val="24"/>
          <w:szCs w:val="28"/>
          <w:lang w:val="sq-AL"/>
        </w:rPr>
        <w:t xml:space="preserve"> duke mbajtur nivele të pranueshme </w:t>
      </w:r>
      <w:r w:rsidR="00326D54">
        <w:rPr>
          <w:rFonts w:ascii="Times New Roman" w:eastAsia="Times New Roman" w:hAnsi="Times New Roman" w:cs="Times New Roman"/>
          <w:bCs/>
          <w:noProof/>
          <w:sz w:val="24"/>
          <w:szCs w:val="28"/>
          <w:lang w:val="sq-AL"/>
        </w:rPr>
        <w:t xml:space="preserve">të </w:t>
      </w:r>
      <w:r w:rsidRPr="00967D4C">
        <w:rPr>
          <w:rFonts w:ascii="Times New Roman" w:eastAsia="Times New Roman" w:hAnsi="Times New Roman" w:cs="Times New Roman"/>
          <w:bCs/>
          <w:noProof/>
          <w:sz w:val="24"/>
          <w:szCs w:val="28"/>
          <w:lang w:val="sq-AL"/>
        </w:rPr>
        <w:t>ekspozimit ndaj risqeve</w:t>
      </w:r>
      <w:r w:rsidRPr="00967D4C">
        <w:rPr>
          <w:rFonts w:ascii="Times New Roman" w:eastAsia="Times New Roman" w:hAnsi="Times New Roman" w:cs="Times New Roman"/>
          <w:bCs/>
          <w:noProof/>
          <w:sz w:val="24"/>
          <w:szCs w:val="28"/>
          <w:vertAlign w:val="superscript"/>
          <w:lang w:val="sq-AL"/>
        </w:rPr>
        <w:footnoteReference w:id="12"/>
      </w:r>
      <w:r w:rsidRPr="00967D4C">
        <w:rPr>
          <w:rFonts w:ascii="Times New Roman" w:eastAsia="Times New Roman" w:hAnsi="Times New Roman" w:cs="Times New Roman"/>
          <w:bCs/>
          <w:noProof/>
          <w:sz w:val="24"/>
          <w:szCs w:val="28"/>
          <w:lang w:val="sq-AL"/>
        </w:rPr>
        <w:t>; dhe b) në drejtim të zhvillimit të tregut primar të titujve shtetërorë.</w:t>
      </w:r>
      <w:r w:rsidRPr="000F5C13">
        <w:rPr>
          <w:rFonts w:ascii="Times New Roman" w:eastAsia="Times New Roman" w:hAnsi="Times New Roman" w:cs="Times New Roman"/>
          <w:bCs/>
          <w:noProof/>
          <w:sz w:val="24"/>
          <w:szCs w:val="28"/>
          <w:lang w:val="sq-AL"/>
        </w:rPr>
        <w:t xml:space="preserve"> </w:t>
      </w:r>
    </w:p>
    <w:p w14:paraId="71DF5D05" w14:textId="77777777" w:rsidR="00E57778" w:rsidRPr="000F5C13" w:rsidRDefault="00E57778" w:rsidP="00002331">
      <w:pPr>
        <w:tabs>
          <w:tab w:val="left" w:pos="2730"/>
        </w:tabs>
        <w:spacing w:after="0" w:line="276" w:lineRule="auto"/>
        <w:ind w:right="237"/>
        <w:contextualSpacing/>
        <w:jc w:val="both"/>
        <w:rPr>
          <w:rFonts w:ascii="Times New Roman" w:eastAsia="Times New Roman" w:hAnsi="Times New Roman" w:cs="Times New Roman"/>
          <w:bCs/>
          <w:noProof/>
          <w:sz w:val="16"/>
          <w:szCs w:val="16"/>
          <w:lang w:val="sq-AL"/>
        </w:rPr>
      </w:pPr>
    </w:p>
    <w:p w14:paraId="71DF5D06" w14:textId="77777777" w:rsidR="00E57778" w:rsidRPr="00265422" w:rsidRDefault="00E57778" w:rsidP="00002331">
      <w:pPr>
        <w:tabs>
          <w:tab w:val="left" w:pos="2730"/>
        </w:tabs>
        <w:spacing w:after="0" w:line="276" w:lineRule="auto"/>
        <w:ind w:right="237"/>
        <w:contextualSpacing/>
        <w:jc w:val="both"/>
        <w:rPr>
          <w:rFonts w:ascii="Times New Roman" w:eastAsia="Times New Roman" w:hAnsi="Times New Roman" w:cs="Times New Roman"/>
          <w:bCs/>
          <w:noProof/>
          <w:sz w:val="24"/>
          <w:szCs w:val="24"/>
          <w:lang w:val="sq-AL"/>
        </w:rPr>
      </w:pPr>
      <w:r w:rsidRPr="00265422">
        <w:rPr>
          <w:rFonts w:ascii="Times New Roman" w:eastAsia="Times New Roman" w:hAnsi="Times New Roman" w:cs="Times New Roman"/>
          <w:bCs/>
          <w:noProof/>
          <w:sz w:val="24"/>
          <w:szCs w:val="28"/>
          <w:lang w:val="sq-AL"/>
        </w:rPr>
        <w:lastRenderedPageBreak/>
        <w:t>Mbulimi i nevojave të përgjithshme për financim të qeverisjes qendrore</w:t>
      </w:r>
      <w:r w:rsidR="00A014F3" w:rsidRPr="00265422">
        <w:rPr>
          <w:rFonts w:ascii="Times New Roman" w:eastAsia="Times New Roman" w:hAnsi="Times New Roman" w:cs="Times New Roman"/>
          <w:bCs/>
          <w:noProof/>
          <w:sz w:val="24"/>
          <w:szCs w:val="28"/>
          <w:lang w:val="sq-AL"/>
        </w:rPr>
        <w:t>, n</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terma bruto</w:t>
      </w:r>
      <w:r w:rsidRPr="00265422">
        <w:rPr>
          <w:rFonts w:ascii="Times New Roman" w:eastAsia="Times New Roman" w:hAnsi="Times New Roman" w:cs="Times New Roman"/>
          <w:bCs/>
          <w:noProof/>
          <w:sz w:val="24"/>
          <w:szCs w:val="28"/>
          <w:lang w:val="sq-AL"/>
        </w:rPr>
        <w:t xml:space="preserve"> do të bazohet në mbi 80% </w:t>
      </w:r>
      <w:r w:rsidR="00967D4C" w:rsidRPr="00265422">
        <w:rPr>
          <w:rFonts w:ascii="Times New Roman" w:eastAsia="Times New Roman" w:hAnsi="Times New Roman" w:cs="Times New Roman"/>
          <w:bCs/>
          <w:noProof/>
          <w:sz w:val="24"/>
          <w:szCs w:val="28"/>
          <w:lang w:val="sq-AL"/>
        </w:rPr>
        <w:t>tek</w:t>
      </w:r>
      <w:r w:rsidRPr="00265422">
        <w:rPr>
          <w:rFonts w:ascii="Times New Roman" w:eastAsia="Times New Roman" w:hAnsi="Times New Roman" w:cs="Times New Roman"/>
          <w:bCs/>
          <w:noProof/>
          <w:sz w:val="24"/>
          <w:szCs w:val="28"/>
          <w:lang w:val="sq-AL"/>
        </w:rPr>
        <w:t xml:space="preserve"> burimet e brendshme. Mbështetja e gjerë e huamarrjes kryesisht në tregun e brendshëm do të ketë për qëllim të mbështesë zhvillimin e tregut vendas të titujve shtetërorë dhe njëkohësisht të kufizojë implikimet e treguesve makroekonomikë që mund të shkaktohen </w:t>
      </w:r>
      <w:r w:rsidRPr="00265422">
        <w:rPr>
          <w:rFonts w:ascii="Times New Roman" w:eastAsia="Times New Roman" w:hAnsi="Times New Roman" w:cs="Times New Roman"/>
          <w:bCs/>
          <w:noProof/>
          <w:sz w:val="24"/>
          <w:szCs w:val="24"/>
          <w:lang w:val="sq-AL"/>
        </w:rPr>
        <w:t xml:space="preserve">nga rritja e borxhit në valutë përtej kufijve të përcaktuar në analizat e qëndrueshmërisë së borxhit. Megjithatë, pavarësisht mbështetjes së gjerë në burimet e brendshme, ritmet e rritjes së borxhit të brendshëm do të synohen të jenë në përputhje me ritmet e rritjes reale të ekonomisë vendase, për të shmangur efektet negative në ekonomi që mund të burojnë nga mbi-konsumimi i burimeve të brendshme. </w:t>
      </w:r>
    </w:p>
    <w:p w14:paraId="71DF5D07" w14:textId="77777777" w:rsidR="00E57778" w:rsidRPr="00265422" w:rsidRDefault="00E57778" w:rsidP="00002331">
      <w:pPr>
        <w:tabs>
          <w:tab w:val="left" w:pos="2730"/>
        </w:tabs>
        <w:spacing w:after="0" w:line="276" w:lineRule="auto"/>
        <w:ind w:right="237"/>
        <w:contextualSpacing/>
        <w:jc w:val="both"/>
        <w:rPr>
          <w:rFonts w:ascii="Times New Roman" w:eastAsia="Times New Roman" w:hAnsi="Times New Roman" w:cs="Times New Roman"/>
          <w:bCs/>
          <w:noProof/>
          <w:sz w:val="16"/>
          <w:szCs w:val="24"/>
          <w:lang w:val="sq-AL"/>
        </w:rPr>
      </w:pPr>
    </w:p>
    <w:p w14:paraId="71DF5D08" w14:textId="77777777" w:rsidR="00E57778" w:rsidRPr="00265422" w:rsidRDefault="00E57778" w:rsidP="00002331">
      <w:pPr>
        <w:tabs>
          <w:tab w:val="left" w:pos="2730"/>
        </w:tabs>
        <w:spacing w:after="0" w:line="276" w:lineRule="auto"/>
        <w:ind w:right="237"/>
        <w:contextualSpacing/>
        <w:jc w:val="both"/>
        <w:rPr>
          <w:rFonts w:ascii="Times New Roman" w:eastAsia="Times New Roman" w:hAnsi="Times New Roman" w:cs="Times New Roman"/>
          <w:bCs/>
          <w:i/>
          <w:noProof/>
          <w:sz w:val="24"/>
          <w:szCs w:val="24"/>
          <w:lang w:val="sq-AL"/>
        </w:rPr>
      </w:pPr>
      <w:r w:rsidRPr="00265422">
        <w:rPr>
          <w:rFonts w:ascii="Times New Roman" w:eastAsia="Times New Roman" w:hAnsi="Times New Roman" w:cs="Times New Roman"/>
          <w:bCs/>
          <w:noProof/>
          <w:sz w:val="24"/>
          <w:szCs w:val="28"/>
          <w:lang w:val="sq-AL"/>
        </w:rPr>
        <w:t xml:space="preserve">Nëpërmjet titujve afatshkurtër kryesisht do të realizohet menaxhimi aktiv i nevojave për likuiditet </w:t>
      </w:r>
      <w:r w:rsidR="00A014F3" w:rsidRPr="00265422">
        <w:rPr>
          <w:rFonts w:ascii="Times New Roman" w:eastAsia="Times New Roman" w:hAnsi="Times New Roman" w:cs="Times New Roman"/>
          <w:bCs/>
          <w:noProof/>
          <w:sz w:val="24"/>
          <w:szCs w:val="28"/>
          <w:lang w:val="sq-AL"/>
        </w:rPr>
        <w:t>dhe do t</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synohet p</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rmir</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simi i profilit vjetor t</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maturimeve</w:t>
      </w:r>
      <w:r w:rsidRPr="00265422">
        <w:rPr>
          <w:rFonts w:ascii="Times New Roman" w:eastAsia="Times New Roman" w:hAnsi="Times New Roman" w:cs="Times New Roman"/>
          <w:bCs/>
          <w:noProof/>
          <w:sz w:val="24"/>
          <w:szCs w:val="28"/>
          <w:lang w:val="sq-AL"/>
        </w:rPr>
        <w:t>. Ndërkohë,</w:t>
      </w:r>
      <w:r w:rsidR="00A014F3" w:rsidRPr="00265422">
        <w:rPr>
          <w:rFonts w:ascii="Times New Roman" w:eastAsia="Times New Roman" w:hAnsi="Times New Roman" w:cs="Times New Roman"/>
          <w:bCs/>
          <w:noProof/>
          <w:sz w:val="24"/>
          <w:szCs w:val="28"/>
          <w:lang w:val="sq-AL"/>
        </w:rPr>
        <w:t xml:space="preserve"> borxhi i ri, i destinuar p</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r t</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mbuluar nj</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pjes</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t</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deficitit t</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 xml:space="preserve"> p</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rgjithsh</w:t>
      </w:r>
      <w:r w:rsidR="00982338" w:rsidRPr="00265422">
        <w:rPr>
          <w:rFonts w:ascii="Times New Roman" w:eastAsia="Times New Roman" w:hAnsi="Times New Roman" w:cs="Times New Roman"/>
          <w:bCs/>
          <w:noProof/>
          <w:sz w:val="24"/>
          <w:szCs w:val="28"/>
          <w:lang w:val="sq-AL"/>
        </w:rPr>
        <w:t>ë</w:t>
      </w:r>
      <w:r w:rsidR="00A014F3" w:rsidRPr="00265422">
        <w:rPr>
          <w:rFonts w:ascii="Times New Roman" w:eastAsia="Times New Roman" w:hAnsi="Times New Roman" w:cs="Times New Roman"/>
          <w:bCs/>
          <w:noProof/>
          <w:sz w:val="24"/>
          <w:szCs w:val="28"/>
          <w:lang w:val="sq-AL"/>
        </w:rPr>
        <w:t>m</w:t>
      </w:r>
      <w:r w:rsidRPr="00265422">
        <w:rPr>
          <w:rFonts w:ascii="Times New Roman" w:eastAsia="Times New Roman" w:hAnsi="Times New Roman" w:cs="Times New Roman"/>
          <w:bCs/>
          <w:noProof/>
          <w:sz w:val="24"/>
          <w:szCs w:val="28"/>
          <w:lang w:val="sq-AL"/>
        </w:rPr>
        <w:t xml:space="preserve"> do të synohet të mbulohet </w:t>
      </w:r>
      <w:r w:rsidR="009544D2" w:rsidRPr="00265422">
        <w:rPr>
          <w:rFonts w:ascii="Times New Roman" w:eastAsia="Times New Roman" w:hAnsi="Times New Roman" w:cs="Times New Roman"/>
          <w:bCs/>
          <w:noProof/>
          <w:sz w:val="24"/>
          <w:szCs w:val="28"/>
          <w:lang w:val="sq-AL"/>
        </w:rPr>
        <w:t>n</w:t>
      </w:r>
      <w:r w:rsidR="00982338" w:rsidRPr="00265422">
        <w:rPr>
          <w:rFonts w:ascii="Times New Roman" w:eastAsia="Times New Roman" w:hAnsi="Times New Roman" w:cs="Times New Roman"/>
          <w:bCs/>
          <w:noProof/>
          <w:sz w:val="24"/>
          <w:szCs w:val="28"/>
          <w:lang w:val="sq-AL"/>
        </w:rPr>
        <w:t>ë</w:t>
      </w:r>
      <w:r w:rsidR="009544D2" w:rsidRPr="00265422">
        <w:rPr>
          <w:rFonts w:ascii="Times New Roman" w:eastAsia="Times New Roman" w:hAnsi="Times New Roman" w:cs="Times New Roman"/>
          <w:bCs/>
          <w:noProof/>
          <w:sz w:val="24"/>
          <w:szCs w:val="28"/>
          <w:lang w:val="sq-AL"/>
        </w:rPr>
        <w:t>p</w:t>
      </w:r>
      <w:r w:rsidR="00982338" w:rsidRPr="00265422">
        <w:rPr>
          <w:rFonts w:ascii="Times New Roman" w:eastAsia="Times New Roman" w:hAnsi="Times New Roman" w:cs="Times New Roman"/>
          <w:bCs/>
          <w:noProof/>
          <w:sz w:val="24"/>
          <w:szCs w:val="28"/>
          <w:lang w:val="sq-AL"/>
        </w:rPr>
        <w:t>ë</w:t>
      </w:r>
      <w:r w:rsidR="009544D2" w:rsidRPr="00265422">
        <w:rPr>
          <w:rFonts w:ascii="Times New Roman" w:eastAsia="Times New Roman" w:hAnsi="Times New Roman" w:cs="Times New Roman"/>
          <w:bCs/>
          <w:noProof/>
          <w:sz w:val="24"/>
          <w:szCs w:val="28"/>
          <w:lang w:val="sq-AL"/>
        </w:rPr>
        <w:t xml:space="preserve">rmjet titujve </w:t>
      </w:r>
      <w:r w:rsidR="00A014F3" w:rsidRPr="00265422">
        <w:rPr>
          <w:rFonts w:ascii="Times New Roman" w:eastAsia="Times New Roman" w:hAnsi="Times New Roman" w:cs="Times New Roman"/>
          <w:bCs/>
          <w:noProof/>
          <w:sz w:val="24"/>
          <w:szCs w:val="28"/>
          <w:lang w:val="sq-AL"/>
        </w:rPr>
        <w:t>afatgjat</w:t>
      </w:r>
      <w:r w:rsidR="00982338" w:rsidRPr="00265422">
        <w:rPr>
          <w:rFonts w:ascii="Times New Roman" w:eastAsia="Times New Roman" w:hAnsi="Times New Roman" w:cs="Times New Roman"/>
          <w:bCs/>
          <w:noProof/>
          <w:sz w:val="24"/>
          <w:szCs w:val="28"/>
          <w:lang w:val="sq-AL"/>
        </w:rPr>
        <w:t>ë</w:t>
      </w:r>
      <w:r w:rsidRPr="00265422">
        <w:rPr>
          <w:rFonts w:ascii="Times New Roman" w:eastAsia="Times New Roman" w:hAnsi="Times New Roman" w:cs="Times New Roman"/>
          <w:bCs/>
          <w:noProof/>
          <w:sz w:val="24"/>
          <w:szCs w:val="28"/>
          <w:lang w:val="sq-AL"/>
        </w:rPr>
        <w:t xml:space="preserve">. Titujt afatgjatë </w:t>
      </w:r>
      <w:r w:rsidR="009544D2" w:rsidRPr="00265422">
        <w:rPr>
          <w:rFonts w:ascii="Times New Roman" w:eastAsia="Times New Roman" w:hAnsi="Times New Roman" w:cs="Times New Roman"/>
          <w:bCs/>
          <w:noProof/>
          <w:sz w:val="24"/>
          <w:szCs w:val="28"/>
          <w:lang w:val="sq-AL"/>
        </w:rPr>
        <w:t>planifikoh</w:t>
      </w:r>
      <w:r w:rsidR="00A45F8C" w:rsidRPr="00265422">
        <w:rPr>
          <w:rFonts w:ascii="Times New Roman" w:eastAsia="Times New Roman" w:hAnsi="Times New Roman" w:cs="Times New Roman"/>
          <w:bCs/>
          <w:noProof/>
          <w:sz w:val="24"/>
          <w:szCs w:val="28"/>
          <w:lang w:val="sq-AL"/>
        </w:rPr>
        <w:t>e</w:t>
      </w:r>
      <w:r w:rsidR="009544D2" w:rsidRPr="00265422">
        <w:rPr>
          <w:rFonts w:ascii="Times New Roman" w:eastAsia="Times New Roman" w:hAnsi="Times New Roman" w:cs="Times New Roman"/>
          <w:bCs/>
          <w:noProof/>
          <w:sz w:val="24"/>
          <w:szCs w:val="28"/>
          <w:lang w:val="sq-AL"/>
        </w:rPr>
        <w:t>n</w:t>
      </w:r>
      <w:r w:rsidRPr="00265422">
        <w:rPr>
          <w:rFonts w:ascii="Times New Roman" w:eastAsia="Times New Roman" w:hAnsi="Times New Roman" w:cs="Times New Roman"/>
          <w:bCs/>
          <w:noProof/>
          <w:sz w:val="24"/>
          <w:szCs w:val="28"/>
          <w:lang w:val="sq-AL"/>
        </w:rPr>
        <w:t xml:space="preserve"> të emetohen me norma interesi fikse, gjithsesi duke mos përjashtuar edhe emetimin e titujve me norma interesi të ndryshueshme në periudhën afatmesme</w:t>
      </w:r>
      <w:r w:rsidRPr="00265422">
        <w:rPr>
          <w:rFonts w:ascii="Times New Roman" w:eastAsia="Times New Roman" w:hAnsi="Times New Roman" w:cs="Times New Roman"/>
          <w:bCs/>
          <w:noProof/>
          <w:sz w:val="24"/>
          <w:szCs w:val="24"/>
          <w:lang w:val="sq-AL"/>
        </w:rPr>
        <w:t xml:space="preserve">, në varësi të kushteve të tregut të brendshëm (preferencat e kërkesës, </w:t>
      </w:r>
      <w:r w:rsidR="009544D2" w:rsidRPr="00265422">
        <w:rPr>
          <w:rFonts w:ascii="Times New Roman" w:eastAsia="Times New Roman" w:hAnsi="Times New Roman" w:cs="Times New Roman"/>
          <w:bCs/>
          <w:noProof/>
          <w:sz w:val="24"/>
          <w:szCs w:val="24"/>
          <w:lang w:val="sq-AL"/>
        </w:rPr>
        <w:t>ecurin</w:t>
      </w:r>
      <w:r w:rsidR="00982338" w:rsidRPr="00265422">
        <w:rPr>
          <w:rFonts w:ascii="Times New Roman" w:eastAsia="Times New Roman" w:hAnsi="Times New Roman" w:cs="Times New Roman"/>
          <w:bCs/>
          <w:noProof/>
          <w:sz w:val="24"/>
          <w:szCs w:val="24"/>
          <w:lang w:val="sq-AL"/>
        </w:rPr>
        <w:t>ë</w:t>
      </w:r>
      <w:r w:rsidR="009544D2" w:rsidRPr="00265422">
        <w:rPr>
          <w:rFonts w:ascii="Times New Roman" w:eastAsia="Times New Roman" w:hAnsi="Times New Roman" w:cs="Times New Roman"/>
          <w:bCs/>
          <w:noProof/>
          <w:sz w:val="24"/>
          <w:szCs w:val="24"/>
          <w:lang w:val="sq-AL"/>
        </w:rPr>
        <w:t xml:space="preserve"> e </w:t>
      </w:r>
      <w:r w:rsidRPr="00265422">
        <w:rPr>
          <w:rFonts w:ascii="Times New Roman" w:eastAsia="Times New Roman" w:hAnsi="Times New Roman" w:cs="Times New Roman"/>
          <w:bCs/>
          <w:noProof/>
          <w:sz w:val="24"/>
          <w:szCs w:val="24"/>
          <w:lang w:val="sq-AL"/>
        </w:rPr>
        <w:t>norma</w:t>
      </w:r>
      <w:r w:rsidR="009544D2" w:rsidRPr="00265422">
        <w:rPr>
          <w:rFonts w:ascii="Times New Roman" w:eastAsia="Times New Roman" w:hAnsi="Times New Roman" w:cs="Times New Roman"/>
          <w:bCs/>
          <w:noProof/>
          <w:sz w:val="24"/>
          <w:szCs w:val="24"/>
          <w:lang w:val="sq-AL"/>
        </w:rPr>
        <w:t>ve</w:t>
      </w:r>
      <w:r w:rsidRPr="00265422">
        <w:rPr>
          <w:rFonts w:ascii="Times New Roman" w:eastAsia="Times New Roman" w:hAnsi="Times New Roman" w:cs="Times New Roman"/>
          <w:bCs/>
          <w:noProof/>
          <w:sz w:val="24"/>
          <w:szCs w:val="24"/>
          <w:lang w:val="sq-AL"/>
        </w:rPr>
        <w:t xml:space="preserve"> </w:t>
      </w:r>
      <w:r w:rsidR="009544D2" w:rsidRPr="00265422">
        <w:rPr>
          <w:rFonts w:ascii="Times New Roman" w:eastAsia="Times New Roman" w:hAnsi="Times New Roman" w:cs="Times New Roman"/>
          <w:bCs/>
          <w:noProof/>
          <w:sz w:val="24"/>
          <w:szCs w:val="24"/>
          <w:lang w:val="sq-AL"/>
        </w:rPr>
        <w:t>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interesit, etj.), për të garantuar optimizimin e kostove në përputhje me objektivat e vendosura për të menaxhuar risqet e portofolit të borxhit</w:t>
      </w:r>
      <w:r w:rsidR="009544D2" w:rsidRPr="00265422">
        <w:rPr>
          <w:rFonts w:ascii="Times New Roman" w:eastAsia="Times New Roman" w:hAnsi="Times New Roman" w:cs="Times New Roman"/>
          <w:bCs/>
          <w:noProof/>
          <w:sz w:val="24"/>
          <w:szCs w:val="24"/>
          <w:lang w:val="sq-AL"/>
        </w:rPr>
        <w:t xml:space="preserve"> </w:t>
      </w:r>
      <w:r w:rsidR="00967D4C" w:rsidRPr="00265422">
        <w:rPr>
          <w:rFonts w:ascii="Times New Roman" w:eastAsia="Times New Roman" w:hAnsi="Times New Roman" w:cs="Times New Roman"/>
          <w:bCs/>
          <w:noProof/>
          <w:sz w:val="24"/>
          <w:szCs w:val="24"/>
          <w:lang w:val="sq-AL"/>
        </w:rPr>
        <w:t>(</w:t>
      </w:r>
      <w:r w:rsidRPr="00265422">
        <w:rPr>
          <w:rFonts w:ascii="Times New Roman" w:eastAsia="Times New Roman" w:hAnsi="Times New Roman" w:cs="Times New Roman"/>
          <w:bCs/>
          <w:noProof/>
          <w:sz w:val="24"/>
          <w:szCs w:val="24"/>
          <w:lang w:val="sq-AL"/>
        </w:rPr>
        <w:t>Kreu II, Seksioni 2.1.2).</w:t>
      </w:r>
      <w:r w:rsidRPr="00265422">
        <w:rPr>
          <w:rFonts w:ascii="Times New Roman" w:eastAsia="Times New Roman" w:hAnsi="Times New Roman" w:cs="Times New Roman"/>
          <w:bCs/>
          <w:i/>
          <w:noProof/>
          <w:sz w:val="24"/>
          <w:szCs w:val="24"/>
          <w:lang w:val="sq-AL"/>
        </w:rPr>
        <w:t xml:space="preserve"> </w:t>
      </w:r>
    </w:p>
    <w:p w14:paraId="71DF5D09" w14:textId="77777777" w:rsidR="00E57778" w:rsidRPr="00265422" w:rsidRDefault="00E57778" w:rsidP="00967D4C">
      <w:pPr>
        <w:tabs>
          <w:tab w:val="left" w:pos="2730"/>
        </w:tabs>
        <w:spacing w:after="0" w:line="276" w:lineRule="auto"/>
        <w:ind w:right="237"/>
        <w:contextualSpacing/>
        <w:jc w:val="both"/>
        <w:rPr>
          <w:rFonts w:ascii="Times New Roman" w:eastAsia="Times New Roman" w:hAnsi="Times New Roman" w:cs="Times New Roman"/>
          <w:bCs/>
          <w:noProof/>
          <w:sz w:val="24"/>
          <w:szCs w:val="24"/>
          <w:lang w:val="sq-AL"/>
        </w:rPr>
      </w:pPr>
      <w:r w:rsidRPr="00265422">
        <w:rPr>
          <w:rFonts w:ascii="Times New Roman" w:eastAsia="Times New Roman" w:hAnsi="Times New Roman" w:cs="Times New Roman"/>
          <w:bCs/>
          <w:noProof/>
          <w:sz w:val="24"/>
          <w:szCs w:val="24"/>
          <w:lang w:val="sq-AL"/>
        </w:rPr>
        <w:t xml:space="preserve">Në periudhën afatshkurtër </w:t>
      </w:r>
      <w:r w:rsidRPr="002D0B26">
        <w:rPr>
          <w:rFonts w:ascii="Times New Roman" w:eastAsia="Times New Roman" w:hAnsi="Times New Roman" w:cs="Times New Roman"/>
          <w:bCs/>
          <w:noProof/>
          <w:sz w:val="24"/>
          <w:szCs w:val="24"/>
          <w:lang w:val="sq-AL"/>
        </w:rPr>
        <w:t>(201</w:t>
      </w:r>
      <w:r w:rsidR="009771B3" w:rsidRPr="002D0B26">
        <w:rPr>
          <w:rFonts w:ascii="Times New Roman" w:eastAsia="Times New Roman" w:hAnsi="Times New Roman" w:cs="Times New Roman"/>
          <w:bCs/>
          <w:noProof/>
          <w:sz w:val="24"/>
          <w:szCs w:val="24"/>
          <w:lang w:val="sq-AL"/>
        </w:rPr>
        <w:t>9</w:t>
      </w:r>
      <w:r w:rsidRPr="002D0B26">
        <w:rPr>
          <w:rFonts w:ascii="Times New Roman" w:eastAsia="Times New Roman" w:hAnsi="Times New Roman" w:cs="Times New Roman"/>
          <w:bCs/>
          <w:noProof/>
          <w:sz w:val="24"/>
          <w:szCs w:val="24"/>
          <w:lang w:val="sq-AL"/>
        </w:rPr>
        <w:t>-20</w:t>
      </w:r>
      <w:r w:rsidR="009771B3" w:rsidRPr="002D0B26">
        <w:rPr>
          <w:rFonts w:ascii="Times New Roman" w:eastAsia="Times New Roman" w:hAnsi="Times New Roman" w:cs="Times New Roman"/>
          <w:bCs/>
          <w:noProof/>
          <w:sz w:val="24"/>
          <w:szCs w:val="24"/>
          <w:lang w:val="sq-AL"/>
        </w:rPr>
        <w:t>20</w:t>
      </w:r>
      <w:r w:rsidRPr="002D0B26">
        <w:rPr>
          <w:rFonts w:ascii="Times New Roman" w:eastAsia="Times New Roman" w:hAnsi="Times New Roman" w:cs="Times New Roman"/>
          <w:bCs/>
          <w:noProof/>
          <w:sz w:val="24"/>
          <w:szCs w:val="24"/>
          <w:lang w:val="sq-AL"/>
        </w:rPr>
        <w:t xml:space="preserve">) </w:t>
      </w:r>
      <w:r w:rsidRPr="00265422">
        <w:rPr>
          <w:rFonts w:ascii="Times New Roman" w:eastAsia="Times New Roman" w:hAnsi="Times New Roman" w:cs="Times New Roman"/>
          <w:bCs/>
          <w:noProof/>
          <w:sz w:val="24"/>
          <w:szCs w:val="24"/>
          <w:lang w:val="sq-AL"/>
        </w:rPr>
        <w:t xml:space="preserve">titujt shtetërorë </w:t>
      </w:r>
      <w:r w:rsidR="009771B3" w:rsidRPr="00265422">
        <w:rPr>
          <w:rFonts w:ascii="Times New Roman" w:eastAsia="Times New Roman" w:hAnsi="Times New Roman" w:cs="Times New Roman"/>
          <w:bCs/>
          <w:noProof/>
          <w:sz w:val="24"/>
          <w:szCs w:val="24"/>
          <w:lang w:val="sq-AL"/>
        </w:rPr>
        <w:t>planifikohen</w:t>
      </w:r>
      <w:r w:rsidRPr="00265422">
        <w:rPr>
          <w:rFonts w:ascii="Times New Roman" w:eastAsia="Times New Roman" w:hAnsi="Times New Roman" w:cs="Times New Roman"/>
          <w:bCs/>
          <w:noProof/>
          <w:sz w:val="24"/>
          <w:szCs w:val="24"/>
          <w:lang w:val="sq-AL"/>
        </w:rPr>
        <w:t xml:space="preserve"> të emetohen kryesisht në monedhën vendase</w:t>
      </w:r>
      <w:r w:rsidR="00D235BC">
        <w:rPr>
          <w:rStyle w:val="FootnoteReference"/>
          <w:rFonts w:ascii="Times New Roman" w:eastAsia="Times New Roman" w:hAnsi="Times New Roman" w:cs="Times New Roman"/>
          <w:bCs/>
          <w:noProof/>
          <w:sz w:val="24"/>
          <w:szCs w:val="24"/>
          <w:lang w:val="sq-AL"/>
        </w:rPr>
        <w:footnoteReference w:id="13"/>
      </w:r>
      <w:r w:rsidRPr="00265422">
        <w:rPr>
          <w:rFonts w:ascii="Times New Roman" w:eastAsia="Times New Roman" w:hAnsi="Times New Roman" w:cs="Times New Roman"/>
          <w:bCs/>
          <w:noProof/>
          <w:sz w:val="24"/>
          <w:szCs w:val="24"/>
          <w:lang w:val="sq-AL"/>
        </w:rPr>
        <w:t>. Ndërkohë,</w:t>
      </w:r>
      <w:r w:rsidR="00A45F8C" w:rsidRPr="00265422">
        <w:rPr>
          <w:rFonts w:ascii="Times New Roman" w:eastAsia="Times New Roman" w:hAnsi="Times New Roman" w:cs="Times New Roman"/>
          <w:bCs/>
          <w:noProof/>
          <w:sz w:val="24"/>
          <w:szCs w:val="24"/>
          <w:lang w:val="sq-AL"/>
        </w:rPr>
        <w:t xml:space="preserve"> në periudhën afatmesme dhe afatgjatë</w:t>
      </w:r>
      <w:r w:rsidRPr="00265422">
        <w:rPr>
          <w:rFonts w:ascii="Times New Roman" w:eastAsia="Times New Roman" w:hAnsi="Times New Roman" w:cs="Times New Roman"/>
          <w:bCs/>
          <w:noProof/>
          <w:sz w:val="24"/>
          <w:szCs w:val="24"/>
          <w:lang w:val="sq-AL"/>
        </w:rPr>
        <w:t xml:space="preserve"> </w:t>
      </w:r>
      <w:r w:rsidR="00A45F8C" w:rsidRPr="00265422">
        <w:rPr>
          <w:rFonts w:ascii="Times New Roman" w:eastAsia="Times New Roman" w:hAnsi="Times New Roman" w:cs="Times New Roman"/>
          <w:bCs/>
          <w:noProof/>
          <w:sz w:val="24"/>
          <w:szCs w:val="24"/>
          <w:lang w:val="sq-AL"/>
        </w:rPr>
        <w:t>planifikohet 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ket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w:t>
      </w:r>
      <w:r w:rsidRPr="00265422">
        <w:rPr>
          <w:rFonts w:ascii="Times New Roman" w:eastAsia="Times New Roman" w:hAnsi="Times New Roman" w:cs="Times New Roman"/>
          <w:bCs/>
          <w:noProof/>
          <w:sz w:val="24"/>
          <w:szCs w:val="24"/>
          <w:lang w:val="sq-AL"/>
        </w:rPr>
        <w:t>emetime</w:t>
      </w:r>
      <w:r w:rsidR="00A45F8C" w:rsidRPr="00265422">
        <w:rPr>
          <w:rFonts w:ascii="Times New Roman" w:eastAsia="Times New Roman" w:hAnsi="Times New Roman" w:cs="Times New Roman"/>
          <w:bCs/>
          <w:noProof/>
          <w:sz w:val="24"/>
          <w:szCs w:val="24"/>
          <w:lang w:val="sq-AL"/>
        </w:rPr>
        <w:t xml:space="preserve"> 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titujve shtet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ror</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në valutë </w:t>
      </w:r>
      <w:r w:rsidR="00A45F8C" w:rsidRPr="00265422">
        <w:rPr>
          <w:rFonts w:ascii="Times New Roman" w:eastAsia="Times New Roman" w:hAnsi="Times New Roman" w:cs="Times New Roman"/>
          <w:bCs/>
          <w:noProof/>
          <w:sz w:val="24"/>
          <w:szCs w:val="24"/>
          <w:lang w:val="sq-AL"/>
        </w:rPr>
        <w:t>me q</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llim sigurimin e</w:t>
      </w:r>
      <w:r w:rsidRPr="00265422">
        <w:rPr>
          <w:rFonts w:ascii="Times New Roman" w:eastAsia="Times New Roman" w:hAnsi="Times New Roman" w:cs="Times New Roman"/>
          <w:bCs/>
          <w:noProof/>
          <w:sz w:val="24"/>
          <w:szCs w:val="24"/>
          <w:lang w:val="sq-AL"/>
        </w:rPr>
        <w:t xml:space="preserve"> valutë</w:t>
      </w:r>
      <w:r w:rsidR="00A45F8C" w:rsidRPr="00265422">
        <w:rPr>
          <w:rFonts w:ascii="Times New Roman" w:eastAsia="Times New Roman" w:hAnsi="Times New Roman" w:cs="Times New Roman"/>
          <w:bCs/>
          <w:noProof/>
          <w:sz w:val="24"/>
          <w:szCs w:val="24"/>
          <w:lang w:val="sq-AL"/>
        </w:rPr>
        <w:t>s</w:t>
      </w:r>
      <w:r w:rsidRPr="00265422">
        <w:rPr>
          <w:rFonts w:ascii="Times New Roman" w:eastAsia="Times New Roman" w:hAnsi="Times New Roman" w:cs="Times New Roman"/>
          <w:bCs/>
          <w:noProof/>
          <w:sz w:val="24"/>
          <w:szCs w:val="24"/>
          <w:lang w:val="sq-AL"/>
        </w:rPr>
        <w:t xml:space="preserve"> </w:t>
      </w:r>
      <w:r w:rsidR="00A45F8C" w:rsidRPr="00265422">
        <w:rPr>
          <w:rFonts w:ascii="Times New Roman" w:eastAsia="Times New Roman" w:hAnsi="Times New Roman" w:cs="Times New Roman"/>
          <w:bCs/>
          <w:noProof/>
          <w:sz w:val="24"/>
          <w:szCs w:val="24"/>
          <w:lang w:val="sq-AL"/>
        </w:rPr>
        <w:t>s</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nevojshme p</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r 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sh</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rbyer detyrimet e borxhit n</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valut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w:t>
      </w:r>
      <w:r w:rsidR="00A45F8C" w:rsidRPr="00265422">
        <w:rPr>
          <w:rFonts w:ascii="Times New Roman" w:eastAsia="Times New Roman" w:hAnsi="Times New Roman" w:cs="Times New Roman"/>
          <w:bCs/>
          <w:noProof/>
          <w:sz w:val="24"/>
          <w:szCs w:val="24"/>
          <w:lang w:val="sq-AL"/>
        </w:rPr>
        <w:t xml:space="preserve"> Madh</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sit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e k</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tyre emetimeve do 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vler</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sohen periudh</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pas periudhe, duke konsideruar kushtet e tregut vendas </w:t>
      </w:r>
      <w:r w:rsidR="00967D4C" w:rsidRPr="00265422">
        <w:rPr>
          <w:rFonts w:ascii="Times New Roman" w:eastAsia="Times New Roman" w:hAnsi="Times New Roman" w:cs="Times New Roman"/>
          <w:bCs/>
          <w:noProof/>
          <w:sz w:val="24"/>
          <w:szCs w:val="24"/>
          <w:lang w:val="sq-AL"/>
        </w:rPr>
        <w:t>n</w:t>
      </w:r>
      <w:r w:rsidR="00D80441">
        <w:rPr>
          <w:rFonts w:ascii="Times New Roman" w:eastAsia="Times New Roman" w:hAnsi="Times New Roman" w:cs="Times New Roman"/>
          <w:bCs/>
          <w:noProof/>
          <w:sz w:val="24"/>
          <w:szCs w:val="24"/>
          <w:lang w:val="sq-AL"/>
        </w:rPr>
        <w:t>ë</w:t>
      </w:r>
      <w:r w:rsidR="00967D4C" w:rsidRPr="00265422">
        <w:rPr>
          <w:rFonts w:ascii="Times New Roman" w:eastAsia="Times New Roman" w:hAnsi="Times New Roman" w:cs="Times New Roman"/>
          <w:bCs/>
          <w:noProof/>
          <w:sz w:val="24"/>
          <w:szCs w:val="24"/>
          <w:lang w:val="sq-AL"/>
        </w:rPr>
        <w:t xml:space="preserve"> raport me tregjet e huaja </w:t>
      </w:r>
      <w:r w:rsidR="00A45F8C" w:rsidRPr="00265422">
        <w:rPr>
          <w:rFonts w:ascii="Times New Roman" w:eastAsia="Times New Roman" w:hAnsi="Times New Roman" w:cs="Times New Roman"/>
          <w:bCs/>
          <w:noProof/>
          <w:sz w:val="24"/>
          <w:szCs w:val="24"/>
          <w:lang w:val="sq-AL"/>
        </w:rPr>
        <w:t>dhe disponueshm</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rin</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e financimeve t</w:t>
      </w:r>
      <w:r w:rsidR="00982338" w:rsidRPr="00265422">
        <w:rPr>
          <w:rFonts w:ascii="Times New Roman" w:eastAsia="Times New Roman" w:hAnsi="Times New Roman" w:cs="Times New Roman"/>
          <w:bCs/>
          <w:noProof/>
          <w:sz w:val="24"/>
          <w:szCs w:val="24"/>
          <w:lang w:val="sq-AL"/>
        </w:rPr>
        <w:t>ë</w:t>
      </w:r>
      <w:r w:rsidR="00A45F8C" w:rsidRPr="00265422">
        <w:rPr>
          <w:rFonts w:ascii="Times New Roman" w:eastAsia="Times New Roman" w:hAnsi="Times New Roman" w:cs="Times New Roman"/>
          <w:bCs/>
          <w:noProof/>
          <w:sz w:val="24"/>
          <w:szCs w:val="24"/>
          <w:lang w:val="sq-AL"/>
        </w:rPr>
        <w:t xml:space="preserve"> huaja</w:t>
      </w:r>
      <w:r w:rsidR="00967D4C" w:rsidRPr="00265422">
        <w:rPr>
          <w:rFonts w:ascii="Times New Roman" w:eastAsia="Times New Roman" w:hAnsi="Times New Roman" w:cs="Times New Roman"/>
          <w:bCs/>
          <w:noProof/>
          <w:sz w:val="24"/>
          <w:szCs w:val="24"/>
          <w:lang w:val="sq-AL"/>
        </w:rPr>
        <w:t xml:space="preserve"> nga burime shum</w:t>
      </w:r>
      <w:r w:rsidR="00D80441">
        <w:rPr>
          <w:rFonts w:ascii="Times New Roman" w:eastAsia="Times New Roman" w:hAnsi="Times New Roman" w:cs="Times New Roman"/>
          <w:bCs/>
          <w:noProof/>
          <w:sz w:val="24"/>
          <w:szCs w:val="24"/>
          <w:lang w:val="sq-AL"/>
        </w:rPr>
        <w:t>ë</w:t>
      </w:r>
      <w:r w:rsidR="00967D4C" w:rsidRPr="00265422">
        <w:rPr>
          <w:rFonts w:ascii="Times New Roman" w:eastAsia="Times New Roman" w:hAnsi="Times New Roman" w:cs="Times New Roman"/>
          <w:bCs/>
          <w:noProof/>
          <w:sz w:val="24"/>
          <w:szCs w:val="24"/>
          <w:lang w:val="sq-AL"/>
        </w:rPr>
        <w:t>pal</w:t>
      </w:r>
      <w:r w:rsidR="00D80441">
        <w:rPr>
          <w:rFonts w:ascii="Times New Roman" w:eastAsia="Times New Roman" w:hAnsi="Times New Roman" w:cs="Times New Roman"/>
          <w:bCs/>
          <w:noProof/>
          <w:sz w:val="24"/>
          <w:szCs w:val="24"/>
          <w:lang w:val="sq-AL"/>
        </w:rPr>
        <w:t>ë</w:t>
      </w:r>
      <w:r w:rsidR="00967D4C" w:rsidRPr="00265422">
        <w:rPr>
          <w:rFonts w:ascii="Times New Roman" w:eastAsia="Times New Roman" w:hAnsi="Times New Roman" w:cs="Times New Roman"/>
          <w:bCs/>
          <w:noProof/>
          <w:sz w:val="24"/>
          <w:szCs w:val="24"/>
          <w:lang w:val="sq-AL"/>
        </w:rPr>
        <w:t>she dhe dypal</w:t>
      </w:r>
      <w:r w:rsidR="00D80441">
        <w:rPr>
          <w:rFonts w:ascii="Times New Roman" w:eastAsia="Times New Roman" w:hAnsi="Times New Roman" w:cs="Times New Roman"/>
          <w:bCs/>
          <w:noProof/>
          <w:sz w:val="24"/>
          <w:szCs w:val="24"/>
          <w:lang w:val="sq-AL"/>
        </w:rPr>
        <w:t>ë</w:t>
      </w:r>
      <w:r w:rsidR="00967D4C" w:rsidRPr="00265422">
        <w:rPr>
          <w:rFonts w:ascii="Times New Roman" w:eastAsia="Times New Roman" w:hAnsi="Times New Roman" w:cs="Times New Roman"/>
          <w:bCs/>
          <w:noProof/>
          <w:sz w:val="24"/>
          <w:szCs w:val="24"/>
          <w:lang w:val="sq-AL"/>
        </w:rPr>
        <w:t>she n</w:t>
      </w:r>
      <w:r w:rsidR="00D80441">
        <w:rPr>
          <w:rFonts w:ascii="Times New Roman" w:eastAsia="Times New Roman" w:hAnsi="Times New Roman" w:cs="Times New Roman"/>
          <w:bCs/>
          <w:noProof/>
          <w:sz w:val="24"/>
          <w:szCs w:val="24"/>
          <w:lang w:val="sq-AL"/>
        </w:rPr>
        <w:t>ë</w:t>
      </w:r>
      <w:r w:rsidR="00967D4C" w:rsidRPr="00265422">
        <w:rPr>
          <w:rFonts w:ascii="Times New Roman" w:eastAsia="Times New Roman" w:hAnsi="Times New Roman" w:cs="Times New Roman"/>
          <w:bCs/>
          <w:noProof/>
          <w:sz w:val="24"/>
          <w:szCs w:val="24"/>
          <w:lang w:val="sq-AL"/>
        </w:rPr>
        <w:t xml:space="preserve"> form</w:t>
      </w:r>
      <w:r w:rsidR="00D80441">
        <w:rPr>
          <w:rFonts w:ascii="Times New Roman" w:eastAsia="Times New Roman" w:hAnsi="Times New Roman" w:cs="Times New Roman"/>
          <w:bCs/>
          <w:noProof/>
          <w:sz w:val="24"/>
          <w:szCs w:val="24"/>
          <w:lang w:val="sq-AL"/>
        </w:rPr>
        <w:t>ë</w:t>
      </w:r>
      <w:r w:rsidR="00967D4C" w:rsidRPr="00265422">
        <w:rPr>
          <w:rFonts w:ascii="Times New Roman" w:eastAsia="Times New Roman" w:hAnsi="Times New Roman" w:cs="Times New Roman"/>
          <w:bCs/>
          <w:noProof/>
          <w:sz w:val="24"/>
          <w:szCs w:val="24"/>
          <w:lang w:val="sq-AL"/>
        </w:rPr>
        <w:t>n e mb</w:t>
      </w:r>
      <w:r w:rsidR="00D80441">
        <w:rPr>
          <w:rFonts w:ascii="Times New Roman" w:eastAsia="Times New Roman" w:hAnsi="Times New Roman" w:cs="Times New Roman"/>
          <w:bCs/>
          <w:noProof/>
          <w:sz w:val="24"/>
          <w:szCs w:val="24"/>
          <w:lang w:val="sq-AL"/>
        </w:rPr>
        <w:t>ë</w:t>
      </w:r>
      <w:r w:rsidR="00967D4C" w:rsidRPr="00265422">
        <w:rPr>
          <w:rFonts w:ascii="Times New Roman" w:eastAsia="Times New Roman" w:hAnsi="Times New Roman" w:cs="Times New Roman"/>
          <w:bCs/>
          <w:noProof/>
          <w:sz w:val="24"/>
          <w:szCs w:val="24"/>
          <w:lang w:val="sq-AL"/>
        </w:rPr>
        <w:t>shtetjes buxhetore.</w:t>
      </w:r>
    </w:p>
    <w:p w14:paraId="71DF5D0A" w14:textId="77777777" w:rsidR="00E57778" w:rsidRPr="00265422" w:rsidRDefault="00E57778" w:rsidP="00002331">
      <w:pPr>
        <w:tabs>
          <w:tab w:val="left" w:pos="2730"/>
        </w:tabs>
        <w:spacing w:after="0" w:line="276" w:lineRule="auto"/>
        <w:ind w:right="237"/>
        <w:contextualSpacing/>
        <w:jc w:val="both"/>
        <w:rPr>
          <w:rFonts w:ascii="Times New Roman" w:eastAsia="Times New Roman" w:hAnsi="Times New Roman" w:cs="Times New Roman"/>
          <w:bCs/>
          <w:noProof/>
          <w:sz w:val="24"/>
          <w:szCs w:val="24"/>
          <w:lang w:val="sq-AL"/>
        </w:rPr>
      </w:pPr>
      <w:r w:rsidRPr="00265422">
        <w:rPr>
          <w:rFonts w:ascii="Times New Roman" w:eastAsia="Times New Roman" w:hAnsi="Times New Roman" w:cs="Times New Roman"/>
          <w:bCs/>
          <w:noProof/>
          <w:sz w:val="24"/>
          <w:szCs w:val="24"/>
          <w:lang w:val="sq-AL"/>
        </w:rPr>
        <w:t>Në periudhën afatme</w:t>
      </w:r>
      <w:r w:rsidR="0067088E">
        <w:rPr>
          <w:rFonts w:ascii="Times New Roman" w:eastAsia="Times New Roman" w:hAnsi="Times New Roman" w:cs="Times New Roman"/>
          <w:bCs/>
          <w:noProof/>
          <w:sz w:val="24"/>
          <w:szCs w:val="24"/>
          <w:lang w:val="sq-AL"/>
        </w:rPr>
        <w:t>sm</w:t>
      </w:r>
      <w:r w:rsidRPr="00265422">
        <w:rPr>
          <w:rFonts w:ascii="Times New Roman" w:eastAsia="Times New Roman" w:hAnsi="Times New Roman" w:cs="Times New Roman"/>
          <w:bCs/>
          <w:noProof/>
          <w:sz w:val="24"/>
          <w:szCs w:val="24"/>
          <w:lang w:val="sq-AL"/>
        </w:rPr>
        <w:t>e, huamarrja nëpërmjet burimeve të huaja në terma bruto</w:t>
      </w:r>
      <w:r w:rsidR="00543457" w:rsidRPr="00265422">
        <w:rPr>
          <w:rFonts w:ascii="Times New Roman" w:eastAsia="Times New Roman" w:hAnsi="Times New Roman" w:cs="Times New Roman"/>
          <w:bCs/>
          <w:i/>
          <w:noProof/>
          <w:sz w:val="24"/>
          <w:szCs w:val="24"/>
          <w:lang w:val="sq-AL"/>
        </w:rPr>
        <w:t xml:space="preserve"> </w:t>
      </w:r>
      <w:r w:rsidRPr="00265422">
        <w:rPr>
          <w:rFonts w:ascii="Times New Roman" w:eastAsia="Times New Roman" w:hAnsi="Times New Roman" w:cs="Times New Roman"/>
          <w:bCs/>
          <w:noProof/>
          <w:sz w:val="24"/>
          <w:szCs w:val="24"/>
          <w:lang w:val="sq-AL"/>
        </w:rPr>
        <w:t xml:space="preserve">do të plotësojë mesatarisht deri në 20% të nevojave të përgjithshme për hua të qeverisjes qendrore. </w:t>
      </w:r>
    </w:p>
    <w:p w14:paraId="71DF5D0B" w14:textId="77777777" w:rsidR="00E57778" w:rsidRPr="00265422" w:rsidRDefault="00543457" w:rsidP="00002331">
      <w:pPr>
        <w:tabs>
          <w:tab w:val="left" w:pos="2730"/>
        </w:tabs>
        <w:spacing w:after="0" w:line="276" w:lineRule="auto"/>
        <w:ind w:right="237"/>
        <w:contextualSpacing/>
        <w:jc w:val="both"/>
        <w:rPr>
          <w:rFonts w:ascii="Times New Roman" w:eastAsia="Times New Roman" w:hAnsi="Times New Roman" w:cs="Times New Roman"/>
          <w:bCs/>
          <w:noProof/>
          <w:sz w:val="24"/>
          <w:szCs w:val="24"/>
          <w:lang w:val="sq-AL"/>
        </w:rPr>
      </w:pPr>
      <w:r w:rsidRPr="00265422">
        <w:rPr>
          <w:rFonts w:ascii="Times New Roman" w:eastAsia="Times New Roman" w:hAnsi="Times New Roman" w:cs="Times New Roman"/>
          <w:bCs/>
          <w:noProof/>
          <w:sz w:val="24"/>
          <w:szCs w:val="24"/>
          <w:lang w:val="sq-AL"/>
        </w:rPr>
        <w:t>Instrumentet</w:t>
      </w:r>
      <w:r w:rsidR="00E57778" w:rsidRPr="00265422">
        <w:rPr>
          <w:rFonts w:ascii="Times New Roman" w:eastAsia="Times New Roman" w:hAnsi="Times New Roman" w:cs="Times New Roman"/>
          <w:bCs/>
          <w:noProof/>
          <w:sz w:val="24"/>
          <w:szCs w:val="24"/>
          <w:lang w:val="sq-AL"/>
        </w:rPr>
        <w:t xml:space="preserve"> kryesor</w:t>
      </w:r>
      <w:r w:rsidRPr="00265422">
        <w:rPr>
          <w:rFonts w:ascii="Times New Roman" w:eastAsia="Times New Roman" w:hAnsi="Times New Roman" w:cs="Times New Roman"/>
          <w:bCs/>
          <w:noProof/>
          <w:sz w:val="24"/>
          <w:szCs w:val="24"/>
          <w:lang w:val="sq-AL"/>
        </w:rPr>
        <w:t>e</w:t>
      </w:r>
      <w:r w:rsidR="00E57778" w:rsidRPr="00265422">
        <w:rPr>
          <w:rFonts w:ascii="Times New Roman" w:eastAsia="Times New Roman" w:hAnsi="Times New Roman" w:cs="Times New Roman"/>
          <w:bCs/>
          <w:noProof/>
          <w:sz w:val="24"/>
          <w:szCs w:val="24"/>
          <w:lang w:val="sq-AL"/>
        </w:rPr>
        <w:t xml:space="preserve"> </w:t>
      </w:r>
      <w:r w:rsidRPr="00265422">
        <w:rPr>
          <w:rFonts w:ascii="Times New Roman" w:eastAsia="Times New Roman" w:hAnsi="Times New Roman" w:cs="Times New Roman"/>
          <w:bCs/>
          <w:noProof/>
          <w:sz w:val="24"/>
          <w:szCs w:val="24"/>
          <w:lang w:val="sq-AL"/>
        </w:rPr>
        <w:t>t</w:t>
      </w:r>
      <w:r w:rsidR="00982338" w:rsidRPr="00265422">
        <w:rPr>
          <w:rFonts w:ascii="Times New Roman" w:eastAsia="Times New Roman" w:hAnsi="Times New Roman" w:cs="Times New Roman"/>
          <w:bCs/>
          <w:noProof/>
          <w:sz w:val="24"/>
          <w:szCs w:val="24"/>
          <w:lang w:val="sq-AL"/>
        </w:rPr>
        <w:t>ë</w:t>
      </w:r>
      <w:r w:rsidR="00E57778" w:rsidRPr="00265422">
        <w:rPr>
          <w:rFonts w:ascii="Times New Roman" w:eastAsia="Times New Roman" w:hAnsi="Times New Roman" w:cs="Times New Roman"/>
          <w:bCs/>
          <w:noProof/>
          <w:sz w:val="24"/>
          <w:szCs w:val="24"/>
          <w:lang w:val="sq-AL"/>
        </w:rPr>
        <w:t xml:space="preserve"> huamarrjes së huaj do të jenë huatë </w:t>
      </w:r>
      <w:r w:rsidRPr="00265422">
        <w:rPr>
          <w:rFonts w:ascii="Times New Roman" w:eastAsia="Times New Roman" w:hAnsi="Times New Roman" w:cs="Times New Roman"/>
          <w:bCs/>
          <w:noProof/>
          <w:sz w:val="24"/>
          <w:szCs w:val="24"/>
          <w:lang w:val="sq-AL"/>
        </w:rPr>
        <w:t>nga kreditor</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t me</w:t>
      </w:r>
      <w:r w:rsidR="00E57778" w:rsidRPr="00265422">
        <w:rPr>
          <w:rFonts w:ascii="Times New Roman" w:eastAsia="Times New Roman" w:hAnsi="Times New Roman" w:cs="Times New Roman"/>
          <w:bCs/>
          <w:noProof/>
          <w:sz w:val="24"/>
          <w:szCs w:val="24"/>
          <w:lang w:val="sq-AL"/>
        </w:rPr>
        <w:t xml:space="preserve"> natyrë shumëpalëshe dhe dypalëshe, të cilat do të financojnë projektet ekzistuese dhe projektet e reja zhvillimore, si edhe huatë në formën e mbështetjes buxhetore </w:t>
      </w:r>
      <w:r w:rsidRPr="00265422">
        <w:rPr>
          <w:rFonts w:ascii="Times New Roman" w:eastAsia="Times New Roman" w:hAnsi="Times New Roman" w:cs="Times New Roman"/>
          <w:bCs/>
          <w:noProof/>
          <w:sz w:val="24"/>
          <w:szCs w:val="24"/>
          <w:lang w:val="sq-AL"/>
        </w:rPr>
        <w:t>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akorduara </w:t>
      </w:r>
      <w:r w:rsidR="00E57778" w:rsidRPr="00265422">
        <w:rPr>
          <w:rFonts w:ascii="Times New Roman" w:eastAsia="Times New Roman" w:hAnsi="Times New Roman" w:cs="Times New Roman"/>
          <w:bCs/>
          <w:noProof/>
          <w:sz w:val="24"/>
          <w:szCs w:val="24"/>
          <w:lang w:val="sq-AL"/>
        </w:rPr>
        <w:t xml:space="preserve">nga institucionet </w:t>
      </w:r>
      <w:r w:rsidRPr="00265422">
        <w:rPr>
          <w:rFonts w:ascii="Times New Roman" w:eastAsia="Times New Roman" w:hAnsi="Times New Roman" w:cs="Times New Roman"/>
          <w:bCs/>
          <w:noProof/>
          <w:sz w:val="24"/>
          <w:szCs w:val="24"/>
          <w:lang w:val="sq-AL"/>
        </w:rPr>
        <w:t xml:space="preserve">financiare </w:t>
      </w:r>
      <w:r w:rsidR="00E57778" w:rsidRPr="00265422">
        <w:rPr>
          <w:rFonts w:ascii="Times New Roman" w:eastAsia="Times New Roman" w:hAnsi="Times New Roman" w:cs="Times New Roman"/>
          <w:bCs/>
          <w:noProof/>
          <w:sz w:val="24"/>
          <w:szCs w:val="24"/>
          <w:lang w:val="sq-AL"/>
        </w:rPr>
        <w:t xml:space="preserve">ndërkombëtare, të cilat </w:t>
      </w:r>
      <w:r w:rsidRPr="00265422">
        <w:rPr>
          <w:rFonts w:ascii="Times New Roman" w:eastAsia="Times New Roman" w:hAnsi="Times New Roman" w:cs="Times New Roman"/>
          <w:bCs/>
          <w:noProof/>
          <w:sz w:val="24"/>
          <w:szCs w:val="24"/>
          <w:lang w:val="sq-AL"/>
        </w:rPr>
        <w:t>do 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w:t>
      </w:r>
      <w:r w:rsidR="00E57778" w:rsidRPr="00265422">
        <w:rPr>
          <w:rFonts w:ascii="Times New Roman" w:eastAsia="Times New Roman" w:hAnsi="Times New Roman" w:cs="Times New Roman"/>
          <w:bCs/>
          <w:noProof/>
          <w:sz w:val="24"/>
          <w:szCs w:val="24"/>
          <w:lang w:val="sq-AL"/>
        </w:rPr>
        <w:t>synojnë mbështetjen e reformave të ndërmarra nga qeveria.</w:t>
      </w:r>
    </w:p>
    <w:p w14:paraId="71DF5D0C" w14:textId="77777777" w:rsidR="00E57778" w:rsidRPr="00265422" w:rsidRDefault="00484BF9" w:rsidP="00002331">
      <w:pPr>
        <w:tabs>
          <w:tab w:val="left" w:pos="2730"/>
        </w:tabs>
        <w:spacing w:after="0" w:line="276" w:lineRule="auto"/>
        <w:ind w:right="237"/>
        <w:contextualSpacing/>
        <w:jc w:val="both"/>
        <w:rPr>
          <w:rFonts w:ascii="Times New Roman" w:eastAsia="Times New Roman" w:hAnsi="Times New Roman" w:cs="Times New Roman"/>
          <w:bCs/>
          <w:iCs/>
          <w:noProof/>
          <w:sz w:val="24"/>
          <w:szCs w:val="24"/>
          <w:lang w:val="sq-AL"/>
        </w:rPr>
      </w:pPr>
      <w:r w:rsidRPr="00265422">
        <w:rPr>
          <w:rFonts w:ascii="Times New Roman" w:eastAsia="Times New Roman" w:hAnsi="Times New Roman" w:cs="Times New Roman"/>
          <w:bCs/>
          <w:noProof/>
          <w:sz w:val="24"/>
          <w:szCs w:val="24"/>
          <w:lang w:val="sq-AL"/>
        </w:rPr>
        <w:t>Gjithashtu, edhe f</w:t>
      </w:r>
      <w:r w:rsidR="00E57778" w:rsidRPr="00265422">
        <w:rPr>
          <w:rFonts w:ascii="Times New Roman" w:eastAsia="Times New Roman" w:hAnsi="Times New Roman" w:cs="Times New Roman"/>
          <w:bCs/>
          <w:noProof/>
          <w:sz w:val="24"/>
          <w:szCs w:val="24"/>
          <w:lang w:val="sq-AL"/>
        </w:rPr>
        <w:t>inancimi me Eurobond dhe</w:t>
      </w:r>
      <w:r w:rsidRPr="00265422">
        <w:rPr>
          <w:rFonts w:ascii="Times New Roman" w:eastAsia="Times New Roman" w:hAnsi="Times New Roman" w:cs="Times New Roman"/>
          <w:bCs/>
          <w:noProof/>
          <w:sz w:val="24"/>
          <w:szCs w:val="24"/>
          <w:lang w:val="sq-AL"/>
        </w:rPr>
        <w:t>/ose</w:t>
      </w:r>
      <w:r w:rsidR="00E57778" w:rsidRPr="00265422">
        <w:rPr>
          <w:rFonts w:ascii="Times New Roman" w:eastAsia="Times New Roman" w:hAnsi="Times New Roman" w:cs="Times New Roman"/>
          <w:bCs/>
          <w:noProof/>
          <w:sz w:val="24"/>
          <w:szCs w:val="24"/>
          <w:lang w:val="sq-AL"/>
        </w:rPr>
        <w:t xml:space="preserve"> instrumente të tjera alternative </w:t>
      </w:r>
      <w:r w:rsidRPr="00265422">
        <w:rPr>
          <w:rFonts w:ascii="Times New Roman" w:eastAsia="Times New Roman" w:hAnsi="Times New Roman" w:cs="Times New Roman"/>
          <w:bCs/>
          <w:noProof/>
          <w:sz w:val="24"/>
          <w:szCs w:val="24"/>
          <w:lang w:val="sq-AL"/>
        </w:rPr>
        <w:t>nga burime private jan</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burime potenciale 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financimit 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huaj n</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periudh</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n afatmesme. Megjithat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madh</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sia dhe kar</w:t>
      </w:r>
      <w:r w:rsidR="0067088E">
        <w:rPr>
          <w:rFonts w:ascii="Times New Roman" w:eastAsia="Times New Roman" w:hAnsi="Times New Roman" w:cs="Times New Roman"/>
          <w:bCs/>
          <w:noProof/>
          <w:sz w:val="24"/>
          <w:szCs w:val="24"/>
          <w:lang w:val="sq-AL"/>
        </w:rPr>
        <w:t>a</w:t>
      </w:r>
      <w:r w:rsidRPr="00265422">
        <w:rPr>
          <w:rFonts w:ascii="Times New Roman" w:eastAsia="Times New Roman" w:hAnsi="Times New Roman" w:cs="Times New Roman"/>
          <w:bCs/>
          <w:noProof/>
          <w:sz w:val="24"/>
          <w:szCs w:val="24"/>
          <w:lang w:val="sq-AL"/>
        </w:rPr>
        <w:t>kteristika t</w:t>
      </w:r>
      <w:r w:rsidR="00982338" w:rsidRPr="00265422">
        <w:rPr>
          <w:rFonts w:ascii="Times New Roman" w:eastAsia="Times New Roman" w:hAnsi="Times New Roman" w:cs="Times New Roman"/>
          <w:bCs/>
          <w:noProof/>
          <w:sz w:val="24"/>
          <w:szCs w:val="24"/>
          <w:lang w:val="sq-AL"/>
        </w:rPr>
        <w:t>ë</w:t>
      </w:r>
      <w:r w:rsidRPr="00265422">
        <w:rPr>
          <w:rFonts w:ascii="Times New Roman" w:eastAsia="Times New Roman" w:hAnsi="Times New Roman" w:cs="Times New Roman"/>
          <w:bCs/>
          <w:noProof/>
          <w:sz w:val="24"/>
          <w:szCs w:val="24"/>
          <w:lang w:val="sq-AL"/>
        </w:rPr>
        <w:t xml:space="preserve"> tjera </w:t>
      </w:r>
      <w:r w:rsidR="00C16FD0" w:rsidRPr="00265422">
        <w:rPr>
          <w:rFonts w:ascii="Times New Roman" w:eastAsia="Times New Roman" w:hAnsi="Times New Roman" w:cs="Times New Roman"/>
          <w:bCs/>
          <w:noProof/>
          <w:sz w:val="24"/>
          <w:szCs w:val="24"/>
          <w:lang w:val="sq-AL"/>
        </w:rPr>
        <w:t>t</w:t>
      </w:r>
      <w:r w:rsidR="00982338" w:rsidRPr="00265422">
        <w:rPr>
          <w:rFonts w:ascii="Times New Roman" w:eastAsia="Times New Roman" w:hAnsi="Times New Roman" w:cs="Times New Roman"/>
          <w:bCs/>
          <w:noProof/>
          <w:sz w:val="24"/>
          <w:szCs w:val="24"/>
          <w:lang w:val="sq-AL"/>
        </w:rPr>
        <w:t>ë</w:t>
      </w:r>
      <w:r w:rsidR="00C16FD0" w:rsidRPr="00265422">
        <w:rPr>
          <w:rFonts w:ascii="Times New Roman" w:eastAsia="Times New Roman" w:hAnsi="Times New Roman" w:cs="Times New Roman"/>
          <w:bCs/>
          <w:noProof/>
          <w:sz w:val="24"/>
          <w:szCs w:val="24"/>
          <w:lang w:val="sq-AL"/>
        </w:rPr>
        <w:t xml:space="preserve"> k</w:t>
      </w:r>
      <w:r w:rsidR="00982338" w:rsidRPr="00265422">
        <w:rPr>
          <w:rFonts w:ascii="Times New Roman" w:eastAsia="Times New Roman" w:hAnsi="Times New Roman" w:cs="Times New Roman"/>
          <w:bCs/>
          <w:noProof/>
          <w:sz w:val="24"/>
          <w:szCs w:val="24"/>
          <w:lang w:val="sq-AL"/>
        </w:rPr>
        <w:t>ë</w:t>
      </w:r>
      <w:r w:rsidR="00C16FD0" w:rsidRPr="00265422">
        <w:rPr>
          <w:rFonts w:ascii="Times New Roman" w:eastAsia="Times New Roman" w:hAnsi="Times New Roman" w:cs="Times New Roman"/>
          <w:bCs/>
          <w:noProof/>
          <w:sz w:val="24"/>
          <w:szCs w:val="24"/>
          <w:lang w:val="sq-AL"/>
        </w:rPr>
        <w:t xml:space="preserve">tyre instrumenteve </w:t>
      </w:r>
      <w:r w:rsidRPr="00265422">
        <w:rPr>
          <w:rFonts w:ascii="Times New Roman" w:eastAsia="Times New Roman" w:hAnsi="Times New Roman" w:cs="Times New Roman"/>
          <w:bCs/>
          <w:noProof/>
          <w:sz w:val="24"/>
          <w:szCs w:val="24"/>
          <w:lang w:val="sq-AL"/>
        </w:rPr>
        <w:t>do t</w:t>
      </w:r>
      <w:r w:rsidR="00982338" w:rsidRPr="00265422">
        <w:rPr>
          <w:rFonts w:ascii="Times New Roman" w:eastAsia="Times New Roman" w:hAnsi="Times New Roman" w:cs="Times New Roman"/>
          <w:bCs/>
          <w:noProof/>
          <w:sz w:val="24"/>
          <w:szCs w:val="24"/>
          <w:lang w:val="sq-AL"/>
        </w:rPr>
        <w:t>ë</w:t>
      </w:r>
      <w:r w:rsidR="00E57778" w:rsidRPr="00265422">
        <w:rPr>
          <w:rFonts w:ascii="Times New Roman" w:eastAsia="Times New Roman" w:hAnsi="Times New Roman" w:cs="Times New Roman"/>
          <w:bCs/>
          <w:noProof/>
          <w:sz w:val="24"/>
          <w:szCs w:val="24"/>
          <w:lang w:val="sq-AL"/>
        </w:rPr>
        <w:t xml:space="preserve"> p</w:t>
      </w:r>
      <w:r w:rsidR="00982338" w:rsidRPr="00265422">
        <w:rPr>
          <w:rFonts w:ascii="Times New Roman" w:eastAsia="Times New Roman" w:hAnsi="Times New Roman" w:cs="Times New Roman"/>
          <w:bCs/>
          <w:noProof/>
          <w:sz w:val="24"/>
          <w:szCs w:val="24"/>
          <w:lang w:val="sq-AL"/>
        </w:rPr>
        <w:t>ë</w:t>
      </w:r>
      <w:r w:rsidR="00FF6F18" w:rsidRPr="00265422">
        <w:rPr>
          <w:rFonts w:ascii="Times New Roman" w:eastAsia="Times New Roman" w:hAnsi="Times New Roman" w:cs="Times New Roman"/>
          <w:bCs/>
          <w:noProof/>
          <w:sz w:val="24"/>
          <w:szCs w:val="24"/>
          <w:lang w:val="sq-AL"/>
        </w:rPr>
        <w:t>rcaktohen</w:t>
      </w:r>
      <w:r w:rsidR="00E57778" w:rsidRPr="00265422">
        <w:rPr>
          <w:rFonts w:ascii="Times New Roman" w:eastAsia="Times New Roman" w:hAnsi="Times New Roman" w:cs="Times New Roman"/>
          <w:bCs/>
          <w:noProof/>
          <w:sz w:val="24"/>
          <w:szCs w:val="24"/>
          <w:lang w:val="sq-AL"/>
        </w:rPr>
        <w:t xml:space="preserve"> </w:t>
      </w:r>
      <w:r w:rsidR="00C16FD0" w:rsidRPr="00265422">
        <w:rPr>
          <w:rFonts w:ascii="Times New Roman" w:eastAsia="Times New Roman" w:hAnsi="Times New Roman" w:cs="Times New Roman"/>
          <w:bCs/>
          <w:noProof/>
          <w:sz w:val="24"/>
          <w:szCs w:val="24"/>
          <w:lang w:val="sq-AL"/>
        </w:rPr>
        <w:t xml:space="preserve">vit pas viti </w:t>
      </w:r>
      <w:r w:rsidR="00E57778" w:rsidRPr="00265422">
        <w:rPr>
          <w:rFonts w:ascii="Times New Roman" w:eastAsia="Times New Roman" w:hAnsi="Times New Roman" w:cs="Times New Roman"/>
          <w:bCs/>
          <w:noProof/>
          <w:sz w:val="24"/>
          <w:szCs w:val="24"/>
          <w:lang w:val="sq-AL"/>
        </w:rPr>
        <w:t>në përputhje me nevojat për realizimin e objektivave të mëposhtme</w:t>
      </w:r>
      <w:r w:rsidR="00E57778" w:rsidRPr="00265422">
        <w:rPr>
          <w:rFonts w:ascii="Times New Roman" w:eastAsia="Times New Roman" w:hAnsi="Times New Roman" w:cs="Times New Roman"/>
          <w:bCs/>
          <w:iCs/>
          <w:noProof/>
          <w:sz w:val="24"/>
          <w:szCs w:val="24"/>
          <w:lang w:val="sq-AL"/>
        </w:rPr>
        <w:t xml:space="preserve">:  </w:t>
      </w:r>
    </w:p>
    <w:p w14:paraId="71DF5D0D" w14:textId="77777777" w:rsidR="00E57778" w:rsidRPr="00265422" w:rsidRDefault="00E57778" w:rsidP="00E57778">
      <w:pPr>
        <w:tabs>
          <w:tab w:val="left" w:pos="2730"/>
        </w:tabs>
        <w:spacing w:after="0" w:line="276" w:lineRule="auto"/>
        <w:ind w:left="284" w:right="237"/>
        <w:contextualSpacing/>
        <w:jc w:val="both"/>
        <w:rPr>
          <w:rFonts w:ascii="Times New Roman" w:eastAsia="Times New Roman" w:hAnsi="Times New Roman" w:cs="Times New Roman"/>
          <w:bCs/>
          <w:iCs/>
          <w:noProof/>
          <w:sz w:val="16"/>
          <w:szCs w:val="16"/>
          <w:lang w:val="sq-AL"/>
        </w:rPr>
      </w:pPr>
    </w:p>
    <w:p w14:paraId="71DF5D0E" w14:textId="77777777" w:rsidR="00E57778" w:rsidRPr="00265422" w:rsidRDefault="00E57778" w:rsidP="00002331">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Times New Roman" w:hAnsi="Times New Roman" w:cs="Times New Roman"/>
          <w:bCs/>
          <w:noProof/>
          <w:sz w:val="24"/>
          <w:szCs w:val="24"/>
          <w:lang w:val="sq-AL"/>
        </w:rPr>
        <w:t xml:space="preserve">Rifinancimin dhe/ose menaxhimin e detyrimeve të borxhit </w:t>
      </w:r>
      <w:r w:rsidRPr="00265422">
        <w:rPr>
          <w:rFonts w:ascii="Times New Roman" w:eastAsia="Times New Roman" w:hAnsi="Times New Roman" w:cs="Times New Roman"/>
          <w:bCs/>
          <w:i/>
          <w:noProof/>
          <w:sz w:val="24"/>
          <w:szCs w:val="24"/>
          <w:lang w:val="sq-AL"/>
        </w:rPr>
        <w:t>(liability management),</w:t>
      </w:r>
      <w:r w:rsidRPr="00265422">
        <w:rPr>
          <w:rFonts w:ascii="Times New Roman" w:eastAsia="Times New Roman" w:hAnsi="Times New Roman" w:cs="Times New Roman"/>
          <w:bCs/>
          <w:noProof/>
          <w:sz w:val="24"/>
          <w:szCs w:val="24"/>
          <w:lang w:val="sq-AL"/>
        </w:rPr>
        <w:t xml:space="preserve"> me qëllim reduktim</w:t>
      </w:r>
      <w:r w:rsidR="00EF7BA7">
        <w:rPr>
          <w:rFonts w:ascii="Times New Roman" w:eastAsia="Times New Roman" w:hAnsi="Times New Roman" w:cs="Times New Roman"/>
          <w:bCs/>
          <w:noProof/>
          <w:sz w:val="24"/>
          <w:szCs w:val="24"/>
          <w:lang w:val="sq-AL"/>
        </w:rPr>
        <w:t xml:space="preserve">in e risqeve potenciale që mund </w:t>
      </w:r>
      <w:r w:rsidRPr="00265422">
        <w:rPr>
          <w:rFonts w:ascii="Times New Roman" w:eastAsia="Times New Roman" w:hAnsi="Times New Roman" w:cs="Times New Roman"/>
          <w:bCs/>
          <w:noProof/>
          <w:sz w:val="24"/>
          <w:szCs w:val="24"/>
          <w:lang w:val="sq-AL"/>
        </w:rPr>
        <w:t>të materializohen në periudhën afatshkurtër dhe afatmesme;</w:t>
      </w:r>
    </w:p>
    <w:p w14:paraId="71DF5D0F" w14:textId="77777777" w:rsidR="00E57778" w:rsidRPr="00265422" w:rsidRDefault="00E57778" w:rsidP="00002331">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Batang" w:hAnsi="Times New Roman" w:cs="Times New Roman"/>
          <w:noProof/>
          <w:sz w:val="24"/>
          <w:szCs w:val="24"/>
          <w:lang w:val="sq-AL"/>
        </w:rPr>
        <w:lastRenderedPageBreak/>
        <w:t xml:space="preserve">Sigurimin e likuiditetit të nevojshëm </w:t>
      </w:r>
      <w:r w:rsidRPr="00265422">
        <w:rPr>
          <w:rFonts w:ascii="Times New Roman" w:eastAsia="Batang" w:hAnsi="Times New Roman" w:cs="Times New Roman"/>
          <w:i/>
          <w:noProof/>
          <w:sz w:val="24"/>
          <w:szCs w:val="24"/>
          <w:lang w:val="sq-AL"/>
        </w:rPr>
        <w:t>(liquidity management)</w:t>
      </w:r>
      <w:r w:rsidRPr="00265422">
        <w:rPr>
          <w:rFonts w:ascii="Times New Roman" w:eastAsia="Batang" w:hAnsi="Times New Roman" w:cs="Times New Roman"/>
          <w:noProof/>
          <w:sz w:val="24"/>
          <w:szCs w:val="24"/>
          <w:lang w:val="sq-AL"/>
        </w:rPr>
        <w:t xml:space="preserve"> për të mundësuar ristrukturimin dhe zhvillimin e tregut të titujve shtetërorë;</w:t>
      </w:r>
    </w:p>
    <w:p w14:paraId="71DF5D10" w14:textId="77777777" w:rsidR="00E57778" w:rsidRPr="00265422" w:rsidRDefault="00E57778" w:rsidP="00002331">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Times New Roman" w:hAnsi="Times New Roman" w:cs="Times New Roman"/>
          <w:bCs/>
          <w:noProof/>
          <w:sz w:val="24"/>
          <w:szCs w:val="24"/>
          <w:lang w:val="sq-AL"/>
        </w:rPr>
        <w:t xml:space="preserve">Sigurimin e financimit të nevojshëm për rastet kur huamarrja e brendshme tejkalon kapacitetin e tregut </w:t>
      </w:r>
      <w:r w:rsidRPr="00EF7BA7">
        <w:rPr>
          <w:rFonts w:ascii="Times New Roman" w:eastAsia="Times New Roman" w:hAnsi="Times New Roman" w:cs="Times New Roman"/>
          <w:bCs/>
          <w:noProof/>
          <w:sz w:val="24"/>
          <w:szCs w:val="24"/>
          <w:lang w:val="sq-AL"/>
        </w:rPr>
        <w:t>(Kreu II, Nënkapitulli 1.2., Prg. 3)</w:t>
      </w:r>
      <w:r w:rsidRPr="00265422">
        <w:rPr>
          <w:rFonts w:ascii="Times New Roman" w:eastAsia="Batang" w:hAnsi="Times New Roman" w:cs="Times New Roman"/>
          <w:noProof/>
          <w:sz w:val="24"/>
          <w:szCs w:val="24"/>
          <w:lang w:val="sq-AL"/>
        </w:rPr>
        <w:t>;</w:t>
      </w:r>
    </w:p>
    <w:p w14:paraId="71DF5D11" w14:textId="77777777" w:rsidR="00FF6F18" w:rsidRPr="00265422" w:rsidRDefault="00FF6F18" w:rsidP="00002331">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Batang" w:hAnsi="Times New Roman" w:cs="Times New Roman"/>
          <w:noProof/>
          <w:sz w:val="24"/>
          <w:szCs w:val="24"/>
          <w:lang w:val="sq-AL"/>
        </w:rPr>
        <w:t>Sigurimin e valut</w:t>
      </w:r>
      <w:r w:rsidR="00982338" w:rsidRPr="00265422">
        <w:rPr>
          <w:rFonts w:ascii="Times New Roman" w:eastAsia="Batang" w:hAnsi="Times New Roman" w:cs="Times New Roman"/>
          <w:noProof/>
          <w:sz w:val="24"/>
          <w:szCs w:val="24"/>
          <w:lang w:val="sq-AL"/>
        </w:rPr>
        <w:t>ë</w:t>
      </w:r>
      <w:r w:rsidRPr="00265422">
        <w:rPr>
          <w:rFonts w:ascii="Times New Roman" w:eastAsia="Batang" w:hAnsi="Times New Roman" w:cs="Times New Roman"/>
          <w:noProof/>
          <w:sz w:val="24"/>
          <w:szCs w:val="24"/>
          <w:lang w:val="sq-AL"/>
        </w:rPr>
        <w:t>s s</w:t>
      </w:r>
      <w:r w:rsidR="00982338" w:rsidRPr="00265422">
        <w:rPr>
          <w:rFonts w:ascii="Times New Roman" w:eastAsia="Batang" w:hAnsi="Times New Roman" w:cs="Times New Roman"/>
          <w:noProof/>
          <w:sz w:val="24"/>
          <w:szCs w:val="24"/>
          <w:lang w:val="sq-AL"/>
        </w:rPr>
        <w:t>ë</w:t>
      </w:r>
      <w:r w:rsidRPr="00265422">
        <w:rPr>
          <w:rFonts w:ascii="Times New Roman" w:eastAsia="Batang" w:hAnsi="Times New Roman" w:cs="Times New Roman"/>
          <w:noProof/>
          <w:sz w:val="24"/>
          <w:szCs w:val="24"/>
          <w:lang w:val="sq-AL"/>
        </w:rPr>
        <w:t xml:space="preserve"> nevojshme p</w:t>
      </w:r>
      <w:r w:rsidR="00982338" w:rsidRPr="00265422">
        <w:rPr>
          <w:rFonts w:ascii="Times New Roman" w:eastAsia="Batang" w:hAnsi="Times New Roman" w:cs="Times New Roman"/>
          <w:noProof/>
          <w:sz w:val="24"/>
          <w:szCs w:val="24"/>
          <w:lang w:val="sq-AL"/>
        </w:rPr>
        <w:t>ë</w:t>
      </w:r>
      <w:r w:rsidRPr="00265422">
        <w:rPr>
          <w:rFonts w:ascii="Times New Roman" w:eastAsia="Batang" w:hAnsi="Times New Roman" w:cs="Times New Roman"/>
          <w:noProof/>
          <w:sz w:val="24"/>
          <w:szCs w:val="24"/>
          <w:lang w:val="sq-AL"/>
        </w:rPr>
        <w:t>r t</w:t>
      </w:r>
      <w:r w:rsidR="00982338" w:rsidRPr="00265422">
        <w:rPr>
          <w:rFonts w:ascii="Times New Roman" w:eastAsia="Batang" w:hAnsi="Times New Roman" w:cs="Times New Roman"/>
          <w:noProof/>
          <w:sz w:val="24"/>
          <w:szCs w:val="24"/>
          <w:lang w:val="sq-AL"/>
        </w:rPr>
        <w:t>ë</w:t>
      </w:r>
      <w:r w:rsidRPr="00265422">
        <w:rPr>
          <w:rFonts w:ascii="Times New Roman" w:eastAsia="Batang" w:hAnsi="Times New Roman" w:cs="Times New Roman"/>
          <w:noProof/>
          <w:sz w:val="24"/>
          <w:szCs w:val="24"/>
          <w:lang w:val="sq-AL"/>
        </w:rPr>
        <w:t xml:space="preserve"> sh</w:t>
      </w:r>
      <w:r w:rsidR="00982338" w:rsidRPr="00265422">
        <w:rPr>
          <w:rFonts w:ascii="Times New Roman" w:eastAsia="Batang" w:hAnsi="Times New Roman" w:cs="Times New Roman"/>
          <w:noProof/>
          <w:sz w:val="24"/>
          <w:szCs w:val="24"/>
          <w:lang w:val="sq-AL"/>
        </w:rPr>
        <w:t>ë</w:t>
      </w:r>
      <w:r w:rsidRPr="00265422">
        <w:rPr>
          <w:rFonts w:ascii="Times New Roman" w:eastAsia="Batang" w:hAnsi="Times New Roman" w:cs="Times New Roman"/>
          <w:noProof/>
          <w:sz w:val="24"/>
          <w:szCs w:val="24"/>
          <w:lang w:val="sq-AL"/>
        </w:rPr>
        <w:t>rbyer detyrimet e borxhit n</w:t>
      </w:r>
      <w:r w:rsidR="00982338" w:rsidRPr="00265422">
        <w:rPr>
          <w:rFonts w:ascii="Times New Roman" w:eastAsia="Batang" w:hAnsi="Times New Roman" w:cs="Times New Roman"/>
          <w:noProof/>
          <w:sz w:val="24"/>
          <w:szCs w:val="24"/>
          <w:lang w:val="sq-AL"/>
        </w:rPr>
        <w:t>ë</w:t>
      </w:r>
      <w:r w:rsidRPr="00265422">
        <w:rPr>
          <w:rFonts w:ascii="Times New Roman" w:eastAsia="Batang" w:hAnsi="Times New Roman" w:cs="Times New Roman"/>
          <w:noProof/>
          <w:sz w:val="24"/>
          <w:szCs w:val="24"/>
          <w:lang w:val="sq-AL"/>
        </w:rPr>
        <w:t xml:space="preserve"> valut</w:t>
      </w:r>
      <w:r w:rsidR="00982338" w:rsidRPr="00265422">
        <w:rPr>
          <w:rFonts w:ascii="Times New Roman" w:eastAsia="Batang" w:hAnsi="Times New Roman" w:cs="Times New Roman"/>
          <w:noProof/>
          <w:sz w:val="24"/>
          <w:szCs w:val="24"/>
          <w:lang w:val="sq-AL"/>
        </w:rPr>
        <w:t>ë</w:t>
      </w:r>
      <w:r w:rsidRPr="00265422">
        <w:rPr>
          <w:rFonts w:ascii="Times New Roman" w:eastAsia="Batang" w:hAnsi="Times New Roman" w:cs="Times New Roman"/>
          <w:noProof/>
          <w:sz w:val="24"/>
          <w:szCs w:val="24"/>
          <w:lang w:val="sq-AL"/>
        </w:rPr>
        <w:t>.</w:t>
      </w:r>
    </w:p>
    <w:p w14:paraId="71DF5D12" w14:textId="77777777" w:rsidR="00E57778" w:rsidRPr="00265422" w:rsidRDefault="00E57778" w:rsidP="00002331">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Times New Roman" w:hAnsi="Times New Roman" w:cs="Times New Roman"/>
          <w:bCs/>
          <w:noProof/>
          <w:sz w:val="24"/>
          <w:szCs w:val="24"/>
          <w:lang w:val="sq-AL"/>
        </w:rPr>
        <w:t>Uljen e presionit për hua në tregun e brendshëm për të mos kufizuar kreditimin e sektorit privat;</w:t>
      </w:r>
    </w:p>
    <w:p w14:paraId="71DF5D13" w14:textId="77777777" w:rsidR="00E57778" w:rsidRPr="00265422" w:rsidRDefault="00E57778" w:rsidP="00002331">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Times New Roman" w:hAnsi="Times New Roman" w:cs="Times New Roman"/>
          <w:bCs/>
          <w:noProof/>
          <w:sz w:val="24"/>
          <w:szCs w:val="24"/>
          <w:lang w:val="sq-AL"/>
        </w:rPr>
        <w:t>Shfrytëzimin e instrumenteve me terma të favorshme</w:t>
      </w:r>
      <w:r w:rsidR="00967D4C" w:rsidRPr="00265422">
        <w:rPr>
          <w:rFonts w:ascii="Times New Roman" w:eastAsia="Times New Roman" w:hAnsi="Times New Roman" w:cs="Times New Roman"/>
          <w:bCs/>
          <w:i/>
          <w:noProof/>
          <w:sz w:val="24"/>
          <w:szCs w:val="24"/>
          <w:lang w:val="sq-AL"/>
        </w:rPr>
        <w:t xml:space="preserve"> </w:t>
      </w:r>
      <w:r w:rsidRPr="00265422">
        <w:rPr>
          <w:rFonts w:ascii="Times New Roman" w:eastAsia="Times New Roman" w:hAnsi="Times New Roman" w:cs="Times New Roman"/>
          <w:bCs/>
          <w:noProof/>
          <w:sz w:val="24"/>
          <w:szCs w:val="24"/>
          <w:lang w:val="sq-AL"/>
        </w:rPr>
        <w:t>që ofrojnë institucionet financiare ndërkombëtare, me qëllim optimizimin e kostove të portofolit;</w:t>
      </w:r>
    </w:p>
    <w:p w14:paraId="71DF5D14" w14:textId="77777777" w:rsidR="00967D4C" w:rsidRPr="00265422" w:rsidRDefault="00967D4C" w:rsidP="00967D4C">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Times New Roman" w:hAnsi="Times New Roman" w:cs="Times New Roman"/>
          <w:bCs/>
          <w:noProof/>
          <w:sz w:val="24"/>
          <w:szCs w:val="24"/>
          <w:lang w:val="sq-AL"/>
        </w:rPr>
        <w:t>Sigurimin e financimit të nevojshëm për të stabilizuar rastet e emergjencave të përkohshme në tregun e brendshëm;</w:t>
      </w:r>
    </w:p>
    <w:p w14:paraId="71DF5D15" w14:textId="77777777" w:rsidR="00E57778" w:rsidRPr="00265422" w:rsidRDefault="00E57778" w:rsidP="00002331">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i/>
          <w:iCs/>
          <w:noProof/>
          <w:sz w:val="24"/>
          <w:szCs w:val="24"/>
          <w:lang w:val="sq-AL"/>
        </w:rPr>
      </w:pPr>
      <w:r w:rsidRPr="00265422">
        <w:rPr>
          <w:rFonts w:ascii="Times New Roman" w:eastAsia="Times New Roman" w:hAnsi="Times New Roman" w:cs="Times New Roman"/>
          <w:bCs/>
          <w:noProof/>
          <w:sz w:val="24"/>
          <w:szCs w:val="24"/>
          <w:lang w:val="sq-AL"/>
        </w:rPr>
        <w:t>Garantimin e pranisë së vendit në tregjet ndërkombëtare të kapitalit</w:t>
      </w:r>
      <w:r w:rsidR="00496B4D" w:rsidRPr="00265422">
        <w:rPr>
          <w:rFonts w:ascii="Times New Roman" w:eastAsia="Times New Roman" w:hAnsi="Times New Roman" w:cs="Times New Roman"/>
          <w:bCs/>
          <w:noProof/>
          <w:sz w:val="24"/>
          <w:szCs w:val="24"/>
          <w:lang w:val="sq-AL"/>
        </w:rPr>
        <w:t>,</w:t>
      </w:r>
      <w:r w:rsidRPr="00265422">
        <w:rPr>
          <w:rFonts w:ascii="Times New Roman" w:eastAsia="Times New Roman" w:hAnsi="Times New Roman" w:cs="Times New Roman"/>
          <w:bCs/>
          <w:noProof/>
          <w:sz w:val="24"/>
          <w:szCs w:val="24"/>
          <w:lang w:val="sq-AL"/>
        </w:rPr>
        <w:t xml:space="preserve"> </w:t>
      </w:r>
      <w:r w:rsidR="0092638E" w:rsidRPr="00265422">
        <w:rPr>
          <w:rFonts w:ascii="Times New Roman" w:eastAsia="Times New Roman" w:hAnsi="Times New Roman" w:cs="Times New Roman"/>
          <w:bCs/>
          <w:noProof/>
          <w:sz w:val="24"/>
          <w:szCs w:val="24"/>
          <w:lang w:val="sq-AL"/>
        </w:rPr>
        <w:t>p</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r t</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reduktuar primet q</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mund t</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burojn</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nga vler</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simi jo i sakt</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i instrumenteve t</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vendit n</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munges</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t</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titujve t</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 xml:space="preserve"> tregtuesh</w:t>
      </w:r>
      <w:r w:rsidR="00982338" w:rsidRPr="00265422">
        <w:rPr>
          <w:rFonts w:ascii="Times New Roman" w:eastAsia="Times New Roman" w:hAnsi="Times New Roman" w:cs="Times New Roman"/>
          <w:bCs/>
          <w:noProof/>
          <w:sz w:val="24"/>
          <w:szCs w:val="24"/>
          <w:lang w:val="sq-AL"/>
        </w:rPr>
        <w:t>ë</w:t>
      </w:r>
      <w:r w:rsidR="0092638E" w:rsidRPr="00265422">
        <w:rPr>
          <w:rFonts w:ascii="Times New Roman" w:eastAsia="Times New Roman" w:hAnsi="Times New Roman" w:cs="Times New Roman"/>
          <w:bCs/>
          <w:noProof/>
          <w:sz w:val="24"/>
          <w:szCs w:val="24"/>
          <w:lang w:val="sq-AL"/>
        </w:rPr>
        <w:t>m</w:t>
      </w:r>
      <w:r w:rsidR="0092638E" w:rsidRPr="00265422">
        <w:rPr>
          <w:rFonts w:ascii="Times New Roman" w:eastAsia="Times New Roman" w:hAnsi="Times New Roman" w:cs="Times New Roman"/>
          <w:bCs/>
          <w:i/>
          <w:noProof/>
          <w:sz w:val="24"/>
          <w:szCs w:val="24"/>
          <w:lang w:val="sq-AL"/>
        </w:rPr>
        <w:t>.</w:t>
      </w:r>
    </w:p>
    <w:p w14:paraId="71DF5D16" w14:textId="77777777" w:rsidR="00E57778" w:rsidRPr="000F5C13" w:rsidRDefault="00E57778" w:rsidP="00E57778">
      <w:pPr>
        <w:tabs>
          <w:tab w:val="left" w:pos="2730"/>
        </w:tabs>
        <w:spacing w:after="0" w:line="276" w:lineRule="auto"/>
        <w:ind w:right="237"/>
        <w:jc w:val="both"/>
        <w:rPr>
          <w:rFonts w:ascii="Times New Roman" w:eastAsia="Times New Roman" w:hAnsi="Times New Roman" w:cs="Times New Roman"/>
          <w:bCs/>
          <w:i/>
          <w:iCs/>
          <w:noProof/>
          <w:sz w:val="16"/>
          <w:szCs w:val="24"/>
          <w:lang w:val="sq-AL"/>
        </w:rPr>
      </w:pPr>
      <w:r w:rsidRPr="000F5C13">
        <w:rPr>
          <w:rFonts w:ascii="Times New Roman" w:eastAsia="Times New Roman" w:hAnsi="Times New Roman" w:cs="Times New Roman"/>
          <w:bCs/>
          <w:noProof/>
          <w:sz w:val="24"/>
          <w:szCs w:val="28"/>
        </w:rPr>
        <mc:AlternateContent>
          <mc:Choice Requires="wps">
            <w:drawing>
              <wp:anchor distT="0" distB="0" distL="114300" distR="114300" simplePos="0" relativeHeight="251855872" behindDoc="1" locked="0" layoutInCell="1" allowOverlap="1" wp14:anchorId="71DF5F93" wp14:editId="71DF5F94">
                <wp:simplePos x="0" y="0"/>
                <wp:positionH relativeFrom="margin">
                  <wp:align>left</wp:align>
                </wp:positionH>
                <wp:positionV relativeFrom="paragraph">
                  <wp:posOffset>128426</wp:posOffset>
                </wp:positionV>
                <wp:extent cx="5572664" cy="6000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5572664" cy="600075"/>
                        </a:xfrm>
                        <a:prstGeom prst="rect">
                          <a:avLst/>
                        </a:prstGeom>
                        <a:solidFill>
                          <a:schemeClr val="accent1">
                            <a:lumMod val="20000"/>
                            <a:lumOff val="80000"/>
                          </a:scheme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D91E8" id="Rectangle 41" o:spid="_x0000_s1026" style="position:absolute;margin-left:0;margin-top:10.1pt;width:438.8pt;height:47.25pt;z-index:-251460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" fillcolor="#deeaf6 [660]" strokecolor="#595959" strokeweight="1pt">
                <w10:wrap anchorx="margin"/>
              </v:rect>
            </w:pict>
          </mc:Fallback>
        </mc:AlternateContent>
      </w:r>
    </w:p>
    <w:p w14:paraId="71DF5D17" w14:textId="77777777" w:rsidR="00E57778" w:rsidRPr="000F5C13" w:rsidRDefault="00265422" w:rsidP="00265422">
      <w:pPr>
        <w:tabs>
          <w:tab w:val="left" w:pos="2730"/>
        </w:tabs>
        <w:spacing w:after="0" w:line="276" w:lineRule="auto"/>
        <w:ind w:left="142" w:right="380"/>
        <w:jc w:val="both"/>
        <w:rPr>
          <w:rFonts w:ascii="Times New Roman" w:eastAsia="Times New Roman" w:hAnsi="Times New Roman" w:cs="Times New Roman"/>
          <w:bCs/>
          <w:i/>
          <w:noProof/>
          <w:sz w:val="24"/>
          <w:szCs w:val="24"/>
          <w:lang w:val="sq-AL"/>
        </w:rPr>
      </w:pPr>
      <w:r>
        <w:rPr>
          <w:rFonts w:ascii="Times New Roman" w:eastAsia="Times New Roman" w:hAnsi="Times New Roman" w:cs="Times New Roman"/>
          <w:bCs/>
          <w:i/>
          <w:noProof/>
          <w:color w:val="7F7F7F" w:themeColor="text1" w:themeTint="80"/>
          <w:sz w:val="24"/>
          <w:szCs w:val="24"/>
          <w:lang w:val="sq-AL"/>
        </w:rPr>
        <w:t xml:space="preserve"> </w:t>
      </w:r>
      <w:r w:rsidR="00496B4D">
        <w:rPr>
          <w:rFonts w:ascii="Times New Roman" w:eastAsia="Times New Roman" w:hAnsi="Times New Roman" w:cs="Times New Roman"/>
          <w:bCs/>
          <w:i/>
          <w:noProof/>
          <w:sz w:val="24"/>
          <w:szCs w:val="24"/>
          <w:lang w:val="sq-AL"/>
        </w:rPr>
        <w:t>Pavarësisht nga nevoja p</w:t>
      </w:r>
      <w:r w:rsidR="00982338">
        <w:rPr>
          <w:rFonts w:ascii="Times New Roman" w:eastAsia="Times New Roman" w:hAnsi="Times New Roman" w:cs="Times New Roman"/>
          <w:bCs/>
          <w:i/>
          <w:noProof/>
          <w:sz w:val="24"/>
          <w:szCs w:val="24"/>
          <w:lang w:val="sq-AL"/>
        </w:rPr>
        <w:t>ë</w:t>
      </w:r>
      <w:r w:rsidR="00496B4D">
        <w:rPr>
          <w:rFonts w:ascii="Times New Roman" w:eastAsia="Times New Roman" w:hAnsi="Times New Roman" w:cs="Times New Roman"/>
          <w:bCs/>
          <w:i/>
          <w:noProof/>
          <w:sz w:val="24"/>
          <w:szCs w:val="24"/>
          <w:lang w:val="sq-AL"/>
        </w:rPr>
        <w:t xml:space="preserve">r </w:t>
      </w:r>
      <w:r w:rsidR="00E57778" w:rsidRPr="000F5C13">
        <w:rPr>
          <w:rFonts w:ascii="Times New Roman" w:eastAsia="Times New Roman" w:hAnsi="Times New Roman" w:cs="Times New Roman"/>
          <w:bCs/>
          <w:i/>
          <w:noProof/>
          <w:sz w:val="24"/>
          <w:szCs w:val="24"/>
          <w:lang w:val="sq-AL"/>
        </w:rPr>
        <w:t>realizimi</w:t>
      </w:r>
      <w:r w:rsidR="00496B4D">
        <w:rPr>
          <w:rFonts w:ascii="Times New Roman" w:eastAsia="Times New Roman" w:hAnsi="Times New Roman" w:cs="Times New Roman"/>
          <w:bCs/>
          <w:i/>
          <w:noProof/>
          <w:sz w:val="24"/>
          <w:szCs w:val="24"/>
          <w:lang w:val="sq-AL"/>
        </w:rPr>
        <w:t>n</w:t>
      </w:r>
      <w:r w:rsidR="00E57778" w:rsidRPr="000F5C13">
        <w:rPr>
          <w:rFonts w:ascii="Times New Roman" w:eastAsia="Times New Roman" w:hAnsi="Times New Roman" w:cs="Times New Roman"/>
          <w:bCs/>
          <w:i/>
          <w:noProof/>
          <w:sz w:val="24"/>
          <w:szCs w:val="24"/>
          <w:lang w:val="sq-AL"/>
        </w:rPr>
        <w:t xml:space="preserve"> </w:t>
      </w:r>
      <w:r w:rsidR="00496B4D">
        <w:rPr>
          <w:rFonts w:ascii="Times New Roman" w:eastAsia="Times New Roman" w:hAnsi="Times New Roman" w:cs="Times New Roman"/>
          <w:bCs/>
          <w:i/>
          <w:noProof/>
          <w:sz w:val="24"/>
          <w:szCs w:val="24"/>
          <w:lang w:val="sq-AL"/>
        </w:rPr>
        <w:t>e</w:t>
      </w:r>
      <w:r w:rsidR="00E57778" w:rsidRPr="000F5C13">
        <w:rPr>
          <w:rFonts w:ascii="Times New Roman" w:eastAsia="Times New Roman" w:hAnsi="Times New Roman" w:cs="Times New Roman"/>
          <w:bCs/>
          <w:i/>
          <w:noProof/>
          <w:sz w:val="24"/>
          <w:szCs w:val="24"/>
          <w:lang w:val="sq-AL"/>
        </w:rPr>
        <w:t xml:space="preserve"> objektivave të mësipërme, niveli i borxhit </w:t>
      </w:r>
      <w:r w:rsidR="00496B4D">
        <w:rPr>
          <w:rFonts w:ascii="Times New Roman" w:eastAsia="Times New Roman" w:hAnsi="Times New Roman" w:cs="Times New Roman"/>
          <w:bCs/>
          <w:i/>
          <w:noProof/>
          <w:sz w:val="24"/>
          <w:szCs w:val="24"/>
          <w:lang w:val="sq-AL"/>
        </w:rPr>
        <w:t>n</w:t>
      </w:r>
      <w:r w:rsidR="00E57778" w:rsidRPr="000F5C13">
        <w:rPr>
          <w:rFonts w:ascii="Times New Roman" w:eastAsia="Times New Roman" w:hAnsi="Times New Roman" w:cs="Times New Roman"/>
          <w:bCs/>
          <w:i/>
          <w:noProof/>
          <w:sz w:val="24"/>
          <w:szCs w:val="24"/>
          <w:lang w:val="sq-AL"/>
        </w:rPr>
        <w:t xml:space="preserve">ë </w:t>
      </w:r>
      <w:r w:rsidR="00496B4D">
        <w:rPr>
          <w:rFonts w:ascii="Times New Roman" w:eastAsia="Times New Roman" w:hAnsi="Times New Roman" w:cs="Times New Roman"/>
          <w:bCs/>
          <w:i/>
          <w:noProof/>
          <w:sz w:val="24"/>
          <w:szCs w:val="24"/>
          <w:lang w:val="sq-AL"/>
        </w:rPr>
        <w:t>valut</w:t>
      </w:r>
      <w:r w:rsidR="00982338">
        <w:rPr>
          <w:rFonts w:ascii="Times New Roman" w:eastAsia="Times New Roman" w:hAnsi="Times New Roman" w:cs="Times New Roman"/>
          <w:bCs/>
          <w:i/>
          <w:noProof/>
          <w:sz w:val="24"/>
          <w:szCs w:val="24"/>
          <w:lang w:val="sq-AL"/>
        </w:rPr>
        <w:t>ë</w:t>
      </w:r>
      <w:r w:rsidR="00E57778" w:rsidRPr="000F5C13">
        <w:rPr>
          <w:rFonts w:ascii="Times New Roman" w:eastAsia="Times New Roman" w:hAnsi="Times New Roman" w:cs="Times New Roman"/>
          <w:bCs/>
          <w:i/>
          <w:noProof/>
          <w:sz w:val="24"/>
          <w:szCs w:val="24"/>
          <w:lang w:val="sq-AL"/>
        </w:rPr>
        <w:t xml:space="preserve"> do synohet të evol</w:t>
      </w:r>
      <w:r w:rsidR="00E57778">
        <w:rPr>
          <w:rFonts w:ascii="Times New Roman" w:eastAsia="Times New Roman" w:hAnsi="Times New Roman" w:cs="Times New Roman"/>
          <w:bCs/>
          <w:i/>
          <w:noProof/>
          <w:sz w:val="24"/>
          <w:szCs w:val="24"/>
          <w:lang w:val="sq-AL"/>
        </w:rPr>
        <w:t>u</w:t>
      </w:r>
      <w:r w:rsidR="00E57778" w:rsidRPr="000F5C13">
        <w:rPr>
          <w:rFonts w:ascii="Times New Roman" w:eastAsia="Times New Roman" w:hAnsi="Times New Roman" w:cs="Times New Roman"/>
          <w:bCs/>
          <w:i/>
          <w:noProof/>
          <w:sz w:val="24"/>
          <w:szCs w:val="24"/>
          <w:lang w:val="sq-AL"/>
        </w:rPr>
        <w:t>ojë në përputhje me objektivat për menaxhimin e riskut të kursit të këmbimit (Kreu II, Seksioni 2.1.2, Prg. 4).</w:t>
      </w:r>
    </w:p>
    <w:p w14:paraId="71DF5D18" w14:textId="77777777" w:rsidR="008F516B" w:rsidRPr="000F5C13" w:rsidRDefault="008F516B" w:rsidP="00265422">
      <w:pPr>
        <w:tabs>
          <w:tab w:val="left" w:pos="2730"/>
        </w:tabs>
        <w:spacing w:after="0" w:line="276" w:lineRule="auto"/>
        <w:ind w:right="237"/>
        <w:jc w:val="both"/>
        <w:rPr>
          <w:rFonts w:ascii="Times New Roman" w:eastAsia="Times New Roman" w:hAnsi="Times New Roman" w:cs="Times New Roman"/>
          <w:bCs/>
          <w:i/>
          <w:iCs/>
          <w:noProof/>
          <w:sz w:val="20"/>
          <w:szCs w:val="24"/>
          <w:lang w:val="sq-AL"/>
        </w:rPr>
      </w:pPr>
    </w:p>
    <w:p w14:paraId="71DF5D19" w14:textId="77777777" w:rsidR="00E57778" w:rsidRPr="00C726C5" w:rsidRDefault="00E57778" w:rsidP="00265422">
      <w:pPr>
        <w:pStyle w:val="Heading2"/>
        <w:numPr>
          <w:ilvl w:val="1"/>
          <w:numId w:val="21"/>
        </w:numPr>
        <w:ind w:left="709" w:hanging="709"/>
        <w:rPr>
          <w:rFonts w:eastAsia="Times New Roman"/>
          <w:noProof/>
          <w:lang w:val="sq-AL"/>
        </w:rPr>
      </w:pPr>
      <w:bookmarkStart w:id="107" w:name="_Toc491861011"/>
      <w:bookmarkStart w:id="108" w:name="_Toc491954324"/>
      <w:bookmarkStart w:id="109" w:name="_Toc524506551"/>
      <w:r w:rsidRPr="00C726C5">
        <w:rPr>
          <w:rFonts w:eastAsia="Times New Roman"/>
          <w:noProof/>
          <w:lang w:val="sq-AL"/>
        </w:rPr>
        <w:t xml:space="preserve">Menaxhimi/Kontrolli i Kostove dhe </w:t>
      </w:r>
      <w:bookmarkEnd w:id="107"/>
      <w:bookmarkEnd w:id="108"/>
      <w:bookmarkEnd w:id="109"/>
      <w:r w:rsidRPr="00C726C5">
        <w:rPr>
          <w:rFonts w:eastAsia="Times New Roman"/>
          <w:noProof/>
          <w:lang w:val="sq-AL"/>
        </w:rPr>
        <w:t>Risqeve</w:t>
      </w:r>
    </w:p>
    <w:p w14:paraId="71DF5D1A" w14:textId="77777777" w:rsidR="00E57778" w:rsidRPr="00C726C5" w:rsidRDefault="00E57778" w:rsidP="00265422">
      <w:pPr>
        <w:keepNext/>
        <w:keepLines/>
        <w:tabs>
          <w:tab w:val="left" w:pos="284"/>
          <w:tab w:val="left" w:pos="540"/>
        </w:tabs>
        <w:spacing w:after="0" w:line="276" w:lineRule="auto"/>
        <w:ind w:left="709" w:right="238" w:hanging="709"/>
        <w:jc w:val="both"/>
        <w:outlineLvl w:val="2"/>
        <w:rPr>
          <w:rFonts w:ascii="Times New Roman" w:eastAsia="Times New Roman" w:hAnsi="Times New Roman" w:cs="Times New Roman"/>
          <w:b/>
          <w:bCs/>
          <w:noProof/>
          <w:sz w:val="20"/>
          <w:szCs w:val="16"/>
          <w:lang w:val="sq-AL"/>
        </w:rPr>
      </w:pPr>
    </w:p>
    <w:p w14:paraId="71DF5D1B" w14:textId="77777777" w:rsidR="00E57778" w:rsidRPr="00C726C5" w:rsidRDefault="00E57778" w:rsidP="00265422">
      <w:pPr>
        <w:pStyle w:val="Heading3"/>
        <w:numPr>
          <w:ilvl w:val="2"/>
          <w:numId w:val="21"/>
        </w:numPr>
        <w:ind w:left="851" w:hanging="851"/>
        <w:rPr>
          <w:noProof/>
        </w:rPr>
      </w:pPr>
      <w:bookmarkStart w:id="110" w:name="_Toc491861012"/>
      <w:bookmarkStart w:id="111" w:name="_Toc491954325"/>
      <w:bookmarkStart w:id="112" w:name="_Toc524506552"/>
      <w:r w:rsidRPr="00C726C5">
        <w:rPr>
          <w:noProof/>
        </w:rPr>
        <w:t>Kostot</w:t>
      </w:r>
      <w:bookmarkEnd w:id="110"/>
      <w:bookmarkEnd w:id="111"/>
      <w:bookmarkEnd w:id="112"/>
    </w:p>
    <w:p w14:paraId="71DF5D1C" w14:textId="77777777" w:rsidR="00E57778" w:rsidRPr="006E546B" w:rsidRDefault="00E57778" w:rsidP="00265422">
      <w:pPr>
        <w:spacing w:after="0" w:line="240" w:lineRule="auto"/>
        <w:ind w:left="709" w:hanging="709"/>
        <w:rPr>
          <w:rFonts w:ascii="Times New Roman" w:eastAsia="Batang" w:hAnsi="Times New Roman" w:cs="Times New Roman"/>
          <w:noProof/>
          <w:sz w:val="16"/>
          <w:szCs w:val="16"/>
          <w:highlight w:val="yellow"/>
          <w:lang w:val="sq-AL"/>
        </w:rPr>
      </w:pPr>
    </w:p>
    <w:p w14:paraId="71DF5D1D" w14:textId="77777777" w:rsidR="00E57778" w:rsidRDefault="00731066" w:rsidP="00265422">
      <w:pPr>
        <w:spacing w:after="0" w:line="276" w:lineRule="auto"/>
        <w:ind w:right="238"/>
        <w:jc w:val="both"/>
        <w:rPr>
          <w:rFonts w:ascii="Times New Roman" w:eastAsia="Times New Roman" w:hAnsi="Times New Roman" w:cs="Times New Roman"/>
          <w:bCs/>
          <w:noProof/>
          <w:sz w:val="24"/>
          <w:szCs w:val="28"/>
          <w:lang w:val="sq-AL"/>
        </w:rPr>
      </w:pPr>
      <w:r w:rsidRPr="00265422">
        <w:rPr>
          <w:rFonts w:ascii="Times New Roman" w:eastAsia="Times New Roman" w:hAnsi="Times New Roman" w:cs="Times New Roman"/>
          <w:bCs/>
          <w:noProof/>
          <w:sz w:val="24"/>
          <w:szCs w:val="28"/>
          <w:lang w:val="sq-AL"/>
        </w:rPr>
        <w:t>SAMB 2020</w:t>
      </w:r>
      <w:r w:rsidR="00E57778" w:rsidRPr="00265422">
        <w:rPr>
          <w:rFonts w:ascii="Times New Roman" w:eastAsia="Times New Roman" w:hAnsi="Times New Roman" w:cs="Times New Roman"/>
          <w:bCs/>
          <w:noProof/>
          <w:sz w:val="24"/>
          <w:szCs w:val="28"/>
          <w:lang w:val="sq-AL"/>
        </w:rPr>
        <w:t>-202</w:t>
      </w:r>
      <w:r w:rsidRPr="00265422">
        <w:rPr>
          <w:rFonts w:ascii="Times New Roman" w:eastAsia="Times New Roman" w:hAnsi="Times New Roman" w:cs="Times New Roman"/>
          <w:bCs/>
          <w:noProof/>
          <w:sz w:val="24"/>
          <w:szCs w:val="28"/>
          <w:lang w:val="sq-AL"/>
        </w:rPr>
        <w:t>2</w:t>
      </w:r>
      <w:r w:rsidR="00E57778" w:rsidRPr="00265422">
        <w:rPr>
          <w:rFonts w:ascii="Times New Roman" w:eastAsia="Times New Roman" w:hAnsi="Times New Roman" w:cs="Times New Roman"/>
          <w:bCs/>
          <w:noProof/>
          <w:sz w:val="24"/>
          <w:szCs w:val="28"/>
          <w:lang w:val="sq-AL"/>
        </w:rPr>
        <w:t xml:space="preserve"> do të ketë në fokus reduktimin e kostove të borxhit kryesisht në terma afatgjatë. Ulja e ekspozimit ndaj risqeve në portofolin e borxhit do të kontribuojë në reduktimin e primeve të riskut, rrjedhimisht duke ulur kostot për njësi të shërbimit të borxhit. Gjithashtu, ndikim të rëndësishëm në reduktimin e kostove do </w:t>
      </w:r>
      <w:r w:rsidR="00EB2F8E">
        <w:rPr>
          <w:rFonts w:ascii="Times New Roman" w:eastAsia="Times New Roman" w:hAnsi="Times New Roman" w:cs="Times New Roman"/>
          <w:bCs/>
          <w:noProof/>
          <w:sz w:val="24"/>
          <w:szCs w:val="28"/>
          <w:lang w:val="sq-AL"/>
        </w:rPr>
        <w:t xml:space="preserve">të </w:t>
      </w:r>
      <w:r w:rsidR="00E57778" w:rsidRPr="00265422">
        <w:rPr>
          <w:rFonts w:ascii="Times New Roman" w:eastAsia="Times New Roman" w:hAnsi="Times New Roman" w:cs="Times New Roman"/>
          <w:bCs/>
          <w:noProof/>
          <w:sz w:val="24"/>
          <w:szCs w:val="28"/>
          <w:lang w:val="sq-AL"/>
        </w:rPr>
        <w:t xml:space="preserve">ketë edhe zhvillimi i tregut të titujve shtetërorë, që do të synojë të reduktojë primet që aktualisht burojnë nga niveli i ulët i likuiditetit të titujve shtetërorë. </w:t>
      </w:r>
    </w:p>
    <w:p w14:paraId="71DF5D1E" w14:textId="77777777" w:rsidR="00E57778" w:rsidRPr="006E546B" w:rsidRDefault="00E57778" w:rsidP="0067088E">
      <w:pPr>
        <w:spacing w:after="0" w:line="276" w:lineRule="auto"/>
        <w:ind w:right="238"/>
        <w:jc w:val="both"/>
        <w:rPr>
          <w:rFonts w:ascii="Times New Roman" w:eastAsia="Times New Roman" w:hAnsi="Times New Roman" w:cs="Times New Roman"/>
          <w:bCs/>
          <w:noProof/>
          <w:sz w:val="16"/>
          <w:szCs w:val="28"/>
          <w:highlight w:val="yellow"/>
          <w:lang w:val="sq-AL"/>
        </w:rPr>
      </w:pPr>
    </w:p>
    <w:p w14:paraId="71DF5D1F" w14:textId="77777777" w:rsidR="00E57778" w:rsidRPr="00265422" w:rsidRDefault="00E57778" w:rsidP="00265422">
      <w:pPr>
        <w:pStyle w:val="Heading3"/>
        <w:numPr>
          <w:ilvl w:val="2"/>
          <w:numId w:val="21"/>
        </w:numPr>
        <w:ind w:left="851" w:hanging="851"/>
        <w:rPr>
          <w:noProof/>
        </w:rPr>
      </w:pPr>
      <w:bookmarkStart w:id="113" w:name="_Toc491861013"/>
      <w:bookmarkStart w:id="114" w:name="_Toc491954326"/>
      <w:bookmarkStart w:id="115" w:name="_Toc524506553"/>
      <w:r w:rsidRPr="00265422">
        <w:rPr>
          <w:noProof/>
        </w:rPr>
        <w:t>Menaxhimi i R</w:t>
      </w:r>
      <w:bookmarkEnd w:id="113"/>
      <w:bookmarkEnd w:id="114"/>
      <w:bookmarkEnd w:id="115"/>
      <w:r w:rsidRPr="00265422">
        <w:rPr>
          <w:noProof/>
        </w:rPr>
        <w:t>isqeve</w:t>
      </w:r>
    </w:p>
    <w:p w14:paraId="71DF5D20" w14:textId="77777777" w:rsidR="00E57778" w:rsidRPr="006E546B" w:rsidRDefault="00E57778" w:rsidP="00265422">
      <w:pPr>
        <w:spacing w:after="0" w:line="276" w:lineRule="auto"/>
        <w:ind w:left="851" w:right="238" w:hanging="851"/>
        <w:jc w:val="both"/>
        <w:rPr>
          <w:rFonts w:ascii="Times New Roman" w:eastAsia="Times New Roman" w:hAnsi="Times New Roman" w:cs="Times New Roman"/>
          <w:bCs/>
          <w:iCs/>
          <w:noProof/>
          <w:sz w:val="16"/>
          <w:szCs w:val="24"/>
          <w:highlight w:val="yellow"/>
          <w:lang w:val="sq-AL"/>
        </w:rPr>
      </w:pPr>
    </w:p>
    <w:p w14:paraId="71DF5D21" w14:textId="77777777" w:rsidR="009F7ED2" w:rsidRPr="000F5C13" w:rsidRDefault="00E57778" w:rsidP="00265422">
      <w:pPr>
        <w:spacing w:after="0" w:line="276" w:lineRule="auto"/>
        <w:ind w:right="238"/>
        <w:jc w:val="both"/>
        <w:rPr>
          <w:rFonts w:ascii="Times New Roman" w:eastAsia="Times New Roman" w:hAnsi="Times New Roman" w:cs="Times New Roman"/>
          <w:bCs/>
          <w:iCs/>
          <w:noProof/>
          <w:sz w:val="24"/>
          <w:szCs w:val="24"/>
          <w:lang w:val="sq-AL"/>
        </w:rPr>
      </w:pPr>
      <w:r w:rsidRPr="00265422">
        <w:rPr>
          <w:rFonts w:ascii="Times New Roman" w:eastAsia="Times New Roman" w:hAnsi="Times New Roman" w:cs="Times New Roman"/>
          <w:bCs/>
          <w:iCs/>
          <w:noProof/>
          <w:sz w:val="24"/>
          <w:szCs w:val="24"/>
          <w:lang w:val="sq-AL"/>
        </w:rPr>
        <w:t>Në kuadër të menaxhimit të risqeve të portofolit të borxhit, janë përcaktuar disa objektiva operacionale, realizimi i të cilave ka për qëllim reduktimin ose mbajtjen nën kontroll të risqeve në periudhën afatmesme.</w:t>
      </w:r>
    </w:p>
    <w:p w14:paraId="71DF5D22" w14:textId="77777777" w:rsidR="00E57778" w:rsidRPr="000F5C13" w:rsidRDefault="00E57778" w:rsidP="00E57778">
      <w:pPr>
        <w:spacing w:after="0" w:line="276" w:lineRule="auto"/>
        <w:ind w:left="284" w:right="238"/>
        <w:jc w:val="both"/>
        <w:rPr>
          <w:rFonts w:ascii="Times New Roman" w:eastAsia="Times New Roman" w:hAnsi="Times New Roman" w:cs="Times New Roman"/>
          <w:bCs/>
          <w:i/>
          <w:noProof/>
          <w:sz w:val="16"/>
          <w:szCs w:val="28"/>
          <w:lang w:val="sq-AL"/>
        </w:rPr>
      </w:pPr>
    </w:p>
    <w:p w14:paraId="71DF5D23" w14:textId="77777777" w:rsidR="00E57778" w:rsidRPr="00EE139E" w:rsidRDefault="00E57778" w:rsidP="00265422">
      <w:pPr>
        <w:spacing w:after="0" w:line="276" w:lineRule="auto"/>
        <w:ind w:right="238"/>
        <w:jc w:val="both"/>
        <w:rPr>
          <w:rFonts w:ascii="Times New Roman" w:eastAsia="Times New Roman" w:hAnsi="Times New Roman" w:cs="Times New Roman"/>
          <w:bCs/>
          <w:i/>
          <w:noProof/>
          <w:sz w:val="24"/>
          <w:szCs w:val="28"/>
          <w:lang w:val="sq-AL"/>
        </w:rPr>
      </w:pPr>
      <w:r w:rsidRPr="00EE139E">
        <w:rPr>
          <w:rFonts w:ascii="Times New Roman" w:eastAsia="Times New Roman" w:hAnsi="Times New Roman" w:cs="Times New Roman"/>
          <w:bCs/>
          <w:iCs/>
          <w:noProof/>
          <w:sz w:val="24"/>
          <w:szCs w:val="24"/>
          <w:u w:val="single"/>
          <w:lang w:val="sq-AL"/>
        </w:rPr>
        <w:t>Risku i rifinancimit:</w:t>
      </w:r>
    </w:p>
    <w:p w14:paraId="71DF5D24" w14:textId="77777777" w:rsidR="00E57778" w:rsidRPr="006E546B" w:rsidRDefault="00E57778" w:rsidP="00265422">
      <w:pPr>
        <w:spacing w:after="0" w:line="276" w:lineRule="auto"/>
        <w:ind w:right="238"/>
        <w:jc w:val="both"/>
        <w:rPr>
          <w:rFonts w:ascii="Times New Roman" w:eastAsia="Times New Roman" w:hAnsi="Times New Roman" w:cs="Times New Roman"/>
          <w:bCs/>
          <w:noProof/>
          <w:sz w:val="16"/>
          <w:szCs w:val="28"/>
          <w:highlight w:val="yellow"/>
          <w:lang w:val="sq-AL"/>
        </w:rPr>
      </w:pPr>
    </w:p>
    <w:p w14:paraId="71DF5D25" w14:textId="77777777" w:rsidR="00E57778" w:rsidRDefault="00E57778" w:rsidP="00265422">
      <w:pPr>
        <w:tabs>
          <w:tab w:val="left" w:pos="2730"/>
        </w:tabs>
        <w:spacing w:after="0" w:line="276" w:lineRule="auto"/>
        <w:ind w:right="237"/>
        <w:jc w:val="both"/>
        <w:rPr>
          <w:rFonts w:ascii="Times New Roman" w:eastAsia="Times New Roman" w:hAnsi="Times New Roman" w:cs="Times New Roman"/>
          <w:bCs/>
          <w:iCs/>
          <w:noProof/>
          <w:sz w:val="24"/>
          <w:szCs w:val="24"/>
          <w:lang w:val="sq-AL"/>
        </w:rPr>
      </w:pPr>
      <w:r w:rsidRPr="00265422">
        <w:rPr>
          <w:rFonts w:ascii="Times New Roman" w:eastAsia="Times New Roman" w:hAnsi="Times New Roman" w:cs="Times New Roman"/>
          <w:bCs/>
          <w:iCs/>
          <w:noProof/>
          <w:sz w:val="24"/>
          <w:szCs w:val="24"/>
          <w:lang w:val="sq-AL"/>
        </w:rPr>
        <w:t>Është ndër risqet kryesore që mbart portofoli i borxhit të brendshëm, për shkak të nivelit relativisht të lartë të titujve që rifinancohen në periudhën afatshkurtër</w:t>
      </w:r>
      <w:r w:rsidR="006E546B" w:rsidRPr="00265422">
        <w:rPr>
          <w:rFonts w:ascii="Times New Roman" w:eastAsia="Times New Roman" w:hAnsi="Times New Roman" w:cs="Times New Roman"/>
          <w:bCs/>
          <w:iCs/>
          <w:noProof/>
          <w:sz w:val="24"/>
          <w:szCs w:val="24"/>
          <w:lang w:val="sq-AL"/>
        </w:rPr>
        <w:t>, t</w:t>
      </w:r>
      <w:r w:rsidR="00982338" w:rsidRPr="00265422">
        <w:rPr>
          <w:rFonts w:ascii="Times New Roman" w:eastAsia="Times New Roman" w:hAnsi="Times New Roman" w:cs="Times New Roman"/>
          <w:bCs/>
          <w:iCs/>
          <w:noProof/>
          <w:sz w:val="24"/>
          <w:szCs w:val="24"/>
          <w:lang w:val="sq-AL"/>
        </w:rPr>
        <w:t>ë</w:t>
      </w:r>
      <w:r w:rsidR="006E546B" w:rsidRPr="00265422">
        <w:rPr>
          <w:rFonts w:ascii="Times New Roman" w:eastAsia="Times New Roman" w:hAnsi="Times New Roman" w:cs="Times New Roman"/>
          <w:bCs/>
          <w:iCs/>
          <w:noProof/>
          <w:sz w:val="24"/>
          <w:szCs w:val="24"/>
          <w:lang w:val="sq-AL"/>
        </w:rPr>
        <w:t xml:space="preserve"> imponuar kryesisht nga kufizimet me natyr</w:t>
      </w:r>
      <w:r w:rsidR="00982338" w:rsidRPr="00265422">
        <w:rPr>
          <w:rFonts w:ascii="Times New Roman" w:eastAsia="Times New Roman" w:hAnsi="Times New Roman" w:cs="Times New Roman"/>
          <w:bCs/>
          <w:iCs/>
          <w:noProof/>
          <w:sz w:val="24"/>
          <w:szCs w:val="24"/>
          <w:lang w:val="sq-AL"/>
        </w:rPr>
        <w:t>ë</w:t>
      </w:r>
      <w:r w:rsidR="006E546B" w:rsidRPr="00265422">
        <w:rPr>
          <w:rFonts w:ascii="Times New Roman" w:eastAsia="Times New Roman" w:hAnsi="Times New Roman" w:cs="Times New Roman"/>
          <w:bCs/>
          <w:iCs/>
          <w:noProof/>
          <w:sz w:val="24"/>
          <w:szCs w:val="24"/>
          <w:lang w:val="sq-AL"/>
        </w:rPr>
        <w:t xml:space="preserve"> strukturore t</w:t>
      </w:r>
      <w:r w:rsidR="00982338" w:rsidRPr="00265422">
        <w:rPr>
          <w:rFonts w:ascii="Times New Roman" w:eastAsia="Times New Roman" w:hAnsi="Times New Roman" w:cs="Times New Roman"/>
          <w:bCs/>
          <w:iCs/>
          <w:noProof/>
          <w:sz w:val="24"/>
          <w:szCs w:val="24"/>
          <w:lang w:val="sq-AL"/>
        </w:rPr>
        <w:t>ë</w:t>
      </w:r>
      <w:r w:rsidR="006E546B" w:rsidRPr="00265422">
        <w:rPr>
          <w:rFonts w:ascii="Times New Roman" w:eastAsia="Times New Roman" w:hAnsi="Times New Roman" w:cs="Times New Roman"/>
          <w:bCs/>
          <w:iCs/>
          <w:noProof/>
          <w:sz w:val="24"/>
          <w:szCs w:val="24"/>
          <w:lang w:val="sq-AL"/>
        </w:rPr>
        <w:t xml:space="preserve"> tregut t</w:t>
      </w:r>
      <w:r w:rsidR="00982338" w:rsidRPr="00265422">
        <w:rPr>
          <w:rFonts w:ascii="Times New Roman" w:eastAsia="Times New Roman" w:hAnsi="Times New Roman" w:cs="Times New Roman"/>
          <w:bCs/>
          <w:iCs/>
          <w:noProof/>
          <w:sz w:val="24"/>
          <w:szCs w:val="24"/>
          <w:lang w:val="sq-AL"/>
        </w:rPr>
        <w:t>ë</w:t>
      </w:r>
      <w:r w:rsidR="006E546B" w:rsidRPr="00265422">
        <w:rPr>
          <w:rFonts w:ascii="Times New Roman" w:eastAsia="Times New Roman" w:hAnsi="Times New Roman" w:cs="Times New Roman"/>
          <w:bCs/>
          <w:iCs/>
          <w:noProof/>
          <w:sz w:val="24"/>
          <w:szCs w:val="24"/>
          <w:lang w:val="sq-AL"/>
        </w:rPr>
        <w:t xml:space="preserve"> brendsh</w:t>
      </w:r>
      <w:r w:rsidR="00982338" w:rsidRPr="00265422">
        <w:rPr>
          <w:rFonts w:ascii="Times New Roman" w:eastAsia="Times New Roman" w:hAnsi="Times New Roman" w:cs="Times New Roman"/>
          <w:bCs/>
          <w:iCs/>
          <w:noProof/>
          <w:sz w:val="24"/>
          <w:szCs w:val="24"/>
          <w:lang w:val="sq-AL"/>
        </w:rPr>
        <w:t>ë</w:t>
      </w:r>
      <w:r w:rsidR="006E546B" w:rsidRPr="00265422">
        <w:rPr>
          <w:rFonts w:ascii="Times New Roman" w:eastAsia="Times New Roman" w:hAnsi="Times New Roman" w:cs="Times New Roman"/>
          <w:bCs/>
          <w:iCs/>
          <w:noProof/>
          <w:sz w:val="24"/>
          <w:szCs w:val="24"/>
          <w:lang w:val="sq-AL"/>
        </w:rPr>
        <w:t>m</w:t>
      </w:r>
      <w:r w:rsidRPr="00265422">
        <w:rPr>
          <w:rFonts w:ascii="Times New Roman" w:eastAsia="Times New Roman" w:hAnsi="Times New Roman" w:cs="Times New Roman"/>
          <w:bCs/>
          <w:iCs/>
          <w:noProof/>
          <w:sz w:val="24"/>
          <w:szCs w:val="24"/>
          <w:lang w:val="sq-AL"/>
        </w:rPr>
        <w:t xml:space="preserve">. Në këtë aspekt, vlerësohet si i nevojshëm vazhdimi i masave të ndërmarra për reduktimin e mëtejshëm të ekspozimit ndaj këtij risku, duke pasur si objektiv: a) </w:t>
      </w:r>
      <w:r w:rsidRPr="00265422">
        <w:rPr>
          <w:rFonts w:ascii="Times New Roman" w:eastAsia="Times New Roman" w:hAnsi="Times New Roman" w:cs="Times New Roman"/>
          <w:bCs/>
          <w:noProof/>
          <w:sz w:val="24"/>
          <w:szCs w:val="28"/>
          <w:lang w:val="sq-AL"/>
        </w:rPr>
        <w:t xml:space="preserve">rritjen e përqendrimit të titujve afatmesëm dhe afatgjatë në portofolin e borxhit të brendshëm, nëpërmjet uljes graduale të financimit me tituj afatshkurtër në linjë me hapësirat që mundëson tregu vendas; dhe b) </w:t>
      </w:r>
      <w:r w:rsidRPr="00265422">
        <w:rPr>
          <w:rFonts w:ascii="Times New Roman" w:eastAsia="Times New Roman" w:hAnsi="Times New Roman" w:cs="Times New Roman"/>
          <w:bCs/>
          <w:iCs/>
          <w:noProof/>
          <w:sz w:val="24"/>
          <w:szCs w:val="24"/>
          <w:lang w:val="sq-AL"/>
        </w:rPr>
        <w:t xml:space="preserve">shpërndarjen sa më të </w:t>
      </w:r>
      <w:r w:rsidRPr="00265422">
        <w:rPr>
          <w:rFonts w:ascii="Times New Roman" w:eastAsia="Times New Roman" w:hAnsi="Times New Roman" w:cs="Times New Roman"/>
          <w:bCs/>
          <w:iCs/>
          <w:noProof/>
          <w:sz w:val="24"/>
          <w:szCs w:val="24"/>
          <w:lang w:val="sq-AL"/>
        </w:rPr>
        <w:lastRenderedPageBreak/>
        <w:t xml:space="preserve">njëtrajtshme të profilit të maturimeve, duke vlerësuar mundësinë edhe për përdorimin e ankandeve të parablerjes </w:t>
      </w:r>
      <w:r w:rsidRPr="00265422">
        <w:rPr>
          <w:rFonts w:ascii="Times New Roman" w:eastAsia="Times New Roman" w:hAnsi="Times New Roman" w:cs="Times New Roman"/>
          <w:bCs/>
          <w:i/>
          <w:iCs/>
          <w:noProof/>
          <w:sz w:val="24"/>
          <w:szCs w:val="24"/>
          <w:lang w:val="sq-AL"/>
        </w:rPr>
        <w:t>(buyback)</w:t>
      </w:r>
      <w:r w:rsidRPr="00265422">
        <w:rPr>
          <w:rFonts w:ascii="Times New Roman" w:eastAsia="Times New Roman" w:hAnsi="Times New Roman" w:cs="Times New Roman"/>
          <w:bCs/>
          <w:iCs/>
          <w:noProof/>
          <w:sz w:val="24"/>
          <w:szCs w:val="24"/>
          <w:lang w:val="sq-AL"/>
        </w:rPr>
        <w:t xml:space="preserve"> dhe shkëmbimit </w:t>
      </w:r>
      <w:r w:rsidRPr="00265422">
        <w:rPr>
          <w:rFonts w:ascii="Times New Roman" w:eastAsia="Times New Roman" w:hAnsi="Times New Roman" w:cs="Times New Roman"/>
          <w:bCs/>
          <w:i/>
          <w:iCs/>
          <w:noProof/>
          <w:sz w:val="24"/>
          <w:szCs w:val="24"/>
          <w:lang w:val="sq-AL"/>
        </w:rPr>
        <w:t>(exchange).</w:t>
      </w:r>
      <w:r w:rsidRPr="000F5C13">
        <w:rPr>
          <w:rFonts w:ascii="Times New Roman" w:eastAsia="Times New Roman" w:hAnsi="Times New Roman" w:cs="Times New Roman"/>
          <w:bCs/>
          <w:iCs/>
          <w:noProof/>
          <w:sz w:val="24"/>
          <w:szCs w:val="24"/>
          <w:lang w:val="sq-AL"/>
        </w:rPr>
        <w:t xml:space="preserve"> </w:t>
      </w:r>
    </w:p>
    <w:p w14:paraId="71DF5D26" w14:textId="77777777" w:rsidR="00E57778" w:rsidRPr="000F5C13" w:rsidRDefault="00E57778" w:rsidP="00E57778">
      <w:pPr>
        <w:spacing w:after="0" w:line="276" w:lineRule="auto"/>
        <w:ind w:right="238"/>
        <w:rPr>
          <w:rFonts w:ascii="Cambria" w:eastAsia="Times New Roman" w:hAnsi="Cambria" w:cs="Times New Roman"/>
          <w:b/>
          <w:noProof/>
          <w:color w:val="632423"/>
          <w:sz w:val="16"/>
          <w:szCs w:val="20"/>
          <w:lang w:val="sq-AL"/>
        </w:rPr>
      </w:pPr>
    </w:p>
    <w:p w14:paraId="71DF5D27" w14:textId="77777777" w:rsidR="00E57778" w:rsidRPr="00265422" w:rsidRDefault="00E57778" w:rsidP="00E57778">
      <w:pPr>
        <w:spacing w:after="0" w:line="276" w:lineRule="auto"/>
        <w:ind w:right="238"/>
        <w:jc w:val="center"/>
        <w:rPr>
          <w:rFonts w:ascii="Cambria" w:eastAsia="Calibri" w:hAnsi="Cambria" w:cs="Times New Roman"/>
          <w:i/>
          <w:noProof/>
          <w:color w:val="8E0000"/>
          <w:sz w:val="20"/>
          <w:szCs w:val="20"/>
          <w:lang w:val="sq-AL"/>
        </w:rPr>
      </w:pPr>
      <w:r w:rsidRPr="00265422">
        <w:rPr>
          <w:rFonts w:ascii="Cambria" w:eastAsia="Calibri" w:hAnsi="Cambria" w:cs="Times New Roman"/>
          <w:b/>
          <w:noProof/>
          <w:color w:val="8E0000"/>
          <w:sz w:val="20"/>
          <w:szCs w:val="20"/>
          <w:lang w:val="sq-AL"/>
        </w:rPr>
        <w:t>Tabela 2.1.2 (a):</w:t>
      </w:r>
      <w:r w:rsidRPr="00265422">
        <w:rPr>
          <w:rFonts w:ascii="Cambria" w:eastAsia="Calibri" w:hAnsi="Cambria" w:cs="Times New Roman"/>
          <w:i/>
          <w:noProof/>
          <w:color w:val="8E0000"/>
          <w:sz w:val="20"/>
          <w:szCs w:val="20"/>
          <w:lang w:val="sq-AL"/>
        </w:rPr>
        <w:t xml:space="preserve"> Treguesit indikativ afatmesëm të riskut të rifinancimit</w:t>
      </w:r>
    </w:p>
    <w:tbl>
      <w:tblPr>
        <w:tblW w:w="8789" w:type="dxa"/>
        <w:tblLook w:val="04A0" w:firstRow="1" w:lastRow="0" w:firstColumn="1" w:lastColumn="0" w:noHBand="0" w:noVBand="1"/>
      </w:tblPr>
      <w:tblGrid>
        <w:gridCol w:w="1359"/>
        <w:gridCol w:w="3744"/>
        <w:gridCol w:w="1843"/>
        <w:gridCol w:w="1843"/>
      </w:tblGrid>
      <w:tr w:rsidR="00E57778" w:rsidRPr="00265422" w14:paraId="71DF5D2C" w14:textId="77777777" w:rsidTr="00265422">
        <w:trPr>
          <w:trHeight w:val="522"/>
        </w:trPr>
        <w:tc>
          <w:tcPr>
            <w:tcW w:w="1359" w:type="dxa"/>
            <w:tcBorders>
              <w:top w:val="nil"/>
              <w:left w:val="nil"/>
              <w:bottom w:val="nil"/>
              <w:right w:val="single" w:sz="8" w:space="0" w:color="FFFFFF"/>
            </w:tcBorders>
            <w:shd w:val="clear" w:color="auto" w:fill="C00000"/>
            <w:vAlign w:val="center"/>
            <w:hideMark/>
          </w:tcPr>
          <w:p w14:paraId="71DF5D28" w14:textId="77777777" w:rsidR="00E57778" w:rsidRPr="00265422" w:rsidRDefault="00E57778" w:rsidP="00265422">
            <w:pPr>
              <w:jc w:val="center"/>
              <w:rPr>
                <w:rFonts w:ascii="Cambria" w:eastAsia="Batang" w:hAnsi="Cambria"/>
                <w:b/>
                <w:bCs/>
                <w:noProof/>
                <w:color w:val="FFFFFF"/>
                <w:sz w:val="20"/>
                <w:szCs w:val="20"/>
                <w:lang w:val="sq-AL"/>
              </w:rPr>
            </w:pPr>
            <w:r w:rsidRPr="00265422">
              <w:rPr>
                <w:rFonts w:ascii="Cambria" w:eastAsia="Batang" w:hAnsi="Cambria"/>
                <w:b/>
                <w:bCs/>
                <w:noProof/>
                <w:color w:val="FFFFFF"/>
                <w:sz w:val="20"/>
                <w:szCs w:val="20"/>
                <w:lang w:val="sq-AL"/>
              </w:rPr>
              <w:t>Tipi i riskut</w:t>
            </w:r>
          </w:p>
        </w:tc>
        <w:tc>
          <w:tcPr>
            <w:tcW w:w="3744" w:type="dxa"/>
            <w:tcBorders>
              <w:top w:val="nil"/>
              <w:left w:val="nil"/>
              <w:bottom w:val="nil"/>
              <w:right w:val="single" w:sz="8" w:space="0" w:color="FFFFFF"/>
            </w:tcBorders>
            <w:shd w:val="clear" w:color="auto" w:fill="C00000"/>
            <w:vAlign w:val="center"/>
            <w:hideMark/>
          </w:tcPr>
          <w:p w14:paraId="71DF5D29" w14:textId="77777777" w:rsidR="00E57778" w:rsidRPr="00265422" w:rsidRDefault="00E57778" w:rsidP="00265422">
            <w:pPr>
              <w:jc w:val="center"/>
              <w:rPr>
                <w:rFonts w:ascii="Cambria" w:eastAsia="Batang" w:hAnsi="Cambria"/>
                <w:b/>
                <w:bCs/>
                <w:noProof/>
                <w:color w:val="FFFFFF"/>
                <w:sz w:val="20"/>
                <w:szCs w:val="20"/>
                <w:lang w:val="sq-AL"/>
              </w:rPr>
            </w:pPr>
            <w:r w:rsidRPr="00265422">
              <w:rPr>
                <w:rFonts w:ascii="Cambria" w:eastAsia="Batang" w:hAnsi="Cambria"/>
                <w:b/>
                <w:bCs/>
                <w:noProof/>
                <w:color w:val="FFFFFF"/>
                <w:sz w:val="20"/>
                <w:szCs w:val="20"/>
                <w:lang w:val="sq-AL"/>
              </w:rPr>
              <w:t>Treguesi i Riskut</w:t>
            </w:r>
          </w:p>
        </w:tc>
        <w:tc>
          <w:tcPr>
            <w:tcW w:w="1843" w:type="dxa"/>
            <w:tcBorders>
              <w:top w:val="nil"/>
              <w:left w:val="nil"/>
              <w:bottom w:val="nil"/>
              <w:right w:val="single" w:sz="6" w:space="0" w:color="FFFFFF" w:themeColor="background1"/>
            </w:tcBorders>
            <w:shd w:val="clear" w:color="auto" w:fill="C00000"/>
            <w:vAlign w:val="center"/>
          </w:tcPr>
          <w:p w14:paraId="71DF5D2A" w14:textId="77777777" w:rsidR="00E57778" w:rsidRPr="00265422" w:rsidRDefault="00E57778" w:rsidP="00EE139E">
            <w:pPr>
              <w:jc w:val="center"/>
              <w:rPr>
                <w:rFonts w:ascii="Cambria" w:eastAsia="Batang" w:hAnsi="Cambria"/>
                <w:b/>
                <w:bCs/>
                <w:noProof/>
                <w:color w:val="FFFFFF"/>
                <w:sz w:val="20"/>
                <w:szCs w:val="20"/>
                <w:lang w:val="sq-AL"/>
              </w:rPr>
            </w:pPr>
            <w:r w:rsidRPr="00265422">
              <w:rPr>
                <w:rFonts w:ascii="Cambria" w:eastAsia="Batang" w:hAnsi="Cambria"/>
                <w:b/>
                <w:bCs/>
                <w:noProof/>
                <w:color w:val="FFFFFF"/>
                <w:sz w:val="20"/>
                <w:szCs w:val="20"/>
                <w:lang w:val="sq-AL"/>
              </w:rPr>
              <w:t xml:space="preserve">Treguesi </w:t>
            </w:r>
            <w:r w:rsidR="00265422">
              <w:rPr>
                <w:rFonts w:ascii="Cambria" w:eastAsia="Batang" w:hAnsi="Cambria"/>
                <w:b/>
                <w:bCs/>
                <w:noProof/>
                <w:color w:val="FFFFFF"/>
                <w:sz w:val="20"/>
                <w:szCs w:val="20"/>
                <w:lang w:val="sq-AL"/>
              </w:rPr>
              <w:t xml:space="preserve">                     </w:t>
            </w:r>
            <w:r w:rsidRPr="00265422">
              <w:rPr>
                <w:rFonts w:ascii="Cambria" w:eastAsia="Batang" w:hAnsi="Cambria"/>
                <w:b/>
                <w:bCs/>
                <w:noProof/>
                <w:color w:val="FFFFFF"/>
                <w:sz w:val="20"/>
                <w:szCs w:val="20"/>
                <w:lang w:val="sq-AL"/>
              </w:rPr>
              <w:t>201</w:t>
            </w:r>
            <w:r w:rsidR="00EE139E">
              <w:rPr>
                <w:rFonts w:ascii="Cambria" w:eastAsia="Batang" w:hAnsi="Cambria"/>
                <w:b/>
                <w:bCs/>
                <w:noProof/>
                <w:color w:val="FFFFFF"/>
                <w:sz w:val="20"/>
                <w:szCs w:val="20"/>
                <w:lang w:val="sq-AL"/>
              </w:rPr>
              <w:t>8</w:t>
            </w:r>
          </w:p>
        </w:tc>
        <w:tc>
          <w:tcPr>
            <w:tcW w:w="1843" w:type="dxa"/>
            <w:tcBorders>
              <w:top w:val="nil"/>
              <w:left w:val="single" w:sz="6" w:space="0" w:color="FFFFFF" w:themeColor="background1"/>
              <w:bottom w:val="nil"/>
            </w:tcBorders>
            <w:shd w:val="clear" w:color="auto" w:fill="C00000"/>
            <w:vAlign w:val="center"/>
            <w:hideMark/>
          </w:tcPr>
          <w:p w14:paraId="71DF5D2B" w14:textId="77777777" w:rsidR="00E57778" w:rsidRPr="00265422" w:rsidRDefault="00E57778" w:rsidP="00265422">
            <w:pPr>
              <w:jc w:val="center"/>
              <w:rPr>
                <w:rFonts w:ascii="Cambria" w:eastAsia="Batang" w:hAnsi="Cambria"/>
                <w:b/>
                <w:bCs/>
                <w:noProof/>
                <w:color w:val="FFFFFF"/>
                <w:sz w:val="20"/>
                <w:szCs w:val="20"/>
                <w:lang w:val="sq-AL"/>
              </w:rPr>
            </w:pPr>
            <w:r w:rsidRPr="00265422">
              <w:rPr>
                <w:rFonts w:ascii="Cambria" w:eastAsia="Batang" w:hAnsi="Cambria"/>
                <w:b/>
                <w:bCs/>
                <w:noProof/>
                <w:color w:val="FFFFFF"/>
                <w:sz w:val="20"/>
                <w:szCs w:val="20"/>
                <w:lang w:val="sq-AL"/>
              </w:rPr>
              <w:t>Objektivi                                   (Fund 202</w:t>
            </w:r>
            <w:r w:rsidR="005E6B54" w:rsidRPr="00265422">
              <w:rPr>
                <w:rFonts w:ascii="Cambria" w:eastAsia="Batang" w:hAnsi="Cambria"/>
                <w:b/>
                <w:bCs/>
                <w:noProof/>
                <w:color w:val="FFFFFF"/>
                <w:sz w:val="20"/>
                <w:szCs w:val="20"/>
                <w:lang w:val="sq-AL"/>
              </w:rPr>
              <w:t>2</w:t>
            </w:r>
            <w:r w:rsidRPr="00265422">
              <w:rPr>
                <w:rFonts w:ascii="Cambria" w:eastAsia="Batang" w:hAnsi="Cambria"/>
                <w:b/>
                <w:bCs/>
                <w:noProof/>
                <w:color w:val="FFFFFF"/>
                <w:sz w:val="20"/>
                <w:szCs w:val="20"/>
                <w:lang w:val="sq-AL"/>
              </w:rPr>
              <w:t>)</w:t>
            </w:r>
          </w:p>
        </w:tc>
      </w:tr>
      <w:tr w:rsidR="00E57778" w:rsidRPr="00265422" w14:paraId="71DF5D31" w14:textId="77777777" w:rsidTr="00265422">
        <w:trPr>
          <w:trHeight w:val="307"/>
        </w:trPr>
        <w:tc>
          <w:tcPr>
            <w:tcW w:w="1359" w:type="dxa"/>
            <w:vMerge w:val="restart"/>
            <w:tcBorders>
              <w:top w:val="nil"/>
              <w:left w:val="nil"/>
              <w:bottom w:val="double" w:sz="6" w:space="0" w:color="000000"/>
              <w:right w:val="nil"/>
            </w:tcBorders>
            <w:shd w:val="clear" w:color="auto" w:fill="auto"/>
            <w:noWrap/>
            <w:vAlign w:val="center"/>
            <w:hideMark/>
          </w:tcPr>
          <w:p w14:paraId="71DF5D2D" w14:textId="77777777" w:rsidR="00E57778" w:rsidRPr="00265422" w:rsidRDefault="00E57778" w:rsidP="00B85786">
            <w:pPr>
              <w:jc w:val="center"/>
              <w:rPr>
                <w:rFonts w:ascii="Cambria" w:eastAsia="Batang" w:hAnsi="Cambria"/>
                <w:b/>
                <w:bCs/>
                <w:noProof/>
                <w:color w:val="000000"/>
                <w:sz w:val="20"/>
                <w:szCs w:val="20"/>
                <w:lang w:val="sq-AL"/>
              </w:rPr>
            </w:pPr>
            <w:r w:rsidRPr="00265422">
              <w:rPr>
                <w:rFonts w:ascii="Cambria" w:eastAsia="Batang" w:hAnsi="Cambria"/>
                <w:b/>
                <w:bCs/>
                <w:noProof/>
                <w:color w:val="000000"/>
                <w:sz w:val="20"/>
                <w:szCs w:val="20"/>
                <w:lang w:val="sq-AL"/>
              </w:rPr>
              <w:t>Risku i Rifinancimit</w:t>
            </w:r>
          </w:p>
        </w:tc>
        <w:tc>
          <w:tcPr>
            <w:tcW w:w="3744" w:type="dxa"/>
            <w:tcBorders>
              <w:top w:val="nil"/>
              <w:left w:val="nil"/>
              <w:bottom w:val="nil"/>
              <w:right w:val="nil"/>
            </w:tcBorders>
            <w:shd w:val="clear" w:color="auto" w:fill="auto"/>
            <w:noWrap/>
            <w:vAlign w:val="bottom"/>
            <w:hideMark/>
          </w:tcPr>
          <w:p w14:paraId="71DF5D2E" w14:textId="77777777" w:rsidR="00E57778" w:rsidRPr="00265422" w:rsidRDefault="00E57778" w:rsidP="00B85786">
            <w:pPr>
              <w:jc w:val="center"/>
              <w:rPr>
                <w:rFonts w:ascii="Cambria" w:eastAsia="Batang" w:hAnsi="Cambria"/>
                <w:noProof/>
                <w:color w:val="000000"/>
                <w:sz w:val="20"/>
                <w:szCs w:val="20"/>
                <w:lang w:val="sq-AL"/>
              </w:rPr>
            </w:pPr>
            <w:r w:rsidRPr="00265422">
              <w:rPr>
                <w:rFonts w:ascii="Cambria" w:eastAsia="Batang" w:hAnsi="Cambria"/>
                <w:noProof/>
                <w:color w:val="000000"/>
                <w:sz w:val="20"/>
                <w:szCs w:val="20"/>
                <w:lang w:val="sq-AL"/>
              </w:rPr>
              <w:t>KMM borxhi i brendshëm</w:t>
            </w:r>
          </w:p>
        </w:tc>
        <w:tc>
          <w:tcPr>
            <w:tcW w:w="1843" w:type="dxa"/>
            <w:tcBorders>
              <w:top w:val="nil"/>
              <w:left w:val="nil"/>
              <w:bottom w:val="nil"/>
              <w:right w:val="nil"/>
            </w:tcBorders>
            <w:vAlign w:val="bottom"/>
          </w:tcPr>
          <w:p w14:paraId="71DF5D2F" w14:textId="77777777" w:rsidR="00E57778" w:rsidRPr="00EE139E" w:rsidRDefault="00E57778" w:rsidP="00B85786">
            <w:pPr>
              <w:jc w:val="center"/>
              <w:rPr>
                <w:rFonts w:ascii="Cambria" w:eastAsia="Batang" w:hAnsi="Cambria"/>
                <w:noProof/>
                <w:color w:val="000000"/>
                <w:sz w:val="20"/>
                <w:szCs w:val="20"/>
                <w:lang w:val="sq-AL"/>
              </w:rPr>
            </w:pPr>
            <w:r w:rsidRPr="00EE139E">
              <w:rPr>
                <w:rFonts w:ascii="Cambria" w:eastAsia="Batang" w:hAnsi="Cambria"/>
                <w:noProof/>
                <w:color w:val="000000"/>
                <w:sz w:val="20"/>
                <w:szCs w:val="20"/>
                <w:lang w:val="sq-AL"/>
              </w:rPr>
              <w:t>2.2 vite</w:t>
            </w:r>
          </w:p>
        </w:tc>
        <w:tc>
          <w:tcPr>
            <w:tcW w:w="1843" w:type="dxa"/>
            <w:tcBorders>
              <w:top w:val="nil"/>
              <w:left w:val="nil"/>
              <w:bottom w:val="nil"/>
            </w:tcBorders>
            <w:shd w:val="clear" w:color="auto" w:fill="auto"/>
            <w:noWrap/>
            <w:vAlign w:val="bottom"/>
            <w:hideMark/>
          </w:tcPr>
          <w:p w14:paraId="71DF5D30" w14:textId="77777777" w:rsidR="00E57778" w:rsidRPr="00265422" w:rsidRDefault="00E57778" w:rsidP="00B85786">
            <w:pPr>
              <w:jc w:val="center"/>
              <w:rPr>
                <w:rFonts w:ascii="Cambria" w:eastAsia="Batang" w:hAnsi="Cambria"/>
                <w:noProof/>
                <w:color w:val="000000"/>
                <w:sz w:val="20"/>
                <w:szCs w:val="20"/>
                <w:lang w:val="sq-AL"/>
              </w:rPr>
            </w:pPr>
            <w:r w:rsidRPr="00265422">
              <w:rPr>
                <w:rFonts w:ascii="Cambria" w:eastAsia="Batang" w:hAnsi="Cambria"/>
                <w:noProof/>
                <w:color w:val="000000"/>
                <w:sz w:val="20"/>
                <w:szCs w:val="20"/>
                <w:lang w:val="sq-AL"/>
              </w:rPr>
              <w:t>2.2-2.4 vite</w:t>
            </w:r>
          </w:p>
        </w:tc>
      </w:tr>
      <w:tr w:rsidR="00E57778" w:rsidRPr="00265422" w14:paraId="71DF5D36" w14:textId="77777777" w:rsidTr="00265422">
        <w:trPr>
          <w:trHeight w:val="307"/>
        </w:trPr>
        <w:tc>
          <w:tcPr>
            <w:tcW w:w="1359" w:type="dxa"/>
            <w:vMerge/>
            <w:tcBorders>
              <w:top w:val="nil"/>
              <w:left w:val="nil"/>
              <w:bottom w:val="single" w:sz="4" w:space="0" w:color="auto"/>
              <w:right w:val="nil"/>
            </w:tcBorders>
            <w:vAlign w:val="center"/>
            <w:hideMark/>
          </w:tcPr>
          <w:p w14:paraId="71DF5D32" w14:textId="77777777" w:rsidR="00E57778" w:rsidRPr="00265422" w:rsidRDefault="00E57778" w:rsidP="00B85786">
            <w:pPr>
              <w:rPr>
                <w:rFonts w:ascii="Cambria" w:eastAsia="Batang" w:hAnsi="Cambria"/>
                <w:b/>
                <w:bCs/>
                <w:noProof/>
                <w:color w:val="000000"/>
                <w:sz w:val="20"/>
                <w:szCs w:val="20"/>
                <w:lang w:val="sq-AL"/>
              </w:rPr>
            </w:pPr>
          </w:p>
        </w:tc>
        <w:tc>
          <w:tcPr>
            <w:tcW w:w="3744" w:type="dxa"/>
            <w:tcBorders>
              <w:top w:val="nil"/>
              <w:left w:val="nil"/>
              <w:bottom w:val="single" w:sz="4" w:space="0" w:color="auto"/>
              <w:right w:val="nil"/>
            </w:tcBorders>
            <w:shd w:val="clear" w:color="auto" w:fill="auto"/>
            <w:noWrap/>
            <w:vAlign w:val="center"/>
            <w:hideMark/>
          </w:tcPr>
          <w:p w14:paraId="71DF5D33" w14:textId="77777777" w:rsidR="00E57778" w:rsidRPr="00265422" w:rsidRDefault="00E57778" w:rsidP="00B85786">
            <w:pPr>
              <w:jc w:val="center"/>
              <w:rPr>
                <w:rFonts w:ascii="Cambria" w:eastAsia="Batang" w:hAnsi="Cambria"/>
                <w:noProof/>
                <w:color w:val="000000"/>
                <w:sz w:val="20"/>
                <w:szCs w:val="20"/>
                <w:lang w:val="sq-AL"/>
              </w:rPr>
            </w:pPr>
            <w:r w:rsidRPr="00265422">
              <w:rPr>
                <w:rFonts w:ascii="Cambria" w:eastAsia="Batang" w:hAnsi="Cambria"/>
                <w:noProof/>
                <w:color w:val="000000"/>
                <w:sz w:val="20"/>
                <w:szCs w:val="20"/>
                <w:lang w:val="sq-AL"/>
              </w:rPr>
              <w:t>Borxhi i brendshëm i maturuar në 1 vit   (% të totalit)</w:t>
            </w:r>
          </w:p>
        </w:tc>
        <w:tc>
          <w:tcPr>
            <w:tcW w:w="1843" w:type="dxa"/>
            <w:tcBorders>
              <w:top w:val="nil"/>
              <w:left w:val="nil"/>
              <w:bottom w:val="single" w:sz="4" w:space="0" w:color="auto"/>
              <w:right w:val="nil"/>
            </w:tcBorders>
            <w:vAlign w:val="center"/>
          </w:tcPr>
          <w:p w14:paraId="71DF5D34" w14:textId="77777777" w:rsidR="00E57778" w:rsidRPr="00EE139E" w:rsidRDefault="00DE6B0E" w:rsidP="00B85786">
            <w:pPr>
              <w:jc w:val="center"/>
              <w:rPr>
                <w:rFonts w:ascii="Cambria" w:eastAsia="Batang" w:hAnsi="Cambria"/>
                <w:noProof/>
                <w:color w:val="000000"/>
                <w:sz w:val="20"/>
                <w:szCs w:val="20"/>
                <w:lang w:val="sq-AL"/>
              </w:rPr>
            </w:pPr>
            <w:r w:rsidRPr="00EE139E">
              <w:rPr>
                <w:rFonts w:ascii="Cambria" w:eastAsia="Batang" w:hAnsi="Cambria"/>
                <w:noProof/>
                <w:color w:val="000000"/>
                <w:sz w:val="20"/>
                <w:szCs w:val="20"/>
                <w:lang w:val="sq-AL"/>
              </w:rPr>
              <w:t>49.4</w:t>
            </w:r>
            <w:r w:rsidR="00E57778" w:rsidRPr="00EE139E">
              <w:rPr>
                <w:rFonts w:ascii="Cambria" w:eastAsia="Batang" w:hAnsi="Cambria"/>
                <w:noProof/>
                <w:color w:val="000000"/>
                <w:sz w:val="20"/>
                <w:szCs w:val="20"/>
                <w:lang w:val="sq-AL"/>
              </w:rPr>
              <w:t>%</w:t>
            </w:r>
          </w:p>
        </w:tc>
        <w:tc>
          <w:tcPr>
            <w:tcW w:w="1843" w:type="dxa"/>
            <w:tcBorders>
              <w:top w:val="nil"/>
              <w:left w:val="nil"/>
              <w:bottom w:val="single" w:sz="4" w:space="0" w:color="auto"/>
            </w:tcBorders>
            <w:shd w:val="clear" w:color="auto" w:fill="auto"/>
            <w:noWrap/>
            <w:vAlign w:val="center"/>
            <w:hideMark/>
          </w:tcPr>
          <w:p w14:paraId="71DF5D35" w14:textId="77777777" w:rsidR="00E57778" w:rsidRPr="00265422" w:rsidRDefault="00E57778" w:rsidP="00265422">
            <w:pPr>
              <w:jc w:val="center"/>
              <w:rPr>
                <w:rFonts w:ascii="Cambria" w:eastAsia="Batang" w:hAnsi="Cambria"/>
                <w:noProof/>
                <w:color w:val="000000"/>
                <w:sz w:val="20"/>
                <w:szCs w:val="20"/>
                <w:lang w:val="sq-AL"/>
              </w:rPr>
            </w:pPr>
            <w:r w:rsidRPr="00265422">
              <w:rPr>
                <w:rFonts w:ascii="Cambria" w:eastAsia="Batang" w:hAnsi="Cambria"/>
                <w:noProof/>
                <w:color w:val="000000"/>
                <w:sz w:val="20"/>
                <w:szCs w:val="20"/>
                <w:lang w:val="sq-AL"/>
              </w:rPr>
              <w:t>Maks. 4</w:t>
            </w:r>
            <w:r w:rsidR="00265422">
              <w:rPr>
                <w:rFonts w:ascii="Cambria" w:eastAsia="Batang" w:hAnsi="Cambria"/>
                <w:noProof/>
                <w:color w:val="000000"/>
                <w:sz w:val="20"/>
                <w:szCs w:val="20"/>
                <w:lang w:val="sq-AL"/>
              </w:rPr>
              <w:t>5</w:t>
            </w:r>
            <w:r w:rsidRPr="00265422">
              <w:rPr>
                <w:rFonts w:ascii="Cambria" w:eastAsia="Batang" w:hAnsi="Cambria"/>
                <w:noProof/>
                <w:color w:val="000000"/>
                <w:sz w:val="20"/>
                <w:szCs w:val="20"/>
                <w:lang w:val="sq-AL"/>
              </w:rPr>
              <w:t>.0%</w:t>
            </w:r>
          </w:p>
        </w:tc>
      </w:tr>
    </w:tbl>
    <w:p w14:paraId="71DF5D37" w14:textId="77777777" w:rsidR="00E57778" w:rsidRPr="00265422" w:rsidRDefault="00E57778" w:rsidP="00E57778">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265422">
        <w:rPr>
          <w:rFonts w:ascii="Cambria" w:eastAsia="Calibri" w:hAnsi="Cambria" w:cs="Times New Roman"/>
          <w:b/>
          <w:noProof/>
          <w:color w:val="8E0000"/>
          <w:sz w:val="20"/>
          <w:szCs w:val="20"/>
          <w:lang w:val="sq-AL"/>
        </w:rPr>
        <w:t xml:space="preserve">Burimi: </w:t>
      </w:r>
      <w:r w:rsidRPr="00265422">
        <w:rPr>
          <w:rFonts w:ascii="Cambria" w:eastAsia="Calibri" w:hAnsi="Cambria" w:cs="Times New Roman"/>
          <w:i/>
          <w:noProof/>
          <w:color w:val="8E0000"/>
          <w:sz w:val="20"/>
          <w:szCs w:val="20"/>
          <w:lang w:val="sq-AL"/>
        </w:rPr>
        <w:t>Ministria e Financave dhe Ekonomisë (201</w:t>
      </w:r>
      <w:r w:rsidR="00265422">
        <w:rPr>
          <w:rFonts w:ascii="Cambria" w:eastAsia="Calibri" w:hAnsi="Cambria" w:cs="Times New Roman"/>
          <w:i/>
          <w:noProof/>
          <w:color w:val="8E0000"/>
          <w:sz w:val="20"/>
          <w:szCs w:val="20"/>
          <w:lang w:val="sq-AL"/>
        </w:rPr>
        <w:t>9</w:t>
      </w:r>
      <w:r w:rsidRPr="00265422">
        <w:rPr>
          <w:rFonts w:ascii="Cambria" w:eastAsia="Calibri" w:hAnsi="Cambria" w:cs="Times New Roman"/>
          <w:i/>
          <w:noProof/>
          <w:color w:val="8E0000"/>
          <w:sz w:val="20"/>
          <w:szCs w:val="20"/>
          <w:lang w:val="sq-AL"/>
        </w:rPr>
        <w:t>)</w:t>
      </w:r>
    </w:p>
    <w:p w14:paraId="71DF5D38" w14:textId="77777777" w:rsidR="00E57778" w:rsidRPr="00884801" w:rsidRDefault="00E57778" w:rsidP="0091793F">
      <w:pPr>
        <w:tabs>
          <w:tab w:val="left" w:pos="2730"/>
        </w:tabs>
        <w:spacing w:after="0" w:line="276" w:lineRule="auto"/>
        <w:ind w:left="284" w:right="237"/>
        <w:rPr>
          <w:rFonts w:ascii="Times New Roman" w:eastAsia="Times New Roman" w:hAnsi="Times New Roman" w:cs="Times New Roman"/>
          <w:bCs/>
          <w:noProof/>
          <w:sz w:val="16"/>
          <w:szCs w:val="16"/>
          <w:highlight w:val="yellow"/>
          <w:lang w:val="sq-AL"/>
        </w:rPr>
      </w:pPr>
    </w:p>
    <w:p w14:paraId="71DF5D39" w14:textId="77777777" w:rsidR="00E57778" w:rsidRPr="0091793F" w:rsidRDefault="00E57778" w:rsidP="0091793F">
      <w:pPr>
        <w:tabs>
          <w:tab w:val="left" w:pos="2730"/>
        </w:tabs>
        <w:spacing w:after="0" w:line="276" w:lineRule="auto"/>
        <w:ind w:right="237"/>
        <w:jc w:val="both"/>
        <w:rPr>
          <w:rFonts w:ascii="Times New Roman" w:eastAsia="Times New Roman" w:hAnsi="Times New Roman" w:cs="Times New Roman"/>
          <w:bCs/>
          <w:iCs/>
          <w:noProof/>
          <w:sz w:val="24"/>
          <w:szCs w:val="24"/>
          <w:u w:val="single"/>
          <w:lang w:val="sq-AL"/>
        </w:rPr>
      </w:pPr>
      <w:r w:rsidRPr="0091793F">
        <w:rPr>
          <w:rFonts w:ascii="Times New Roman" w:eastAsia="Times New Roman" w:hAnsi="Times New Roman" w:cs="Times New Roman"/>
          <w:bCs/>
          <w:iCs/>
          <w:noProof/>
          <w:sz w:val="24"/>
          <w:szCs w:val="24"/>
          <w:u w:val="single"/>
          <w:lang w:val="sq-AL"/>
        </w:rPr>
        <w:t>Risku i normave të interesit:</w:t>
      </w:r>
    </w:p>
    <w:p w14:paraId="71DF5D3A" w14:textId="77777777" w:rsidR="00E57778" w:rsidRPr="0091793F" w:rsidRDefault="00E57778" w:rsidP="0091793F">
      <w:pPr>
        <w:tabs>
          <w:tab w:val="left" w:pos="2730"/>
        </w:tabs>
        <w:spacing w:after="0" w:line="276" w:lineRule="auto"/>
        <w:ind w:right="237"/>
        <w:jc w:val="both"/>
        <w:rPr>
          <w:rFonts w:ascii="Times New Roman" w:eastAsia="Times New Roman" w:hAnsi="Times New Roman" w:cs="Times New Roman"/>
          <w:bCs/>
          <w:iCs/>
          <w:noProof/>
          <w:sz w:val="16"/>
          <w:szCs w:val="24"/>
          <w:u w:val="single"/>
          <w:lang w:val="sq-AL"/>
        </w:rPr>
      </w:pPr>
    </w:p>
    <w:p w14:paraId="71DF5D3B" w14:textId="77777777" w:rsidR="008F516B" w:rsidRPr="0091793F" w:rsidRDefault="00E57778" w:rsidP="0091793F">
      <w:pPr>
        <w:tabs>
          <w:tab w:val="left" w:pos="2730"/>
        </w:tabs>
        <w:spacing w:after="0" w:line="276" w:lineRule="auto"/>
        <w:ind w:right="237"/>
        <w:jc w:val="both"/>
        <w:rPr>
          <w:rFonts w:ascii="Times New Roman" w:eastAsia="Times New Roman" w:hAnsi="Times New Roman" w:cs="Times New Roman"/>
          <w:bCs/>
          <w:iCs/>
          <w:noProof/>
          <w:sz w:val="24"/>
          <w:szCs w:val="24"/>
          <w:u w:val="single"/>
          <w:lang w:val="sq-AL"/>
        </w:rPr>
      </w:pPr>
      <w:r w:rsidRPr="0091793F">
        <w:rPr>
          <w:rFonts w:ascii="Times New Roman" w:eastAsia="Times New Roman" w:hAnsi="Times New Roman" w:cs="Times New Roman"/>
          <w:bCs/>
          <w:iCs/>
          <w:noProof/>
          <w:sz w:val="24"/>
          <w:szCs w:val="24"/>
          <w:lang w:val="sq-AL"/>
        </w:rPr>
        <w:t xml:space="preserve">Është një risk i cili duhet menaxhuar në vijimësi duke pasur parasysh nivelin ende të lartë të borxhit afatshkurtër. Në këtë aspekt, përveç masave për reduktimin e peshës së titujve afatshkurtër, do të synohet dhe mbajtja nën kontroll e peshës së titujve me norma interesi të ndryshueshme, në linjë me hapësirat e tregut dhe preferencat e investitorëve.   </w:t>
      </w:r>
      <w:r w:rsidRPr="0091793F">
        <w:rPr>
          <w:rFonts w:ascii="Times New Roman" w:eastAsia="Times New Roman" w:hAnsi="Times New Roman" w:cs="Times New Roman"/>
          <w:bCs/>
          <w:iCs/>
          <w:noProof/>
          <w:sz w:val="24"/>
          <w:szCs w:val="24"/>
          <w:u w:val="single"/>
          <w:lang w:val="sq-AL"/>
        </w:rPr>
        <w:t xml:space="preserve"> </w:t>
      </w:r>
    </w:p>
    <w:p w14:paraId="71DF5D3C" w14:textId="77777777" w:rsidR="00E57778" w:rsidRPr="00884801" w:rsidRDefault="00E57778" w:rsidP="00E57778">
      <w:pPr>
        <w:tabs>
          <w:tab w:val="left" w:pos="2730"/>
        </w:tabs>
        <w:spacing w:after="0" w:line="276" w:lineRule="auto"/>
        <w:ind w:left="360" w:right="237"/>
        <w:jc w:val="both"/>
        <w:rPr>
          <w:rFonts w:ascii="Times New Roman" w:eastAsia="Times New Roman" w:hAnsi="Times New Roman" w:cs="Times New Roman"/>
          <w:bCs/>
          <w:iCs/>
          <w:noProof/>
          <w:sz w:val="16"/>
          <w:szCs w:val="16"/>
          <w:highlight w:val="yellow"/>
          <w:u w:val="single"/>
          <w:lang w:val="sq-AL"/>
        </w:rPr>
      </w:pPr>
    </w:p>
    <w:p w14:paraId="71DF5D3D" w14:textId="77777777" w:rsidR="00E57778" w:rsidRPr="0091793F" w:rsidRDefault="00E57778" w:rsidP="00E57778">
      <w:pPr>
        <w:spacing w:after="0" w:line="276" w:lineRule="auto"/>
        <w:ind w:right="238"/>
        <w:jc w:val="center"/>
        <w:rPr>
          <w:rFonts w:ascii="Cambria" w:eastAsia="Calibri" w:hAnsi="Cambria" w:cs="Times New Roman"/>
          <w:i/>
          <w:noProof/>
          <w:color w:val="8E0000"/>
          <w:sz w:val="20"/>
          <w:szCs w:val="20"/>
          <w:lang w:val="sq-AL"/>
        </w:rPr>
      </w:pPr>
      <w:r w:rsidRPr="0091793F">
        <w:rPr>
          <w:rFonts w:ascii="Cambria" w:eastAsia="Calibri" w:hAnsi="Cambria" w:cs="Times New Roman"/>
          <w:b/>
          <w:noProof/>
          <w:color w:val="8E0000"/>
          <w:sz w:val="20"/>
          <w:szCs w:val="20"/>
          <w:lang w:val="sq-AL"/>
        </w:rPr>
        <w:t>Tabela 2.1.2 (b):</w:t>
      </w:r>
      <w:r w:rsidRPr="0091793F">
        <w:rPr>
          <w:rFonts w:ascii="Cambria" w:eastAsia="Calibri" w:hAnsi="Cambria" w:cs="Times New Roman"/>
          <w:i/>
          <w:noProof/>
          <w:color w:val="8E0000"/>
          <w:sz w:val="20"/>
          <w:szCs w:val="20"/>
          <w:lang w:val="sq-AL"/>
        </w:rPr>
        <w:t xml:space="preserve"> Treguesit indikativ afatmesëm të riskut të normave të interesit</w:t>
      </w:r>
    </w:p>
    <w:tbl>
      <w:tblPr>
        <w:tblW w:w="8789" w:type="dxa"/>
        <w:tblLook w:val="04A0" w:firstRow="1" w:lastRow="0" w:firstColumn="1" w:lastColumn="0" w:noHBand="0" w:noVBand="1"/>
      </w:tblPr>
      <w:tblGrid>
        <w:gridCol w:w="1560"/>
        <w:gridCol w:w="3543"/>
        <w:gridCol w:w="1843"/>
        <w:gridCol w:w="1843"/>
      </w:tblGrid>
      <w:tr w:rsidR="00E57778" w:rsidRPr="0091793F" w14:paraId="71DF5D42" w14:textId="77777777" w:rsidTr="0091793F">
        <w:trPr>
          <w:trHeight w:val="510"/>
        </w:trPr>
        <w:tc>
          <w:tcPr>
            <w:tcW w:w="1560" w:type="dxa"/>
            <w:tcBorders>
              <w:top w:val="nil"/>
              <w:left w:val="nil"/>
              <w:bottom w:val="nil"/>
              <w:right w:val="single" w:sz="8" w:space="0" w:color="FFFFFF"/>
            </w:tcBorders>
            <w:shd w:val="clear" w:color="auto" w:fill="C00000"/>
            <w:vAlign w:val="center"/>
            <w:hideMark/>
          </w:tcPr>
          <w:p w14:paraId="71DF5D3E" w14:textId="77777777" w:rsidR="00E57778" w:rsidRPr="0091793F" w:rsidRDefault="00E57778" w:rsidP="00B85786">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Tipi i riskut</w:t>
            </w:r>
          </w:p>
        </w:tc>
        <w:tc>
          <w:tcPr>
            <w:tcW w:w="3543" w:type="dxa"/>
            <w:tcBorders>
              <w:top w:val="nil"/>
              <w:left w:val="nil"/>
              <w:bottom w:val="nil"/>
              <w:right w:val="single" w:sz="8" w:space="0" w:color="FFFFFF"/>
            </w:tcBorders>
            <w:shd w:val="clear" w:color="auto" w:fill="C00000"/>
            <w:vAlign w:val="center"/>
            <w:hideMark/>
          </w:tcPr>
          <w:p w14:paraId="71DF5D3F" w14:textId="77777777" w:rsidR="00E57778" w:rsidRPr="0091793F" w:rsidRDefault="00E57778" w:rsidP="00B85786">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Treguesi i Riskut</w:t>
            </w:r>
          </w:p>
        </w:tc>
        <w:tc>
          <w:tcPr>
            <w:tcW w:w="1843" w:type="dxa"/>
            <w:tcBorders>
              <w:top w:val="nil"/>
              <w:left w:val="nil"/>
              <w:bottom w:val="nil"/>
              <w:right w:val="single" w:sz="6" w:space="0" w:color="FFFFFF" w:themeColor="background1"/>
            </w:tcBorders>
            <w:shd w:val="clear" w:color="auto" w:fill="C00000"/>
          </w:tcPr>
          <w:p w14:paraId="71DF5D40" w14:textId="77777777" w:rsidR="00E57778" w:rsidRPr="0091793F" w:rsidRDefault="00E57778" w:rsidP="00EE139E">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 xml:space="preserve">Treguesi    </w:t>
            </w:r>
            <w:r w:rsidR="0091793F">
              <w:rPr>
                <w:rFonts w:ascii="Cambria" w:eastAsia="Batang" w:hAnsi="Cambria"/>
                <w:b/>
                <w:bCs/>
                <w:noProof/>
                <w:color w:val="FFFFFF"/>
                <w:sz w:val="20"/>
                <w:szCs w:val="20"/>
                <w:lang w:val="sq-AL"/>
              </w:rPr>
              <w:t xml:space="preserve">        </w:t>
            </w:r>
            <w:r w:rsidRPr="0091793F">
              <w:rPr>
                <w:rFonts w:ascii="Cambria" w:eastAsia="Batang" w:hAnsi="Cambria"/>
                <w:b/>
                <w:bCs/>
                <w:noProof/>
                <w:color w:val="FFFFFF"/>
                <w:sz w:val="20"/>
                <w:szCs w:val="20"/>
                <w:lang w:val="sq-AL"/>
              </w:rPr>
              <w:t>201</w:t>
            </w:r>
            <w:r w:rsidR="00EE139E">
              <w:rPr>
                <w:rFonts w:ascii="Cambria" w:eastAsia="Batang" w:hAnsi="Cambria"/>
                <w:b/>
                <w:bCs/>
                <w:noProof/>
                <w:color w:val="FFFFFF"/>
                <w:sz w:val="20"/>
                <w:szCs w:val="20"/>
                <w:lang w:val="sq-AL"/>
              </w:rPr>
              <w:t>8</w:t>
            </w:r>
          </w:p>
        </w:tc>
        <w:tc>
          <w:tcPr>
            <w:tcW w:w="1843" w:type="dxa"/>
            <w:tcBorders>
              <w:top w:val="nil"/>
              <w:left w:val="single" w:sz="6" w:space="0" w:color="FFFFFF" w:themeColor="background1"/>
              <w:bottom w:val="nil"/>
            </w:tcBorders>
            <w:shd w:val="clear" w:color="auto" w:fill="C00000"/>
            <w:vAlign w:val="center"/>
            <w:hideMark/>
          </w:tcPr>
          <w:p w14:paraId="71DF5D41" w14:textId="77777777" w:rsidR="00E57778" w:rsidRPr="0091793F" w:rsidRDefault="00E57778" w:rsidP="005E6B54">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Objektivi                                   (Fund 202</w:t>
            </w:r>
            <w:r w:rsidR="005E6B54" w:rsidRPr="0091793F">
              <w:rPr>
                <w:rFonts w:ascii="Cambria" w:eastAsia="Batang" w:hAnsi="Cambria"/>
                <w:b/>
                <w:bCs/>
                <w:noProof/>
                <w:color w:val="FFFFFF"/>
                <w:sz w:val="20"/>
                <w:szCs w:val="20"/>
                <w:lang w:val="sq-AL"/>
              </w:rPr>
              <w:t>2</w:t>
            </w:r>
            <w:r w:rsidRPr="0091793F">
              <w:rPr>
                <w:rFonts w:ascii="Cambria" w:eastAsia="Batang" w:hAnsi="Cambria"/>
                <w:b/>
                <w:bCs/>
                <w:noProof/>
                <w:color w:val="FFFFFF"/>
                <w:sz w:val="20"/>
                <w:szCs w:val="20"/>
                <w:lang w:val="sq-AL"/>
              </w:rPr>
              <w:t>)</w:t>
            </w:r>
          </w:p>
        </w:tc>
      </w:tr>
      <w:tr w:rsidR="00E57778" w:rsidRPr="0091793F" w14:paraId="71DF5D47" w14:textId="77777777" w:rsidTr="0091793F">
        <w:trPr>
          <w:trHeight w:val="300"/>
        </w:trPr>
        <w:tc>
          <w:tcPr>
            <w:tcW w:w="1560" w:type="dxa"/>
            <w:vMerge w:val="restart"/>
            <w:tcBorders>
              <w:top w:val="nil"/>
              <w:left w:val="nil"/>
              <w:bottom w:val="double" w:sz="6" w:space="0" w:color="000000"/>
              <w:right w:val="nil"/>
            </w:tcBorders>
            <w:shd w:val="clear" w:color="auto" w:fill="auto"/>
            <w:noWrap/>
            <w:vAlign w:val="center"/>
            <w:hideMark/>
          </w:tcPr>
          <w:p w14:paraId="71DF5D43" w14:textId="77777777" w:rsidR="00E57778" w:rsidRPr="0091793F" w:rsidRDefault="00E57778" w:rsidP="00B85786">
            <w:pPr>
              <w:jc w:val="center"/>
              <w:rPr>
                <w:rFonts w:ascii="Cambria" w:eastAsia="Batang" w:hAnsi="Cambria"/>
                <w:b/>
                <w:bCs/>
                <w:noProof/>
                <w:color w:val="000000"/>
                <w:sz w:val="20"/>
                <w:szCs w:val="20"/>
                <w:lang w:val="sq-AL"/>
              </w:rPr>
            </w:pPr>
            <w:r w:rsidRPr="0091793F">
              <w:rPr>
                <w:rFonts w:ascii="Cambria" w:eastAsia="Batang" w:hAnsi="Cambria"/>
                <w:b/>
                <w:bCs/>
                <w:noProof/>
                <w:color w:val="000000"/>
                <w:sz w:val="20"/>
                <w:szCs w:val="20"/>
                <w:lang w:val="sq-AL"/>
              </w:rPr>
              <w:t>Risku i Normave të Interesit</w:t>
            </w:r>
          </w:p>
        </w:tc>
        <w:tc>
          <w:tcPr>
            <w:tcW w:w="3543" w:type="dxa"/>
            <w:tcBorders>
              <w:top w:val="nil"/>
              <w:left w:val="nil"/>
              <w:bottom w:val="nil"/>
              <w:right w:val="nil"/>
            </w:tcBorders>
            <w:shd w:val="clear" w:color="auto" w:fill="auto"/>
            <w:noWrap/>
            <w:hideMark/>
          </w:tcPr>
          <w:p w14:paraId="71DF5D44" w14:textId="77777777" w:rsidR="00E57778" w:rsidRPr="0091793F" w:rsidRDefault="00E57778" w:rsidP="00B85786">
            <w:pPr>
              <w:jc w:val="center"/>
              <w:rPr>
                <w:rFonts w:ascii="Cambria" w:eastAsia="Batang" w:hAnsi="Cambria"/>
                <w:noProof/>
                <w:color w:val="000000"/>
                <w:sz w:val="20"/>
                <w:szCs w:val="20"/>
                <w:lang w:val="sq-AL"/>
              </w:rPr>
            </w:pPr>
            <w:r w:rsidRPr="0091793F">
              <w:rPr>
                <w:rFonts w:ascii="Cambria" w:eastAsia="Batang" w:hAnsi="Cambria"/>
                <w:noProof/>
                <w:color w:val="000000"/>
                <w:sz w:val="20"/>
                <w:szCs w:val="20"/>
                <w:lang w:val="sq-AL"/>
              </w:rPr>
              <w:t>KMR borxhi i brendshëm</w:t>
            </w:r>
          </w:p>
        </w:tc>
        <w:tc>
          <w:tcPr>
            <w:tcW w:w="1843" w:type="dxa"/>
            <w:tcBorders>
              <w:top w:val="nil"/>
              <w:left w:val="nil"/>
              <w:bottom w:val="nil"/>
              <w:right w:val="nil"/>
            </w:tcBorders>
          </w:tcPr>
          <w:p w14:paraId="71DF5D45" w14:textId="77777777" w:rsidR="00E57778" w:rsidRPr="0091793F" w:rsidRDefault="00E57778" w:rsidP="004A12D4">
            <w:pPr>
              <w:jc w:val="center"/>
              <w:rPr>
                <w:rFonts w:ascii="Cambria" w:eastAsia="Batang" w:hAnsi="Cambria"/>
                <w:noProof/>
                <w:color w:val="000000"/>
                <w:sz w:val="20"/>
                <w:szCs w:val="20"/>
                <w:lang w:val="sq-AL"/>
              </w:rPr>
            </w:pPr>
            <w:r w:rsidRPr="00EE139E">
              <w:rPr>
                <w:rFonts w:ascii="Cambria" w:eastAsia="Batang" w:hAnsi="Cambria"/>
                <w:noProof/>
                <w:color w:val="000000"/>
                <w:sz w:val="20"/>
                <w:szCs w:val="20"/>
                <w:lang w:val="sq-AL"/>
              </w:rPr>
              <w:t>2.</w:t>
            </w:r>
            <w:r w:rsidR="004A12D4" w:rsidRPr="00EE139E">
              <w:rPr>
                <w:rFonts w:ascii="Cambria" w:eastAsia="Batang" w:hAnsi="Cambria"/>
                <w:noProof/>
                <w:color w:val="000000"/>
                <w:sz w:val="20"/>
                <w:szCs w:val="20"/>
                <w:lang w:val="sq-AL"/>
              </w:rPr>
              <w:t>1</w:t>
            </w:r>
            <w:r w:rsidRPr="00EE139E">
              <w:rPr>
                <w:rFonts w:ascii="Cambria" w:eastAsia="Batang" w:hAnsi="Cambria"/>
                <w:noProof/>
                <w:color w:val="000000"/>
                <w:sz w:val="20"/>
                <w:szCs w:val="20"/>
                <w:lang w:val="sq-AL"/>
              </w:rPr>
              <w:t xml:space="preserve"> vite</w:t>
            </w:r>
          </w:p>
        </w:tc>
        <w:tc>
          <w:tcPr>
            <w:tcW w:w="1843" w:type="dxa"/>
            <w:tcBorders>
              <w:top w:val="nil"/>
              <w:left w:val="nil"/>
              <w:bottom w:val="nil"/>
            </w:tcBorders>
            <w:shd w:val="clear" w:color="auto" w:fill="auto"/>
            <w:noWrap/>
            <w:hideMark/>
          </w:tcPr>
          <w:p w14:paraId="71DF5D46" w14:textId="77777777" w:rsidR="00E57778" w:rsidRPr="0091793F" w:rsidRDefault="00E57778" w:rsidP="00B85786">
            <w:pPr>
              <w:jc w:val="center"/>
              <w:rPr>
                <w:rFonts w:ascii="Cambria" w:eastAsia="Batang" w:hAnsi="Cambria"/>
                <w:noProof/>
                <w:color w:val="000000"/>
                <w:sz w:val="20"/>
                <w:szCs w:val="20"/>
                <w:lang w:val="sq-AL"/>
              </w:rPr>
            </w:pPr>
            <w:r w:rsidRPr="0091793F">
              <w:rPr>
                <w:rFonts w:ascii="Cambria" w:eastAsia="Batang" w:hAnsi="Cambria"/>
                <w:noProof/>
                <w:color w:val="000000"/>
                <w:sz w:val="20"/>
                <w:szCs w:val="20"/>
                <w:lang w:val="sq-AL"/>
              </w:rPr>
              <w:t>Min. 2.2 vite</w:t>
            </w:r>
          </w:p>
        </w:tc>
      </w:tr>
      <w:tr w:rsidR="00E57778" w:rsidRPr="0091793F" w14:paraId="71DF5D4C" w14:textId="77777777" w:rsidTr="0091793F">
        <w:trPr>
          <w:trHeight w:val="538"/>
        </w:trPr>
        <w:tc>
          <w:tcPr>
            <w:tcW w:w="1560" w:type="dxa"/>
            <w:vMerge/>
            <w:tcBorders>
              <w:top w:val="nil"/>
              <w:left w:val="nil"/>
              <w:bottom w:val="single" w:sz="4" w:space="0" w:color="auto"/>
              <w:right w:val="nil"/>
            </w:tcBorders>
            <w:vAlign w:val="center"/>
            <w:hideMark/>
          </w:tcPr>
          <w:p w14:paraId="71DF5D48" w14:textId="77777777" w:rsidR="00E57778" w:rsidRPr="0091793F" w:rsidRDefault="00E57778" w:rsidP="00B85786">
            <w:pPr>
              <w:rPr>
                <w:rFonts w:ascii="Cambria" w:eastAsia="Batang" w:hAnsi="Cambria"/>
                <w:b/>
                <w:bCs/>
                <w:noProof/>
                <w:color w:val="000000"/>
                <w:sz w:val="20"/>
                <w:szCs w:val="20"/>
                <w:lang w:val="sq-AL"/>
              </w:rPr>
            </w:pPr>
          </w:p>
        </w:tc>
        <w:tc>
          <w:tcPr>
            <w:tcW w:w="3543" w:type="dxa"/>
            <w:tcBorders>
              <w:top w:val="nil"/>
              <w:left w:val="nil"/>
              <w:bottom w:val="single" w:sz="4" w:space="0" w:color="auto"/>
              <w:right w:val="nil"/>
            </w:tcBorders>
            <w:shd w:val="clear" w:color="auto" w:fill="auto"/>
            <w:noWrap/>
            <w:vAlign w:val="bottom"/>
            <w:hideMark/>
          </w:tcPr>
          <w:p w14:paraId="71DF5D49" w14:textId="77777777" w:rsidR="00E57778" w:rsidRPr="0091793F" w:rsidRDefault="00E57778" w:rsidP="00B85786">
            <w:pPr>
              <w:jc w:val="center"/>
              <w:rPr>
                <w:rFonts w:ascii="Cambria" w:eastAsia="Batang" w:hAnsi="Cambria"/>
                <w:noProof/>
                <w:color w:val="000000"/>
                <w:sz w:val="20"/>
                <w:szCs w:val="20"/>
                <w:lang w:val="sq-AL"/>
              </w:rPr>
            </w:pPr>
            <w:r w:rsidRPr="0091793F">
              <w:rPr>
                <w:rFonts w:ascii="Cambria" w:eastAsia="Times New Roman" w:hAnsi="Cambria" w:cs="Times New Roman"/>
                <w:noProof/>
                <w:color w:val="000000"/>
                <w:sz w:val="20"/>
                <w:szCs w:val="20"/>
                <w:lang w:val="sq-AL"/>
              </w:rPr>
              <w:t>Borxhi i brendshëm                                           i rivlerësuar në 1 vit (% të totalit)</w:t>
            </w:r>
          </w:p>
        </w:tc>
        <w:tc>
          <w:tcPr>
            <w:tcW w:w="1843" w:type="dxa"/>
            <w:tcBorders>
              <w:top w:val="nil"/>
              <w:left w:val="nil"/>
              <w:bottom w:val="single" w:sz="4" w:space="0" w:color="auto"/>
              <w:right w:val="nil"/>
            </w:tcBorders>
            <w:vAlign w:val="center"/>
          </w:tcPr>
          <w:p w14:paraId="71DF5D4A" w14:textId="77777777" w:rsidR="00E57778" w:rsidRPr="0091793F" w:rsidRDefault="00E57778" w:rsidP="004A12D4">
            <w:pPr>
              <w:jc w:val="center"/>
              <w:rPr>
                <w:rFonts w:ascii="Cambria" w:eastAsia="Batang" w:hAnsi="Cambria"/>
                <w:noProof/>
                <w:color w:val="000000"/>
                <w:sz w:val="20"/>
                <w:szCs w:val="20"/>
                <w:lang w:val="sq-AL"/>
              </w:rPr>
            </w:pPr>
            <w:r w:rsidRPr="00EE139E">
              <w:rPr>
                <w:rFonts w:ascii="Cambria" w:eastAsia="Batang" w:hAnsi="Cambria"/>
                <w:noProof/>
                <w:color w:val="000000"/>
                <w:sz w:val="20"/>
                <w:szCs w:val="20"/>
                <w:lang w:val="sq-AL"/>
              </w:rPr>
              <w:t>5</w:t>
            </w:r>
            <w:r w:rsidR="004A12D4" w:rsidRPr="00EE139E">
              <w:rPr>
                <w:rFonts w:ascii="Cambria" w:eastAsia="Batang" w:hAnsi="Cambria"/>
                <w:noProof/>
                <w:color w:val="000000"/>
                <w:sz w:val="20"/>
                <w:szCs w:val="20"/>
                <w:lang w:val="sq-AL"/>
              </w:rPr>
              <w:t>4</w:t>
            </w:r>
            <w:r w:rsidRPr="00EE139E">
              <w:rPr>
                <w:rFonts w:ascii="Cambria" w:eastAsia="Batang" w:hAnsi="Cambria"/>
                <w:noProof/>
                <w:color w:val="000000"/>
                <w:sz w:val="20"/>
                <w:szCs w:val="20"/>
                <w:lang w:val="sq-AL"/>
              </w:rPr>
              <w:t>.</w:t>
            </w:r>
            <w:r w:rsidR="004A12D4" w:rsidRPr="00EE139E">
              <w:rPr>
                <w:rFonts w:ascii="Cambria" w:eastAsia="Batang" w:hAnsi="Cambria"/>
                <w:noProof/>
                <w:color w:val="000000"/>
                <w:sz w:val="20"/>
                <w:szCs w:val="20"/>
                <w:lang w:val="sq-AL"/>
              </w:rPr>
              <w:t>3</w:t>
            </w:r>
            <w:r w:rsidRPr="00EE139E">
              <w:rPr>
                <w:rFonts w:ascii="Cambria" w:eastAsia="Batang" w:hAnsi="Cambria"/>
                <w:noProof/>
                <w:color w:val="000000"/>
                <w:sz w:val="20"/>
                <w:szCs w:val="20"/>
                <w:lang w:val="sq-AL"/>
              </w:rPr>
              <w:t>%</w:t>
            </w:r>
          </w:p>
        </w:tc>
        <w:tc>
          <w:tcPr>
            <w:tcW w:w="1843" w:type="dxa"/>
            <w:tcBorders>
              <w:top w:val="nil"/>
              <w:left w:val="nil"/>
              <w:bottom w:val="single" w:sz="4" w:space="0" w:color="auto"/>
            </w:tcBorders>
            <w:shd w:val="clear" w:color="auto" w:fill="auto"/>
            <w:noWrap/>
            <w:vAlign w:val="center"/>
            <w:hideMark/>
          </w:tcPr>
          <w:p w14:paraId="71DF5D4B" w14:textId="77777777" w:rsidR="00E57778" w:rsidRPr="0091793F" w:rsidRDefault="00E57778" w:rsidP="0091793F">
            <w:pPr>
              <w:jc w:val="center"/>
              <w:rPr>
                <w:rFonts w:ascii="Cambria" w:eastAsia="Batang" w:hAnsi="Cambria"/>
                <w:noProof/>
                <w:color w:val="000000"/>
                <w:sz w:val="20"/>
                <w:szCs w:val="20"/>
                <w:lang w:val="sq-AL"/>
              </w:rPr>
            </w:pPr>
            <w:r w:rsidRPr="0091793F">
              <w:rPr>
                <w:rFonts w:ascii="Cambria" w:eastAsia="Batang" w:hAnsi="Cambria"/>
                <w:noProof/>
                <w:color w:val="000000"/>
                <w:sz w:val="20"/>
                <w:szCs w:val="20"/>
                <w:lang w:val="sq-AL"/>
              </w:rPr>
              <w:t xml:space="preserve">Maks. </w:t>
            </w:r>
            <w:r w:rsidR="0091793F">
              <w:rPr>
                <w:rFonts w:ascii="Cambria" w:eastAsia="Batang" w:hAnsi="Cambria"/>
                <w:noProof/>
                <w:color w:val="000000"/>
                <w:sz w:val="20"/>
                <w:szCs w:val="20"/>
                <w:lang w:val="sq-AL"/>
              </w:rPr>
              <w:t>48</w:t>
            </w:r>
            <w:r w:rsidRPr="0091793F">
              <w:rPr>
                <w:rFonts w:ascii="Cambria" w:eastAsia="Batang" w:hAnsi="Cambria"/>
                <w:noProof/>
                <w:color w:val="000000"/>
                <w:sz w:val="20"/>
                <w:szCs w:val="20"/>
                <w:lang w:val="sq-AL"/>
              </w:rPr>
              <w:t>.0%</w:t>
            </w:r>
          </w:p>
        </w:tc>
      </w:tr>
    </w:tbl>
    <w:p w14:paraId="71DF5D4D" w14:textId="77777777" w:rsidR="00E57778" w:rsidRPr="0091793F" w:rsidRDefault="00E57778" w:rsidP="00E57778">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91793F">
        <w:rPr>
          <w:rFonts w:ascii="Cambria" w:eastAsia="Calibri" w:hAnsi="Cambria" w:cs="Times New Roman"/>
          <w:b/>
          <w:noProof/>
          <w:color w:val="8E0000"/>
          <w:sz w:val="20"/>
          <w:szCs w:val="20"/>
          <w:lang w:val="sq-AL"/>
        </w:rPr>
        <w:t xml:space="preserve">Burimi: </w:t>
      </w:r>
      <w:r w:rsidRPr="0091793F">
        <w:rPr>
          <w:rFonts w:ascii="Cambria" w:eastAsia="Calibri" w:hAnsi="Cambria" w:cs="Times New Roman"/>
          <w:i/>
          <w:noProof/>
          <w:color w:val="8E0000"/>
          <w:sz w:val="20"/>
          <w:szCs w:val="20"/>
          <w:lang w:val="sq-AL"/>
        </w:rPr>
        <w:t>Ministria e Financave dhe Ekonomisë (201</w:t>
      </w:r>
      <w:r w:rsidR="0091793F">
        <w:rPr>
          <w:rFonts w:ascii="Cambria" w:eastAsia="Calibri" w:hAnsi="Cambria" w:cs="Times New Roman"/>
          <w:i/>
          <w:noProof/>
          <w:color w:val="8E0000"/>
          <w:sz w:val="20"/>
          <w:szCs w:val="20"/>
          <w:lang w:val="sq-AL"/>
        </w:rPr>
        <w:t>9</w:t>
      </w:r>
      <w:r w:rsidRPr="0091793F">
        <w:rPr>
          <w:rFonts w:ascii="Cambria" w:eastAsia="Calibri" w:hAnsi="Cambria" w:cs="Times New Roman"/>
          <w:i/>
          <w:noProof/>
          <w:color w:val="8E0000"/>
          <w:sz w:val="20"/>
          <w:szCs w:val="20"/>
          <w:lang w:val="sq-AL"/>
        </w:rPr>
        <w:t>)</w:t>
      </w:r>
    </w:p>
    <w:p w14:paraId="71DF5D4E" w14:textId="77777777" w:rsidR="00E57778" w:rsidRPr="00884801" w:rsidRDefault="00E57778" w:rsidP="00E57778">
      <w:pPr>
        <w:tabs>
          <w:tab w:val="left" w:pos="2730"/>
        </w:tabs>
        <w:spacing w:after="0" w:line="276" w:lineRule="auto"/>
        <w:ind w:right="237"/>
        <w:rPr>
          <w:rFonts w:ascii="Cambria" w:eastAsia="Calibri" w:hAnsi="Cambria" w:cs="Times New Roman"/>
          <w:i/>
          <w:noProof/>
          <w:color w:val="8E0000"/>
          <w:sz w:val="16"/>
          <w:szCs w:val="20"/>
          <w:highlight w:val="yellow"/>
          <w:lang w:val="sq-AL"/>
        </w:rPr>
      </w:pPr>
    </w:p>
    <w:p w14:paraId="71DF5D4F" w14:textId="77777777" w:rsidR="00E57778" w:rsidRPr="0091793F" w:rsidRDefault="00E57778" w:rsidP="0091793F">
      <w:pPr>
        <w:tabs>
          <w:tab w:val="left" w:pos="2730"/>
        </w:tabs>
        <w:spacing w:after="0" w:line="276" w:lineRule="auto"/>
        <w:ind w:right="237"/>
        <w:jc w:val="both"/>
        <w:rPr>
          <w:rFonts w:ascii="Times New Roman" w:eastAsia="Times New Roman" w:hAnsi="Times New Roman" w:cs="Times New Roman"/>
          <w:bCs/>
          <w:iCs/>
          <w:noProof/>
          <w:sz w:val="24"/>
          <w:szCs w:val="24"/>
          <w:u w:val="single"/>
          <w:lang w:val="sq-AL"/>
        </w:rPr>
      </w:pPr>
      <w:r w:rsidRPr="0091793F">
        <w:rPr>
          <w:rFonts w:ascii="Times New Roman" w:eastAsia="Times New Roman" w:hAnsi="Times New Roman" w:cs="Times New Roman"/>
          <w:bCs/>
          <w:iCs/>
          <w:noProof/>
          <w:sz w:val="24"/>
          <w:szCs w:val="24"/>
          <w:u w:val="single"/>
          <w:lang w:val="sq-AL"/>
        </w:rPr>
        <w:t xml:space="preserve">Risku i kursit të këmbimit: </w:t>
      </w:r>
    </w:p>
    <w:p w14:paraId="71DF5D50" w14:textId="77777777" w:rsidR="00E57778" w:rsidRPr="0091793F" w:rsidRDefault="00E57778" w:rsidP="00E57778">
      <w:pPr>
        <w:tabs>
          <w:tab w:val="left" w:pos="2730"/>
        </w:tabs>
        <w:spacing w:after="0" w:line="276" w:lineRule="auto"/>
        <w:ind w:right="237"/>
        <w:jc w:val="both"/>
        <w:rPr>
          <w:rFonts w:ascii="Times New Roman" w:eastAsia="Times New Roman" w:hAnsi="Times New Roman" w:cs="Times New Roman"/>
          <w:bCs/>
          <w:noProof/>
          <w:sz w:val="16"/>
          <w:szCs w:val="28"/>
          <w:lang w:val="sq-AL"/>
        </w:rPr>
      </w:pPr>
    </w:p>
    <w:p w14:paraId="71DF5D51" w14:textId="77777777" w:rsidR="006E546B" w:rsidRPr="0091793F" w:rsidRDefault="00E57778" w:rsidP="00E57778">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91793F">
        <w:rPr>
          <w:rFonts w:ascii="Times New Roman" w:eastAsia="Times New Roman" w:hAnsi="Times New Roman" w:cs="Times New Roman"/>
          <w:bCs/>
          <w:noProof/>
          <w:sz w:val="24"/>
          <w:szCs w:val="28"/>
          <w:lang w:val="sq-AL"/>
        </w:rPr>
        <w:t>Do të synohet të mbahet nën kontroll duke ndërmarrë aktivitete që kanë si objektiv:                            a) ruajtjen e raportit të stokut të borxhit shtetëror në valutë në raport me totalin e borxhit shtetëror; b) përqendrimin e huamarrjes së huaj në monedhën Euro dhe në monedha të përbëra; c) rritjen e stokut të borxhit në valutë (në periudhën afatmesme) në linjë me rritjen e eksporteve dhe rezervës valutore; dhe d) vlerësimin e mundësisë për përdorimin e derivativëve financiarë për të kontrolluar këtë risk në rast se do të jetë e nevojshme.</w:t>
      </w:r>
    </w:p>
    <w:p w14:paraId="71DF5D52" w14:textId="77777777" w:rsidR="006E546B" w:rsidRPr="0091793F" w:rsidRDefault="006E546B" w:rsidP="00E57778">
      <w:pPr>
        <w:tabs>
          <w:tab w:val="left" w:pos="2730"/>
        </w:tabs>
        <w:spacing w:after="0" w:line="276" w:lineRule="auto"/>
        <w:ind w:right="237"/>
        <w:jc w:val="both"/>
        <w:rPr>
          <w:rFonts w:ascii="Times New Roman" w:eastAsia="Times New Roman" w:hAnsi="Times New Roman" w:cs="Times New Roman"/>
          <w:bCs/>
          <w:noProof/>
          <w:sz w:val="16"/>
          <w:szCs w:val="16"/>
          <w:lang w:val="sq-AL"/>
        </w:rPr>
      </w:pPr>
    </w:p>
    <w:p w14:paraId="71DF5D53" w14:textId="77777777" w:rsidR="00E57778" w:rsidRPr="0091793F" w:rsidRDefault="00E57778" w:rsidP="00E57778">
      <w:pPr>
        <w:spacing w:after="0" w:line="276" w:lineRule="auto"/>
        <w:ind w:right="238"/>
        <w:jc w:val="center"/>
        <w:rPr>
          <w:rFonts w:ascii="Cambria" w:eastAsia="Calibri" w:hAnsi="Cambria" w:cs="Times New Roman"/>
          <w:i/>
          <w:noProof/>
          <w:color w:val="8E0000"/>
          <w:sz w:val="20"/>
          <w:szCs w:val="20"/>
          <w:lang w:val="sq-AL"/>
        </w:rPr>
      </w:pPr>
      <w:r w:rsidRPr="0091793F">
        <w:rPr>
          <w:rFonts w:ascii="Cambria" w:eastAsia="Calibri" w:hAnsi="Cambria" w:cs="Times New Roman"/>
          <w:b/>
          <w:noProof/>
          <w:color w:val="8E0000"/>
          <w:sz w:val="20"/>
          <w:szCs w:val="20"/>
          <w:lang w:val="sq-AL"/>
        </w:rPr>
        <w:t>Tabela 2.1.2 (c):</w:t>
      </w:r>
      <w:r w:rsidRPr="0091793F">
        <w:rPr>
          <w:rFonts w:ascii="Cambria" w:eastAsia="Calibri" w:hAnsi="Cambria" w:cs="Times New Roman"/>
          <w:i/>
          <w:noProof/>
          <w:color w:val="8E0000"/>
          <w:sz w:val="20"/>
          <w:szCs w:val="20"/>
          <w:lang w:val="sq-AL"/>
        </w:rPr>
        <w:t xml:space="preserve"> Treguesit indikativ afatmesëm të riskut të kursit të këmbimit</w:t>
      </w:r>
    </w:p>
    <w:tbl>
      <w:tblPr>
        <w:tblW w:w="8789" w:type="dxa"/>
        <w:tblLook w:val="04A0" w:firstRow="1" w:lastRow="0" w:firstColumn="1" w:lastColumn="0" w:noHBand="0" w:noVBand="1"/>
      </w:tblPr>
      <w:tblGrid>
        <w:gridCol w:w="1794"/>
        <w:gridCol w:w="3309"/>
        <w:gridCol w:w="1843"/>
        <w:gridCol w:w="1843"/>
      </w:tblGrid>
      <w:tr w:rsidR="00E57778" w:rsidRPr="0091793F" w14:paraId="71DF5D58" w14:textId="77777777" w:rsidTr="0091793F">
        <w:trPr>
          <w:trHeight w:val="573"/>
        </w:trPr>
        <w:tc>
          <w:tcPr>
            <w:tcW w:w="1794" w:type="dxa"/>
            <w:tcBorders>
              <w:top w:val="nil"/>
              <w:left w:val="nil"/>
              <w:bottom w:val="nil"/>
              <w:right w:val="single" w:sz="8" w:space="0" w:color="FFFFFF"/>
            </w:tcBorders>
            <w:shd w:val="clear" w:color="auto" w:fill="C00000"/>
            <w:vAlign w:val="center"/>
            <w:hideMark/>
          </w:tcPr>
          <w:p w14:paraId="71DF5D54" w14:textId="77777777" w:rsidR="00E57778" w:rsidRPr="0091793F" w:rsidRDefault="00E57778" w:rsidP="00B85786">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Tipi i riskut</w:t>
            </w:r>
          </w:p>
        </w:tc>
        <w:tc>
          <w:tcPr>
            <w:tcW w:w="3309" w:type="dxa"/>
            <w:tcBorders>
              <w:top w:val="nil"/>
              <w:left w:val="nil"/>
              <w:bottom w:val="nil"/>
              <w:right w:val="single" w:sz="8" w:space="0" w:color="FFFFFF"/>
            </w:tcBorders>
            <w:shd w:val="clear" w:color="auto" w:fill="C00000"/>
            <w:vAlign w:val="center"/>
            <w:hideMark/>
          </w:tcPr>
          <w:p w14:paraId="71DF5D55" w14:textId="77777777" w:rsidR="00E57778" w:rsidRPr="0091793F" w:rsidRDefault="00E57778" w:rsidP="00B85786">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Treguesi i Riskut</w:t>
            </w:r>
          </w:p>
        </w:tc>
        <w:tc>
          <w:tcPr>
            <w:tcW w:w="1843" w:type="dxa"/>
            <w:tcBorders>
              <w:top w:val="nil"/>
              <w:left w:val="nil"/>
              <w:bottom w:val="nil"/>
              <w:right w:val="single" w:sz="6" w:space="0" w:color="FFFFFF" w:themeColor="background1"/>
            </w:tcBorders>
            <w:shd w:val="clear" w:color="auto" w:fill="C00000"/>
          </w:tcPr>
          <w:p w14:paraId="71DF5D56" w14:textId="77777777" w:rsidR="00E57778" w:rsidRPr="0091793F" w:rsidRDefault="00E57778" w:rsidP="00EE139E">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 xml:space="preserve">Treguesi              </w:t>
            </w:r>
            <w:r w:rsidR="00EE139E">
              <w:rPr>
                <w:rFonts w:ascii="Cambria" w:eastAsia="Batang" w:hAnsi="Cambria"/>
                <w:b/>
                <w:bCs/>
                <w:noProof/>
                <w:color w:val="FFFFFF"/>
                <w:sz w:val="20"/>
                <w:szCs w:val="20"/>
                <w:lang w:val="sq-AL"/>
              </w:rPr>
              <w:t>2018</w:t>
            </w:r>
          </w:p>
        </w:tc>
        <w:tc>
          <w:tcPr>
            <w:tcW w:w="1843" w:type="dxa"/>
            <w:tcBorders>
              <w:top w:val="nil"/>
              <w:left w:val="single" w:sz="6" w:space="0" w:color="FFFFFF" w:themeColor="background1"/>
              <w:bottom w:val="nil"/>
            </w:tcBorders>
            <w:shd w:val="clear" w:color="auto" w:fill="C00000"/>
            <w:vAlign w:val="center"/>
            <w:hideMark/>
          </w:tcPr>
          <w:p w14:paraId="71DF5D57" w14:textId="77777777" w:rsidR="00E57778" w:rsidRPr="0091793F" w:rsidRDefault="00E57778" w:rsidP="0091793F">
            <w:pPr>
              <w:jc w:val="center"/>
              <w:rPr>
                <w:rFonts w:ascii="Cambria" w:eastAsia="Batang" w:hAnsi="Cambria"/>
                <w:b/>
                <w:bCs/>
                <w:noProof/>
                <w:color w:val="FFFFFF"/>
                <w:sz w:val="20"/>
                <w:szCs w:val="20"/>
                <w:lang w:val="sq-AL"/>
              </w:rPr>
            </w:pPr>
            <w:r w:rsidRPr="0091793F">
              <w:rPr>
                <w:rFonts w:ascii="Cambria" w:eastAsia="Batang" w:hAnsi="Cambria"/>
                <w:b/>
                <w:bCs/>
                <w:noProof/>
                <w:color w:val="FFFFFF"/>
                <w:sz w:val="20"/>
                <w:szCs w:val="20"/>
                <w:lang w:val="sq-AL"/>
              </w:rPr>
              <w:t>Objektivi                                  (Fund 202</w:t>
            </w:r>
            <w:r w:rsidR="0091793F">
              <w:rPr>
                <w:rFonts w:ascii="Cambria" w:eastAsia="Batang" w:hAnsi="Cambria"/>
                <w:b/>
                <w:bCs/>
                <w:noProof/>
                <w:color w:val="FFFFFF"/>
                <w:sz w:val="20"/>
                <w:szCs w:val="20"/>
                <w:lang w:val="sq-AL"/>
              </w:rPr>
              <w:t>2</w:t>
            </w:r>
            <w:r w:rsidRPr="0091793F">
              <w:rPr>
                <w:rFonts w:ascii="Cambria" w:eastAsia="Batang" w:hAnsi="Cambria"/>
                <w:b/>
                <w:bCs/>
                <w:noProof/>
                <w:color w:val="FFFFFF"/>
                <w:sz w:val="20"/>
                <w:szCs w:val="20"/>
                <w:lang w:val="sq-AL"/>
              </w:rPr>
              <w:t>)</w:t>
            </w:r>
          </w:p>
        </w:tc>
      </w:tr>
      <w:tr w:rsidR="00E57778" w:rsidRPr="0091793F" w14:paraId="71DF5D5D" w14:textId="77777777" w:rsidTr="0091793F">
        <w:trPr>
          <w:trHeight w:val="337"/>
        </w:trPr>
        <w:tc>
          <w:tcPr>
            <w:tcW w:w="1794" w:type="dxa"/>
            <w:tcBorders>
              <w:top w:val="nil"/>
              <w:left w:val="nil"/>
              <w:bottom w:val="single" w:sz="4" w:space="0" w:color="auto"/>
              <w:right w:val="nil"/>
            </w:tcBorders>
            <w:vAlign w:val="center"/>
            <w:hideMark/>
          </w:tcPr>
          <w:p w14:paraId="71DF5D59" w14:textId="77777777" w:rsidR="00E57778" w:rsidRPr="0091793F" w:rsidRDefault="00E57778" w:rsidP="00B85786">
            <w:pPr>
              <w:jc w:val="center"/>
              <w:rPr>
                <w:rFonts w:ascii="Cambria" w:eastAsia="Batang" w:hAnsi="Cambria"/>
                <w:b/>
                <w:bCs/>
                <w:noProof/>
                <w:color w:val="000000"/>
                <w:sz w:val="20"/>
                <w:szCs w:val="20"/>
                <w:lang w:val="sq-AL"/>
              </w:rPr>
            </w:pPr>
            <w:r w:rsidRPr="0091793F">
              <w:rPr>
                <w:rFonts w:ascii="Cambria" w:eastAsia="Batang" w:hAnsi="Cambria"/>
                <w:b/>
                <w:bCs/>
                <w:noProof/>
                <w:color w:val="000000"/>
                <w:sz w:val="20"/>
                <w:szCs w:val="20"/>
                <w:lang w:val="sq-AL"/>
              </w:rPr>
              <w:t>Risku i Kursit të Këmbimit</w:t>
            </w:r>
          </w:p>
        </w:tc>
        <w:tc>
          <w:tcPr>
            <w:tcW w:w="3309" w:type="dxa"/>
            <w:tcBorders>
              <w:top w:val="nil"/>
              <w:left w:val="nil"/>
              <w:bottom w:val="single" w:sz="4" w:space="0" w:color="auto"/>
              <w:right w:val="nil"/>
            </w:tcBorders>
            <w:shd w:val="clear" w:color="auto" w:fill="auto"/>
            <w:noWrap/>
            <w:vAlign w:val="bottom"/>
            <w:hideMark/>
          </w:tcPr>
          <w:p w14:paraId="71DF5D5A" w14:textId="77777777" w:rsidR="00E57778" w:rsidRPr="0091793F" w:rsidRDefault="00E57778" w:rsidP="00B85786">
            <w:pPr>
              <w:jc w:val="center"/>
              <w:rPr>
                <w:rFonts w:ascii="Cambria" w:eastAsia="Batang" w:hAnsi="Cambria"/>
                <w:noProof/>
                <w:color w:val="000000"/>
                <w:sz w:val="20"/>
                <w:szCs w:val="20"/>
                <w:lang w:val="sq-AL"/>
              </w:rPr>
            </w:pPr>
            <w:r w:rsidRPr="0091793F">
              <w:rPr>
                <w:rFonts w:ascii="Cambria" w:eastAsia="Times New Roman" w:hAnsi="Cambria" w:cs="Times New Roman"/>
                <w:noProof/>
                <w:color w:val="000000"/>
                <w:sz w:val="20"/>
                <w:szCs w:val="20"/>
                <w:lang w:val="sq-AL"/>
              </w:rPr>
              <w:t>Borxhi në monedhë të huaj                           (% të totalit)</w:t>
            </w:r>
          </w:p>
        </w:tc>
        <w:tc>
          <w:tcPr>
            <w:tcW w:w="1843" w:type="dxa"/>
            <w:tcBorders>
              <w:top w:val="nil"/>
              <w:left w:val="nil"/>
              <w:bottom w:val="single" w:sz="4" w:space="0" w:color="auto"/>
              <w:right w:val="nil"/>
            </w:tcBorders>
            <w:vAlign w:val="center"/>
          </w:tcPr>
          <w:p w14:paraId="71DF5D5B" w14:textId="77777777" w:rsidR="00E57778" w:rsidRPr="0091793F" w:rsidRDefault="00E57778" w:rsidP="006A0D71">
            <w:pPr>
              <w:jc w:val="center"/>
              <w:rPr>
                <w:rFonts w:ascii="Cambria" w:eastAsia="Batang" w:hAnsi="Cambria"/>
                <w:noProof/>
                <w:color w:val="000000"/>
                <w:sz w:val="20"/>
                <w:szCs w:val="20"/>
                <w:lang w:val="sq-AL"/>
              </w:rPr>
            </w:pPr>
            <w:r w:rsidRPr="00EE139E">
              <w:rPr>
                <w:rFonts w:ascii="Cambria" w:eastAsia="Batang" w:hAnsi="Cambria"/>
                <w:noProof/>
                <w:color w:val="000000"/>
                <w:sz w:val="20"/>
                <w:szCs w:val="20"/>
                <w:lang w:val="sq-AL"/>
              </w:rPr>
              <w:t>4</w:t>
            </w:r>
            <w:r w:rsidR="006A0D71" w:rsidRPr="00EE139E">
              <w:rPr>
                <w:rFonts w:ascii="Cambria" w:eastAsia="Batang" w:hAnsi="Cambria"/>
                <w:noProof/>
                <w:color w:val="000000"/>
                <w:sz w:val="20"/>
                <w:szCs w:val="20"/>
                <w:lang w:val="sq-AL"/>
              </w:rPr>
              <w:t>7</w:t>
            </w:r>
            <w:r w:rsidRPr="00EE139E">
              <w:rPr>
                <w:rFonts w:ascii="Cambria" w:eastAsia="Batang" w:hAnsi="Cambria"/>
                <w:noProof/>
                <w:color w:val="000000"/>
                <w:sz w:val="20"/>
                <w:szCs w:val="20"/>
                <w:lang w:val="sq-AL"/>
              </w:rPr>
              <w:t>.7%</w:t>
            </w:r>
          </w:p>
        </w:tc>
        <w:tc>
          <w:tcPr>
            <w:tcW w:w="1843" w:type="dxa"/>
            <w:tcBorders>
              <w:top w:val="nil"/>
              <w:left w:val="nil"/>
              <w:bottom w:val="single" w:sz="4" w:space="0" w:color="auto"/>
            </w:tcBorders>
            <w:shd w:val="clear" w:color="auto" w:fill="auto"/>
            <w:noWrap/>
            <w:vAlign w:val="center"/>
            <w:hideMark/>
          </w:tcPr>
          <w:p w14:paraId="71DF5D5C" w14:textId="77777777" w:rsidR="00E57778" w:rsidRPr="0091793F" w:rsidRDefault="00E57778" w:rsidP="00B85786">
            <w:pPr>
              <w:jc w:val="center"/>
              <w:rPr>
                <w:rFonts w:ascii="Cambria" w:eastAsia="Batang" w:hAnsi="Cambria"/>
                <w:noProof/>
                <w:color w:val="000000"/>
                <w:sz w:val="20"/>
                <w:szCs w:val="20"/>
                <w:lang w:val="sq-AL"/>
              </w:rPr>
            </w:pPr>
            <w:r w:rsidRPr="0091793F">
              <w:rPr>
                <w:rFonts w:ascii="Cambria" w:eastAsia="Batang" w:hAnsi="Cambria"/>
                <w:noProof/>
                <w:color w:val="000000"/>
                <w:sz w:val="20"/>
                <w:szCs w:val="20"/>
                <w:lang w:val="sq-AL"/>
              </w:rPr>
              <w:t>Maks. 55.0%</w:t>
            </w:r>
          </w:p>
        </w:tc>
      </w:tr>
    </w:tbl>
    <w:p w14:paraId="71DF5D5E" w14:textId="77777777" w:rsidR="00E57778" w:rsidRPr="000F5C13" w:rsidRDefault="00E57778" w:rsidP="00E57778">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91793F">
        <w:rPr>
          <w:rFonts w:ascii="Cambria" w:eastAsia="Calibri" w:hAnsi="Cambria" w:cs="Times New Roman"/>
          <w:b/>
          <w:noProof/>
          <w:color w:val="8E0000"/>
          <w:sz w:val="20"/>
          <w:szCs w:val="20"/>
          <w:lang w:val="sq-AL"/>
        </w:rPr>
        <w:t xml:space="preserve">Burimi: </w:t>
      </w:r>
      <w:r w:rsidRPr="0091793F">
        <w:rPr>
          <w:rFonts w:ascii="Cambria" w:eastAsia="Calibri" w:hAnsi="Cambria" w:cs="Times New Roman"/>
          <w:i/>
          <w:noProof/>
          <w:color w:val="8E0000"/>
          <w:sz w:val="20"/>
          <w:szCs w:val="20"/>
          <w:lang w:val="sq-AL"/>
        </w:rPr>
        <w:t>Ministria e Financave dhe Ekonomisë (201</w:t>
      </w:r>
      <w:r w:rsidR="0091793F">
        <w:rPr>
          <w:rFonts w:ascii="Cambria" w:eastAsia="Calibri" w:hAnsi="Cambria" w:cs="Times New Roman"/>
          <w:i/>
          <w:noProof/>
          <w:color w:val="8E0000"/>
          <w:sz w:val="20"/>
          <w:szCs w:val="20"/>
          <w:lang w:val="sq-AL"/>
        </w:rPr>
        <w:t>9</w:t>
      </w:r>
      <w:r w:rsidRPr="0091793F">
        <w:rPr>
          <w:rFonts w:ascii="Cambria" w:eastAsia="Calibri" w:hAnsi="Cambria" w:cs="Times New Roman"/>
          <w:i/>
          <w:noProof/>
          <w:color w:val="8E0000"/>
          <w:sz w:val="20"/>
          <w:szCs w:val="20"/>
          <w:lang w:val="sq-AL"/>
        </w:rPr>
        <w:t>)</w:t>
      </w:r>
    </w:p>
    <w:p w14:paraId="71DF5D5F" w14:textId="77777777" w:rsidR="00E57778" w:rsidRPr="000F5C13" w:rsidRDefault="00E57778" w:rsidP="00E57778">
      <w:pPr>
        <w:tabs>
          <w:tab w:val="left" w:pos="2730"/>
        </w:tabs>
        <w:spacing w:after="0" w:line="276" w:lineRule="auto"/>
        <w:ind w:right="237"/>
        <w:jc w:val="both"/>
        <w:rPr>
          <w:rFonts w:ascii="Times New Roman" w:eastAsia="Times New Roman" w:hAnsi="Times New Roman" w:cs="Times New Roman"/>
          <w:bCs/>
          <w:noProof/>
          <w:sz w:val="16"/>
          <w:szCs w:val="16"/>
          <w:lang w:val="sq-AL"/>
        </w:rPr>
      </w:pPr>
    </w:p>
    <w:p w14:paraId="71DF5D60" w14:textId="77777777" w:rsidR="00E57778" w:rsidRPr="0091793F" w:rsidRDefault="00E57778" w:rsidP="0091793F">
      <w:pPr>
        <w:tabs>
          <w:tab w:val="left" w:pos="2730"/>
        </w:tabs>
        <w:spacing w:after="0" w:line="276" w:lineRule="auto"/>
        <w:ind w:right="237"/>
        <w:jc w:val="both"/>
        <w:rPr>
          <w:rFonts w:ascii="Times New Roman" w:eastAsia="Times New Roman" w:hAnsi="Times New Roman" w:cs="Times New Roman"/>
          <w:bCs/>
          <w:iCs/>
          <w:noProof/>
          <w:sz w:val="24"/>
          <w:szCs w:val="24"/>
          <w:u w:val="single"/>
          <w:lang w:val="sq-AL"/>
        </w:rPr>
      </w:pPr>
      <w:r w:rsidRPr="0091793F">
        <w:rPr>
          <w:rFonts w:ascii="Times New Roman" w:eastAsia="Times New Roman" w:hAnsi="Times New Roman" w:cs="Times New Roman"/>
          <w:bCs/>
          <w:iCs/>
          <w:noProof/>
          <w:sz w:val="24"/>
          <w:szCs w:val="24"/>
          <w:u w:val="single"/>
          <w:lang w:val="sq-AL"/>
        </w:rPr>
        <w:t>Risku i likuiditetit:</w:t>
      </w:r>
    </w:p>
    <w:p w14:paraId="71DF5D61" w14:textId="77777777" w:rsidR="00E57778" w:rsidRPr="0091793F" w:rsidRDefault="00E57778" w:rsidP="0091793F">
      <w:pPr>
        <w:tabs>
          <w:tab w:val="left" w:pos="2730"/>
        </w:tabs>
        <w:spacing w:after="0" w:line="276" w:lineRule="auto"/>
        <w:ind w:right="237"/>
        <w:contextualSpacing/>
        <w:jc w:val="both"/>
        <w:rPr>
          <w:rFonts w:ascii="Times New Roman" w:eastAsia="Times New Roman" w:hAnsi="Times New Roman" w:cs="Times New Roman"/>
          <w:bCs/>
          <w:noProof/>
          <w:sz w:val="16"/>
          <w:szCs w:val="28"/>
          <w:lang w:val="sq-AL"/>
        </w:rPr>
      </w:pPr>
    </w:p>
    <w:p w14:paraId="71DF5D62" w14:textId="77777777" w:rsidR="00E57778" w:rsidRPr="0091793F" w:rsidRDefault="00E57778" w:rsidP="0091793F">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91793F">
        <w:rPr>
          <w:rFonts w:ascii="Times New Roman" w:eastAsia="Times New Roman" w:hAnsi="Times New Roman" w:cs="Times New Roman"/>
          <w:bCs/>
          <w:noProof/>
          <w:sz w:val="24"/>
          <w:szCs w:val="28"/>
          <w:lang w:val="sq-AL"/>
        </w:rPr>
        <w:t xml:space="preserve">Përveç aktiviteteve në kuadër të reduktimit të riskut të rifinancimit dhe atij të normave të interesit që kanë ndikim mbi riskun e likuiditetit, do të ndërmerren hapa të cilat do të synojnë: </w:t>
      </w:r>
      <w:r w:rsidRPr="0091793F">
        <w:rPr>
          <w:rFonts w:ascii="Times New Roman" w:eastAsia="Times New Roman" w:hAnsi="Times New Roman" w:cs="Times New Roman"/>
          <w:bCs/>
          <w:noProof/>
          <w:sz w:val="24"/>
          <w:szCs w:val="28"/>
          <w:lang w:val="sq-AL"/>
        </w:rPr>
        <w:lastRenderedPageBreak/>
        <w:t>a) një bashkëpunim më aktiv ndërmjet strukturës përgjegjëse për menaxhimin e borxhit dhe asaj për menaxhimin dhe parashikimin e të ardhurave në buxhet me qëllim përmirësimin e menaxhimit të “</w:t>
      </w:r>
      <w:r w:rsidRPr="0091793F">
        <w:rPr>
          <w:rFonts w:ascii="Times New Roman" w:eastAsia="Times New Roman" w:hAnsi="Times New Roman" w:cs="Times New Roman"/>
          <w:bCs/>
          <w:i/>
          <w:noProof/>
          <w:sz w:val="24"/>
          <w:szCs w:val="28"/>
          <w:lang w:val="sq-AL"/>
        </w:rPr>
        <w:t>cash</w:t>
      </w:r>
      <w:r w:rsidRPr="0091793F">
        <w:rPr>
          <w:rFonts w:ascii="Times New Roman" w:eastAsia="Times New Roman" w:hAnsi="Times New Roman" w:cs="Times New Roman"/>
          <w:bCs/>
          <w:noProof/>
          <w:sz w:val="24"/>
          <w:szCs w:val="28"/>
          <w:lang w:val="sq-AL"/>
        </w:rPr>
        <w:t>”; b) rritjen e kontributit në drejtim të përmirësimit të menaxhimit të aktiveve dhe pasiveve; dhe c) krijimin gradual të një rezerve në llogarinë e unifikuar të qeverisë duke shfrytëzuar kushtet e favorshme të tregjeve në periudha të caktuara.</w:t>
      </w:r>
    </w:p>
    <w:p w14:paraId="71DF5D63" w14:textId="77777777" w:rsidR="00E57778" w:rsidRPr="006A0D71" w:rsidRDefault="00E57778" w:rsidP="00E57778">
      <w:pPr>
        <w:tabs>
          <w:tab w:val="left" w:pos="2730"/>
        </w:tabs>
        <w:spacing w:after="0" w:line="276" w:lineRule="auto"/>
        <w:ind w:right="237"/>
        <w:jc w:val="both"/>
        <w:rPr>
          <w:rFonts w:ascii="Times New Roman" w:eastAsia="Times New Roman" w:hAnsi="Times New Roman" w:cs="Times New Roman"/>
          <w:bCs/>
          <w:noProof/>
          <w:sz w:val="16"/>
          <w:szCs w:val="28"/>
          <w:highlight w:val="yellow"/>
          <w:lang w:val="sq-AL"/>
        </w:rPr>
      </w:pPr>
    </w:p>
    <w:p w14:paraId="71DF5D64" w14:textId="77777777" w:rsidR="00E57778" w:rsidRPr="0091793F" w:rsidRDefault="00E57778" w:rsidP="0091793F">
      <w:pPr>
        <w:tabs>
          <w:tab w:val="left" w:pos="2730"/>
        </w:tabs>
        <w:spacing w:after="0" w:line="276" w:lineRule="auto"/>
        <w:ind w:right="237"/>
        <w:jc w:val="both"/>
        <w:rPr>
          <w:rFonts w:ascii="Times New Roman" w:eastAsia="Times New Roman" w:hAnsi="Times New Roman" w:cs="Times New Roman"/>
          <w:bCs/>
          <w:iCs/>
          <w:noProof/>
          <w:sz w:val="24"/>
          <w:szCs w:val="24"/>
          <w:u w:val="single"/>
          <w:lang w:val="sq-AL"/>
        </w:rPr>
      </w:pPr>
      <w:r w:rsidRPr="0091793F">
        <w:rPr>
          <w:rFonts w:ascii="Times New Roman" w:eastAsia="Times New Roman" w:hAnsi="Times New Roman" w:cs="Times New Roman"/>
          <w:bCs/>
          <w:iCs/>
          <w:noProof/>
          <w:sz w:val="24"/>
          <w:szCs w:val="24"/>
          <w:u w:val="single"/>
          <w:lang w:val="sq-AL"/>
        </w:rPr>
        <w:t>Risku operacional:</w:t>
      </w:r>
    </w:p>
    <w:p w14:paraId="71DF5D65" w14:textId="77777777" w:rsidR="00E57778" w:rsidRPr="0091793F" w:rsidRDefault="00E57778" w:rsidP="00E57778">
      <w:pPr>
        <w:tabs>
          <w:tab w:val="left" w:pos="2730"/>
        </w:tabs>
        <w:spacing w:after="0" w:line="276" w:lineRule="auto"/>
        <w:ind w:right="237"/>
        <w:jc w:val="both"/>
        <w:rPr>
          <w:rFonts w:ascii="Times New Roman" w:eastAsia="Times New Roman" w:hAnsi="Times New Roman" w:cs="Times New Roman"/>
          <w:bCs/>
          <w:noProof/>
          <w:sz w:val="16"/>
          <w:szCs w:val="28"/>
          <w:lang w:val="sq-AL"/>
        </w:rPr>
      </w:pPr>
    </w:p>
    <w:p w14:paraId="71DF5D66" w14:textId="77777777" w:rsidR="008F516B" w:rsidRPr="000F5C13" w:rsidRDefault="00E57778" w:rsidP="009E578D">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91793F">
        <w:rPr>
          <w:rFonts w:ascii="Times New Roman" w:eastAsia="Times New Roman" w:hAnsi="Times New Roman" w:cs="Times New Roman"/>
          <w:bCs/>
          <w:noProof/>
          <w:sz w:val="24"/>
          <w:szCs w:val="28"/>
          <w:lang w:val="sq-AL"/>
        </w:rPr>
        <w:t>Reduktimi i riskut operacional lidhet me forcimin e njësisë menaxhuese të borxhit publik që të vazhdojë përpjekjet në drejtim të: a) mirëpërcaktimit të funksioneve në njësinë e menaxhimit të borxhit; b) standardizimit dhe formalizimit të procedurave në aktivitetet e menaxhimit të borxhit; dhe c) shtimit të burimeve njerëzore në përputhje me strukturën e miratuar dhe rritjen e kapaciteteve menaxhuese.</w:t>
      </w:r>
      <w:r w:rsidRPr="000F5C13">
        <w:rPr>
          <w:rFonts w:ascii="Times New Roman" w:eastAsia="Times New Roman" w:hAnsi="Times New Roman" w:cs="Times New Roman"/>
          <w:bCs/>
          <w:noProof/>
          <w:sz w:val="24"/>
          <w:szCs w:val="28"/>
          <w:lang w:val="sq-AL"/>
        </w:rPr>
        <w:t xml:space="preserve"> </w:t>
      </w:r>
    </w:p>
    <w:p w14:paraId="71DF5D67" w14:textId="77777777" w:rsidR="00E57778" w:rsidRPr="000F5C13" w:rsidRDefault="00E57778" w:rsidP="00E57778">
      <w:pPr>
        <w:tabs>
          <w:tab w:val="left" w:pos="2730"/>
        </w:tabs>
        <w:spacing w:after="0" w:line="276" w:lineRule="auto"/>
        <w:ind w:left="284" w:right="237"/>
        <w:contextualSpacing/>
        <w:jc w:val="both"/>
        <w:rPr>
          <w:rFonts w:ascii="Times New Roman" w:eastAsia="Times New Roman" w:hAnsi="Times New Roman" w:cs="Times New Roman"/>
          <w:bCs/>
          <w:noProof/>
          <w:sz w:val="16"/>
          <w:szCs w:val="28"/>
          <w:lang w:val="sq-AL"/>
        </w:rPr>
      </w:pPr>
    </w:p>
    <w:p w14:paraId="71DF5D68" w14:textId="77777777" w:rsidR="00E57778" w:rsidRPr="000F5C13" w:rsidRDefault="00E57778" w:rsidP="0091793F">
      <w:pPr>
        <w:pStyle w:val="Heading2"/>
        <w:numPr>
          <w:ilvl w:val="1"/>
          <w:numId w:val="21"/>
        </w:numPr>
        <w:ind w:left="709" w:hanging="709"/>
        <w:rPr>
          <w:rFonts w:eastAsia="Times New Roman"/>
          <w:noProof/>
          <w:lang w:val="sq-AL"/>
        </w:rPr>
      </w:pPr>
      <w:bookmarkStart w:id="116" w:name="_Toc491861014"/>
      <w:bookmarkStart w:id="117" w:name="_Toc491954327"/>
      <w:bookmarkStart w:id="118" w:name="_Toc524506554"/>
      <w:r w:rsidRPr="000F5C13">
        <w:rPr>
          <w:rFonts w:eastAsia="Times New Roman"/>
          <w:noProof/>
          <w:lang w:val="sq-AL"/>
        </w:rPr>
        <w:t>Zhvillimi i tregut të titujve shtetërorë</w:t>
      </w:r>
      <w:bookmarkEnd w:id="116"/>
      <w:bookmarkEnd w:id="117"/>
      <w:bookmarkEnd w:id="118"/>
    </w:p>
    <w:p w14:paraId="71DF5D69" w14:textId="77777777" w:rsidR="00E57778" w:rsidRPr="000F5C13" w:rsidRDefault="00E57778" w:rsidP="00E57778">
      <w:pPr>
        <w:tabs>
          <w:tab w:val="left" w:pos="2730"/>
        </w:tabs>
        <w:spacing w:after="0" w:line="276" w:lineRule="auto"/>
        <w:ind w:left="284" w:right="237"/>
        <w:contextualSpacing/>
        <w:jc w:val="both"/>
        <w:rPr>
          <w:rFonts w:ascii="Times New Roman" w:eastAsia="Times New Roman" w:hAnsi="Times New Roman" w:cs="Times New Roman"/>
          <w:bCs/>
          <w:noProof/>
          <w:sz w:val="16"/>
          <w:szCs w:val="28"/>
          <w:lang w:val="sq-AL"/>
        </w:rPr>
      </w:pPr>
    </w:p>
    <w:p w14:paraId="71DF5D6A" w14:textId="77777777" w:rsidR="00E57778" w:rsidRPr="009E578D" w:rsidRDefault="00E57778" w:rsidP="0091793F">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9E578D">
        <w:rPr>
          <w:rFonts w:ascii="Times New Roman" w:eastAsia="Times New Roman" w:hAnsi="Times New Roman" w:cs="Times New Roman"/>
          <w:bCs/>
          <w:noProof/>
          <w:sz w:val="24"/>
          <w:szCs w:val="28"/>
          <w:lang w:val="sq-AL"/>
        </w:rPr>
        <w:t>Zhvillimi i tregut të titujve shtetërorë do të synohet të realizohet nëpërmjet aktiviteteve të cilat do të kenë si objektiv: a) rritjen e likuiditetit; b) rritjen e efiçencës; dhe c) rritjen e transparencës.</w:t>
      </w:r>
    </w:p>
    <w:p w14:paraId="71DF5D6B" w14:textId="77777777" w:rsidR="00E57778" w:rsidRPr="000F5C13" w:rsidRDefault="00E57778" w:rsidP="0091793F">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9E578D">
        <w:rPr>
          <w:rFonts w:ascii="Times New Roman" w:eastAsia="Times New Roman" w:hAnsi="Times New Roman" w:cs="Times New Roman"/>
          <w:bCs/>
          <w:noProof/>
          <w:sz w:val="24"/>
          <w:szCs w:val="28"/>
          <w:lang w:val="sq-AL"/>
        </w:rPr>
        <w:t>Realizimi i objektivave të mësipërme është një synim afatgjatë, ndërkohë që zhvillimi i aktiviteteve dhe marrja e masave të ndryshme është një proces</w:t>
      </w:r>
      <w:r w:rsidR="009E578D">
        <w:rPr>
          <w:rFonts w:ascii="Times New Roman" w:eastAsia="Times New Roman" w:hAnsi="Times New Roman" w:cs="Times New Roman"/>
          <w:bCs/>
          <w:noProof/>
          <w:sz w:val="24"/>
          <w:szCs w:val="28"/>
          <w:lang w:val="sq-AL"/>
        </w:rPr>
        <w:t xml:space="preserve"> </w:t>
      </w:r>
      <w:r w:rsidR="00CB5458">
        <w:rPr>
          <w:rFonts w:ascii="Times New Roman" w:eastAsia="Times New Roman" w:hAnsi="Times New Roman" w:cs="Times New Roman"/>
          <w:bCs/>
          <w:noProof/>
          <w:sz w:val="24"/>
          <w:szCs w:val="28"/>
          <w:lang w:val="sq-AL"/>
        </w:rPr>
        <w:t>i cili ka</w:t>
      </w:r>
      <w:r w:rsidR="009E578D">
        <w:rPr>
          <w:rFonts w:ascii="Times New Roman" w:eastAsia="Times New Roman" w:hAnsi="Times New Roman" w:cs="Times New Roman"/>
          <w:bCs/>
          <w:noProof/>
          <w:sz w:val="24"/>
          <w:szCs w:val="28"/>
          <w:lang w:val="sq-AL"/>
        </w:rPr>
        <w:t xml:space="preserve"> filluar dhe</w:t>
      </w:r>
      <w:r w:rsidRPr="009E578D">
        <w:rPr>
          <w:rFonts w:ascii="Times New Roman" w:eastAsia="Times New Roman" w:hAnsi="Times New Roman" w:cs="Times New Roman"/>
          <w:bCs/>
          <w:noProof/>
          <w:sz w:val="24"/>
          <w:szCs w:val="28"/>
          <w:lang w:val="sq-AL"/>
        </w:rPr>
        <w:t xml:space="preserve"> do të</w:t>
      </w:r>
      <w:r w:rsidR="009E578D">
        <w:rPr>
          <w:rFonts w:ascii="Times New Roman" w:eastAsia="Times New Roman" w:hAnsi="Times New Roman" w:cs="Times New Roman"/>
          <w:bCs/>
          <w:noProof/>
          <w:sz w:val="24"/>
          <w:szCs w:val="28"/>
          <w:lang w:val="sq-AL"/>
        </w:rPr>
        <w:t xml:space="preserve"> vijojë </w:t>
      </w:r>
      <w:r w:rsidRPr="009E578D">
        <w:rPr>
          <w:rFonts w:ascii="Times New Roman" w:eastAsia="Times New Roman" w:hAnsi="Times New Roman" w:cs="Times New Roman"/>
          <w:bCs/>
          <w:noProof/>
          <w:sz w:val="24"/>
          <w:szCs w:val="28"/>
          <w:lang w:val="sq-AL"/>
        </w:rPr>
        <w:t xml:space="preserve"> </w:t>
      </w:r>
      <w:r w:rsidR="009E578D">
        <w:rPr>
          <w:rFonts w:ascii="Times New Roman" w:eastAsia="Times New Roman" w:hAnsi="Times New Roman" w:cs="Times New Roman"/>
          <w:bCs/>
          <w:noProof/>
          <w:sz w:val="24"/>
          <w:szCs w:val="28"/>
          <w:lang w:val="sq-AL"/>
        </w:rPr>
        <w:t xml:space="preserve">të </w:t>
      </w:r>
      <w:r w:rsidRPr="009E578D">
        <w:rPr>
          <w:rFonts w:ascii="Times New Roman" w:eastAsia="Times New Roman" w:hAnsi="Times New Roman" w:cs="Times New Roman"/>
          <w:bCs/>
          <w:noProof/>
          <w:sz w:val="24"/>
          <w:szCs w:val="28"/>
          <w:lang w:val="sq-AL"/>
        </w:rPr>
        <w:t>kryhet në vazhdimësi.</w:t>
      </w:r>
      <w:r w:rsidRPr="000F5C13">
        <w:rPr>
          <w:rFonts w:ascii="Times New Roman" w:eastAsia="Times New Roman" w:hAnsi="Times New Roman" w:cs="Times New Roman"/>
          <w:bCs/>
          <w:noProof/>
          <w:sz w:val="24"/>
          <w:szCs w:val="28"/>
          <w:lang w:val="sq-AL"/>
        </w:rPr>
        <w:t xml:space="preserve"> </w:t>
      </w:r>
    </w:p>
    <w:p w14:paraId="71DF5D6C" w14:textId="77777777" w:rsidR="00E57778" w:rsidRPr="000F5C13" w:rsidRDefault="00E57778" w:rsidP="00E57778">
      <w:pPr>
        <w:keepNext/>
        <w:keepLines/>
        <w:spacing w:before="200" w:after="0" w:line="240" w:lineRule="auto"/>
        <w:ind w:left="993"/>
        <w:contextualSpacing/>
        <w:outlineLvl w:val="3"/>
        <w:rPr>
          <w:rFonts w:ascii="Times New Roman" w:eastAsia="Times New Roman" w:hAnsi="Times New Roman" w:cs="Times New Roman"/>
          <w:bCs/>
          <w:i/>
          <w:iCs/>
          <w:noProof/>
          <w:sz w:val="16"/>
          <w:szCs w:val="24"/>
          <w:lang w:val="sq-AL"/>
        </w:rPr>
      </w:pPr>
    </w:p>
    <w:p w14:paraId="71DF5D6D" w14:textId="77777777" w:rsidR="00E57778" w:rsidRPr="000F5C13" w:rsidRDefault="00E57778" w:rsidP="009E578D">
      <w:pPr>
        <w:pStyle w:val="Heading3"/>
        <w:numPr>
          <w:ilvl w:val="2"/>
          <w:numId w:val="21"/>
        </w:numPr>
        <w:ind w:left="851" w:hanging="851"/>
        <w:rPr>
          <w:noProof/>
        </w:rPr>
      </w:pPr>
      <w:bookmarkStart w:id="119" w:name="_Toc491861015"/>
      <w:bookmarkStart w:id="120" w:name="_Toc491954328"/>
      <w:bookmarkStart w:id="121" w:name="_Toc524506555"/>
      <w:r w:rsidRPr="000F5C13">
        <w:rPr>
          <w:noProof/>
        </w:rPr>
        <w:t>Rritja e likuiditetit</w:t>
      </w:r>
      <w:bookmarkEnd w:id="119"/>
      <w:bookmarkEnd w:id="120"/>
      <w:bookmarkEnd w:id="121"/>
    </w:p>
    <w:p w14:paraId="71DF5D6E" w14:textId="77777777" w:rsidR="00E57778" w:rsidRPr="000F5C13" w:rsidRDefault="00E57778" w:rsidP="009E578D">
      <w:pPr>
        <w:tabs>
          <w:tab w:val="left" w:pos="2730"/>
        </w:tabs>
        <w:spacing w:after="0" w:line="276" w:lineRule="auto"/>
        <w:ind w:right="237"/>
        <w:contextualSpacing/>
        <w:jc w:val="both"/>
        <w:rPr>
          <w:rFonts w:ascii="Times New Roman" w:eastAsia="Times New Roman" w:hAnsi="Times New Roman" w:cs="Times New Roman"/>
          <w:bCs/>
          <w:noProof/>
          <w:sz w:val="16"/>
          <w:szCs w:val="28"/>
          <w:lang w:val="sq-AL"/>
        </w:rPr>
      </w:pPr>
    </w:p>
    <w:p w14:paraId="71DF5D6F" w14:textId="77777777" w:rsidR="00E57778" w:rsidRPr="000F5C13" w:rsidRDefault="00E57778" w:rsidP="009E578D">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4C1C31">
        <w:rPr>
          <w:rFonts w:ascii="Times New Roman" w:eastAsia="Times New Roman" w:hAnsi="Times New Roman" w:cs="Times New Roman"/>
          <w:bCs/>
          <w:noProof/>
          <w:sz w:val="24"/>
          <w:szCs w:val="28"/>
          <w:lang w:val="sq-AL"/>
        </w:rPr>
        <w:t xml:space="preserve">Marrja e masave dhe zhvillimi i aktiviteteve me fokus rritjen e likuiditetit do të kontribuojnë në eleminimin e primeve të riskut që burojnë nga niveli i kufizuar i likuiditetit të titujve shtetërorë. Gjithashtu, këto aktivitete do të kontribuojnë edhe në rritjen e kërkesës nga ajo pjesë e investitorëve që kanë interes të investojnë në aktive likuide dhe jo në mbajtjen e tyre deri në maturim. Faktorët e mësipërm në periudhën afatmesme dhe afatgjatë pritet të ndikojnë në </w:t>
      </w:r>
      <w:r w:rsidR="00AA42D9" w:rsidRPr="004C1C31">
        <w:rPr>
          <w:rFonts w:ascii="Times New Roman" w:eastAsia="Times New Roman" w:hAnsi="Times New Roman" w:cs="Times New Roman"/>
          <w:bCs/>
          <w:noProof/>
          <w:sz w:val="24"/>
          <w:szCs w:val="28"/>
          <w:lang w:val="sq-AL"/>
        </w:rPr>
        <w:t>reduktimin</w:t>
      </w:r>
      <w:r w:rsidRPr="004C1C31">
        <w:rPr>
          <w:rFonts w:ascii="Times New Roman" w:eastAsia="Times New Roman" w:hAnsi="Times New Roman" w:cs="Times New Roman"/>
          <w:bCs/>
          <w:noProof/>
          <w:sz w:val="24"/>
          <w:szCs w:val="28"/>
          <w:lang w:val="sq-AL"/>
        </w:rPr>
        <w:t xml:space="preserve"> e </w:t>
      </w:r>
      <w:r w:rsidR="001D6308">
        <w:rPr>
          <w:rFonts w:ascii="Times New Roman" w:eastAsia="Times New Roman" w:hAnsi="Times New Roman" w:cs="Times New Roman"/>
          <w:bCs/>
          <w:noProof/>
          <w:sz w:val="24"/>
          <w:szCs w:val="28"/>
          <w:lang w:val="sq-AL"/>
        </w:rPr>
        <w:t xml:space="preserve">primeve të </w:t>
      </w:r>
      <w:r w:rsidRPr="004C1C31">
        <w:rPr>
          <w:rFonts w:ascii="Times New Roman" w:eastAsia="Times New Roman" w:hAnsi="Times New Roman" w:cs="Times New Roman"/>
          <w:bCs/>
          <w:noProof/>
          <w:sz w:val="24"/>
          <w:szCs w:val="28"/>
          <w:lang w:val="sq-AL"/>
        </w:rPr>
        <w:t>normave të interesit, duke ulur rrjedhimisht koston për njësi të borxhit.</w:t>
      </w:r>
      <w:r w:rsidRPr="000F5C13">
        <w:rPr>
          <w:rFonts w:ascii="Times New Roman" w:eastAsia="Times New Roman" w:hAnsi="Times New Roman" w:cs="Times New Roman"/>
          <w:bCs/>
          <w:noProof/>
          <w:sz w:val="24"/>
          <w:szCs w:val="28"/>
          <w:lang w:val="sq-AL"/>
        </w:rPr>
        <w:t xml:space="preserve"> </w:t>
      </w:r>
    </w:p>
    <w:p w14:paraId="71DF5D70" w14:textId="77777777" w:rsidR="00E57778" w:rsidRPr="00BA3F06" w:rsidRDefault="00E57778" w:rsidP="009E578D">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Aktivitetet kryesore që planifikohen të ndërmerren në këtë drejtim gjatë periudhës afatmesme janë:</w:t>
      </w:r>
    </w:p>
    <w:p w14:paraId="71DF5D71" w14:textId="77777777" w:rsidR="00E57778" w:rsidRPr="00BA3F06" w:rsidRDefault="00E57778" w:rsidP="009E578D">
      <w:pPr>
        <w:tabs>
          <w:tab w:val="left" w:pos="2730"/>
        </w:tabs>
        <w:spacing w:after="0" w:line="276" w:lineRule="auto"/>
        <w:ind w:right="237"/>
        <w:contextualSpacing/>
        <w:jc w:val="both"/>
        <w:rPr>
          <w:rFonts w:ascii="Times New Roman" w:eastAsia="Times New Roman" w:hAnsi="Times New Roman" w:cs="Times New Roman"/>
          <w:bCs/>
          <w:noProof/>
          <w:sz w:val="16"/>
          <w:szCs w:val="28"/>
          <w:lang w:val="sq-AL"/>
        </w:rPr>
      </w:pPr>
    </w:p>
    <w:p w14:paraId="71DF5D72" w14:textId="77777777" w:rsidR="00E57778" w:rsidRPr="00BA3F06" w:rsidRDefault="00E57778" w:rsidP="004C1C31">
      <w:pPr>
        <w:numPr>
          <w:ilvl w:val="0"/>
          <w:numId w:val="4"/>
        </w:numPr>
        <w:tabs>
          <w:tab w:val="left" w:pos="284"/>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 xml:space="preserve">Krijimi i madhësive </w:t>
      </w:r>
      <w:r w:rsidRPr="00BA3F06">
        <w:rPr>
          <w:rFonts w:ascii="Times New Roman" w:eastAsia="Times New Roman" w:hAnsi="Times New Roman" w:cs="Times New Roman"/>
          <w:bCs/>
          <w:i/>
          <w:noProof/>
          <w:sz w:val="24"/>
          <w:szCs w:val="28"/>
          <w:lang w:val="sq-AL"/>
        </w:rPr>
        <w:t xml:space="preserve">benchmark </w:t>
      </w:r>
      <w:r w:rsidRPr="00BA3F06">
        <w:rPr>
          <w:rFonts w:ascii="Times New Roman" w:eastAsia="Times New Roman" w:hAnsi="Times New Roman" w:cs="Times New Roman"/>
          <w:bCs/>
          <w:noProof/>
          <w:sz w:val="24"/>
          <w:szCs w:val="28"/>
          <w:vertAlign w:val="superscript"/>
          <w:lang w:val="sq-AL"/>
        </w:rPr>
        <w:footnoteReference w:id="14"/>
      </w:r>
      <w:r w:rsidRPr="00BA3F06">
        <w:rPr>
          <w:rFonts w:ascii="Times New Roman" w:eastAsia="Times New Roman" w:hAnsi="Times New Roman" w:cs="Times New Roman"/>
          <w:bCs/>
          <w:noProof/>
          <w:sz w:val="24"/>
          <w:szCs w:val="28"/>
          <w:lang w:val="sq-AL"/>
        </w:rPr>
        <w:t xml:space="preserve"> në kuadër të zhvillimit të kurbës së </w:t>
      </w:r>
      <w:r w:rsidRPr="00BA3F06">
        <w:rPr>
          <w:rFonts w:ascii="Times New Roman" w:eastAsia="Times New Roman" w:hAnsi="Times New Roman" w:cs="Times New Roman"/>
          <w:bCs/>
          <w:i/>
          <w:noProof/>
          <w:sz w:val="24"/>
          <w:szCs w:val="28"/>
          <w:lang w:val="sq-AL"/>
        </w:rPr>
        <w:t xml:space="preserve">yield-it </w:t>
      </w:r>
      <w:r w:rsidRPr="00BA3F06">
        <w:rPr>
          <w:rFonts w:ascii="Times New Roman" w:eastAsia="Times New Roman" w:hAnsi="Times New Roman" w:cs="Times New Roman"/>
          <w:bCs/>
          <w:noProof/>
          <w:sz w:val="24"/>
          <w:szCs w:val="28"/>
          <w:lang w:val="sq-AL"/>
        </w:rPr>
        <w:t>në drejtim të titujve shtetërorë afatmesëm dhe afatgjatë nëpërmjet rihapjes periodike;</w:t>
      </w:r>
    </w:p>
    <w:p w14:paraId="71DF5D73" w14:textId="77777777" w:rsidR="00E57778" w:rsidRPr="00BA3F06" w:rsidRDefault="007C5DFA" w:rsidP="00BA3F06">
      <w:pPr>
        <w:tabs>
          <w:tab w:val="left" w:pos="709"/>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Pr>
          <w:rFonts w:ascii="Times New Roman" w:eastAsia="Times New Roman" w:hAnsi="Times New Roman" w:cs="Times New Roman"/>
          <w:bCs/>
          <w:noProof/>
          <w:sz w:val="24"/>
          <w:szCs w:val="28"/>
          <w:lang w:val="sq-AL"/>
        </w:rPr>
        <w:t xml:space="preserve">-   </w:t>
      </w:r>
      <w:r w:rsidR="00E57778" w:rsidRPr="00BA3F06">
        <w:rPr>
          <w:rFonts w:ascii="Times New Roman" w:eastAsia="Times New Roman" w:hAnsi="Times New Roman" w:cs="Times New Roman"/>
          <w:bCs/>
          <w:noProof/>
          <w:sz w:val="24"/>
          <w:szCs w:val="28"/>
          <w:lang w:val="sq-AL"/>
        </w:rPr>
        <w:t>Eleminimi i titujve të cilët kanë karakteristika të ngjashme dhe konkurrojnë njëri-tjetrin me qëllim reduktimin e fragmentimit të kërkesës;</w:t>
      </w:r>
    </w:p>
    <w:p w14:paraId="71DF5D74" w14:textId="77777777" w:rsidR="00E57778" w:rsidRDefault="00E57778" w:rsidP="00BA3F06">
      <w:pPr>
        <w:numPr>
          <w:ilvl w:val="0"/>
          <w:numId w:val="4"/>
        </w:numPr>
        <w:tabs>
          <w:tab w:val="left" w:pos="284"/>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Përshtatja e politikave të huamarrjes (përfshirë shitjen, parablerjen dhe shkëmbimin e titujve shtetërorë)</w:t>
      </w:r>
      <w:r w:rsidRPr="00BA3F06">
        <w:rPr>
          <w:rFonts w:ascii="Times New Roman" w:eastAsia="Times New Roman" w:hAnsi="Times New Roman" w:cs="Times New Roman"/>
          <w:bCs/>
          <w:i/>
          <w:noProof/>
          <w:sz w:val="24"/>
          <w:szCs w:val="28"/>
          <w:lang w:val="sq-AL"/>
        </w:rPr>
        <w:t xml:space="preserve"> </w:t>
      </w:r>
      <w:r w:rsidRPr="00BA3F06">
        <w:rPr>
          <w:rFonts w:ascii="Times New Roman" w:eastAsia="Times New Roman" w:hAnsi="Times New Roman" w:cs="Times New Roman"/>
          <w:bCs/>
          <w:noProof/>
          <w:sz w:val="24"/>
          <w:szCs w:val="28"/>
          <w:lang w:val="sq-AL"/>
        </w:rPr>
        <w:t xml:space="preserve">me kushtet e tregut dhe kërkesën për tituj të caktuar. </w:t>
      </w:r>
    </w:p>
    <w:p w14:paraId="71DF5D75" w14:textId="77777777" w:rsidR="009C0D8C" w:rsidRDefault="009C0D8C" w:rsidP="009C0D8C">
      <w:pPr>
        <w:tabs>
          <w:tab w:val="left" w:pos="284"/>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p>
    <w:p w14:paraId="71DF5D76" w14:textId="77777777" w:rsidR="009C0D8C" w:rsidRDefault="009C0D8C" w:rsidP="009C0D8C">
      <w:pPr>
        <w:tabs>
          <w:tab w:val="left" w:pos="284"/>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p>
    <w:p w14:paraId="71DF5D77" w14:textId="77777777" w:rsidR="009C0D8C" w:rsidRPr="00BA3F06" w:rsidRDefault="009C0D8C" w:rsidP="009C0D8C">
      <w:pPr>
        <w:tabs>
          <w:tab w:val="left" w:pos="284"/>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p>
    <w:p w14:paraId="71DF5D78" w14:textId="77777777" w:rsidR="00E57778" w:rsidRPr="006E546B" w:rsidRDefault="00BA3F06" w:rsidP="00EE139E">
      <w:pPr>
        <w:tabs>
          <w:tab w:val="left" w:pos="284"/>
          <w:tab w:val="left" w:pos="2730"/>
        </w:tabs>
        <w:spacing w:after="0" w:line="276" w:lineRule="auto"/>
        <w:ind w:right="237"/>
        <w:contextualSpacing/>
        <w:jc w:val="both"/>
        <w:rPr>
          <w:rFonts w:ascii="Times New Roman" w:eastAsia="Times New Roman" w:hAnsi="Times New Roman" w:cs="Times New Roman"/>
          <w:bCs/>
          <w:noProof/>
          <w:sz w:val="16"/>
          <w:szCs w:val="28"/>
          <w:lang w:val="sq-AL"/>
        </w:rPr>
      </w:pPr>
      <w:r w:rsidRPr="000F5C13">
        <w:rPr>
          <w:rFonts w:ascii="Times New Roman" w:eastAsia="Times New Roman" w:hAnsi="Times New Roman" w:cs="Times New Roman"/>
          <w:bCs/>
          <w:noProof/>
          <w:sz w:val="24"/>
          <w:szCs w:val="28"/>
        </w:rPr>
        <w:lastRenderedPageBreak/>
        <mc:AlternateContent>
          <mc:Choice Requires="wps">
            <w:drawing>
              <wp:anchor distT="0" distB="0" distL="114300" distR="114300" simplePos="0" relativeHeight="251856896" behindDoc="1" locked="0" layoutInCell="1" allowOverlap="1" wp14:anchorId="71DF5F95" wp14:editId="71DF5F96">
                <wp:simplePos x="0" y="0"/>
                <wp:positionH relativeFrom="margin">
                  <wp:align>left</wp:align>
                </wp:positionH>
                <wp:positionV relativeFrom="paragraph">
                  <wp:posOffset>104356</wp:posOffset>
                </wp:positionV>
                <wp:extent cx="5572664" cy="862642"/>
                <wp:effectExtent l="0" t="0" r="28575" b="13970"/>
                <wp:wrapNone/>
                <wp:docPr id="6" name="Rectangle 6"/>
                <wp:cNvGraphicFramePr/>
                <a:graphic xmlns:a="http://schemas.openxmlformats.org/drawingml/2006/main">
                  <a:graphicData uri="http://schemas.microsoft.com/office/word/2010/wordprocessingShape">
                    <wps:wsp>
                      <wps:cNvSpPr/>
                      <wps:spPr>
                        <a:xfrm>
                          <a:off x="0" y="0"/>
                          <a:ext cx="5572664" cy="862642"/>
                        </a:xfrm>
                        <a:prstGeom prst="rect">
                          <a:avLst/>
                        </a:prstGeom>
                        <a:solidFill>
                          <a:schemeClr val="accent1">
                            <a:lumMod val="20000"/>
                            <a:lumOff val="80000"/>
                          </a:scheme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B97F5" id="Rectangle 6" o:spid="_x0000_s1026" style="position:absolute;margin-left:0;margin-top:8.2pt;width:438.8pt;height:67.9pt;z-index:-251459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" fillcolor="#deeaf6 [660]" strokecolor="#595959" strokeweight="1pt">
                <w10:wrap anchorx="margin"/>
              </v:rect>
            </w:pict>
          </mc:Fallback>
        </mc:AlternateContent>
      </w:r>
    </w:p>
    <w:p w14:paraId="71DF5D79" w14:textId="77777777" w:rsidR="00E57778" w:rsidRPr="000F5C13" w:rsidRDefault="00E57778" w:rsidP="00EE139E">
      <w:pPr>
        <w:tabs>
          <w:tab w:val="left" w:pos="426"/>
          <w:tab w:val="left" w:pos="2730"/>
        </w:tabs>
        <w:spacing w:after="0" w:line="276" w:lineRule="auto"/>
        <w:ind w:left="142" w:right="380"/>
        <w:contextualSpacing/>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i/>
          <w:noProof/>
          <w:sz w:val="24"/>
          <w:szCs w:val="28"/>
          <w:lang w:val="sq-AL"/>
        </w:rPr>
        <w:t>Pavarësisht faktit që proceset e mësipërme tashmë konsiderohen aktive, në periudhën afatmesme do të synohet të hartohet një plan veprimi, në të cilin do të mirëpërcaktohen instrumentet e targetuara dhe vlerat indikative, si edhe do të formalizohen rregullat në proceset që kanë të bëjnë me menaxhimin e titujve shtetërorë në tregun primar.</w:t>
      </w:r>
    </w:p>
    <w:p w14:paraId="71DF5D7A" w14:textId="77777777" w:rsidR="00E57778" w:rsidRPr="000F5C13" w:rsidRDefault="00E57778" w:rsidP="00E57778">
      <w:pPr>
        <w:tabs>
          <w:tab w:val="left" w:pos="284"/>
          <w:tab w:val="left" w:pos="2730"/>
        </w:tabs>
        <w:spacing w:after="0" w:line="276" w:lineRule="auto"/>
        <w:ind w:right="237"/>
        <w:contextualSpacing/>
        <w:jc w:val="both"/>
        <w:rPr>
          <w:rFonts w:ascii="Times New Roman" w:eastAsia="Times New Roman" w:hAnsi="Times New Roman" w:cs="Times New Roman"/>
          <w:bCs/>
          <w:noProof/>
          <w:sz w:val="16"/>
          <w:szCs w:val="28"/>
          <w:lang w:val="sq-AL"/>
        </w:rPr>
      </w:pPr>
    </w:p>
    <w:p w14:paraId="71DF5D7B" w14:textId="77777777" w:rsidR="00E57778" w:rsidRPr="000F5C13" w:rsidRDefault="00E57778" w:rsidP="00BA3F06">
      <w:pPr>
        <w:pStyle w:val="Heading3"/>
        <w:numPr>
          <w:ilvl w:val="2"/>
          <w:numId w:val="21"/>
        </w:numPr>
        <w:ind w:left="851" w:hanging="851"/>
        <w:rPr>
          <w:rFonts w:eastAsia="Times New Roman"/>
          <w:noProof/>
        </w:rPr>
      </w:pPr>
      <w:bookmarkStart w:id="122" w:name="_Toc491861016"/>
      <w:bookmarkStart w:id="123" w:name="_Toc491954329"/>
      <w:bookmarkStart w:id="124" w:name="_Toc524506556"/>
      <w:r w:rsidRPr="000F5C13">
        <w:rPr>
          <w:rFonts w:eastAsia="Times New Roman"/>
          <w:noProof/>
        </w:rPr>
        <w:t>Rritja e efiçencës</w:t>
      </w:r>
      <w:bookmarkEnd w:id="122"/>
      <w:bookmarkEnd w:id="123"/>
      <w:bookmarkEnd w:id="124"/>
    </w:p>
    <w:p w14:paraId="71DF5D7C" w14:textId="77777777" w:rsidR="00E57778" w:rsidRPr="000F5C13" w:rsidRDefault="00E57778" w:rsidP="00E57778">
      <w:pPr>
        <w:spacing w:after="0"/>
        <w:rPr>
          <w:rFonts w:ascii="Times New Roman" w:eastAsia="Batang" w:hAnsi="Times New Roman" w:cs="Times New Roman"/>
          <w:noProof/>
          <w:sz w:val="16"/>
          <w:szCs w:val="16"/>
          <w:lang w:val="sq-AL"/>
        </w:rPr>
      </w:pPr>
    </w:p>
    <w:p w14:paraId="71DF5D7D" w14:textId="77777777" w:rsidR="00E57778" w:rsidRPr="00BA3F06" w:rsidRDefault="00E57778" w:rsidP="00BA3F06">
      <w:pPr>
        <w:tabs>
          <w:tab w:val="left" w:pos="2730"/>
        </w:tabs>
        <w:spacing w:after="0" w:line="276" w:lineRule="auto"/>
        <w:ind w:right="237"/>
        <w:contextualSpacing/>
        <w:jc w:val="both"/>
        <w:rPr>
          <w:rFonts w:ascii="Times New Roman" w:eastAsia="Times New Roman" w:hAnsi="Times New Roman" w:cs="Times New Roman"/>
          <w:bCs/>
          <w:iCs/>
          <w:noProof/>
          <w:sz w:val="24"/>
          <w:szCs w:val="24"/>
          <w:lang w:val="sq-AL"/>
        </w:rPr>
      </w:pPr>
      <w:r w:rsidRPr="00BA3F06">
        <w:rPr>
          <w:rFonts w:ascii="Times New Roman" w:eastAsia="Times New Roman" w:hAnsi="Times New Roman" w:cs="Times New Roman"/>
          <w:bCs/>
          <w:iCs/>
          <w:noProof/>
          <w:sz w:val="24"/>
          <w:szCs w:val="24"/>
          <w:lang w:val="sq-AL"/>
        </w:rPr>
        <w:t xml:space="preserve">Rritja e efiçencës në tregun e titujve shtetërorë synon uljen e kostove të huamarrjes. Realizimi i këtij objektivi do të përfshijë masa të cilat do të kenë ndikim jo vetëm mbi tregun primar të titujve shtetërorë, por edhe mbi atë sekondar. Masat dhe aktivitetet që planifikohen të ndërmerren do të përfshijnë: </w:t>
      </w:r>
    </w:p>
    <w:p w14:paraId="71DF5D7E" w14:textId="77777777" w:rsidR="00E57778" w:rsidRPr="00884801" w:rsidRDefault="00E57778" w:rsidP="00BA3F06">
      <w:pPr>
        <w:tabs>
          <w:tab w:val="left" w:pos="2730"/>
        </w:tabs>
        <w:spacing w:after="0" w:line="276" w:lineRule="auto"/>
        <w:ind w:left="284" w:right="237" w:hanging="284"/>
        <w:contextualSpacing/>
        <w:jc w:val="both"/>
        <w:rPr>
          <w:rFonts w:ascii="Times New Roman" w:eastAsia="Times New Roman" w:hAnsi="Times New Roman" w:cs="Times New Roman"/>
          <w:bCs/>
          <w:noProof/>
          <w:sz w:val="16"/>
          <w:szCs w:val="28"/>
          <w:highlight w:val="yellow"/>
          <w:lang w:val="sq-AL"/>
        </w:rPr>
      </w:pPr>
    </w:p>
    <w:p w14:paraId="71DF5D7F" w14:textId="77777777" w:rsidR="00E57778" w:rsidRPr="00BA3F06" w:rsidRDefault="00E57778" w:rsidP="00BA3F06">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 xml:space="preserve">Analizimin e rezultateve të projektit pilot për emetimin e obligacioneve 5 vjeçare </w:t>
      </w:r>
      <w:r w:rsidR="00884801" w:rsidRPr="00BA3F06">
        <w:rPr>
          <w:rFonts w:ascii="Times New Roman" w:eastAsia="Times New Roman" w:hAnsi="Times New Roman" w:cs="Times New Roman"/>
          <w:bCs/>
          <w:noProof/>
          <w:sz w:val="24"/>
          <w:szCs w:val="28"/>
          <w:lang w:val="sq-AL"/>
        </w:rPr>
        <w:t xml:space="preserve">dhe 3 vjeçare </w:t>
      </w:r>
      <w:r w:rsidRPr="00BA3F06">
        <w:rPr>
          <w:rFonts w:ascii="Times New Roman" w:eastAsia="Times New Roman" w:hAnsi="Times New Roman" w:cs="Times New Roman"/>
          <w:bCs/>
          <w:noProof/>
          <w:sz w:val="24"/>
          <w:szCs w:val="28"/>
          <w:lang w:val="sq-AL"/>
        </w:rPr>
        <w:t xml:space="preserve">referencë dhe shqyrtimin e mundësisë për shtrirjen e tij </w:t>
      </w:r>
      <w:r w:rsidR="00884801" w:rsidRPr="00BA3F06">
        <w:rPr>
          <w:rFonts w:ascii="Times New Roman" w:eastAsia="Times New Roman" w:hAnsi="Times New Roman" w:cs="Times New Roman"/>
          <w:bCs/>
          <w:noProof/>
          <w:sz w:val="24"/>
          <w:szCs w:val="28"/>
          <w:lang w:val="sq-AL"/>
        </w:rPr>
        <w:t xml:space="preserve">edhe </w:t>
      </w:r>
      <w:r w:rsidRPr="00BA3F06">
        <w:rPr>
          <w:rFonts w:ascii="Times New Roman" w:eastAsia="Times New Roman" w:hAnsi="Times New Roman" w:cs="Times New Roman"/>
          <w:bCs/>
          <w:noProof/>
          <w:sz w:val="24"/>
          <w:szCs w:val="28"/>
          <w:lang w:val="sq-AL"/>
        </w:rPr>
        <w:t>tek titujt e tjerë afatgjatë, në bashkëpunim me aktorët kryesorë të tregut;</w:t>
      </w:r>
    </w:p>
    <w:p w14:paraId="71DF5D80" w14:textId="77777777" w:rsidR="00E57778" w:rsidRPr="00BA3F06" w:rsidRDefault="00E57778" w:rsidP="00BA3F06">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Heqjen e kufizimeve teknike dhe përmirësimin e bazës ligjore në tregun e titujve;</w:t>
      </w:r>
    </w:p>
    <w:p w14:paraId="71DF5D81" w14:textId="77777777" w:rsidR="00E57778" w:rsidRPr="00BA3F06" w:rsidRDefault="00E57778" w:rsidP="00BA3F06">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 xml:space="preserve">Mbajtjen e kontakteve me investitorët për të shkëmbyer informacion dhe për t’u konsultuar në lidhje me iniciativat që do të planifikohen të ndërmerren; </w:t>
      </w:r>
    </w:p>
    <w:p w14:paraId="71DF5D82" w14:textId="77777777" w:rsidR="00E57778" w:rsidRPr="00BA3F06" w:rsidRDefault="00E57778" w:rsidP="00BA3F06">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Zgjerimin e mëtejshëm të bazës së investitorëve jo vetëm në drejtim të investitorëve vendas, por edhe në drejtim të investitorëve të huaj, me qëllim ndërtimin gradual të marrëdhënieve dhe promovimin e tregut vendas të titujve shtetërorë;</w:t>
      </w:r>
    </w:p>
    <w:p w14:paraId="71DF5D83" w14:textId="77777777" w:rsidR="00E57778" w:rsidRPr="00BA3F06" w:rsidRDefault="00E57778" w:rsidP="00BA3F06">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Pjesëmarrjen aktive në konferenca, në të cilat janë të pranishëm investitorët kryesorë;</w:t>
      </w:r>
    </w:p>
    <w:p w14:paraId="71DF5D84" w14:textId="77777777" w:rsidR="00E57778" w:rsidRPr="00BA3F06" w:rsidRDefault="00E57778" w:rsidP="00BA3F06">
      <w:pPr>
        <w:numPr>
          <w:ilvl w:val="0"/>
          <w:numId w:val="4"/>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Krijimin e kanaleve të komunikimit elektronik</w:t>
      </w:r>
      <w:r w:rsidR="00BB3352">
        <w:rPr>
          <w:rFonts w:ascii="Times New Roman" w:eastAsia="Times New Roman" w:hAnsi="Times New Roman" w:cs="Times New Roman"/>
          <w:bCs/>
          <w:noProof/>
          <w:sz w:val="24"/>
          <w:szCs w:val="28"/>
          <w:lang w:val="sq-AL"/>
        </w:rPr>
        <w:t xml:space="preserve"> dhe fizik</w:t>
      </w:r>
      <w:r w:rsidRPr="00BA3F06">
        <w:rPr>
          <w:rFonts w:ascii="Times New Roman" w:eastAsia="Times New Roman" w:hAnsi="Times New Roman" w:cs="Times New Roman"/>
          <w:bCs/>
          <w:noProof/>
          <w:sz w:val="24"/>
          <w:szCs w:val="28"/>
          <w:lang w:val="sq-AL"/>
        </w:rPr>
        <w:t xml:space="preserve"> me investitorët vendas dhe të huaj.</w:t>
      </w:r>
    </w:p>
    <w:p w14:paraId="71DF5D85" w14:textId="77777777" w:rsidR="00E57778" w:rsidRPr="000F5C13" w:rsidRDefault="00E57778" w:rsidP="00E57778">
      <w:pPr>
        <w:tabs>
          <w:tab w:val="left" w:pos="2730"/>
        </w:tabs>
        <w:spacing w:after="0" w:line="276" w:lineRule="auto"/>
        <w:ind w:right="237"/>
        <w:contextualSpacing/>
        <w:jc w:val="both"/>
        <w:rPr>
          <w:rFonts w:ascii="Times New Roman" w:eastAsia="Times New Roman" w:hAnsi="Times New Roman" w:cs="Times New Roman"/>
          <w:bCs/>
          <w:i/>
          <w:iCs/>
          <w:noProof/>
          <w:sz w:val="16"/>
          <w:szCs w:val="14"/>
          <w:lang w:val="sq-AL"/>
        </w:rPr>
      </w:pPr>
    </w:p>
    <w:p w14:paraId="71DF5D86" w14:textId="77777777" w:rsidR="00E57778" w:rsidRPr="000F5C13" w:rsidRDefault="00E57778" w:rsidP="00BA3F06">
      <w:pPr>
        <w:pStyle w:val="Heading3"/>
        <w:numPr>
          <w:ilvl w:val="2"/>
          <w:numId w:val="21"/>
        </w:numPr>
        <w:ind w:left="851" w:hanging="851"/>
        <w:rPr>
          <w:rFonts w:ascii="Times New Roman" w:eastAsia="Times New Roman" w:hAnsi="Times New Roman"/>
          <w:noProof/>
          <w:szCs w:val="28"/>
        </w:rPr>
      </w:pPr>
      <w:bookmarkStart w:id="125" w:name="_Toc491861017"/>
      <w:bookmarkStart w:id="126" w:name="_Toc491954330"/>
      <w:bookmarkStart w:id="127" w:name="_Toc524506557"/>
      <w:r w:rsidRPr="000F5C13">
        <w:rPr>
          <w:rFonts w:eastAsia="Times New Roman"/>
          <w:noProof/>
        </w:rPr>
        <w:t>Rritja e transparencës</w:t>
      </w:r>
      <w:bookmarkEnd w:id="125"/>
      <w:bookmarkEnd w:id="126"/>
      <w:bookmarkEnd w:id="127"/>
    </w:p>
    <w:p w14:paraId="71DF5D87" w14:textId="77777777" w:rsidR="00E57778" w:rsidRPr="000F5C13" w:rsidRDefault="00E57778" w:rsidP="00E57778">
      <w:pPr>
        <w:tabs>
          <w:tab w:val="left" w:pos="2730"/>
        </w:tabs>
        <w:spacing w:after="0" w:line="276" w:lineRule="auto"/>
        <w:ind w:left="426" w:right="237"/>
        <w:contextualSpacing/>
        <w:jc w:val="both"/>
        <w:rPr>
          <w:rFonts w:ascii="Times New Roman" w:eastAsia="Times New Roman" w:hAnsi="Times New Roman" w:cs="Times New Roman"/>
          <w:bCs/>
          <w:noProof/>
          <w:sz w:val="16"/>
          <w:szCs w:val="14"/>
          <w:lang w:val="sq-AL"/>
        </w:rPr>
      </w:pPr>
    </w:p>
    <w:p w14:paraId="71DF5D88" w14:textId="77777777" w:rsidR="00E57778" w:rsidRPr="000F5C13" w:rsidRDefault="00E57778" w:rsidP="00BA3F06">
      <w:pPr>
        <w:tabs>
          <w:tab w:val="left" w:pos="2730"/>
        </w:tabs>
        <w:spacing w:after="0" w:line="276" w:lineRule="auto"/>
        <w:ind w:right="237"/>
        <w:jc w:val="both"/>
        <w:rPr>
          <w:rFonts w:ascii="Times New Roman" w:eastAsia="Times New Roman" w:hAnsi="Times New Roman" w:cs="Times New Roman"/>
          <w:bCs/>
          <w:iCs/>
          <w:noProof/>
          <w:sz w:val="24"/>
          <w:szCs w:val="24"/>
          <w:lang w:val="sq-AL"/>
        </w:rPr>
      </w:pPr>
      <w:r w:rsidRPr="00BA3F06">
        <w:rPr>
          <w:rFonts w:ascii="Times New Roman" w:eastAsia="Times New Roman" w:hAnsi="Times New Roman" w:cs="Times New Roman"/>
          <w:bCs/>
          <w:iCs/>
          <w:noProof/>
          <w:sz w:val="24"/>
          <w:szCs w:val="24"/>
          <w:lang w:val="sq-AL"/>
        </w:rPr>
        <w:t>Masat dhe aktivitetet e ndërmarra në kuadër të realizimit të këtij objektivi do të kontribuojnë në reduktimin e paqartësive dhe rritjen e parashikueshmërisë në tregun e titujve shtetërorë, duke përfshirë:</w:t>
      </w:r>
    </w:p>
    <w:p w14:paraId="71DF5D89" w14:textId="77777777" w:rsidR="00E57778" w:rsidRPr="000F5C13" w:rsidRDefault="00E57778" w:rsidP="00E57778">
      <w:pPr>
        <w:tabs>
          <w:tab w:val="left" w:pos="2730"/>
        </w:tabs>
        <w:spacing w:after="0" w:line="276" w:lineRule="auto"/>
        <w:ind w:left="360" w:right="237"/>
        <w:jc w:val="both"/>
        <w:rPr>
          <w:rFonts w:ascii="Times New Roman" w:eastAsia="Times New Roman" w:hAnsi="Times New Roman" w:cs="Times New Roman"/>
          <w:bCs/>
          <w:noProof/>
          <w:sz w:val="16"/>
          <w:szCs w:val="14"/>
          <w:lang w:val="sq-AL"/>
        </w:rPr>
      </w:pPr>
    </w:p>
    <w:p w14:paraId="71DF5D8A" w14:textId="77777777" w:rsidR="00E57778" w:rsidRPr="00BA3F06" w:rsidRDefault="00E57778" w:rsidP="00BA3F06">
      <w:pPr>
        <w:numPr>
          <w:ilvl w:val="0"/>
          <w:numId w:val="10"/>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iCs/>
          <w:noProof/>
          <w:sz w:val="24"/>
          <w:szCs w:val="24"/>
          <w:lang w:val="sq-AL"/>
        </w:rPr>
        <w:t xml:space="preserve">Komunikimin transparent dhe në kohë të planeve të huamarrjes </w:t>
      </w:r>
      <w:r w:rsidR="007815A5">
        <w:rPr>
          <w:rFonts w:ascii="Times New Roman" w:eastAsia="Times New Roman" w:hAnsi="Times New Roman" w:cs="Times New Roman"/>
          <w:bCs/>
          <w:iCs/>
          <w:noProof/>
          <w:sz w:val="24"/>
          <w:szCs w:val="24"/>
          <w:lang w:val="sq-AL"/>
        </w:rPr>
        <w:t>mujore</w:t>
      </w:r>
      <w:r w:rsidRPr="00BA3F06">
        <w:rPr>
          <w:rFonts w:ascii="Times New Roman" w:eastAsia="Times New Roman" w:hAnsi="Times New Roman" w:cs="Times New Roman"/>
          <w:bCs/>
          <w:iCs/>
          <w:noProof/>
          <w:sz w:val="24"/>
          <w:szCs w:val="24"/>
          <w:lang w:val="sq-AL"/>
        </w:rPr>
        <w:t xml:space="preserve">, tremujore dhe </w:t>
      </w:r>
      <w:r w:rsidR="007815A5">
        <w:rPr>
          <w:rFonts w:ascii="Times New Roman" w:eastAsia="Times New Roman" w:hAnsi="Times New Roman" w:cs="Times New Roman"/>
          <w:bCs/>
          <w:iCs/>
          <w:noProof/>
          <w:sz w:val="24"/>
          <w:szCs w:val="24"/>
          <w:lang w:val="sq-AL"/>
        </w:rPr>
        <w:t>vjetore</w:t>
      </w:r>
      <w:r w:rsidRPr="00BA3F06">
        <w:rPr>
          <w:rFonts w:ascii="Times New Roman" w:eastAsia="Times New Roman" w:hAnsi="Times New Roman" w:cs="Times New Roman"/>
          <w:bCs/>
          <w:iCs/>
          <w:noProof/>
          <w:sz w:val="24"/>
          <w:szCs w:val="24"/>
          <w:lang w:val="sq-AL"/>
        </w:rPr>
        <w:t>;</w:t>
      </w:r>
    </w:p>
    <w:p w14:paraId="71DF5D8B" w14:textId="77777777" w:rsidR="00E57778" w:rsidRPr="00BA3F06" w:rsidRDefault="00E57778" w:rsidP="00BA3F06">
      <w:pPr>
        <w:numPr>
          <w:ilvl w:val="0"/>
          <w:numId w:val="10"/>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iCs/>
          <w:noProof/>
          <w:sz w:val="24"/>
          <w:szCs w:val="24"/>
          <w:lang w:val="sq-AL"/>
        </w:rPr>
        <w:t>Publikimin e rezultateve të ankandeve në një kohë sa më të shkurtër;</w:t>
      </w:r>
    </w:p>
    <w:p w14:paraId="71DF5D8C" w14:textId="77777777" w:rsidR="00E57778" w:rsidRPr="00BA3F06" w:rsidRDefault="00E57778" w:rsidP="00BA3F06">
      <w:pPr>
        <w:numPr>
          <w:ilvl w:val="0"/>
          <w:numId w:val="10"/>
        </w:numPr>
        <w:tabs>
          <w:tab w:val="left" w:pos="2730"/>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iCs/>
          <w:noProof/>
          <w:sz w:val="24"/>
          <w:szCs w:val="24"/>
          <w:lang w:val="sq-AL"/>
        </w:rPr>
        <w:t>Publikimin në kohë dhe në formate të përpunueshme të informacioneve të nevojshme për kryerjen e parashikimeve të çmimeve në tregun e titujve.</w:t>
      </w:r>
    </w:p>
    <w:p w14:paraId="71DF5D8D" w14:textId="77777777" w:rsidR="00E57778" w:rsidRPr="000F5C13" w:rsidRDefault="00E57778" w:rsidP="00E57778">
      <w:pPr>
        <w:tabs>
          <w:tab w:val="left" w:pos="2730"/>
        </w:tabs>
        <w:spacing w:after="0" w:line="276" w:lineRule="auto"/>
        <w:ind w:right="237"/>
        <w:jc w:val="both"/>
        <w:rPr>
          <w:rFonts w:ascii="Times New Roman" w:eastAsia="Times New Roman" w:hAnsi="Times New Roman" w:cs="Times New Roman"/>
          <w:b/>
          <w:bCs/>
          <w:noProof/>
          <w:sz w:val="16"/>
          <w:szCs w:val="14"/>
          <w:lang w:val="sq-AL"/>
        </w:rPr>
      </w:pPr>
    </w:p>
    <w:p w14:paraId="71DF5D8E" w14:textId="77777777" w:rsidR="00E57778" w:rsidRPr="00BA3F06" w:rsidRDefault="00E57778" w:rsidP="00BA3F06">
      <w:pPr>
        <w:pStyle w:val="Heading2"/>
        <w:numPr>
          <w:ilvl w:val="1"/>
          <w:numId w:val="21"/>
        </w:numPr>
        <w:ind w:left="709" w:hanging="709"/>
        <w:rPr>
          <w:rFonts w:eastAsia="Times New Roman"/>
          <w:noProof/>
          <w:lang w:val="sq-AL"/>
        </w:rPr>
      </w:pPr>
      <w:bookmarkStart w:id="128" w:name="_Toc491861018"/>
      <w:bookmarkStart w:id="129" w:name="_Toc491954331"/>
      <w:bookmarkStart w:id="130" w:name="_Toc524506558"/>
      <w:r w:rsidRPr="00BA3F06">
        <w:rPr>
          <w:rFonts w:eastAsia="Times New Roman"/>
          <w:noProof/>
          <w:lang w:val="sq-AL"/>
        </w:rPr>
        <w:t>Menaxhimi i borxhit shtetëror të garantuar</w:t>
      </w:r>
      <w:bookmarkEnd w:id="128"/>
      <w:bookmarkEnd w:id="129"/>
      <w:bookmarkEnd w:id="130"/>
    </w:p>
    <w:p w14:paraId="71DF5D8F" w14:textId="77777777" w:rsidR="00E57778" w:rsidRPr="00BA3F06" w:rsidRDefault="00E57778" w:rsidP="00E57778">
      <w:pPr>
        <w:spacing w:after="0"/>
        <w:rPr>
          <w:rFonts w:eastAsia="Batang"/>
          <w:noProof/>
          <w:sz w:val="16"/>
          <w:szCs w:val="14"/>
          <w:lang w:val="sq-AL"/>
        </w:rPr>
      </w:pPr>
    </w:p>
    <w:p w14:paraId="71DF5D90" w14:textId="77777777" w:rsidR="00E57778" w:rsidRPr="00BA3F06" w:rsidRDefault="00E57778" w:rsidP="00BA3F06">
      <w:pPr>
        <w:pStyle w:val="Heading3"/>
        <w:numPr>
          <w:ilvl w:val="2"/>
          <w:numId w:val="21"/>
        </w:numPr>
        <w:ind w:left="851" w:hanging="851"/>
        <w:rPr>
          <w:rFonts w:ascii="Times New Roman" w:eastAsia="Times New Roman" w:hAnsi="Times New Roman"/>
          <w:noProof/>
          <w:szCs w:val="28"/>
        </w:rPr>
      </w:pPr>
      <w:bookmarkStart w:id="131" w:name="_Toc491954332"/>
      <w:bookmarkStart w:id="132" w:name="_Toc524506559"/>
      <w:r w:rsidRPr="00BA3F06">
        <w:rPr>
          <w:rFonts w:eastAsia="Times New Roman"/>
          <w:noProof/>
        </w:rPr>
        <w:t>Kriteret bazë për emetimin e garancive shtetërore</w:t>
      </w:r>
      <w:bookmarkEnd w:id="131"/>
      <w:bookmarkEnd w:id="132"/>
    </w:p>
    <w:p w14:paraId="71DF5D91" w14:textId="77777777" w:rsidR="00E57778" w:rsidRPr="00BA3F06" w:rsidRDefault="00E57778" w:rsidP="00E57778">
      <w:pPr>
        <w:tabs>
          <w:tab w:val="left" w:pos="2730"/>
        </w:tabs>
        <w:spacing w:after="0" w:line="276" w:lineRule="auto"/>
        <w:ind w:right="237"/>
        <w:jc w:val="both"/>
        <w:rPr>
          <w:rFonts w:ascii="Times New Roman" w:eastAsia="Times New Roman" w:hAnsi="Times New Roman" w:cs="Times New Roman"/>
          <w:bCs/>
          <w:noProof/>
          <w:sz w:val="14"/>
          <w:szCs w:val="14"/>
          <w:lang w:val="sq-AL"/>
        </w:rPr>
      </w:pPr>
    </w:p>
    <w:p w14:paraId="71DF5D92" w14:textId="77777777" w:rsidR="00E57778" w:rsidRPr="00BA3F06" w:rsidRDefault="00E57778" w:rsidP="00BA3F06">
      <w:pPr>
        <w:tabs>
          <w:tab w:val="left" w:pos="2730"/>
        </w:tabs>
        <w:spacing w:after="0" w:line="276" w:lineRule="auto"/>
        <w:ind w:right="237"/>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Me qëllim mbajtjen nën kontroll ose reduktimin e riskut që buron nga emetimi i garancive shtetërore, si edhe njëkohësisht shfrytëzimin e avantazheve që burojnë nga përdorimi i këtyre instrumenteve si politika ekonomike shtetërore, në periudhën afatmesme do të zbatohen kriteret e mëposhtme:</w:t>
      </w:r>
    </w:p>
    <w:p w14:paraId="71DF5D93" w14:textId="77777777" w:rsidR="00E57778" w:rsidRPr="00BA3F06" w:rsidRDefault="00E57778" w:rsidP="00E57778">
      <w:pPr>
        <w:tabs>
          <w:tab w:val="left" w:pos="2730"/>
        </w:tabs>
        <w:spacing w:after="0" w:line="276" w:lineRule="auto"/>
        <w:ind w:left="284" w:right="237"/>
        <w:contextualSpacing/>
        <w:jc w:val="both"/>
        <w:rPr>
          <w:rFonts w:ascii="Times New Roman" w:eastAsia="Times New Roman" w:hAnsi="Times New Roman" w:cs="Times New Roman"/>
          <w:bCs/>
          <w:noProof/>
          <w:sz w:val="16"/>
          <w:szCs w:val="28"/>
          <w:lang w:val="sq-AL"/>
        </w:rPr>
      </w:pPr>
    </w:p>
    <w:p w14:paraId="71DF5D94" w14:textId="77777777" w:rsidR="00E57778" w:rsidRPr="00BA3F06" w:rsidRDefault="00E57778" w:rsidP="00BA3F06">
      <w:pPr>
        <w:numPr>
          <w:ilvl w:val="0"/>
          <w:numId w:val="11"/>
        </w:numPr>
        <w:tabs>
          <w:tab w:val="left" w:pos="567"/>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lastRenderedPageBreak/>
        <w:t>Garancitë shtetërore do të emetohen në drejtim të mbështetjes së projekteve me natyrë zhvillimore dhe që mbështesin ngritjen e infrastrukturës, zhvillimin rajonal, mbrojtjen mjedisore dhe krijimin e vendeve të reja të punës;</w:t>
      </w:r>
    </w:p>
    <w:p w14:paraId="71DF5D95" w14:textId="77777777" w:rsidR="00E57778" w:rsidRPr="00BA3F06" w:rsidRDefault="00E57778" w:rsidP="00BA3F06">
      <w:pPr>
        <w:numPr>
          <w:ilvl w:val="0"/>
          <w:numId w:val="11"/>
        </w:numPr>
        <w:tabs>
          <w:tab w:val="left" w:pos="567"/>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Garancitë shtetërore mund të emetohen edhe me qëllim që të mbështesin masat që mund të ndërmerren në rastet e ndonjë krize të sistemit financiar;</w:t>
      </w:r>
    </w:p>
    <w:p w14:paraId="71DF5D96" w14:textId="77777777" w:rsidR="00E57778" w:rsidRPr="00BA3F06" w:rsidRDefault="00E57778" w:rsidP="00BA3F06">
      <w:pPr>
        <w:numPr>
          <w:ilvl w:val="0"/>
          <w:numId w:val="11"/>
        </w:numPr>
        <w:tabs>
          <w:tab w:val="left" w:pos="567"/>
        </w:tabs>
        <w:spacing w:after="0" w:line="276" w:lineRule="auto"/>
        <w:ind w:left="284" w:right="237" w:hanging="284"/>
        <w:contextualSpacing/>
        <w:jc w:val="both"/>
        <w:rPr>
          <w:rFonts w:ascii="Times New Roman" w:eastAsia="Times New Roman" w:hAnsi="Times New Roman" w:cs="Times New Roman"/>
          <w:bCs/>
          <w:noProof/>
          <w:sz w:val="24"/>
          <w:szCs w:val="28"/>
          <w:lang w:val="sq-AL"/>
        </w:rPr>
      </w:pPr>
      <w:r w:rsidRPr="00BA3F06">
        <w:rPr>
          <w:rFonts w:ascii="Times New Roman" w:eastAsia="Times New Roman" w:hAnsi="Times New Roman" w:cs="Times New Roman"/>
          <w:bCs/>
          <w:noProof/>
          <w:sz w:val="24"/>
          <w:szCs w:val="28"/>
          <w:lang w:val="sq-AL"/>
        </w:rPr>
        <w:t>Ristrukturimi i portofolit të garancive shtetërore nëpërmjet reduktimit ose shkëmbimit të huave të garantuara me nivel të lartë risku potencial (p.sh. garancitë e brendshme që janë emetuar në favor të sektorit të energjisë).</w:t>
      </w:r>
    </w:p>
    <w:p w14:paraId="71DF5D97" w14:textId="77777777" w:rsidR="00E57778" w:rsidRPr="00884801" w:rsidRDefault="00E57778" w:rsidP="00E57778">
      <w:pPr>
        <w:tabs>
          <w:tab w:val="left" w:pos="709"/>
        </w:tabs>
        <w:spacing w:after="0" w:line="276" w:lineRule="auto"/>
        <w:ind w:left="709" w:right="237"/>
        <w:contextualSpacing/>
        <w:jc w:val="both"/>
        <w:rPr>
          <w:rFonts w:ascii="Times New Roman" w:eastAsia="Times New Roman" w:hAnsi="Times New Roman" w:cs="Times New Roman"/>
          <w:bCs/>
          <w:noProof/>
          <w:sz w:val="16"/>
          <w:szCs w:val="28"/>
          <w:highlight w:val="yellow"/>
          <w:lang w:val="sq-AL"/>
        </w:rPr>
      </w:pPr>
    </w:p>
    <w:p w14:paraId="71DF5D98" w14:textId="77777777" w:rsidR="00E57778" w:rsidRPr="007D5B87" w:rsidRDefault="00E57778" w:rsidP="00BA3F06">
      <w:pPr>
        <w:pStyle w:val="Heading3"/>
        <w:numPr>
          <w:ilvl w:val="2"/>
          <w:numId w:val="21"/>
        </w:numPr>
        <w:ind w:left="851" w:hanging="851"/>
        <w:rPr>
          <w:rFonts w:ascii="Times New Roman" w:eastAsia="Times New Roman" w:hAnsi="Times New Roman"/>
          <w:noProof/>
          <w:szCs w:val="28"/>
        </w:rPr>
      </w:pPr>
      <w:bookmarkStart w:id="133" w:name="_Toc491954333"/>
      <w:bookmarkStart w:id="134" w:name="_Toc524506560"/>
      <w:r w:rsidRPr="007D5B87">
        <w:rPr>
          <w:rFonts w:eastAsia="Times New Roman"/>
          <w:noProof/>
        </w:rPr>
        <w:t>Niveli i garancive shtetërore</w:t>
      </w:r>
      <w:bookmarkEnd w:id="133"/>
      <w:bookmarkEnd w:id="134"/>
    </w:p>
    <w:p w14:paraId="71DF5D99" w14:textId="77777777" w:rsidR="00E57778" w:rsidRPr="00884801" w:rsidRDefault="00E57778" w:rsidP="00E57778">
      <w:pPr>
        <w:pStyle w:val="Heading3"/>
        <w:numPr>
          <w:ilvl w:val="0"/>
          <w:numId w:val="0"/>
        </w:numPr>
        <w:ind w:left="630"/>
        <w:rPr>
          <w:rFonts w:ascii="Times New Roman" w:eastAsia="Times New Roman" w:hAnsi="Times New Roman" w:cs="Times New Roman"/>
          <w:bCs/>
          <w:noProof/>
          <w:sz w:val="16"/>
          <w:szCs w:val="28"/>
          <w:highlight w:val="yellow"/>
        </w:rPr>
      </w:pPr>
    </w:p>
    <w:p w14:paraId="71DF5D9A" w14:textId="77777777" w:rsidR="00E57778" w:rsidRPr="000F5C13" w:rsidRDefault="00E57778" w:rsidP="00BA3F06">
      <w:pPr>
        <w:tabs>
          <w:tab w:val="left" w:pos="709"/>
        </w:tabs>
        <w:spacing w:after="0" w:line="276" w:lineRule="auto"/>
        <w:ind w:right="237"/>
        <w:jc w:val="both"/>
        <w:rPr>
          <w:rFonts w:ascii="Times New Roman" w:eastAsia="Times New Roman" w:hAnsi="Times New Roman" w:cs="Times New Roman"/>
          <w:bCs/>
          <w:noProof/>
          <w:sz w:val="24"/>
          <w:szCs w:val="28"/>
          <w:lang w:val="sq-AL"/>
        </w:rPr>
      </w:pPr>
      <w:r w:rsidRPr="007D5B87">
        <w:rPr>
          <w:rFonts w:ascii="Times New Roman" w:eastAsia="Times New Roman" w:hAnsi="Times New Roman" w:cs="Times New Roman"/>
          <w:bCs/>
          <w:noProof/>
          <w:sz w:val="24"/>
          <w:szCs w:val="28"/>
          <w:lang w:val="sq-AL"/>
        </w:rPr>
        <w:t>Niveli vjetor i garancive shtetërore do të përcaktohet në ligjet vjetore të buxhetit. Ndërkohë, në periudhën afatmesme niveli i garancive shtetërore p</w:t>
      </w:r>
      <w:r w:rsidR="00884801" w:rsidRPr="007D5B87">
        <w:rPr>
          <w:rFonts w:ascii="Times New Roman" w:eastAsia="Times New Roman" w:hAnsi="Times New Roman" w:cs="Times New Roman"/>
          <w:bCs/>
          <w:noProof/>
          <w:sz w:val="24"/>
          <w:szCs w:val="28"/>
          <w:lang w:val="sq-AL"/>
        </w:rPr>
        <w:t>lanifikohet</w:t>
      </w:r>
      <w:r w:rsidRPr="007D5B87">
        <w:rPr>
          <w:rFonts w:ascii="Times New Roman" w:eastAsia="Times New Roman" w:hAnsi="Times New Roman" w:cs="Times New Roman"/>
          <w:bCs/>
          <w:noProof/>
          <w:sz w:val="24"/>
          <w:szCs w:val="28"/>
          <w:lang w:val="sq-AL"/>
        </w:rPr>
        <w:t xml:space="preserve"> të qëndrojë në</w:t>
      </w:r>
      <w:r w:rsidR="007D5B87" w:rsidRPr="007D5B87">
        <w:rPr>
          <w:rFonts w:ascii="Times New Roman" w:eastAsia="Times New Roman" w:hAnsi="Times New Roman" w:cs="Times New Roman"/>
          <w:bCs/>
          <w:noProof/>
          <w:sz w:val="24"/>
          <w:szCs w:val="28"/>
          <w:lang w:val="sq-AL"/>
        </w:rPr>
        <w:t>n</w:t>
      </w:r>
      <w:r w:rsidRPr="007D5B87">
        <w:rPr>
          <w:rFonts w:ascii="Times New Roman" w:eastAsia="Times New Roman" w:hAnsi="Times New Roman" w:cs="Times New Roman"/>
          <w:bCs/>
          <w:noProof/>
          <w:sz w:val="24"/>
          <w:szCs w:val="28"/>
          <w:lang w:val="sq-AL"/>
        </w:rPr>
        <w:t xml:space="preserve"> 5%</w:t>
      </w:r>
      <w:r w:rsidR="007D5B87" w:rsidRPr="007D5B87">
        <w:rPr>
          <w:rFonts w:ascii="Times New Roman" w:eastAsia="Times New Roman" w:hAnsi="Times New Roman" w:cs="Times New Roman"/>
          <w:bCs/>
          <w:noProof/>
          <w:sz w:val="24"/>
          <w:szCs w:val="28"/>
          <w:lang w:val="sq-AL"/>
        </w:rPr>
        <w:t xml:space="preserve"> </w:t>
      </w:r>
      <w:r w:rsidRPr="007D5B87">
        <w:rPr>
          <w:rFonts w:ascii="Times New Roman" w:eastAsia="Times New Roman" w:hAnsi="Times New Roman" w:cs="Times New Roman"/>
          <w:bCs/>
          <w:noProof/>
          <w:sz w:val="24"/>
          <w:szCs w:val="28"/>
          <w:lang w:val="sq-AL"/>
        </w:rPr>
        <w:t>të totalit të borxhit të qeverisjes qendrore.</w:t>
      </w:r>
    </w:p>
    <w:p w14:paraId="71DF5D9B" w14:textId="77777777" w:rsidR="00E57778" w:rsidRPr="000F5C13" w:rsidRDefault="00E57778" w:rsidP="00E57778">
      <w:pPr>
        <w:tabs>
          <w:tab w:val="left" w:pos="709"/>
        </w:tabs>
        <w:spacing w:after="0" w:line="276" w:lineRule="auto"/>
        <w:ind w:left="284" w:right="237"/>
        <w:jc w:val="both"/>
        <w:rPr>
          <w:rFonts w:ascii="Times New Roman" w:eastAsia="Times New Roman" w:hAnsi="Times New Roman" w:cs="Times New Roman"/>
          <w:bCs/>
          <w:noProof/>
          <w:sz w:val="20"/>
          <w:szCs w:val="28"/>
          <w:lang w:val="sq-AL"/>
        </w:rPr>
      </w:pPr>
    </w:p>
    <w:p w14:paraId="71DF5D9C" w14:textId="77777777" w:rsidR="00E57778" w:rsidRPr="000F5C13" w:rsidRDefault="00E57778" w:rsidP="00BA3F06">
      <w:pPr>
        <w:pStyle w:val="Heading2"/>
        <w:numPr>
          <w:ilvl w:val="1"/>
          <w:numId w:val="21"/>
        </w:numPr>
        <w:ind w:left="709" w:hanging="709"/>
        <w:rPr>
          <w:rFonts w:ascii="Times New Roman" w:eastAsia="Times New Roman" w:hAnsi="Times New Roman"/>
          <w:noProof/>
          <w:szCs w:val="28"/>
          <w:lang w:val="sq-AL"/>
        </w:rPr>
      </w:pPr>
      <w:bookmarkStart w:id="135" w:name="_Toc491861019"/>
      <w:bookmarkStart w:id="136" w:name="_Toc491954334"/>
      <w:bookmarkStart w:id="137" w:name="_Toc524506561"/>
      <w:r w:rsidRPr="000F5C13">
        <w:rPr>
          <w:rFonts w:eastAsia="Times New Roman"/>
          <w:noProof/>
          <w:lang w:val="sq-AL"/>
        </w:rPr>
        <w:t>Pritjet e treguesve bazë dhe analiza e ndjeshmërisë</w:t>
      </w:r>
      <w:bookmarkEnd w:id="135"/>
      <w:bookmarkEnd w:id="136"/>
      <w:bookmarkEnd w:id="137"/>
      <w:r w:rsidRPr="000F5C13">
        <w:rPr>
          <w:rFonts w:eastAsia="Times New Roman"/>
          <w:noProof/>
          <w:lang w:val="sq-AL"/>
        </w:rPr>
        <w:t xml:space="preserve"> </w:t>
      </w:r>
    </w:p>
    <w:p w14:paraId="71DF5D9D" w14:textId="77777777" w:rsidR="00E57778" w:rsidRPr="000F5C13" w:rsidRDefault="00E57778" w:rsidP="00E57778">
      <w:pPr>
        <w:tabs>
          <w:tab w:val="left" w:pos="2730"/>
        </w:tabs>
        <w:spacing w:after="0" w:line="276" w:lineRule="auto"/>
        <w:ind w:left="284" w:right="237"/>
        <w:jc w:val="both"/>
        <w:rPr>
          <w:rFonts w:ascii="Times New Roman" w:eastAsia="Times New Roman" w:hAnsi="Times New Roman" w:cs="Times New Roman"/>
          <w:bCs/>
          <w:iCs/>
          <w:noProof/>
          <w:sz w:val="20"/>
          <w:szCs w:val="24"/>
          <w:lang w:val="sq-AL"/>
        </w:rPr>
      </w:pPr>
    </w:p>
    <w:p w14:paraId="71DF5D9E" w14:textId="77777777" w:rsidR="00E57778" w:rsidRPr="000F5C13" w:rsidRDefault="00E57778" w:rsidP="00BA3F06">
      <w:pPr>
        <w:tabs>
          <w:tab w:val="left" w:pos="2730"/>
        </w:tabs>
        <w:spacing w:after="0" w:line="276" w:lineRule="auto"/>
        <w:ind w:right="237"/>
        <w:jc w:val="both"/>
        <w:rPr>
          <w:rFonts w:ascii="Times New Roman" w:eastAsia="Times New Roman" w:hAnsi="Times New Roman" w:cs="Times New Roman"/>
          <w:bCs/>
          <w:iCs/>
          <w:noProof/>
          <w:sz w:val="24"/>
          <w:szCs w:val="24"/>
          <w:lang w:val="sq-AL"/>
        </w:rPr>
      </w:pPr>
      <w:r w:rsidRPr="007D5B87">
        <w:rPr>
          <w:rFonts w:ascii="Times New Roman" w:eastAsia="Times New Roman" w:hAnsi="Times New Roman" w:cs="Times New Roman"/>
          <w:bCs/>
          <w:iCs/>
          <w:noProof/>
          <w:sz w:val="24"/>
          <w:szCs w:val="24"/>
          <w:lang w:val="sq-AL"/>
        </w:rPr>
        <w:t>Implementimi i SAMB në përputhje me objektivat e vendosura dhe në linjë me supozimet makro-fiskale në skenarin bazë, në fund të periudhës afatmesme do të gjenerojë treguesit si më poshtë:</w:t>
      </w:r>
    </w:p>
    <w:p w14:paraId="71DF5D9F" w14:textId="77777777" w:rsidR="00E57778" w:rsidRPr="000F5C13" w:rsidRDefault="00E57778" w:rsidP="00E57778">
      <w:pPr>
        <w:tabs>
          <w:tab w:val="left" w:pos="2730"/>
        </w:tabs>
        <w:spacing w:after="0" w:line="276" w:lineRule="auto"/>
        <w:ind w:left="284" w:right="237"/>
        <w:jc w:val="both"/>
        <w:rPr>
          <w:rFonts w:ascii="Times New Roman" w:eastAsia="Times New Roman" w:hAnsi="Times New Roman" w:cs="Times New Roman"/>
          <w:bCs/>
          <w:noProof/>
          <w:sz w:val="16"/>
          <w:szCs w:val="14"/>
          <w:lang w:val="sq-AL"/>
        </w:rPr>
      </w:pPr>
    </w:p>
    <w:p w14:paraId="71DF5DA0" w14:textId="77777777" w:rsidR="00E57778" w:rsidRPr="000F5C13" w:rsidRDefault="00E57778" w:rsidP="007D5B87">
      <w:pPr>
        <w:pStyle w:val="Heading3"/>
        <w:numPr>
          <w:ilvl w:val="2"/>
          <w:numId w:val="21"/>
        </w:numPr>
        <w:ind w:left="851" w:hanging="851"/>
        <w:rPr>
          <w:rFonts w:ascii="Times New Roman" w:eastAsia="Times New Roman" w:hAnsi="Times New Roman"/>
          <w:noProof/>
          <w:szCs w:val="28"/>
        </w:rPr>
      </w:pPr>
      <w:bookmarkStart w:id="138" w:name="_Toc491861020"/>
      <w:bookmarkStart w:id="139" w:name="_Toc491954335"/>
      <w:bookmarkStart w:id="140" w:name="_Toc524506562"/>
      <w:r w:rsidRPr="000F5C13">
        <w:rPr>
          <w:rFonts w:eastAsia="Times New Roman"/>
          <w:noProof/>
        </w:rPr>
        <w:t>Niveli i borxhit të Qeverisjes Qendrore</w:t>
      </w:r>
      <w:bookmarkEnd w:id="138"/>
      <w:bookmarkEnd w:id="139"/>
      <w:bookmarkEnd w:id="140"/>
    </w:p>
    <w:p w14:paraId="71DF5DA1" w14:textId="77777777" w:rsidR="00E57778" w:rsidRPr="000F5C13" w:rsidRDefault="00E57778" w:rsidP="00E57778">
      <w:pPr>
        <w:tabs>
          <w:tab w:val="left" w:pos="2730"/>
        </w:tabs>
        <w:spacing w:after="0" w:line="276" w:lineRule="auto"/>
        <w:ind w:left="284" w:right="237"/>
        <w:jc w:val="both"/>
        <w:rPr>
          <w:rFonts w:ascii="Times New Roman" w:eastAsia="Times New Roman" w:hAnsi="Times New Roman" w:cs="Times New Roman"/>
          <w:bCs/>
          <w:iCs/>
          <w:noProof/>
          <w:sz w:val="16"/>
          <w:szCs w:val="24"/>
          <w:lang w:val="sq-AL"/>
        </w:rPr>
      </w:pPr>
    </w:p>
    <w:p w14:paraId="71DF5DA2" w14:textId="77777777" w:rsidR="00E57778" w:rsidRPr="007D5B87" w:rsidRDefault="00E57778" w:rsidP="007D5B87">
      <w:pPr>
        <w:tabs>
          <w:tab w:val="left" w:pos="2730"/>
        </w:tabs>
        <w:spacing w:after="0" w:line="276" w:lineRule="auto"/>
        <w:ind w:right="237"/>
        <w:jc w:val="both"/>
        <w:rPr>
          <w:rFonts w:ascii="Times New Roman" w:eastAsia="Times New Roman" w:hAnsi="Times New Roman" w:cs="Times New Roman"/>
          <w:bCs/>
          <w:iCs/>
          <w:noProof/>
          <w:sz w:val="24"/>
          <w:szCs w:val="24"/>
          <w:lang w:val="sq-AL"/>
        </w:rPr>
      </w:pPr>
      <w:r w:rsidRPr="007D5B87">
        <w:rPr>
          <w:rFonts w:ascii="Times New Roman" w:eastAsia="Times New Roman" w:hAnsi="Times New Roman" w:cs="Times New Roman"/>
          <w:bCs/>
          <w:iCs/>
          <w:noProof/>
          <w:sz w:val="24"/>
          <w:szCs w:val="24"/>
          <w:lang w:val="sq-AL"/>
        </w:rPr>
        <w:t>Referuar supozimeve sipas të cilave: a) financat publike do të vazhdojnë të ndjekin rrugën e konsolidimit fiskal, duke i dhënë mundësi vendit të mbajë ose përmirësojë vlerësimin e riskut të kreditit; b) ritmet e rritjes ekonomike do të përshpejtohen deri në 4.</w:t>
      </w:r>
      <w:r w:rsidR="007815A5">
        <w:rPr>
          <w:rFonts w:ascii="Times New Roman" w:eastAsia="Times New Roman" w:hAnsi="Times New Roman" w:cs="Times New Roman"/>
          <w:bCs/>
          <w:iCs/>
          <w:noProof/>
          <w:sz w:val="24"/>
          <w:szCs w:val="24"/>
          <w:lang w:val="sq-AL"/>
        </w:rPr>
        <w:t>0</w:t>
      </w:r>
      <w:r w:rsidRPr="007D5B87">
        <w:rPr>
          <w:rFonts w:ascii="Times New Roman" w:eastAsia="Times New Roman" w:hAnsi="Times New Roman" w:cs="Times New Roman"/>
          <w:bCs/>
          <w:iCs/>
          <w:noProof/>
          <w:sz w:val="24"/>
          <w:szCs w:val="24"/>
          <w:lang w:val="sq-AL"/>
        </w:rPr>
        <w:t xml:space="preserve">% në </w:t>
      </w:r>
      <w:r w:rsidR="007815A5">
        <w:rPr>
          <w:rFonts w:ascii="Times New Roman" w:eastAsia="Times New Roman" w:hAnsi="Times New Roman" w:cs="Times New Roman"/>
          <w:bCs/>
          <w:iCs/>
          <w:noProof/>
          <w:sz w:val="24"/>
          <w:szCs w:val="24"/>
          <w:lang w:val="sq-AL"/>
        </w:rPr>
        <w:t>periudhën afatmesme</w:t>
      </w:r>
      <w:r w:rsidRPr="007D5B87">
        <w:rPr>
          <w:rFonts w:ascii="Times New Roman" w:eastAsia="Times New Roman" w:hAnsi="Times New Roman" w:cs="Times New Roman"/>
          <w:bCs/>
          <w:iCs/>
          <w:noProof/>
          <w:sz w:val="24"/>
          <w:szCs w:val="24"/>
          <w:lang w:val="sq-AL"/>
        </w:rPr>
        <w:t xml:space="preserve">; dhe c) kursi i këmbimit të monedhës vendase ndaj monedhës Euro </w:t>
      </w:r>
      <w:r w:rsidR="001A3640">
        <w:rPr>
          <w:rFonts w:ascii="Times New Roman" w:eastAsia="Times New Roman" w:hAnsi="Times New Roman" w:cs="Times New Roman"/>
          <w:bCs/>
          <w:iCs/>
          <w:noProof/>
          <w:sz w:val="24"/>
          <w:szCs w:val="24"/>
          <w:lang w:val="sq-AL"/>
        </w:rPr>
        <w:t>do</w:t>
      </w:r>
      <w:r w:rsidRPr="007D5B87">
        <w:rPr>
          <w:rFonts w:ascii="Times New Roman" w:eastAsia="Times New Roman" w:hAnsi="Times New Roman" w:cs="Times New Roman"/>
          <w:bCs/>
          <w:iCs/>
          <w:noProof/>
          <w:sz w:val="24"/>
          <w:szCs w:val="24"/>
          <w:lang w:val="sq-AL"/>
        </w:rPr>
        <w:t xml:space="preserve"> të </w:t>
      </w:r>
      <w:r w:rsidR="001A3640">
        <w:rPr>
          <w:rFonts w:ascii="Times New Roman" w:eastAsia="Times New Roman" w:hAnsi="Times New Roman" w:cs="Times New Roman"/>
          <w:bCs/>
          <w:iCs/>
          <w:noProof/>
          <w:sz w:val="24"/>
          <w:szCs w:val="24"/>
          <w:lang w:val="sq-AL"/>
        </w:rPr>
        <w:t>tentoj</w:t>
      </w:r>
      <w:r w:rsidR="004B6369">
        <w:rPr>
          <w:rFonts w:ascii="Times New Roman" w:eastAsia="Times New Roman" w:hAnsi="Times New Roman" w:cs="Times New Roman"/>
          <w:bCs/>
          <w:iCs/>
          <w:noProof/>
          <w:sz w:val="24"/>
          <w:szCs w:val="24"/>
          <w:lang w:val="sq-AL"/>
        </w:rPr>
        <w:t>ë</w:t>
      </w:r>
      <w:r w:rsidR="001A3640">
        <w:rPr>
          <w:rFonts w:ascii="Times New Roman" w:eastAsia="Times New Roman" w:hAnsi="Times New Roman" w:cs="Times New Roman"/>
          <w:bCs/>
          <w:iCs/>
          <w:noProof/>
          <w:sz w:val="24"/>
          <w:szCs w:val="24"/>
          <w:lang w:val="sq-AL"/>
        </w:rPr>
        <w:t xml:space="preserve"> t</w:t>
      </w:r>
      <w:r w:rsidR="004B6369">
        <w:rPr>
          <w:rFonts w:ascii="Times New Roman" w:eastAsia="Times New Roman" w:hAnsi="Times New Roman" w:cs="Times New Roman"/>
          <w:bCs/>
          <w:iCs/>
          <w:noProof/>
          <w:sz w:val="24"/>
          <w:szCs w:val="24"/>
          <w:lang w:val="sq-AL"/>
        </w:rPr>
        <w:t>ë</w:t>
      </w:r>
      <w:r w:rsidR="001A3640">
        <w:rPr>
          <w:rFonts w:ascii="Times New Roman" w:eastAsia="Times New Roman" w:hAnsi="Times New Roman" w:cs="Times New Roman"/>
          <w:bCs/>
          <w:iCs/>
          <w:noProof/>
          <w:sz w:val="24"/>
          <w:szCs w:val="24"/>
          <w:lang w:val="sq-AL"/>
        </w:rPr>
        <w:t xml:space="preserve"> </w:t>
      </w:r>
      <w:r w:rsidRPr="007D5B87">
        <w:rPr>
          <w:rFonts w:ascii="Times New Roman" w:eastAsia="Times New Roman" w:hAnsi="Times New Roman" w:cs="Times New Roman"/>
          <w:bCs/>
          <w:iCs/>
          <w:noProof/>
          <w:sz w:val="24"/>
          <w:szCs w:val="24"/>
          <w:lang w:val="sq-AL"/>
        </w:rPr>
        <w:t xml:space="preserve">rikthehet </w:t>
      </w:r>
      <w:r w:rsidR="001A3640">
        <w:rPr>
          <w:rFonts w:ascii="Times New Roman" w:eastAsia="Times New Roman" w:hAnsi="Times New Roman" w:cs="Times New Roman"/>
          <w:bCs/>
          <w:iCs/>
          <w:noProof/>
          <w:sz w:val="24"/>
          <w:szCs w:val="24"/>
          <w:lang w:val="sq-AL"/>
        </w:rPr>
        <w:t>drejt vlerave t</w:t>
      </w:r>
      <w:r w:rsidR="004B6369">
        <w:rPr>
          <w:rFonts w:ascii="Times New Roman" w:eastAsia="Times New Roman" w:hAnsi="Times New Roman" w:cs="Times New Roman"/>
          <w:bCs/>
          <w:iCs/>
          <w:noProof/>
          <w:sz w:val="24"/>
          <w:szCs w:val="24"/>
          <w:lang w:val="sq-AL"/>
        </w:rPr>
        <w:t>ë</w:t>
      </w:r>
      <w:r w:rsidR="001A3640">
        <w:rPr>
          <w:rFonts w:ascii="Times New Roman" w:eastAsia="Times New Roman" w:hAnsi="Times New Roman" w:cs="Times New Roman"/>
          <w:bCs/>
          <w:iCs/>
          <w:noProof/>
          <w:sz w:val="24"/>
          <w:szCs w:val="24"/>
          <w:lang w:val="sq-AL"/>
        </w:rPr>
        <w:t xml:space="preserve"> mesatares historike</w:t>
      </w:r>
      <w:r w:rsidRPr="007D5B87">
        <w:rPr>
          <w:rFonts w:ascii="Times New Roman" w:eastAsia="Times New Roman" w:hAnsi="Times New Roman" w:cs="Times New Roman"/>
          <w:bCs/>
          <w:iCs/>
          <w:noProof/>
          <w:sz w:val="24"/>
          <w:szCs w:val="24"/>
          <w:lang w:val="sq-AL"/>
        </w:rPr>
        <w:t xml:space="preserve">, rezulton se niveli i borxhit të qeverisjes qendrore në raport me PBB do të vazhdojë të ndjekë trajektoren rënëse që ka nisur që nga viti 2016. Në këto kushte, niveli i borxhit të Qeverisjes Qendrore në raport me PBB parashikohet </w:t>
      </w:r>
      <w:r w:rsidR="001A3640">
        <w:rPr>
          <w:rFonts w:ascii="Times New Roman" w:eastAsia="Times New Roman" w:hAnsi="Times New Roman" w:cs="Times New Roman"/>
          <w:bCs/>
          <w:iCs/>
          <w:noProof/>
          <w:sz w:val="24"/>
          <w:szCs w:val="24"/>
          <w:lang w:val="sq-AL"/>
        </w:rPr>
        <w:t>me r</w:t>
      </w:r>
      <w:r w:rsidR="004B6369">
        <w:rPr>
          <w:rFonts w:ascii="Times New Roman" w:eastAsia="Times New Roman" w:hAnsi="Times New Roman" w:cs="Times New Roman"/>
          <w:bCs/>
          <w:iCs/>
          <w:noProof/>
          <w:sz w:val="24"/>
          <w:szCs w:val="24"/>
          <w:lang w:val="sq-AL"/>
        </w:rPr>
        <w:t>ë</w:t>
      </w:r>
      <w:r w:rsidR="001A3640">
        <w:rPr>
          <w:rFonts w:ascii="Times New Roman" w:eastAsia="Times New Roman" w:hAnsi="Times New Roman" w:cs="Times New Roman"/>
          <w:bCs/>
          <w:iCs/>
          <w:noProof/>
          <w:sz w:val="24"/>
          <w:szCs w:val="24"/>
          <w:lang w:val="sq-AL"/>
        </w:rPr>
        <w:t xml:space="preserve">nie </w:t>
      </w:r>
      <w:r w:rsidR="004B6369">
        <w:rPr>
          <w:rFonts w:ascii="Times New Roman" w:eastAsia="Times New Roman" w:hAnsi="Times New Roman" w:cs="Times New Roman"/>
          <w:bCs/>
          <w:iCs/>
          <w:noProof/>
          <w:sz w:val="24"/>
          <w:szCs w:val="24"/>
          <w:lang w:val="sq-AL"/>
        </w:rPr>
        <w:t>duke qenë në linjë me objektivat makro-fiskale</w:t>
      </w:r>
      <w:r w:rsidRPr="007D5B87">
        <w:rPr>
          <w:rFonts w:ascii="Times New Roman" w:eastAsia="Times New Roman" w:hAnsi="Times New Roman" w:cs="Times New Roman"/>
          <w:bCs/>
          <w:iCs/>
          <w:noProof/>
          <w:sz w:val="24"/>
          <w:szCs w:val="24"/>
          <w:lang w:val="sq-AL"/>
        </w:rPr>
        <w:t xml:space="preserve">. </w:t>
      </w:r>
    </w:p>
    <w:p w14:paraId="71DF5DA3" w14:textId="77777777" w:rsidR="00E57778" w:rsidRPr="002C1E7B" w:rsidRDefault="00E57778" w:rsidP="007D5B87">
      <w:pPr>
        <w:tabs>
          <w:tab w:val="left" w:pos="2730"/>
        </w:tabs>
        <w:spacing w:after="0" w:line="276" w:lineRule="auto"/>
        <w:ind w:right="237"/>
        <w:jc w:val="both"/>
        <w:rPr>
          <w:rFonts w:ascii="Times New Roman" w:eastAsia="Times New Roman" w:hAnsi="Times New Roman" w:cs="Times New Roman"/>
          <w:bCs/>
          <w:iCs/>
          <w:noProof/>
          <w:sz w:val="24"/>
          <w:szCs w:val="24"/>
          <w:lang w:val="sq-AL"/>
        </w:rPr>
      </w:pPr>
      <w:r w:rsidRPr="007D5B87">
        <w:rPr>
          <w:rFonts w:ascii="Times New Roman" w:eastAsia="Times New Roman" w:hAnsi="Times New Roman" w:cs="Times New Roman"/>
          <w:bCs/>
          <w:iCs/>
          <w:noProof/>
          <w:sz w:val="24"/>
          <w:szCs w:val="24"/>
          <w:lang w:val="sq-AL"/>
        </w:rPr>
        <w:t xml:space="preserve">Niveli i borxhit në valutë në raport me totalin e borxhit të qeverisjes qendrore gjatë periudhës afatmesme pritet të shoqërohet me një rritje, </w:t>
      </w:r>
      <w:r w:rsidR="007D5B87">
        <w:rPr>
          <w:rFonts w:ascii="Times New Roman" w:eastAsia="Times New Roman" w:hAnsi="Times New Roman" w:cs="Times New Roman"/>
          <w:bCs/>
          <w:iCs/>
          <w:noProof/>
          <w:sz w:val="24"/>
          <w:szCs w:val="24"/>
          <w:lang w:val="sq-AL"/>
        </w:rPr>
        <w:t xml:space="preserve">por </w:t>
      </w:r>
      <w:r w:rsidRPr="007D5B87">
        <w:rPr>
          <w:rFonts w:ascii="Times New Roman" w:eastAsia="Times New Roman" w:hAnsi="Times New Roman" w:cs="Times New Roman"/>
          <w:bCs/>
          <w:iCs/>
          <w:noProof/>
          <w:sz w:val="24"/>
          <w:szCs w:val="24"/>
          <w:lang w:val="sq-AL"/>
        </w:rPr>
        <w:t xml:space="preserve">duke qëndruar nën kufirin strategjik prej 55%. </w:t>
      </w:r>
    </w:p>
    <w:p w14:paraId="71DF5DA4" w14:textId="77777777" w:rsidR="00E57778" w:rsidRPr="000F5C13" w:rsidRDefault="00E57778" w:rsidP="00E57778">
      <w:pPr>
        <w:tabs>
          <w:tab w:val="left" w:pos="2730"/>
        </w:tabs>
        <w:spacing w:after="0" w:line="276" w:lineRule="auto"/>
        <w:ind w:left="284" w:right="237"/>
        <w:jc w:val="both"/>
        <w:rPr>
          <w:rFonts w:ascii="Times New Roman" w:eastAsia="Times New Roman" w:hAnsi="Times New Roman" w:cs="Times New Roman"/>
          <w:bCs/>
          <w:iCs/>
          <w:noProof/>
          <w:sz w:val="14"/>
          <w:szCs w:val="14"/>
          <w:lang w:val="sq-AL"/>
        </w:rPr>
      </w:pPr>
    </w:p>
    <w:p w14:paraId="71DF5DA5" w14:textId="77777777" w:rsidR="00E57778" w:rsidRPr="000F5C13" w:rsidRDefault="00E57778" w:rsidP="007D5B87">
      <w:pPr>
        <w:pStyle w:val="Heading3"/>
        <w:numPr>
          <w:ilvl w:val="2"/>
          <w:numId w:val="21"/>
        </w:numPr>
        <w:ind w:left="851" w:hanging="851"/>
        <w:rPr>
          <w:rFonts w:eastAsia="Times New Roman"/>
          <w:noProof/>
        </w:rPr>
      </w:pPr>
      <w:bookmarkStart w:id="141" w:name="_Toc491861021"/>
      <w:bookmarkStart w:id="142" w:name="_Toc491954336"/>
      <w:bookmarkStart w:id="143" w:name="_Toc524506563"/>
      <w:r w:rsidRPr="000F5C13">
        <w:rPr>
          <w:rFonts w:eastAsia="Times New Roman"/>
          <w:noProof/>
        </w:rPr>
        <w:t>Shërbimi i borxhit shtetëror</w:t>
      </w:r>
      <w:bookmarkEnd w:id="141"/>
      <w:bookmarkEnd w:id="142"/>
      <w:bookmarkEnd w:id="143"/>
    </w:p>
    <w:p w14:paraId="71DF5DA6" w14:textId="77777777" w:rsidR="00E57778" w:rsidRPr="000F5C13" w:rsidRDefault="00E57778" w:rsidP="00E57778">
      <w:pPr>
        <w:tabs>
          <w:tab w:val="left" w:pos="2730"/>
        </w:tabs>
        <w:spacing w:after="0" w:line="276" w:lineRule="auto"/>
        <w:ind w:left="284" w:right="237"/>
        <w:jc w:val="both"/>
        <w:rPr>
          <w:rFonts w:ascii="Times New Roman" w:eastAsia="Times New Roman" w:hAnsi="Times New Roman" w:cs="Times New Roman"/>
          <w:bCs/>
          <w:noProof/>
          <w:sz w:val="16"/>
          <w:szCs w:val="28"/>
          <w:lang w:val="sq-AL"/>
        </w:rPr>
      </w:pPr>
    </w:p>
    <w:p w14:paraId="71DF5DA7" w14:textId="77777777" w:rsidR="00E57778" w:rsidRDefault="00E57778" w:rsidP="007D5B87">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7D5B87">
        <w:rPr>
          <w:rFonts w:ascii="Times New Roman" w:eastAsia="Times New Roman" w:hAnsi="Times New Roman" w:cs="Times New Roman"/>
          <w:bCs/>
          <w:noProof/>
          <w:sz w:val="24"/>
          <w:szCs w:val="28"/>
          <w:lang w:val="sq-AL"/>
        </w:rPr>
        <w:t xml:space="preserve">Referuar parashikimeve sipas të cilave: a) normat e interesit gjatë periudhës afatmesme do të shoqërohen me një rritje </w:t>
      </w:r>
      <w:r w:rsidR="00C726C5">
        <w:rPr>
          <w:rFonts w:ascii="Times New Roman" w:eastAsia="Times New Roman" w:hAnsi="Times New Roman" w:cs="Times New Roman"/>
          <w:bCs/>
          <w:noProof/>
          <w:sz w:val="24"/>
          <w:szCs w:val="28"/>
          <w:lang w:val="sq-AL"/>
        </w:rPr>
        <w:t>t</w:t>
      </w:r>
      <w:r w:rsidR="00D80441">
        <w:rPr>
          <w:rFonts w:ascii="Times New Roman" w:eastAsia="Times New Roman" w:hAnsi="Times New Roman" w:cs="Times New Roman"/>
          <w:bCs/>
          <w:noProof/>
          <w:sz w:val="24"/>
          <w:szCs w:val="28"/>
          <w:lang w:val="sq-AL"/>
        </w:rPr>
        <w:t>ë</w:t>
      </w:r>
      <w:r w:rsidR="00C726C5">
        <w:rPr>
          <w:rFonts w:ascii="Times New Roman" w:eastAsia="Times New Roman" w:hAnsi="Times New Roman" w:cs="Times New Roman"/>
          <w:bCs/>
          <w:noProof/>
          <w:sz w:val="24"/>
          <w:szCs w:val="28"/>
          <w:lang w:val="sq-AL"/>
        </w:rPr>
        <w:t xml:space="preserve"> moderuar</w:t>
      </w:r>
      <w:r w:rsidRPr="007D5B87">
        <w:rPr>
          <w:rFonts w:ascii="Times New Roman" w:eastAsia="Times New Roman" w:hAnsi="Times New Roman" w:cs="Times New Roman"/>
          <w:bCs/>
          <w:noProof/>
          <w:sz w:val="24"/>
          <w:szCs w:val="28"/>
          <w:lang w:val="sq-AL"/>
        </w:rPr>
        <w:t xml:space="preserve">; dhe b) stoku i borxhit </w:t>
      </w:r>
      <w:r w:rsidR="003D5D99" w:rsidRPr="007D5B87">
        <w:rPr>
          <w:rFonts w:ascii="Times New Roman" w:eastAsia="Times New Roman" w:hAnsi="Times New Roman" w:cs="Times New Roman"/>
          <w:bCs/>
          <w:noProof/>
          <w:sz w:val="24"/>
          <w:szCs w:val="28"/>
          <w:lang w:val="sq-AL"/>
        </w:rPr>
        <w:t>n</w:t>
      </w:r>
      <w:r w:rsidR="00982338" w:rsidRPr="007D5B87">
        <w:rPr>
          <w:rFonts w:ascii="Times New Roman" w:eastAsia="Times New Roman" w:hAnsi="Times New Roman" w:cs="Times New Roman"/>
          <w:bCs/>
          <w:noProof/>
          <w:sz w:val="24"/>
          <w:szCs w:val="28"/>
          <w:lang w:val="sq-AL"/>
        </w:rPr>
        <w:t>ë</w:t>
      </w:r>
      <w:r w:rsidR="003D5D99" w:rsidRPr="007D5B87">
        <w:rPr>
          <w:rFonts w:ascii="Times New Roman" w:eastAsia="Times New Roman" w:hAnsi="Times New Roman" w:cs="Times New Roman"/>
          <w:bCs/>
          <w:noProof/>
          <w:sz w:val="24"/>
          <w:szCs w:val="28"/>
          <w:lang w:val="sq-AL"/>
        </w:rPr>
        <w:t xml:space="preserve"> terma bruto</w:t>
      </w:r>
      <w:r w:rsidRPr="007D5B87">
        <w:rPr>
          <w:rFonts w:ascii="Times New Roman" w:eastAsia="Times New Roman" w:hAnsi="Times New Roman" w:cs="Times New Roman"/>
          <w:bCs/>
          <w:noProof/>
          <w:sz w:val="24"/>
          <w:szCs w:val="28"/>
          <w:lang w:val="sq-AL"/>
        </w:rPr>
        <w:t xml:space="preserve"> do të shoqërohet me rritje</w:t>
      </w:r>
      <w:r w:rsidR="00C726C5">
        <w:rPr>
          <w:rFonts w:ascii="Times New Roman" w:eastAsia="Times New Roman" w:hAnsi="Times New Roman" w:cs="Times New Roman"/>
          <w:bCs/>
          <w:noProof/>
          <w:sz w:val="24"/>
          <w:szCs w:val="28"/>
          <w:lang w:val="sq-AL"/>
        </w:rPr>
        <w:t xml:space="preserve"> n</w:t>
      </w:r>
      <w:r w:rsidR="00D80441">
        <w:rPr>
          <w:rFonts w:ascii="Times New Roman" w:eastAsia="Times New Roman" w:hAnsi="Times New Roman" w:cs="Times New Roman"/>
          <w:bCs/>
          <w:noProof/>
          <w:sz w:val="24"/>
          <w:szCs w:val="28"/>
          <w:lang w:val="sq-AL"/>
        </w:rPr>
        <w:t>ë</w:t>
      </w:r>
      <w:r w:rsidR="00C726C5">
        <w:rPr>
          <w:rFonts w:ascii="Times New Roman" w:eastAsia="Times New Roman" w:hAnsi="Times New Roman" w:cs="Times New Roman"/>
          <w:bCs/>
          <w:noProof/>
          <w:sz w:val="24"/>
          <w:szCs w:val="28"/>
          <w:lang w:val="sq-AL"/>
        </w:rPr>
        <w:t xml:space="preserve"> p</w:t>
      </w:r>
      <w:r w:rsidR="00D80441">
        <w:rPr>
          <w:rFonts w:ascii="Times New Roman" w:eastAsia="Times New Roman" w:hAnsi="Times New Roman" w:cs="Times New Roman"/>
          <w:bCs/>
          <w:noProof/>
          <w:sz w:val="24"/>
          <w:szCs w:val="28"/>
          <w:lang w:val="sq-AL"/>
        </w:rPr>
        <w:t>ë</w:t>
      </w:r>
      <w:r w:rsidR="00C726C5">
        <w:rPr>
          <w:rFonts w:ascii="Times New Roman" w:eastAsia="Times New Roman" w:hAnsi="Times New Roman" w:cs="Times New Roman"/>
          <w:bCs/>
          <w:noProof/>
          <w:sz w:val="24"/>
          <w:szCs w:val="28"/>
          <w:lang w:val="sq-AL"/>
        </w:rPr>
        <w:t xml:space="preserve">rputhje me </w:t>
      </w:r>
      <w:r w:rsidR="00880363">
        <w:rPr>
          <w:rFonts w:ascii="Times New Roman" w:eastAsia="Times New Roman" w:hAnsi="Times New Roman" w:cs="Times New Roman"/>
          <w:bCs/>
          <w:noProof/>
          <w:sz w:val="24"/>
          <w:szCs w:val="28"/>
          <w:lang w:val="sq-AL"/>
        </w:rPr>
        <w:t>nevojat fiskale</w:t>
      </w:r>
      <w:r w:rsidRPr="007D5B87">
        <w:rPr>
          <w:rFonts w:ascii="Times New Roman" w:eastAsia="Times New Roman" w:hAnsi="Times New Roman" w:cs="Times New Roman"/>
          <w:bCs/>
          <w:noProof/>
          <w:sz w:val="24"/>
          <w:szCs w:val="28"/>
          <w:lang w:val="sq-AL"/>
        </w:rPr>
        <w:t>, rezulton se kostot e borxhit shtetëror</w:t>
      </w:r>
      <w:r w:rsidRPr="007D5B87">
        <w:rPr>
          <w:rFonts w:ascii="Times New Roman" w:eastAsia="Times New Roman" w:hAnsi="Times New Roman" w:cs="Times New Roman"/>
          <w:bCs/>
          <w:noProof/>
          <w:sz w:val="24"/>
          <w:szCs w:val="28"/>
          <w:vertAlign w:val="superscript"/>
          <w:lang w:val="sq-AL"/>
        </w:rPr>
        <w:footnoteReference w:id="15"/>
      </w:r>
      <w:r w:rsidRPr="007D5B87">
        <w:rPr>
          <w:rFonts w:ascii="Times New Roman" w:eastAsia="Times New Roman" w:hAnsi="Times New Roman" w:cs="Times New Roman"/>
          <w:bCs/>
          <w:noProof/>
          <w:sz w:val="24"/>
          <w:szCs w:val="28"/>
          <w:lang w:val="sq-AL"/>
        </w:rPr>
        <w:t xml:space="preserve"> në vlerë absolute mund të shkojnë deri në</w:t>
      </w:r>
      <w:r w:rsidR="00211C00" w:rsidRPr="007D5B87">
        <w:rPr>
          <w:rFonts w:ascii="Times New Roman" w:eastAsia="Times New Roman" w:hAnsi="Times New Roman" w:cs="Times New Roman"/>
          <w:bCs/>
          <w:noProof/>
          <w:sz w:val="24"/>
          <w:szCs w:val="28"/>
          <w:lang w:val="sq-AL"/>
        </w:rPr>
        <w:t xml:space="preserve"> rreth</w:t>
      </w:r>
      <w:r w:rsidRPr="007D5B87">
        <w:rPr>
          <w:rFonts w:ascii="Times New Roman" w:eastAsia="Times New Roman" w:hAnsi="Times New Roman" w:cs="Times New Roman"/>
          <w:bCs/>
          <w:noProof/>
          <w:sz w:val="24"/>
          <w:szCs w:val="28"/>
          <w:lang w:val="sq-AL"/>
        </w:rPr>
        <w:t xml:space="preserve"> 4</w:t>
      </w:r>
      <w:r w:rsidR="00211C00" w:rsidRPr="007D5B87">
        <w:rPr>
          <w:rFonts w:ascii="Times New Roman" w:eastAsia="Times New Roman" w:hAnsi="Times New Roman" w:cs="Times New Roman"/>
          <w:bCs/>
          <w:noProof/>
          <w:sz w:val="24"/>
          <w:szCs w:val="28"/>
          <w:lang w:val="sq-AL"/>
        </w:rPr>
        <w:t>4</w:t>
      </w:r>
      <w:r w:rsidRPr="007D5B87">
        <w:rPr>
          <w:rFonts w:ascii="Times New Roman" w:eastAsia="Times New Roman" w:hAnsi="Times New Roman" w:cs="Times New Roman"/>
          <w:bCs/>
          <w:noProof/>
          <w:sz w:val="24"/>
          <w:szCs w:val="28"/>
          <w:lang w:val="sq-AL"/>
        </w:rPr>
        <w:t>.0 miliard Lekë në fund të vitit 202</w:t>
      </w:r>
      <w:r w:rsidR="00211C00" w:rsidRPr="007D5B87">
        <w:rPr>
          <w:rFonts w:ascii="Times New Roman" w:eastAsia="Times New Roman" w:hAnsi="Times New Roman" w:cs="Times New Roman"/>
          <w:bCs/>
          <w:noProof/>
          <w:sz w:val="24"/>
          <w:szCs w:val="28"/>
          <w:lang w:val="sq-AL"/>
        </w:rPr>
        <w:t>2</w:t>
      </w:r>
      <w:r w:rsidRPr="007D5B87">
        <w:rPr>
          <w:rFonts w:ascii="Times New Roman" w:eastAsia="Times New Roman" w:hAnsi="Times New Roman" w:cs="Times New Roman"/>
          <w:bCs/>
          <w:noProof/>
          <w:sz w:val="24"/>
          <w:szCs w:val="28"/>
          <w:lang w:val="sq-AL"/>
        </w:rPr>
        <w:t xml:space="preserve">. Pavarësisht vlerave në terma absolute, kostot e borxhit në terma relative ndaj PBB dhe ndaj të ardhurave në buxhet priten të jenë të qëndrueshme dhe nën nivelin mesatar të 5 viteve të </w:t>
      </w:r>
      <w:r w:rsidRPr="007D5B87">
        <w:rPr>
          <w:rFonts w:ascii="Times New Roman" w:eastAsia="Times New Roman" w:hAnsi="Times New Roman" w:cs="Times New Roman"/>
          <w:bCs/>
          <w:noProof/>
          <w:sz w:val="24"/>
          <w:szCs w:val="28"/>
          <w:lang w:val="sq-AL"/>
        </w:rPr>
        <w:lastRenderedPageBreak/>
        <w:t>mëparshme, duke mbajtur nën kontroll riskun fiskal dhe stabilizuar aftësinë paguese të qeverisë.</w:t>
      </w:r>
    </w:p>
    <w:p w14:paraId="71DF5DA8" w14:textId="77777777" w:rsidR="008F516B" w:rsidRPr="00FE3C8D" w:rsidRDefault="008F516B" w:rsidP="007D5B87">
      <w:pPr>
        <w:tabs>
          <w:tab w:val="left" w:pos="2730"/>
        </w:tabs>
        <w:spacing w:after="0" w:line="276" w:lineRule="auto"/>
        <w:ind w:right="237"/>
        <w:jc w:val="both"/>
        <w:rPr>
          <w:rFonts w:ascii="Times New Roman" w:eastAsia="Times New Roman" w:hAnsi="Times New Roman" w:cs="Times New Roman"/>
          <w:bCs/>
          <w:noProof/>
          <w:sz w:val="16"/>
          <w:szCs w:val="28"/>
          <w:lang w:val="sq-AL"/>
        </w:rPr>
      </w:pPr>
    </w:p>
    <w:p w14:paraId="71DF5DA9" w14:textId="77777777" w:rsidR="00E57778" w:rsidRPr="00FE3C8D" w:rsidRDefault="004965FC" w:rsidP="00E7752F">
      <w:pPr>
        <w:spacing w:after="0" w:line="240" w:lineRule="auto"/>
        <w:ind w:left="2410" w:right="237" w:hanging="2126"/>
        <w:contextualSpacing/>
        <w:rPr>
          <w:rFonts w:ascii="Cambria" w:eastAsia="Batang" w:hAnsi="Cambria"/>
          <w:i/>
          <w:noProof/>
          <w:color w:val="8E0000"/>
          <w:sz w:val="20"/>
          <w:szCs w:val="20"/>
          <w:lang w:val="sq-AL"/>
        </w:rPr>
      </w:pPr>
      <w:r>
        <w:rPr>
          <w:rFonts w:ascii="Cambria" w:eastAsia="Batang" w:hAnsi="Cambria"/>
          <w:b/>
          <w:noProof/>
          <w:color w:val="8E0000"/>
          <w:sz w:val="20"/>
          <w:szCs w:val="20"/>
          <w:lang w:val="sq-AL"/>
        </w:rPr>
        <w:t xml:space="preserve">Paraqitje Grafike 2.4.2: </w:t>
      </w:r>
      <w:r w:rsidR="00E57778" w:rsidRPr="00FE3C8D">
        <w:rPr>
          <w:rFonts w:ascii="Cambria" w:eastAsia="Batang" w:hAnsi="Cambria"/>
          <w:i/>
          <w:noProof/>
          <w:color w:val="8E0000"/>
          <w:sz w:val="20"/>
          <w:szCs w:val="20"/>
          <w:lang w:val="sq-AL"/>
        </w:rPr>
        <w:t>Pritjet e</w:t>
      </w:r>
      <w:r w:rsidR="00E57778" w:rsidRPr="00FE3C8D">
        <w:rPr>
          <w:rFonts w:ascii="Cambria" w:eastAsia="Batang" w:hAnsi="Cambria"/>
          <w:noProof/>
          <w:color w:val="8E0000"/>
          <w:sz w:val="20"/>
          <w:szCs w:val="20"/>
          <w:lang w:val="sq-AL"/>
        </w:rPr>
        <w:t xml:space="preserve"> </w:t>
      </w:r>
      <w:r w:rsidR="00E57778" w:rsidRPr="00FE3C8D">
        <w:rPr>
          <w:rFonts w:ascii="Cambria" w:eastAsia="Batang" w:hAnsi="Cambria"/>
          <w:i/>
          <w:noProof/>
          <w:color w:val="8E0000"/>
          <w:sz w:val="20"/>
          <w:szCs w:val="20"/>
          <w:lang w:val="sq-AL"/>
        </w:rPr>
        <w:t>shpenzime</w:t>
      </w:r>
      <w:r w:rsidR="008B3CAF" w:rsidRPr="00FE3C8D">
        <w:rPr>
          <w:rFonts w:ascii="Cambria" w:eastAsia="Batang" w:hAnsi="Cambria"/>
          <w:i/>
          <w:noProof/>
          <w:color w:val="8E0000"/>
          <w:sz w:val="20"/>
          <w:szCs w:val="20"/>
          <w:lang w:val="sq-AL"/>
        </w:rPr>
        <w:t>ve</w:t>
      </w:r>
      <w:r w:rsidR="00E57778" w:rsidRPr="00FE3C8D">
        <w:rPr>
          <w:rFonts w:ascii="Cambria" w:eastAsia="Batang" w:hAnsi="Cambria"/>
          <w:i/>
          <w:noProof/>
          <w:color w:val="8E0000"/>
          <w:sz w:val="20"/>
          <w:szCs w:val="20"/>
          <w:lang w:val="sq-AL"/>
        </w:rPr>
        <w:t xml:space="preserve"> për interesa të borxhit shtetëror në terma absolute dhe relative ndaj PBB-së dhe të ardhurave tatimore (201</w:t>
      </w:r>
      <w:r w:rsidR="008B3CAF" w:rsidRPr="00FE3C8D">
        <w:rPr>
          <w:rFonts w:ascii="Cambria" w:eastAsia="Batang" w:hAnsi="Cambria"/>
          <w:i/>
          <w:noProof/>
          <w:color w:val="8E0000"/>
          <w:sz w:val="20"/>
          <w:szCs w:val="20"/>
          <w:lang w:val="sq-AL"/>
        </w:rPr>
        <w:t>9</w:t>
      </w:r>
      <w:r w:rsidR="00E57778" w:rsidRPr="00FE3C8D">
        <w:rPr>
          <w:rFonts w:ascii="Cambria" w:eastAsia="Batang" w:hAnsi="Cambria"/>
          <w:i/>
          <w:noProof/>
          <w:color w:val="8E0000"/>
          <w:sz w:val="20"/>
          <w:szCs w:val="20"/>
          <w:lang w:val="sq-AL"/>
        </w:rPr>
        <w:t>-202</w:t>
      </w:r>
      <w:r w:rsidR="008B3CAF" w:rsidRPr="00FE3C8D">
        <w:rPr>
          <w:rFonts w:ascii="Cambria" w:eastAsia="Batang" w:hAnsi="Cambria"/>
          <w:i/>
          <w:noProof/>
          <w:color w:val="8E0000"/>
          <w:sz w:val="20"/>
          <w:szCs w:val="20"/>
          <w:lang w:val="sq-AL"/>
        </w:rPr>
        <w:t>2</w:t>
      </w:r>
      <w:r w:rsidR="00E57778" w:rsidRPr="00FE3C8D">
        <w:rPr>
          <w:rFonts w:ascii="Cambria" w:eastAsia="Batang" w:hAnsi="Cambria"/>
          <w:i/>
          <w:noProof/>
          <w:color w:val="8E0000"/>
          <w:sz w:val="20"/>
          <w:szCs w:val="20"/>
          <w:lang w:val="sq-AL"/>
        </w:rPr>
        <w:t>)</w:t>
      </w:r>
    </w:p>
    <w:p w14:paraId="71DF5DAA" w14:textId="77777777" w:rsidR="00E57778" w:rsidRPr="00FE3C8D" w:rsidRDefault="00547CAA" w:rsidP="00FE3C8D">
      <w:pPr>
        <w:tabs>
          <w:tab w:val="left" w:pos="2730"/>
        </w:tabs>
        <w:spacing w:after="0" w:line="276" w:lineRule="auto"/>
        <w:ind w:right="237"/>
        <w:rPr>
          <w:rFonts w:ascii="Times New Roman" w:eastAsia="Times New Roman" w:hAnsi="Times New Roman" w:cs="Times New Roman"/>
          <w:bCs/>
          <w:noProof/>
          <w:sz w:val="24"/>
          <w:szCs w:val="28"/>
          <w:lang w:val="sq-AL"/>
        </w:rPr>
      </w:pPr>
      <w:r>
        <w:rPr>
          <w:rFonts w:ascii="Times New Roman" w:eastAsia="Times New Roman" w:hAnsi="Times New Roman" w:cs="Times New Roman"/>
          <w:bCs/>
          <w:noProof/>
          <w:sz w:val="24"/>
          <w:szCs w:val="28"/>
        </w:rPr>
        <w:drawing>
          <wp:inline distT="0" distB="0" distL="0" distR="0" wp14:anchorId="71DF5F97" wp14:editId="71DF5F98">
            <wp:extent cx="5543550" cy="182880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57212" cy="1833307"/>
                    </a:xfrm>
                    <a:prstGeom prst="rect">
                      <a:avLst/>
                    </a:prstGeom>
                    <a:noFill/>
                    <a:ln>
                      <a:solidFill>
                        <a:schemeClr val="bg1">
                          <a:lumMod val="75000"/>
                        </a:schemeClr>
                      </a:solidFill>
                    </a:ln>
                  </pic:spPr>
                </pic:pic>
              </a:graphicData>
            </a:graphic>
          </wp:inline>
        </w:drawing>
      </w:r>
    </w:p>
    <w:p w14:paraId="71DF5DAB" w14:textId="77777777" w:rsidR="00E57778" w:rsidRPr="000F5C13" w:rsidRDefault="00E57778" w:rsidP="00E57778">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FE3C8D">
        <w:rPr>
          <w:rFonts w:ascii="Cambria" w:eastAsia="Calibri" w:hAnsi="Cambria" w:cs="Times New Roman"/>
          <w:b/>
          <w:noProof/>
          <w:color w:val="8E0000"/>
          <w:sz w:val="20"/>
          <w:szCs w:val="20"/>
          <w:lang w:val="sq-AL"/>
        </w:rPr>
        <w:t xml:space="preserve">Burimi: </w:t>
      </w:r>
      <w:r w:rsidRPr="00FE3C8D">
        <w:rPr>
          <w:rFonts w:ascii="Cambria" w:eastAsia="Calibri" w:hAnsi="Cambria" w:cs="Times New Roman"/>
          <w:i/>
          <w:noProof/>
          <w:color w:val="8E0000"/>
          <w:sz w:val="20"/>
          <w:szCs w:val="20"/>
          <w:lang w:val="sq-AL"/>
        </w:rPr>
        <w:t>Ministria e Financave dhe Ekonomisë (201</w:t>
      </w:r>
      <w:r w:rsidR="00845414" w:rsidRPr="00FE3C8D">
        <w:rPr>
          <w:rFonts w:ascii="Cambria" w:eastAsia="Calibri" w:hAnsi="Cambria" w:cs="Times New Roman"/>
          <w:i/>
          <w:noProof/>
          <w:color w:val="8E0000"/>
          <w:sz w:val="20"/>
          <w:szCs w:val="20"/>
          <w:lang w:val="sq-AL"/>
        </w:rPr>
        <w:t>9</w:t>
      </w:r>
      <w:r w:rsidRPr="00FE3C8D">
        <w:rPr>
          <w:rFonts w:ascii="Cambria" w:eastAsia="Calibri" w:hAnsi="Cambria" w:cs="Times New Roman"/>
          <w:i/>
          <w:noProof/>
          <w:color w:val="8E0000"/>
          <w:sz w:val="20"/>
          <w:szCs w:val="20"/>
          <w:lang w:val="sq-AL"/>
        </w:rPr>
        <w:t>)</w:t>
      </w:r>
    </w:p>
    <w:p w14:paraId="71DF5DAC" w14:textId="77777777" w:rsidR="00E57778" w:rsidRPr="000F5C13" w:rsidRDefault="00E57778" w:rsidP="00FE3C8D">
      <w:pPr>
        <w:tabs>
          <w:tab w:val="left" w:pos="2730"/>
        </w:tabs>
        <w:spacing w:after="0" w:line="276" w:lineRule="auto"/>
        <w:ind w:right="237"/>
        <w:rPr>
          <w:rFonts w:ascii="Cambria" w:eastAsia="Calibri" w:hAnsi="Cambria" w:cs="Times New Roman"/>
          <w:i/>
          <w:noProof/>
          <w:color w:val="8E0000"/>
          <w:sz w:val="16"/>
          <w:szCs w:val="20"/>
          <w:lang w:val="sq-AL"/>
        </w:rPr>
      </w:pPr>
    </w:p>
    <w:p w14:paraId="71DF5DAD" w14:textId="77777777" w:rsidR="00E57778" w:rsidRPr="00A234B9" w:rsidRDefault="00E57778" w:rsidP="00880363">
      <w:pPr>
        <w:pStyle w:val="Heading3"/>
        <w:numPr>
          <w:ilvl w:val="2"/>
          <w:numId w:val="21"/>
        </w:numPr>
        <w:ind w:left="851" w:hanging="851"/>
        <w:rPr>
          <w:rFonts w:ascii="Times New Roman" w:eastAsia="Times New Roman" w:hAnsi="Times New Roman"/>
          <w:noProof/>
          <w:szCs w:val="28"/>
        </w:rPr>
      </w:pPr>
      <w:bookmarkStart w:id="144" w:name="_Toc491861022"/>
      <w:bookmarkStart w:id="145" w:name="_Toc491954337"/>
      <w:bookmarkStart w:id="146" w:name="_Toc524506564"/>
      <w:r w:rsidRPr="00A234B9">
        <w:rPr>
          <w:rFonts w:eastAsia="Times New Roman"/>
          <w:noProof/>
        </w:rPr>
        <w:t>Analiza e ndjeshmërisë</w:t>
      </w:r>
      <w:bookmarkEnd w:id="144"/>
      <w:bookmarkEnd w:id="145"/>
      <w:bookmarkEnd w:id="146"/>
    </w:p>
    <w:p w14:paraId="71DF5DAE" w14:textId="77777777" w:rsidR="00E57778" w:rsidRPr="00A234B9" w:rsidRDefault="00E57778" w:rsidP="00E57778">
      <w:pPr>
        <w:tabs>
          <w:tab w:val="left" w:pos="2730"/>
        </w:tabs>
        <w:spacing w:after="0" w:line="276" w:lineRule="auto"/>
        <w:ind w:left="284" w:right="237"/>
        <w:contextualSpacing/>
        <w:jc w:val="both"/>
        <w:rPr>
          <w:rFonts w:ascii="Times New Roman" w:eastAsia="Times New Roman" w:hAnsi="Times New Roman" w:cs="Times New Roman"/>
          <w:bCs/>
          <w:noProof/>
          <w:sz w:val="16"/>
          <w:szCs w:val="14"/>
          <w:lang w:val="sq-AL"/>
        </w:rPr>
      </w:pPr>
    </w:p>
    <w:p w14:paraId="71DF5DAF" w14:textId="77777777" w:rsidR="00E57778" w:rsidRPr="00A234B9" w:rsidRDefault="00E57778" w:rsidP="00880363">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A234B9">
        <w:rPr>
          <w:rFonts w:ascii="Times New Roman" w:eastAsia="Times New Roman" w:hAnsi="Times New Roman" w:cs="Times New Roman"/>
          <w:bCs/>
          <w:noProof/>
          <w:sz w:val="24"/>
          <w:szCs w:val="28"/>
          <w:lang w:val="sq-AL"/>
        </w:rPr>
        <w:t xml:space="preserve">Parashikimet në lidhje me nivelin dhe kostot e borxhit në skenarin bazë mund të jenë objekt ndryshimi, në rast se supozimet makro-fiskale dhe ato të treguesve të tregut do të </w:t>
      </w:r>
      <w:r w:rsidR="00211C00" w:rsidRPr="00A234B9">
        <w:rPr>
          <w:rFonts w:ascii="Times New Roman" w:eastAsia="Times New Roman" w:hAnsi="Times New Roman" w:cs="Times New Roman"/>
          <w:bCs/>
          <w:noProof/>
          <w:sz w:val="24"/>
          <w:szCs w:val="28"/>
          <w:lang w:val="sq-AL"/>
        </w:rPr>
        <w:t xml:space="preserve">paraqesin </w:t>
      </w:r>
      <w:r w:rsidRPr="00A234B9">
        <w:rPr>
          <w:rFonts w:ascii="Times New Roman" w:eastAsia="Times New Roman" w:hAnsi="Times New Roman" w:cs="Times New Roman"/>
          <w:bCs/>
          <w:noProof/>
          <w:sz w:val="24"/>
          <w:szCs w:val="28"/>
          <w:lang w:val="sq-AL"/>
        </w:rPr>
        <w:t>ndrysh</w:t>
      </w:r>
      <w:r w:rsidR="00211C00" w:rsidRPr="00A234B9">
        <w:rPr>
          <w:rFonts w:ascii="Times New Roman" w:eastAsia="Times New Roman" w:hAnsi="Times New Roman" w:cs="Times New Roman"/>
          <w:bCs/>
          <w:noProof/>
          <w:sz w:val="24"/>
          <w:szCs w:val="28"/>
          <w:lang w:val="sq-AL"/>
        </w:rPr>
        <w:t>ime</w:t>
      </w:r>
      <w:r w:rsidRPr="00A234B9">
        <w:rPr>
          <w:rFonts w:ascii="Times New Roman" w:eastAsia="Times New Roman" w:hAnsi="Times New Roman" w:cs="Times New Roman"/>
          <w:bCs/>
          <w:noProof/>
          <w:sz w:val="24"/>
          <w:szCs w:val="28"/>
          <w:lang w:val="sq-AL"/>
        </w:rPr>
        <w:t xml:space="preserve">. </w:t>
      </w:r>
    </w:p>
    <w:p w14:paraId="71DF5DB0" w14:textId="77777777" w:rsidR="00E57778" w:rsidRPr="00A234B9" w:rsidRDefault="00E57778" w:rsidP="00880363">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A234B9">
        <w:rPr>
          <w:rFonts w:ascii="Times New Roman" w:eastAsia="Times New Roman" w:hAnsi="Times New Roman" w:cs="Times New Roman"/>
          <w:bCs/>
          <w:noProof/>
          <w:sz w:val="24"/>
          <w:szCs w:val="28"/>
          <w:lang w:val="sq-AL"/>
        </w:rPr>
        <w:t>Analiza e mëposhtme paraqet ndjeshmërinë e treguesve</w:t>
      </w:r>
      <w:r w:rsidR="00211C00" w:rsidRPr="00A234B9">
        <w:rPr>
          <w:rFonts w:ascii="Times New Roman" w:eastAsia="Times New Roman" w:hAnsi="Times New Roman" w:cs="Times New Roman"/>
          <w:bCs/>
          <w:noProof/>
          <w:sz w:val="24"/>
          <w:szCs w:val="28"/>
          <w:lang w:val="sq-AL"/>
        </w:rPr>
        <w:t xml:space="preserve"> kryesor</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të borxhit ndaj ndryshimeve të </w:t>
      </w:r>
      <w:r w:rsidR="00AA3E11" w:rsidRPr="00A234B9">
        <w:rPr>
          <w:rFonts w:ascii="Times New Roman" w:eastAsia="Times New Roman" w:hAnsi="Times New Roman" w:cs="Times New Roman"/>
          <w:bCs/>
          <w:noProof/>
          <w:sz w:val="24"/>
          <w:szCs w:val="28"/>
          <w:lang w:val="sq-AL"/>
        </w:rPr>
        <w:t>treguesve</w:t>
      </w:r>
      <w:r w:rsidRPr="00A234B9">
        <w:rPr>
          <w:rFonts w:ascii="Times New Roman" w:eastAsia="Times New Roman" w:hAnsi="Times New Roman" w:cs="Times New Roman"/>
          <w:bCs/>
          <w:noProof/>
          <w:sz w:val="24"/>
          <w:szCs w:val="28"/>
          <w:lang w:val="sq-AL"/>
        </w:rPr>
        <w:t xml:space="preserve"> të tregut, ndërkohë që ndjeshmëria ndaj indikatorëve makro-fiskal </w:t>
      </w:r>
      <w:r w:rsidR="00D80441">
        <w:rPr>
          <w:rFonts w:ascii="Times New Roman" w:eastAsia="Times New Roman" w:hAnsi="Times New Roman" w:cs="Times New Roman"/>
          <w:bCs/>
          <w:noProof/>
          <w:sz w:val="24"/>
          <w:szCs w:val="28"/>
          <w:lang w:val="sq-AL"/>
        </w:rPr>
        <w:t>ë</w:t>
      </w:r>
      <w:r w:rsidR="006A27DE" w:rsidRPr="00A234B9">
        <w:rPr>
          <w:rFonts w:ascii="Times New Roman" w:eastAsia="Times New Roman" w:hAnsi="Times New Roman" w:cs="Times New Roman"/>
          <w:bCs/>
          <w:noProof/>
          <w:sz w:val="24"/>
          <w:szCs w:val="28"/>
          <w:lang w:val="sq-AL"/>
        </w:rPr>
        <w:t>sht</w:t>
      </w:r>
      <w:r w:rsidR="00D80441">
        <w:rPr>
          <w:rFonts w:ascii="Times New Roman" w:eastAsia="Times New Roman" w:hAnsi="Times New Roman" w:cs="Times New Roman"/>
          <w:bCs/>
          <w:noProof/>
          <w:sz w:val="24"/>
          <w:szCs w:val="28"/>
          <w:lang w:val="sq-AL"/>
        </w:rPr>
        <w:t>ë</w:t>
      </w:r>
      <w:r w:rsidR="006A27DE" w:rsidRPr="00A234B9">
        <w:rPr>
          <w:rFonts w:ascii="Times New Roman" w:eastAsia="Times New Roman" w:hAnsi="Times New Roman" w:cs="Times New Roman"/>
          <w:bCs/>
          <w:noProof/>
          <w:sz w:val="24"/>
          <w:szCs w:val="28"/>
          <w:lang w:val="sq-AL"/>
        </w:rPr>
        <w:t xml:space="preserve"> objekt </w:t>
      </w:r>
      <w:r w:rsidRPr="00A234B9">
        <w:rPr>
          <w:rFonts w:ascii="Times New Roman" w:eastAsia="Times New Roman" w:hAnsi="Times New Roman" w:cs="Times New Roman"/>
          <w:bCs/>
          <w:noProof/>
          <w:sz w:val="24"/>
          <w:szCs w:val="28"/>
          <w:lang w:val="sq-AL"/>
        </w:rPr>
        <w:t>trajt</w:t>
      </w:r>
      <w:r w:rsidR="006A27DE" w:rsidRPr="00A234B9">
        <w:rPr>
          <w:rFonts w:ascii="Times New Roman" w:eastAsia="Times New Roman" w:hAnsi="Times New Roman" w:cs="Times New Roman"/>
          <w:bCs/>
          <w:noProof/>
          <w:sz w:val="24"/>
          <w:szCs w:val="28"/>
          <w:lang w:val="sq-AL"/>
        </w:rPr>
        <w:t xml:space="preserve">imi i </w:t>
      </w:r>
      <w:r w:rsidRPr="00A234B9">
        <w:rPr>
          <w:rFonts w:ascii="Times New Roman" w:eastAsia="Times New Roman" w:hAnsi="Times New Roman" w:cs="Times New Roman"/>
          <w:bCs/>
          <w:noProof/>
          <w:sz w:val="24"/>
          <w:szCs w:val="28"/>
          <w:lang w:val="sq-AL"/>
        </w:rPr>
        <w:t>analiza</w:t>
      </w:r>
      <w:r w:rsidR="006A27DE" w:rsidRPr="00A234B9">
        <w:rPr>
          <w:rFonts w:ascii="Times New Roman" w:eastAsia="Times New Roman" w:hAnsi="Times New Roman" w:cs="Times New Roman"/>
          <w:bCs/>
          <w:noProof/>
          <w:sz w:val="24"/>
          <w:szCs w:val="28"/>
          <w:lang w:val="sq-AL"/>
        </w:rPr>
        <w:t>ve t</w:t>
      </w:r>
      <w:r w:rsidR="00D80441">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qëndrueshmërisë së borxhit.</w:t>
      </w:r>
    </w:p>
    <w:p w14:paraId="71DF5DB1" w14:textId="77777777" w:rsidR="00E57778" w:rsidRPr="00A234B9" w:rsidRDefault="00E57778" w:rsidP="00880363">
      <w:pPr>
        <w:tabs>
          <w:tab w:val="left" w:pos="2730"/>
        </w:tabs>
        <w:spacing w:after="0" w:line="276" w:lineRule="auto"/>
        <w:ind w:right="237"/>
        <w:jc w:val="both"/>
        <w:rPr>
          <w:rFonts w:ascii="Times New Roman" w:eastAsia="Times New Roman" w:hAnsi="Times New Roman" w:cs="Times New Roman"/>
          <w:bCs/>
          <w:noProof/>
          <w:sz w:val="16"/>
          <w:szCs w:val="12"/>
          <w:lang w:val="sq-AL"/>
        </w:rPr>
      </w:pPr>
    </w:p>
    <w:p w14:paraId="71DF5DB2" w14:textId="77777777" w:rsidR="00E57778" w:rsidRPr="00A234B9" w:rsidRDefault="00E57778" w:rsidP="00880363">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A234B9">
        <w:rPr>
          <w:rFonts w:ascii="Times New Roman" w:eastAsia="Times New Roman" w:hAnsi="Times New Roman" w:cs="Times New Roman"/>
          <w:bCs/>
          <w:noProof/>
          <w:sz w:val="24"/>
          <w:szCs w:val="28"/>
          <w:lang w:val="sq-AL"/>
        </w:rPr>
        <w:t>Nënçmimi i mundshëm i monedhës vendase përtej pritshmërive, kundrejt monedhës Euro ose monedhave të tjera që përbëjnë portofolin e borxhit të huaj, do të kishte ndikim mbi trajektoren e nivelit të borxhit, duke ngadalësuar ritmet e uljes së planifikuar. Përveç sa më sipër, nënçmimi i monedhës vendase do të kishte ndikim edhe mbi koston e borxhit.</w:t>
      </w:r>
    </w:p>
    <w:p w14:paraId="71DF5DB3" w14:textId="77777777" w:rsidR="00E57778" w:rsidRPr="00A234B9" w:rsidRDefault="00E57778" w:rsidP="00880363">
      <w:pPr>
        <w:tabs>
          <w:tab w:val="left" w:pos="2730"/>
        </w:tabs>
        <w:spacing w:after="0" w:line="276" w:lineRule="auto"/>
        <w:ind w:right="237"/>
        <w:jc w:val="both"/>
        <w:rPr>
          <w:rFonts w:ascii="Times New Roman" w:eastAsia="Times New Roman" w:hAnsi="Times New Roman" w:cs="Times New Roman"/>
          <w:bCs/>
          <w:noProof/>
          <w:sz w:val="16"/>
          <w:szCs w:val="28"/>
          <w:lang w:val="sq-AL"/>
        </w:rPr>
      </w:pPr>
    </w:p>
    <w:p w14:paraId="71DF5DB4" w14:textId="77777777" w:rsidR="00E57778" w:rsidRPr="00A234B9" w:rsidRDefault="00E57778" w:rsidP="00880363">
      <w:pPr>
        <w:tabs>
          <w:tab w:val="left" w:pos="2730"/>
        </w:tabs>
        <w:spacing w:after="0" w:line="276" w:lineRule="auto"/>
        <w:ind w:right="237"/>
        <w:jc w:val="both"/>
        <w:rPr>
          <w:rFonts w:ascii="Cambria" w:eastAsia="Batang" w:hAnsi="Cambria"/>
          <w:b/>
          <w:noProof/>
          <w:color w:val="8E0000"/>
          <w:sz w:val="20"/>
          <w:szCs w:val="20"/>
          <w:lang w:val="sq-AL"/>
        </w:rPr>
      </w:pPr>
      <w:r w:rsidRPr="00A234B9">
        <w:rPr>
          <w:rFonts w:ascii="Times New Roman" w:eastAsia="Times New Roman" w:hAnsi="Times New Roman" w:cs="Times New Roman"/>
          <w:bCs/>
          <w:noProof/>
          <w:sz w:val="24"/>
          <w:szCs w:val="28"/>
          <w:lang w:val="sq-AL"/>
        </w:rPr>
        <w:t>Më konkretisht, një nënçmim i monedhës vendase me 15% ndaj të gjitha monedhave që përbëjnë portofolin e borxhit të jashtëm, duke filluar nga viti 20</w:t>
      </w:r>
      <w:r w:rsidR="002626EE" w:rsidRPr="00A234B9">
        <w:rPr>
          <w:rFonts w:ascii="Times New Roman" w:eastAsia="Times New Roman" w:hAnsi="Times New Roman" w:cs="Times New Roman"/>
          <w:bCs/>
          <w:noProof/>
          <w:sz w:val="24"/>
          <w:szCs w:val="28"/>
          <w:lang w:val="sq-AL"/>
        </w:rPr>
        <w:t>20</w:t>
      </w:r>
      <w:r w:rsidRPr="00A234B9">
        <w:rPr>
          <w:rFonts w:ascii="Times New Roman" w:eastAsia="Times New Roman" w:hAnsi="Times New Roman" w:cs="Times New Roman"/>
          <w:bCs/>
          <w:noProof/>
          <w:sz w:val="24"/>
          <w:szCs w:val="28"/>
          <w:lang w:val="sq-AL"/>
        </w:rPr>
        <w:t xml:space="preserve">, do e rriste nivelin e borxhit në raport me PBB </w:t>
      </w:r>
      <w:r w:rsidR="00E72ACD">
        <w:rPr>
          <w:rFonts w:ascii="Times New Roman" w:eastAsia="Times New Roman" w:hAnsi="Times New Roman" w:cs="Times New Roman"/>
          <w:bCs/>
          <w:noProof/>
          <w:sz w:val="24"/>
          <w:szCs w:val="28"/>
          <w:lang w:val="sq-AL"/>
        </w:rPr>
        <w:t xml:space="preserve"> maksimalisht me</w:t>
      </w:r>
      <w:r w:rsidRPr="00A234B9">
        <w:rPr>
          <w:rFonts w:ascii="Times New Roman" w:eastAsia="Times New Roman" w:hAnsi="Times New Roman" w:cs="Times New Roman"/>
          <w:bCs/>
          <w:noProof/>
          <w:sz w:val="24"/>
          <w:szCs w:val="28"/>
          <w:lang w:val="sq-AL"/>
        </w:rPr>
        <w:t xml:space="preserve"> 4.</w:t>
      </w:r>
      <w:r w:rsidR="00933FAD" w:rsidRPr="00A234B9">
        <w:rPr>
          <w:rFonts w:ascii="Times New Roman" w:eastAsia="Times New Roman" w:hAnsi="Times New Roman" w:cs="Times New Roman"/>
          <w:bCs/>
          <w:noProof/>
          <w:sz w:val="24"/>
          <w:szCs w:val="28"/>
          <w:lang w:val="sq-AL"/>
        </w:rPr>
        <w:t>2</w:t>
      </w:r>
      <w:r w:rsidRPr="00A234B9">
        <w:rPr>
          <w:rFonts w:ascii="Times New Roman" w:eastAsia="Times New Roman" w:hAnsi="Times New Roman" w:cs="Times New Roman"/>
          <w:bCs/>
          <w:noProof/>
          <w:sz w:val="24"/>
          <w:szCs w:val="28"/>
          <w:lang w:val="sq-AL"/>
        </w:rPr>
        <w:t xml:space="preserve"> pp dhe në të njëjtën kohë kostot e borxhit </w:t>
      </w:r>
      <w:r w:rsidR="002626EE" w:rsidRPr="00A234B9">
        <w:rPr>
          <w:rFonts w:ascii="Times New Roman" w:eastAsia="Times New Roman" w:hAnsi="Times New Roman" w:cs="Times New Roman"/>
          <w:bCs/>
          <w:noProof/>
          <w:sz w:val="24"/>
          <w:szCs w:val="28"/>
          <w:lang w:val="sq-AL"/>
        </w:rPr>
        <w:t>mesatarisht me rreth</w:t>
      </w:r>
      <w:r w:rsidRPr="00A234B9">
        <w:rPr>
          <w:rFonts w:ascii="Times New Roman" w:eastAsia="Times New Roman" w:hAnsi="Times New Roman" w:cs="Times New Roman"/>
          <w:bCs/>
          <w:noProof/>
          <w:sz w:val="24"/>
          <w:szCs w:val="28"/>
          <w:lang w:val="sq-AL"/>
        </w:rPr>
        <w:t xml:space="preserve"> </w:t>
      </w:r>
      <w:r w:rsidR="00933FAD" w:rsidRPr="00A234B9">
        <w:rPr>
          <w:rFonts w:ascii="Times New Roman" w:eastAsia="Times New Roman" w:hAnsi="Times New Roman" w:cs="Times New Roman"/>
          <w:bCs/>
          <w:noProof/>
          <w:sz w:val="24"/>
          <w:szCs w:val="28"/>
          <w:lang w:val="sq-AL"/>
        </w:rPr>
        <w:t>1.8</w:t>
      </w:r>
      <w:r w:rsidRPr="00A234B9">
        <w:rPr>
          <w:rFonts w:ascii="Times New Roman" w:eastAsia="Times New Roman" w:hAnsi="Times New Roman" w:cs="Times New Roman"/>
          <w:bCs/>
          <w:noProof/>
          <w:sz w:val="24"/>
          <w:szCs w:val="28"/>
          <w:lang w:val="sq-AL"/>
        </w:rPr>
        <w:t xml:space="preserve"> miliard Lekë</w:t>
      </w:r>
      <w:r w:rsidR="002626EE" w:rsidRPr="00A234B9">
        <w:rPr>
          <w:rFonts w:ascii="Times New Roman" w:eastAsia="Times New Roman" w:hAnsi="Times New Roman" w:cs="Times New Roman"/>
          <w:bCs/>
          <w:noProof/>
          <w:sz w:val="24"/>
          <w:szCs w:val="28"/>
          <w:lang w:val="sq-AL"/>
        </w:rPr>
        <w:t xml:space="preserve"> n</w:t>
      </w:r>
      <w:r w:rsidR="00982338" w:rsidRPr="00A234B9">
        <w:rPr>
          <w:rFonts w:ascii="Times New Roman" w:eastAsia="Times New Roman" w:hAnsi="Times New Roman" w:cs="Times New Roman"/>
          <w:bCs/>
          <w:noProof/>
          <w:sz w:val="24"/>
          <w:szCs w:val="28"/>
          <w:lang w:val="sq-AL"/>
        </w:rPr>
        <w:t>ë</w:t>
      </w:r>
      <w:r w:rsidR="002626EE" w:rsidRPr="00A234B9">
        <w:rPr>
          <w:rFonts w:ascii="Times New Roman" w:eastAsia="Times New Roman" w:hAnsi="Times New Roman" w:cs="Times New Roman"/>
          <w:bCs/>
          <w:noProof/>
          <w:sz w:val="24"/>
          <w:szCs w:val="28"/>
          <w:lang w:val="sq-AL"/>
        </w:rPr>
        <w:t xml:space="preserve"> vit</w:t>
      </w:r>
      <w:r w:rsidRPr="00A234B9">
        <w:rPr>
          <w:rFonts w:ascii="Times New Roman" w:eastAsia="Times New Roman" w:hAnsi="Times New Roman" w:cs="Times New Roman"/>
          <w:bCs/>
          <w:noProof/>
          <w:sz w:val="24"/>
          <w:szCs w:val="28"/>
          <w:lang w:val="sq-AL"/>
        </w:rPr>
        <w:t xml:space="preserve">. </w:t>
      </w:r>
      <w:r w:rsidR="00711A48" w:rsidRPr="00A234B9">
        <w:rPr>
          <w:rFonts w:ascii="Cambria" w:eastAsia="Batang" w:hAnsi="Cambria"/>
          <w:b/>
          <w:noProof/>
          <w:color w:val="8E0000"/>
          <w:sz w:val="20"/>
          <w:szCs w:val="20"/>
          <w:lang w:val="sq-AL"/>
        </w:rPr>
        <w:tab/>
      </w:r>
    </w:p>
    <w:p w14:paraId="71DF5DB5" w14:textId="77777777" w:rsidR="00E57778" w:rsidRPr="002626EE" w:rsidRDefault="00E57778" w:rsidP="00E57778">
      <w:pPr>
        <w:tabs>
          <w:tab w:val="left" w:pos="2730"/>
        </w:tabs>
        <w:spacing w:after="0" w:line="276" w:lineRule="auto"/>
        <w:ind w:left="284" w:right="237"/>
        <w:jc w:val="both"/>
        <w:rPr>
          <w:rFonts w:ascii="Cambria" w:eastAsia="Batang" w:hAnsi="Cambria"/>
          <w:b/>
          <w:noProof/>
          <w:color w:val="8E0000"/>
          <w:sz w:val="16"/>
          <w:szCs w:val="20"/>
          <w:highlight w:val="yellow"/>
          <w:lang w:val="sq-AL"/>
        </w:rPr>
      </w:pPr>
    </w:p>
    <w:p w14:paraId="71DF5DB6" w14:textId="77777777" w:rsidR="00E57778" w:rsidRPr="007905AB" w:rsidRDefault="00E57778" w:rsidP="007905AB">
      <w:pPr>
        <w:spacing w:after="0" w:line="240" w:lineRule="auto"/>
        <w:ind w:left="1560" w:right="237" w:hanging="1560"/>
        <w:contextualSpacing/>
        <w:jc w:val="center"/>
        <w:rPr>
          <w:rFonts w:ascii="Cambria" w:eastAsia="Batang" w:hAnsi="Cambria"/>
          <w:i/>
          <w:noProof/>
          <w:color w:val="8E0000"/>
          <w:sz w:val="20"/>
          <w:szCs w:val="20"/>
          <w:lang w:val="sq-AL"/>
        </w:rPr>
      </w:pPr>
      <w:r w:rsidRPr="007905AB">
        <w:rPr>
          <w:rFonts w:ascii="Cambria" w:eastAsia="Batang" w:hAnsi="Cambria"/>
          <w:b/>
          <w:noProof/>
          <w:color w:val="8E0000"/>
          <w:sz w:val="20"/>
          <w:szCs w:val="20"/>
          <w:lang w:val="sq-AL"/>
        </w:rPr>
        <w:t xml:space="preserve">Paraqitje Grafike 2.4.3 (a): </w:t>
      </w:r>
      <w:r w:rsidRPr="007905AB">
        <w:rPr>
          <w:rFonts w:ascii="Cambria" w:eastAsia="Batang" w:hAnsi="Cambria"/>
          <w:i/>
          <w:noProof/>
          <w:color w:val="8E0000"/>
          <w:sz w:val="20"/>
          <w:szCs w:val="20"/>
          <w:lang w:val="sq-AL"/>
        </w:rPr>
        <w:t xml:space="preserve">Ndjeshmëria e nivelit të </w:t>
      </w:r>
      <w:r w:rsidRPr="007905AB">
        <w:rPr>
          <w:rFonts w:ascii="Cambria" w:eastAsia="Batang" w:hAnsi="Cambria"/>
          <w:b/>
          <w:i/>
          <w:noProof/>
          <w:color w:val="8E0000"/>
          <w:sz w:val="20"/>
          <w:szCs w:val="20"/>
          <w:lang w:val="sq-AL"/>
        </w:rPr>
        <w:t>borxhit të qeverisjes qendrore</w:t>
      </w:r>
      <w:r w:rsidRPr="007905AB">
        <w:rPr>
          <w:rFonts w:ascii="Cambria" w:eastAsia="Batang" w:hAnsi="Cambria"/>
          <w:i/>
          <w:noProof/>
          <w:color w:val="8E0000"/>
          <w:sz w:val="20"/>
          <w:szCs w:val="20"/>
          <w:lang w:val="sq-AL"/>
        </w:rPr>
        <w:t xml:space="preserve"> </w:t>
      </w:r>
      <w:r w:rsidR="00711A48" w:rsidRPr="007905AB">
        <w:rPr>
          <w:rFonts w:ascii="Cambria" w:eastAsia="Batang" w:hAnsi="Cambria"/>
          <w:i/>
          <w:noProof/>
          <w:color w:val="8E0000"/>
          <w:sz w:val="20"/>
          <w:szCs w:val="20"/>
          <w:lang w:val="sq-AL"/>
        </w:rPr>
        <w:t xml:space="preserve">në raport me PBB </w:t>
      </w:r>
      <w:r w:rsidRPr="007905AB">
        <w:rPr>
          <w:rFonts w:ascii="Cambria" w:eastAsia="Batang" w:hAnsi="Cambria"/>
          <w:i/>
          <w:noProof/>
          <w:color w:val="8E0000"/>
          <w:sz w:val="20"/>
          <w:szCs w:val="20"/>
          <w:lang w:val="sq-AL"/>
        </w:rPr>
        <w:t xml:space="preserve">ndaj goditjeve  </w:t>
      </w:r>
      <w:r w:rsidR="00711A48" w:rsidRPr="007905AB">
        <w:rPr>
          <w:rFonts w:ascii="Cambria" w:eastAsia="Batang" w:hAnsi="Cambria"/>
          <w:i/>
          <w:noProof/>
          <w:color w:val="8E0000"/>
          <w:sz w:val="20"/>
          <w:szCs w:val="20"/>
          <w:lang w:val="sq-AL"/>
        </w:rPr>
        <w:t>n</w:t>
      </w:r>
      <w:r w:rsidRPr="007905AB">
        <w:rPr>
          <w:rFonts w:ascii="Cambria" w:eastAsia="Batang" w:hAnsi="Cambria"/>
          <w:i/>
          <w:noProof/>
          <w:color w:val="8E0000"/>
          <w:sz w:val="20"/>
          <w:szCs w:val="20"/>
          <w:lang w:val="sq-AL"/>
        </w:rPr>
        <w:t>ë kursi</w:t>
      </w:r>
      <w:r w:rsidR="00711A48" w:rsidRPr="007905AB">
        <w:rPr>
          <w:rFonts w:ascii="Cambria" w:eastAsia="Batang" w:hAnsi="Cambria"/>
          <w:i/>
          <w:noProof/>
          <w:color w:val="8E0000"/>
          <w:sz w:val="20"/>
          <w:szCs w:val="20"/>
          <w:lang w:val="sq-AL"/>
        </w:rPr>
        <w:t>n</w:t>
      </w:r>
      <w:r w:rsidRPr="007905AB">
        <w:rPr>
          <w:rFonts w:ascii="Cambria" w:eastAsia="Batang" w:hAnsi="Cambria"/>
          <w:i/>
          <w:noProof/>
          <w:color w:val="8E0000"/>
          <w:sz w:val="20"/>
          <w:szCs w:val="20"/>
          <w:lang w:val="sq-AL"/>
        </w:rPr>
        <w:t xml:space="preserve"> </w:t>
      </w:r>
      <w:r w:rsidR="00711A48" w:rsidRPr="007905AB">
        <w:rPr>
          <w:rFonts w:ascii="Cambria" w:eastAsia="Batang" w:hAnsi="Cambria"/>
          <w:i/>
          <w:noProof/>
          <w:color w:val="8E0000"/>
          <w:sz w:val="20"/>
          <w:szCs w:val="20"/>
          <w:lang w:val="sq-AL"/>
        </w:rPr>
        <w:t>e</w:t>
      </w:r>
      <w:r w:rsidRPr="007905AB">
        <w:rPr>
          <w:rFonts w:ascii="Cambria" w:eastAsia="Batang" w:hAnsi="Cambria"/>
          <w:i/>
          <w:noProof/>
          <w:color w:val="8E0000"/>
          <w:sz w:val="20"/>
          <w:szCs w:val="20"/>
          <w:lang w:val="sq-AL"/>
        </w:rPr>
        <w:t xml:space="preserve"> këmbimit </w:t>
      </w:r>
      <w:r w:rsidR="00711A48" w:rsidRPr="007905AB">
        <w:rPr>
          <w:rFonts w:ascii="Cambria" w:eastAsia="Batang" w:hAnsi="Cambria"/>
          <w:b/>
          <w:i/>
          <w:noProof/>
          <w:color w:val="8E0000"/>
          <w:sz w:val="20"/>
          <w:szCs w:val="20"/>
          <w:lang w:val="sq-AL"/>
        </w:rPr>
        <w:t>Valut</w:t>
      </w:r>
      <w:r w:rsidR="00FB760F">
        <w:rPr>
          <w:rFonts w:ascii="Cambria" w:eastAsia="Batang" w:hAnsi="Cambria"/>
          <w:b/>
          <w:i/>
          <w:noProof/>
          <w:color w:val="8E0000"/>
          <w:sz w:val="20"/>
          <w:szCs w:val="20"/>
          <w:lang w:val="sq-AL"/>
        </w:rPr>
        <w:t>ë</w:t>
      </w:r>
      <w:r w:rsidRPr="007905AB">
        <w:rPr>
          <w:rFonts w:ascii="Cambria" w:eastAsia="Batang" w:hAnsi="Cambria"/>
          <w:b/>
          <w:i/>
          <w:noProof/>
          <w:color w:val="8E0000"/>
          <w:sz w:val="20"/>
          <w:szCs w:val="20"/>
          <w:lang w:val="sq-AL"/>
        </w:rPr>
        <w:t>/LEK</w:t>
      </w:r>
      <w:r w:rsidR="00711A48" w:rsidRPr="007905AB">
        <w:rPr>
          <w:rFonts w:ascii="Cambria" w:eastAsia="Batang" w:hAnsi="Cambria"/>
          <w:b/>
          <w:i/>
          <w:noProof/>
          <w:color w:val="8E0000"/>
          <w:sz w:val="20"/>
          <w:szCs w:val="20"/>
          <w:lang w:val="sq-AL"/>
        </w:rPr>
        <w:t>Ë</w:t>
      </w:r>
      <w:r w:rsidRPr="007905AB">
        <w:rPr>
          <w:rFonts w:ascii="Cambria" w:eastAsia="Batang" w:hAnsi="Cambria"/>
          <w:i/>
          <w:noProof/>
          <w:color w:val="8E0000"/>
          <w:sz w:val="20"/>
          <w:szCs w:val="20"/>
          <w:lang w:val="sq-AL"/>
        </w:rPr>
        <w:t xml:space="preserve"> (201</w:t>
      </w:r>
      <w:r w:rsidR="00711A48" w:rsidRPr="007905AB">
        <w:rPr>
          <w:rFonts w:ascii="Cambria" w:eastAsia="Batang" w:hAnsi="Cambria"/>
          <w:i/>
          <w:noProof/>
          <w:color w:val="8E0000"/>
          <w:sz w:val="20"/>
          <w:szCs w:val="20"/>
          <w:lang w:val="sq-AL"/>
        </w:rPr>
        <w:t>9</w:t>
      </w:r>
      <w:r w:rsidRPr="007905AB">
        <w:rPr>
          <w:rFonts w:ascii="Cambria" w:eastAsia="Batang" w:hAnsi="Cambria"/>
          <w:i/>
          <w:noProof/>
          <w:color w:val="8E0000"/>
          <w:sz w:val="20"/>
          <w:szCs w:val="20"/>
          <w:lang w:val="sq-AL"/>
        </w:rPr>
        <w:t>-202</w:t>
      </w:r>
      <w:r w:rsidR="00711A48" w:rsidRPr="007905AB">
        <w:rPr>
          <w:rFonts w:ascii="Cambria" w:eastAsia="Batang" w:hAnsi="Cambria"/>
          <w:i/>
          <w:noProof/>
          <w:color w:val="8E0000"/>
          <w:sz w:val="20"/>
          <w:szCs w:val="20"/>
          <w:lang w:val="sq-AL"/>
        </w:rPr>
        <w:t>2</w:t>
      </w:r>
      <w:r w:rsidRPr="007905AB">
        <w:rPr>
          <w:rFonts w:ascii="Cambria" w:eastAsia="Batang" w:hAnsi="Cambria"/>
          <w:i/>
          <w:noProof/>
          <w:color w:val="8E0000"/>
          <w:sz w:val="20"/>
          <w:szCs w:val="20"/>
          <w:lang w:val="sq-AL"/>
        </w:rPr>
        <w:t>)</w:t>
      </w:r>
    </w:p>
    <w:p w14:paraId="71DF5DB7" w14:textId="77777777" w:rsidR="00E57778" w:rsidRPr="007905AB" w:rsidRDefault="00711A48" w:rsidP="007905AB">
      <w:pPr>
        <w:tabs>
          <w:tab w:val="left" w:pos="2730"/>
        </w:tabs>
        <w:spacing w:after="0" w:line="276" w:lineRule="auto"/>
        <w:ind w:right="237"/>
        <w:rPr>
          <w:rFonts w:ascii="Times New Roman" w:eastAsia="Times New Roman" w:hAnsi="Times New Roman" w:cs="Times New Roman"/>
          <w:bCs/>
          <w:noProof/>
          <w:sz w:val="24"/>
          <w:szCs w:val="28"/>
          <w:lang w:val="sq-AL"/>
        </w:rPr>
      </w:pPr>
      <w:r w:rsidRPr="007905AB">
        <w:rPr>
          <w:noProof/>
        </w:rPr>
        <w:drawing>
          <wp:inline distT="0" distB="0" distL="0" distR="0" wp14:anchorId="71DF5F99" wp14:editId="71DF5F9A">
            <wp:extent cx="5562600" cy="1751163"/>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1DF5DB8" w14:textId="77777777" w:rsidR="00845414" w:rsidRDefault="00845414" w:rsidP="00845414">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7905AB">
        <w:rPr>
          <w:rFonts w:ascii="Cambria" w:eastAsia="Calibri" w:hAnsi="Cambria" w:cs="Times New Roman"/>
          <w:b/>
          <w:noProof/>
          <w:color w:val="8E0000"/>
          <w:sz w:val="20"/>
          <w:szCs w:val="20"/>
          <w:lang w:val="sq-AL"/>
        </w:rPr>
        <w:t xml:space="preserve">Burimi: </w:t>
      </w:r>
      <w:r w:rsidRPr="007905AB">
        <w:rPr>
          <w:rFonts w:ascii="Cambria" w:eastAsia="Calibri" w:hAnsi="Cambria" w:cs="Times New Roman"/>
          <w:i/>
          <w:noProof/>
          <w:color w:val="8E0000"/>
          <w:sz w:val="20"/>
          <w:szCs w:val="20"/>
          <w:lang w:val="sq-AL"/>
        </w:rPr>
        <w:t>Ministria e Financave dhe Ekonomisë (2019)</w:t>
      </w:r>
    </w:p>
    <w:p w14:paraId="71DF5DB9" w14:textId="77777777" w:rsidR="00E57778" w:rsidRPr="000F5C13" w:rsidRDefault="00E57778" w:rsidP="00E57778">
      <w:pPr>
        <w:tabs>
          <w:tab w:val="left" w:pos="2730"/>
        </w:tabs>
        <w:spacing w:after="0" w:line="276" w:lineRule="auto"/>
        <w:ind w:left="284" w:right="237"/>
        <w:jc w:val="center"/>
        <w:rPr>
          <w:rFonts w:ascii="Cambria" w:eastAsia="Calibri" w:hAnsi="Cambria" w:cs="Times New Roman"/>
          <w:i/>
          <w:noProof/>
          <w:color w:val="8E0000"/>
          <w:sz w:val="16"/>
          <w:szCs w:val="20"/>
          <w:lang w:val="sq-AL"/>
        </w:rPr>
      </w:pPr>
    </w:p>
    <w:p w14:paraId="71DF5DBA" w14:textId="77777777" w:rsidR="00E57778" w:rsidRPr="00B57F52" w:rsidRDefault="00E57778" w:rsidP="007905AB">
      <w:pPr>
        <w:spacing w:after="0" w:line="240" w:lineRule="auto"/>
        <w:ind w:left="-142" w:right="237" w:firstLine="142"/>
        <w:contextualSpacing/>
        <w:jc w:val="center"/>
        <w:rPr>
          <w:rFonts w:ascii="Cambria" w:eastAsia="Batang" w:hAnsi="Cambria"/>
          <w:i/>
          <w:noProof/>
          <w:color w:val="8E0000"/>
          <w:sz w:val="20"/>
          <w:szCs w:val="20"/>
          <w:lang w:val="sq-AL"/>
        </w:rPr>
      </w:pPr>
      <w:r w:rsidRPr="000F5C13">
        <w:rPr>
          <w:rFonts w:ascii="Cambria" w:eastAsia="Batang" w:hAnsi="Cambria"/>
          <w:b/>
          <w:noProof/>
          <w:color w:val="8E0000"/>
          <w:sz w:val="20"/>
          <w:szCs w:val="20"/>
          <w:lang w:val="sq-AL"/>
        </w:rPr>
        <w:t xml:space="preserve">Paraqitje Grafike 2.4.3 (b): </w:t>
      </w:r>
      <w:r w:rsidRPr="000F5C13">
        <w:rPr>
          <w:rFonts w:ascii="Cambria" w:eastAsia="Batang" w:hAnsi="Cambria"/>
          <w:i/>
          <w:noProof/>
          <w:color w:val="8E0000"/>
          <w:sz w:val="20"/>
          <w:szCs w:val="20"/>
          <w:lang w:val="sq-AL"/>
        </w:rPr>
        <w:t xml:space="preserve">Ndjeshmëria e kostos së </w:t>
      </w:r>
      <w:r w:rsidRPr="000F5C13">
        <w:rPr>
          <w:rFonts w:ascii="Cambria" w:eastAsia="Batang" w:hAnsi="Cambria"/>
          <w:b/>
          <w:i/>
          <w:noProof/>
          <w:color w:val="8E0000"/>
          <w:sz w:val="20"/>
          <w:szCs w:val="20"/>
          <w:lang w:val="sq-AL"/>
        </w:rPr>
        <w:t>borxhit shtetëror</w:t>
      </w:r>
      <w:r w:rsidRPr="000F5C13">
        <w:rPr>
          <w:rFonts w:ascii="Cambria" w:eastAsia="Batang" w:hAnsi="Cambria"/>
          <w:i/>
          <w:noProof/>
          <w:color w:val="8E0000"/>
          <w:sz w:val="20"/>
          <w:szCs w:val="20"/>
          <w:lang w:val="sq-AL"/>
        </w:rPr>
        <w:t xml:space="preserve"> ndaj goditjeve të kursit të këmbimit </w:t>
      </w:r>
      <w:r w:rsidR="00711A48">
        <w:rPr>
          <w:rFonts w:ascii="Cambria" w:eastAsia="Batang" w:hAnsi="Cambria"/>
          <w:b/>
          <w:i/>
          <w:noProof/>
          <w:color w:val="8E0000"/>
          <w:sz w:val="20"/>
          <w:szCs w:val="20"/>
          <w:lang w:val="sq-AL"/>
        </w:rPr>
        <w:t>Valut</w:t>
      </w:r>
      <w:r w:rsidR="00FB760F">
        <w:rPr>
          <w:rFonts w:ascii="Cambria" w:eastAsia="Batang" w:hAnsi="Cambria"/>
          <w:b/>
          <w:i/>
          <w:noProof/>
          <w:color w:val="8E0000"/>
          <w:sz w:val="20"/>
          <w:szCs w:val="20"/>
          <w:lang w:val="sq-AL"/>
        </w:rPr>
        <w:t>ë</w:t>
      </w:r>
      <w:r w:rsidRPr="000F5C13">
        <w:rPr>
          <w:rFonts w:ascii="Cambria" w:eastAsia="Batang" w:hAnsi="Cambria"/>
          <w:b/>
          <w:i/>
          <w:noProof/>
          <w:color w:val="8E0000"/>
          <w:sz w:val="20"/>
          <w:szCs w:val="20"/>
          <w:lang w:val="sq-AL"/>
        </w:rPr>
        <w:t>/LE</w:t>
      </w:r>
      <w:r w:rsidR="00711A48" w:rsidRPr="000F5C13">
        <w:rPr>
          <w:rFonts w:ascii="Cambria" w:eastAsia="Batang" w:hAnsi="Cambria"/>
          <w:b/>
          <w:i/>
          <w:noProof/>
          <w:color w:val="8E0000"/>
          <w:sz w:val="20"/>
          <w:szCs w:val="20"/>
          <w:lang w:val="sq-AL"/>
        </w:rPr>
        <w:t>K</w:t>
      </w:r>
      <w:r w:rsidR="00711A48">
        <w:rPr>
          <w:rFonts w:ascii="Cambria" w:eastAsia="Batang" w:hAnsi="Cambria"/>
          <w:b/>
          <w:i/>
          <w:noProof/>
          <w:color w:val="8E0000"/>
          <w:sz w:val="20"/>
          <w:szCs w:val="20"/>
          <w:lang w:val="sq-AL"/>
        </w:rPr>
        <w:t>Ë</w:t>
      </w:r>
      <w:r w:rsidRPr="000F5C13">
        <w:rPr>
          <w:rFonts w:ascii="Cambria" w:eastAsia="Batang" w:hAnsi="Cambria"/>
          <w:i/>
          <w:noProof/>
          <w:color w:val="8E0000"/>
          <w:sz w:val="20"/>
          <w:szCs w:val="20"/>
          <w:lang w:val="sq-AL"/>
        </w:rPr>
        <w:t xml:space="preserve"> (201</w:t>
      </w:r>
      <w:r w:rsidR="00B57F52">
        <w:rPr>
          <w:rFonts w:ascii="Cambria" w:eastAsia="Batang" w:hAnsi="Cambria"/>
          <w:i/>
          <w:noProof/>
          <w:color w:val="8E0000"/>
          <w:sz w:val="20"/>
          <w:szCs w:val="20"/>
          <w:lang w:val="sq-AL"/>
        </w:rPr>
        <w:t>9</w:t>
      </w:r>
      <w:r w:rsidRPr="000F5C13">
        <w:rPr>
          <w:rFonts w:ascii="Cambria" w:eastAsia="Batang" w:hAnsi="Cambria"/>
          <w:i/>
          <w:noProof/>
          <w:color w:val="8E0000"/>
          <w:sz w:val="20"/>
          <w:szCs w:val="20"/>
          <w:lang w:val="sq-AL"/>
        </w:rPr>
        <w:t>-202</w:t>
      </w:r>
      <w:r w:rsidR="00B57F52">
        <w:rPr>
          <w:rFonts w:ascii="Cambria" w:eastAsia="Batang" w:hAnsi="Cambria"/>
          <w:i/>
          <w:noProof/>
          <w:color w:val="8E0000"/>
          <w:sz w:val="20"/>
          <w:szCs w:val="20"/>
          <w:lang w:val="sq-AL"/>
        </w:rPr>
        <w:t>2</w:t>
      </w:r>
      <w:r w:rsidRPr="000F5C13">
        <w:rPr>
          <w:rFonts w:ascii="Cambria" w:eastAsia="Batang" w:hAnsi="Cambria"/>
          <w:i/>
          <w:noProof/>
          <w:color w:val="8E0000"/>
          <w:sz w:val="20"/>
          <w:szCs w:val="20"/>
          <w:lang w:val="sq-AL"/>
        </w:rPr>
        <w:t>)</w:t>
      </w:r>
    </w:p>
    <w:p w14:paraId="71DF5DBB" w14:textId="77777777" w:rsidR="00E57778" w:rsidRPr="000F5C13" w:rsidRDefault="00B57F52" w:rsidP="007905AB">
      <w:pPr>
        <w:tabs>
          <w:tab w:val="left" w:pos="2730"/>
        </w:tabs>
        <w:spacing w:after="0" w:line="276" w:lineRule="auto"/>
        <w:ind w:right="237"/>
        <w:jc w:val="both"/>
        <w:rPr>
          <w:rFonts w:ascii="Times New Roman" w:eastAsia="Times New Roman" w:hAnsi="Times New Roman" w:cs="Times New Roman"/>
          <w:bCs/>
          <w:noProof/>
          <w:sz w:val="16"/>
          <w:szCs w:val="28"/>
          <w:lang w:val="sq-AL"/>
        </w:rPr>
      </w:pPr>
      <w:r>
        <w:rPr>
          <w:noProof/>
        </w:rPr>
        <w:drawing>
          <wp:inline distT="0" distB="0" distL="0" distR="0" wp14:anchorId="71DF5F9B" wp14:editId="71DF5F9C">
            <wp:extent cx="5562600" cy="2140585"/>
            <wp:effectExtent l="0" t="0" r="0" b="1206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1DF5DBC" w14:textId="77777777" w:rsidR="00F02481" w:rsidRDefault="00845414" w:rsidP="00845414">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 xml:space="preserve">Burimi: </w:t>
      </w:r>
      <w:r w:rsidRPr="000F5C13">
        <w:rPr>
          <w:rFonts w:ascii="Cambria" w:eastAsia="Calibri" w:hAnsi="Cambria" w:cs="Times New Roman"/>
          <w:i/>
          <w:noProof/>
          <w:color w:val="8E0000"/>
          <w:sz w:val="20"/>
          <w:szCs w:val="20"/>
          <w:lang w:val="sq-AL"/>
        </w:rPr>
        <w:t>Ministria e Financave dhe Ekonomisë (201</w:t>
      </w:r>
      <w:r>
        <w:rPr>
          <w:rFonts w:ascii="Cambria" w:eastAsia="Calibri" w:hAnsi="Cambria" w:cs="Times New Roman"/>
          <w:i/>
          <w:noProof/>
          <w:color w:val="8E0000"/>
          <w:sz w:val="20"/>
          <w:szCs w:val="20"/>
          <w:lang w:val="sq-AL"/>
        </w:rPr>
        <w:t>9)</w:t>
      </w:r>
    </w:p>
    <w:p w14:paraId="71DF5DBD" w14:textId="77777777" w:rsidR="00845414" w:rsidRPr="00845414" w:rsidRDefault="00845414" w:rsidP="00845414">
      <w:pPr>
        <w:tabs>
          <w:tab w:val="left" w:pos="2730"/>
        </w:tabs>
        <w:spacing w:after="0" w:line="276" w:lineRule="auto"/>
        <w:ind w:left="284" w:right="237"/>
        <w:jc w:val="center"/>
        <w:rPr>
          <w:rFonts w:ascii="Cambria" w:eastAsia="Calibri" w:hAnsi="Cambria" w:cs="Times New Roman"/>
          <w:i/>
          <w:noProof/>
          <w:color w:val="8E0000"/>
          <w:sz w:val="16"/>
          <w:szCs w:val="20"/>
          <w:lang w:val="sq-AL"/>
        </w:rPr>
      </w:pPr>
    </w:p>
    <w:p w14:paraId="71DF5DBE" w14:textId="77777777" w:rsidR="00CA75E3" w:rsidRDefault="00E57778" w:rsidP="007905AB">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A234B9">
        <w:rPr>
          <w:rFonts w:ascii="Times New Roman" w:eastAsia="Times New Roman" w:hAnsi="Times New Roman" w:cs="Times New Roman"/>
          <w:bCs/>
          <w:noProof/>
          <w:sz w:val="24"/>
          <w:szCs w:val="28"/>
          <w:lang w:val="sq-AL"/>
        </w:rPr>
        <w:t>Në rastin e nënçmimit të monedhës vendase m</w:t>
      </w:r>
    </w:p>
    <w:p w14:paraId="71DF5DBF" w14:textId="77777777" w:rsidR="00E57778" w:rsidRPr="00A234B9" w:rsidRDefault="00E57778" w:rsidP="007905AB">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A234B9">
        <w:rPr>
          <w:rFonts w:ascii="Times New Roman" w:eastAsia="Times New Roman" w:hAnsi="Times New Roman" w:cs="Times New Roman"/>
          <w:bCs/>
          <w:noProof/>
          <w:sz w:val="24"/>
          <w:szCs w:val="28"/>
          <w:lang w:val="sq-AL"/>
        </w:rPr>
        <w:t xml:space="preserve">e 15% vetëm kundrejt monedhës Euro (duke përjashtuar </w:t>
      </w:r>
      <w:r w:rsidR="00F02481" w:rsidRPr="00A234B9">
        <w:rPr>
          <w:rFonts w:ascii="Times New Roman" w:eastAsia="Times New Roman" w:hAnsi="Times New Roman" w:cs="Times New Roman"/>
          <w:bCs/>
          <w:noProof/>
          <w:sz w:val="24"/>
          <w:szCs w:val="28"/>
          <w:lang w:val="sq-AL"/>
        </w:rPr>
        <w:t xml:space="preserve">efektet e </w:t>
      </w:r>
      <w:r w:rsidRPr="00A234B9">
        <w:rPr>
          <w:rFonts w:ascii="Times New Roman" w:eastAsia="Times New Roman" w:hAnsi="Times New Roman" w:cs="Times New Roman"/>
          <w:bCs/>
          <w:noProof/>
          <w:sz w:val="24"/>
          <w:szCs w:val="28"/>
          <w:lang w:val="sq-AL"/>
        </w:rPr>
        <w:t>monedha</w:t>
      </w:r>
      <w:r w:rsidR="00F02481" w:rsidRPr="00A234B9">
        <w:rPr>
          <w:rFonts w:ascii="Times New Roman" w:eastAsia="Times New Roman" w:hAnsi="Times New Roman" w:cs="Times New Roman"/>
          <w:bCs/>
          <w:noProof/>
          <w:sz w:val="24"/>
          <w:szCs w:val="28"/>
          <w:lang w:val="sq-AL"/>
        </w:rPr>
        <w:t>ve</w:t>
      </w:r>
      <w:r w:rsidRPr="00A234B9">
        <w:rPr>
          <w:rFonts w:ascii="Times New Roman" w:eastAsia="Times New Roman" w:hAnsi="Times New Roman" w:cs="Times New Roman"/>
          <w:bCs/>
          <w:noProof/>
          <w:sz w:val="24"/>
          <w:szCs w:val="28"/>
          <w:lang w:val="sq-AL"/>
        </w:rPr>
        <w:t xml:space="preserve"> </w:t>
      </w:r>
      <w:r w:rsidR="00F02481" w:rsidRPr="00A234B9">
        <w:rPr>
          <w:rFonts w:ascii="Times New Roman" w:eastAsia="Times New Roman" w:hAnsi="Times New Roman" w:cs="Times New Roman"/>
          <w:bCs/>
          <w:noProof/>
          <w:sz w:val="24"/>
          <w:szCs w:val="28"/>
          <w:lang w:val="sq-AL"/>
        </w:rPr>
        <w:t>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tjera</w:t>
      </w:r>
      <w:r w:rsidR="00F02481" w:rsidRPr="00A234B9">
        <w:rPr>
          <w:rFonts w:ascii="Times New Roman" w:eastAsia="Times New Roman" w:hAnsi="Times New Roman" w:cs="Times New Roman"/>
          <w:bCs/>
          <w:noProof/>
          <w:sz w:val="24"/>
          <w:szCs w:val="28"/>
          <w:lang w:val="sq-AL"/>
        </w:rPr>
        <w:t xml:space="preserve"> q</w:t>
      </w:r>
      <w:r w:rsidR="00982338" w:rsidRPr="00A234B9">
        <w:rPr>
          <w:rFonts w:ascii="Times New Roman" w:eastAsia="Times New Roman" w:hAnsi="Times New Roman" w:cs="Times New Roman"/>
          <w:bCs/>
          <w:noProof/>
          <w:sz w:val="24"/>
          <w:szCs w:val="28"/>
          <w:lang w:val="sq-AL"/>
        </w:rPr>
        <w:t>ë</w:t>
      </w:r>
      <w:r w:rsidR="00F02481" w:rsidRPr="00A234B9">
        <w:rPr>
          <w:rFonts w:ascii="Times New Roman" w:eastAsia="Times New Roman" w:hAnsi="Times New Roman" w:cs="Times New Roman"/>
          <w:bCs/>
          <w:noProof/>
          <w:sz w:val="24"/>
          <w:szCs w:val="28"/>
          <w:lang w:val="sq-AL"/>
        </w:rPr>
        <w:t xml:space="preserve"> p</w:t>
      </w:r>
      <w:r w:rsidR="00982338" w:rsidRPr="00A234B9">
        <w:rPr>
          <w:rFonts w:ascii="Times New Roman" w:eastAsia="Times New Roman" w:hAnsi="Times New Roman" w:cs="Times New Roman"/>
          <w:bCs/>
          <w:noProof/>
          <w:sz w:val="24"/>
          <w:szCs w:val="28"/>
          <w:lang w:val="sq-AL"/>
        </w:rPr>
        <w:t>ë</w:t>
      </w:r>
      <w:r w:rsidR="00F02481" w:rsidRPr="00A234B9">
        <w:rPr>
          <w:rFonts w:ascii="Times New Roman" w:eastAsia="Times New Roman" w:hAnsi="Times New Roman" w:cs="Times New Roman"/>
          <w:bCs/>
          <w:noProof/>
          <w:sz w:val="24"/>
          <w:szCs w:val="28"/>
          <w:lang w:val="sq-AL"/>
        </w:rPr>
        <w:t>rb</w:t>
      </w:r>
      <w:r w:rsidR="00982338" w:rsidRPr="00A234B9">
        <w:rPr>
          <w:rFonts w:ascii="Times New Roman" w:eastAsia="Times New Roman" w:hAnsi="Times New Roman" w:cs="Times New Roman"/>
          <w:bCs/>
          <w:noProof/>
          <w:sz w:val="24"/>
          <w:szCs w:val="28"/>
          <w:lang w:val="sq-AL"/>
        </w:rPr>
        <w:t>ë</w:t>
      </w:r>
      <w:r w:rsidR="00F02481" w:rsidRPr="00A234B9">
        <w:rPr>
          <w:rFonts w:ascii="Times New Roman" w:eastAsia="Times New Roman" w:hAnsi="Times New Roman" w:cs="Times New Roman"/>
          <w:bCs/>
          <w:noProof/>
          <w:sz w:val="24"/>
          <w:szCs w:val="28"/>
          <w:lang w:val="sq-AL"/>
        </w:rPr>
        <w:t>jn</w:t>
      </w:r>
      <w:r w:rsidR="00982338" w:rsidRPr="00A234B9">
        <w:rPr>
          <w:rFonts w:ascii="Times New Roman" w:eastAsia="Times New Roman" w:hAnsi="Times New Roman" w:cs="Times New Roman"/>
          <w:bCs/>
          <w:noProof/>
          <w:sz w:val="24"/>
          <w:szCs w:val="28"/>
          <w:lang w:val="sq-AL"/>
        </w:rPr>
        <w:t>ë</w:t>
      </w:r>
      <w:r w:rsidR="00F02481" w:rsidRPr="00A234B9">
        <w:rPr>
          <w:rFonts w:ascii="Times New Roman" w:eastAsia="Times New Roman" w:hAnsi="Times New Roman" w:cs="Times New Roman"/>
          <w:bCs/>
          <w:noProof/>
          <w:sz w:val="24"/>
          <w:szCs w:val="28"/>
          <w:lang w:val="sq-AL"/>
        </w:rPr>
        <w:t xml:space="preserve"> portofolin e borxhit t</w:t>
      </w:r>
      <w:r w:rsidR="00982338" w:rsidRPr="00A234B9">
        <w:rPr>
          <w:rFonts w:ascii="Times New Roman" w:eastAsia="Times New Roman" w:hAnsi="Times New Roman" w:cs="Times New Roman"/>
          <w:bCs/>
          <w:noProof/>
          <w:sz w:val="24"/>
          <w:szCs w:val="28"/>
          <w:lang w:val="sq-AL"/>
        </w:rPr>
        <w:t>ë</w:t>
      </w:r>
      <w:r w:rsidR="00F02481" w:rsidRPr="00A234B9">
        <w:rPr>
          <w:rFonts w:ascii="Times New Roman" w:eastAsia="Times New Roman" w:hAnsi="Times New Roman" w:cs="Times New Roman"/>
          <w:bCs/>
          <w:noProof/>
          <w:sz w:val="24"/>
          <w:szCs w:val="28"/>
          <w:lang w:val="sq-AL"/>
        </w:rPr>
        <w:t xml:space="preserve"> qeverisjes qendrore</w:t>
      </w:r>
      <w:r w:rsidRPr="00A234B9">
        <w:rPr>
          <w:rFonts w:ascii="Times New Roman" w:eastAsia="Times New Roman" w:hAnsi="Times New Roman" w:cs="Times New Roman"/>
          <w:bCs/>
          <w:i/>
          <w:noProof/>
          <w:sz w:val="24"/>
          <w:szCs w:val="28"/>
          <w:lang w:val="sq-AL"/>
        </w:rPr>
        <w:t>)</w:t>
      </w:r>
      <w:r w:rsidRPr="00A234B9">
        <w:rPr>
          <w:rFonts w:ascii="Times New Roman" w:eastAsia="Times New Roman" w:hAnsi="Times New Roman" w:cs="Times New Roman"/>
          <w:bCs/>
          <w:noProof/>
          <w:sz w:val="24"/>
          <w:szCs w:val="28"/>
          <w:lang w:val="sq-AL"/>
        </w:rPr>
        <w:t xml:space="preserve">, efektet mbi nivelin e borxhit të qeverisjes qendrore në raport me PBB dhe koston e tij do të ishin më të moderuara, përkatësisht me rritje </w:t>
      </w:r>
      <w:r w:rsidR="00F02481" w:rsidRPr="00A234B9">
        <w:rPr>
          <w:rFonts w:ascii="Times New Roman" w:eastAsia="Times New Roman" w:hAnsi="Times New Roman" w:cs="Times New Roman"/>
          <w:bCs/>
          <w:noProof/>
          <w:sz w:val="24"/>
          <w:szCs w:val="28"/>
          <w:lang w:val="sq-AL"/>
        </w:rPr>
        <w:t>deri n</w:t>
      </w:r>
      <w:r w:rsidR="00982338" w:rsidRPr="00A234B9">
        <w:rPr>
          <w:rFonts w:ascii="Times New Roman" w:eastAsia="Times New Roman" w:hAnsi="Times New Roman" w:cs="Times New Roman"/>
          <w:bCs/>
          <w:noProof/>
          <w:sz w:val="24"/>
          <w:szCs w:val="28"/>
          <w:lang w:val="sq-AL"/>
        </w:rPr>
        <w:t>ë</w:t>
      </w:r>
      <w:r w:rsidR="00F02481" w:rsidRPr="00A234B9">
        <w:rPr>
          <w:rFonts w:ascii="Times New Roman" w:eastAsia="Times New Roman" w:hAnsi="Times New Roman" w:cs="Times New Roman"/>
          <w:bCs/>
          <w:noProof/>
          <w:sz w:val="24"/>
          <w:szCs w:val="28"/>
          <w:lang w:val="sq-AL"/>
        </w:rPr>
        <w:t xml:space="preserve"> </w:t>
      </w:r>
      <w:r w:rsidRPr="00A234B9">
        <w:rPr>
          <w:rFonts w:ascii="Times New Roman" w:eastAsia="Times New Roman" w:hAnsi="Times New Roman" w:cs="Times New Roman"/>
          <w:bCs/>
          <w:noProof/>
          <w:sz w:val="24"/>
          <w:szCs w:val="28"/>
          <w:lang w:val="sq-AL"/>
        </w:rPr>
        <w:t>2.</w:t>
      </w:r>
      <w:r w:rsidR="00A55D93" w:rsidRPr="00A234B9">
        <w:rPr>
          <w:rFonts w:ascii="Times New Roman" w:eastAsia="Times New Roman" w:hAnsi="Times New Roman" w:cs="Times New Roman"/>
          <w:bCs/>
          <w:noProof/>
          <w:sz w:val="24"/>
          <w:szCs w:val="28"/>
          <w:lang w:val="sq-AL"/>
        </w:rPr>
        <w:t>7</w:t>
      </w:r>
      <w:r w:rsidRPr="00A234B9">
        <w:rPr>
          <w:rFonts w:ascii="Times New Roman" w:eastAsia="Times New Roman" w:hAnsi="Times New Roman" w:cs="Times New Roman"/>
          <w:bCs/>
          <w:noProof/>
          <w:sz w:val="24"/>
          <w:szCs w:val="28"/>
          <w:lang w:val="sq-AL"/>
        </w:rPr>
        <w:t xml:space="preserve"> pp dhe </w:t>
      </w:r>
      <w:r w:rsidR="00F02481" w:rsidRPr="00A234B9">
        <w:rPr>
          <w:rFonts w:ascii="Times New Roman" w:eastAsia="Times New Roman" w:hAnsi="Times New Roman" w:cs="Times New Roman"/>
          <w:bCs/>
          <w:noProof/>
          <w:sz w:val="24"/>
          <w:szCs w:val="28"/>
          <w:lang w:val="sq-AL"/>
        </w:rPr>
        <w:t xml:space="preserve">rreth </w:t>
      </w:r>
      <w:r w:rsidRPr="00A234B9">
        <w:rPr>
          <w:rFonts w:ascii="Times New Roman" w:eastAsia="Times New Roman" w:hAnsi="Times New Roman" w:cs="Times New Roman"/>
          <w:bCs/>
          <w:noProof/>
          <w:sz w:val="24"/>
          <w:szCs w:val="28"/>
          <w:lang w:val="sq-AL"/>
        </w:rPr>
        <w:t>1.</w:t>
      </w:r>
      <w:r w:rsidR="006D30CB" w:rsidRPr="00A234B9">
        <w:rPr>
          <w:rFonts w:ascii="Times New Roman" w:eastAsia="Times New Roman" w:hAnsi="Times New Roman" w:cs="Times New Roman"/>
          <w:bCs/>
          <w:noProof/>
          <w:sz w:val="24"/>
          <w:szCs w:val="28"/>
          <w:lang w:val="sq-AL"/>
        </w:rPr>
        <w:t>2</w:t>
      </w:r>
      <w:r w:rsidRPr="00A234B9">
        <w:rPr>
          <w:rFonts w:ascii="Times New Roman" w:eastAsia="Times New Roman" w:hAnsi="Times New Roman" w:cs="Times New Roman"/>
          <w:bCs/>
          <w:noProof/>
          <w:sz w:val="24"/>
          <w:szCs w:val="28"/>
          <w:lang w:val="sq-AL"/>
        </w:rPr>
        <w:t xml:space="preserve"> miliard Lekë</w:t>
      </w:r>
      <w:r w:rsidR="00F02481" w:rsidRPr="00A234B9">
        <w:rPr>
          <w:rFonts w:ascii="Times New Roman" w:eastAsia="Times New Roman" w:hAnsi="Times New Roman" w:cs="Times New Roman"/>
          <w:bCs/>
          <w:noProof/>
          <w:sz w:val="24"/>
          <w:szCs w:val="28"/>
          <w:lang w:val="sq-AL"/>
        </w:rPr>
        <w:t xml:space="preserve"> n</w:t>
      </w:r>
      <w:r w:rsidR="00982338" w:rsidRPr="00A234B9">
        <w:rPr>
          <w:rFonts w:ascii="Times New Roman" w:eastAsia="Times New Roman" w:hAnsi="Times New Roman" w:cs="Times New Roman"/>
          <w:bCs/>
          <w:noProof/>
          <w:sz w:val="24"/>
          <w:szCs w:val="28"/>
          <w:lang w:val="sq-AL"/>
        </w:rPr>
        <w:t>ë</w:t>
      </w:r>
      <w:r w:rsidR="00F02481" w:rsidRPr="00A234B9">
        <w:rPr>
          <w:rFonts w:ascii="Times New Roman" w:eastAsia="Times New Roman" w:hAnsi="Times New Roman" w:cs="Times New Roman"/>
          <w:bCs/>
          <w:noProof/>
          <w:sz w:val="24"/>
          <w:szCs w:val="28"/>
          <w:lang w:val="sq-AL"/>
        </w:rPr>
        <w:t xml:space="preserve"> vit</w:t>
      </w:r>
      <w:r w:rsidRPr="00A234B9">
        <w:rPr>
          <w:rFonts w:ascii="Times New Roman" w:eastAsia="Times New Roman" w:hAnsi="Times New Roman" w:cs="Times New Roman"/>
          <w:bCs/>
          <w:noProof/>
          <w:sz w:val="24"/>
          <w:szCs w:val="28"/>
          <w:lang w:val="sq-AL"/>
        </w:rPr>
        <w:t>.</w:t>
      </w:r>
    </w:p>
    <w:p w14:paraId="71DF5DC0" w14:textId="77777777" w:rsidR="006D30CB" w:rsidRPr="00A234B9" w:rsidRDefault="00C52A31" w:rsidP="007905AB">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A234B9">
        <w:rPr>
          <w:rFonts w:ascii="Times New Roman" w:eastAsia="Times New Roman" w:hAnsi="Times New Roman" w:cs="Times New Roman"/>
          <w:bCs/>
          <w:noProof/>
          <w:sz w:val="24"/>
          <w:szCs w:val="28"/>
          <w:lang w:val="sq-AL"/>
        </w:rPr>
        <w:t>Nisur nga niveli i borxhit, si edhe niveli i ekspozimit 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riskut, norma e </w:t>
      </w:r>
      <w:r w:rsidR="00E57778" w:rsidRPr="00A234B9">
        <w:rPr>
          <w:rFonts w:ascii="Times New Roman" w:eastAsia="Times New Roman" w:hAnsi="Times New Roman" w:cs="Times New Roman"/>
          <w:bCs/>
          <w:noProof/>
          <w:sz w:val="24"/>
          <w:szCs w:val="28"/>
          <w:lang w:val="sq-AL"/>
        </w:rPr>
        <w:t xml:space="preserve">interesit në tregun vendas dhe atë të huaj </w:t>
      </w:r>
      <w:r w:rsidRPr="00A234B9">
        <w:rPr>
          <w:rFonts w:ascii="Times New Roman" w:eastAsia="Times New Roman" w:hAnsi="Times New Roman" w:cs="Times New Roman"/>
          <w:bCs/>
          <w:noProof/>
          <w:sz w:val="24"/>
          <w:szCs w:val="28"/>
          <w:lang w:val="sq-AL"/>
        </w:rPr>
        <w:t>vler</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sohet 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j</w:t>
      </w:r>
      <w:r w:rsidR="00FB760F">
        <w:rPr>
          <w:rFonts w:ascii="Times New Roman" w:eastAsia="Times New Roman" w:hAnsi="Times New Roman" w:cs="Times New Roman"/>
          <w:bCs/>
          <w:noProof/>
          <w:sz w:val="24"/>
          <w:szCs w:val="28"/>
          <w:lang w:val="sq-AL"/>
        </w:rPr>
        <w:t>e</w:t>
      </w:r>
      <w:r w:rsidRPr="00A234B9">
        <w:rPr>
          <w:rFonts w:ascii="Times New Roman" w:eastAsia="Times New Roman" w:hAnsi="Times New Roman" w:cs="Times New Roman"/>
          <w:bCs/>
          <w:noProof/>
          <w:sz w:val="24"/>
          <w:szCs w:val="28"/>
          <w:lang w:val="sq-AL"/>
        </w:rPr>
        <w:t>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nj</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faktor me ndikim 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lart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n</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an</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n e shpenzimeve 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buxhetit t</w:t>
      </w:r>
      <w:r w:rsidR="00982338" w:rsidRPr="00A234B9">
        <w:rPr>
          <w:rFonts w:ascii="Times New Roman" w:eastAsia="Times New Roman" w:hAnsi="Times New Roman" w:cs="Times New Roman"/>
          <w:bCs/>
          <w:noProof/>
          <w:sz w:val="24"/>
          <w:szCs w:val="28"/>
          <w:lang w:val="sq-AL"/>
        </w:rPr>
        <w:t>ë</w:t>
      </w:r>
      <w:r w:rsidRPr="00A234B9">
        <w:rPr>
          <w:rFonts w:ascii="Times New Roman" w:eastAsia="Times New Roman" w:hAnsi="Times New Roman" w:cs="Times New Roman"/>
          <w:bCs/>
          <w:noProof/>
          <w:sz w:val="24"/>
          <w:szCs w:val="28"/>
          <w:lang w:val="sq-AL"/>
        </w:rPr>
        <w:t xml:space="preserve"> shtetit.  </w:t>
      </w:r>
      <w:r w:rsidR="00E57778" w:rsidRPr="00A234B9">
        <w:rPr>
          <w:rFonts w:ascii="Times New Roman" w:eastAsia="Times New Roman" w:hAnsi="Times New Roman" w:cs="Times New Roman"/>
          <w:bCs/>
          <w:noProof/>
          <w:sz w:val="24"/>
          <w:szCs w:val="28"/>
          <w:lang w:val="sq-AL"/>
        </w:rPr>
        <w:t xml:space="preserve"> </w:t>
      </w:r>
    </w:p>
    <w:p w14:paraId="71DF5DC1" w14:textId="77777777" w:rsidR="0052364D" w:rsidRDefault="008E724D" w:rsidP="007905AB">
      <w:pPr>
        <w:tabs>
          <w:tab w:val="left" w:pos="2730"/>
        </w:tabs>
        <w:spacing w:after="0" w:line="276" w:lineRule="auto"/>
        <w:ind w:right="237"/>
        <w:jc w:val="both"/>
        <w:rPr>
          <w:rFonts w:ascii="Times New Roman" w:eastAsia="Times New Roman" w:hAnsi="Times New Roman" w:cs="Times New Roman"/>
          <w:bCs/>
          <w:noProof/>
          <w:sz w:val="24"/>
          <w:szCs w:val="28"/>
          <w:lang w:val="sq-AL"/>
        </w:rPr>
      </w:pPr>
      <w:r w:rsidRPr="00A234B9">
        <w:rPr>
          <w:rFonts w:ascii="Times New Roman" w:eastAsia="Times New Roman" w:hAnsi="Times New Roman" w:cs="Times New Roman"/>
          <w:bCs/>
          <w:noProof/>
          <w:sz w:val="24"/>
          <w:szCs w:val="28"/>
          <w:lang w:val="sq-AL"/>
        </w:rPr>
        <w:t>Nga analiza</w:t>
      </w:r>
      <w:r w:rsidR="0052364D" w:rsidRPr="00A234B9">
        <w:rPr>
          <w:rFonts w:ascii="Times New Roman" w:eastAsia="Times New Roman" w:hAnsi="Times New Roman" w:cs="Times New Roman"/>
          <w:bCs/>
          <w:noProof/>
          <w:sz w:val="24"/>
          <w:szCs w:val="28"/>
          <w:lang w:val="sq-AL"/>
        </w:rPr>
        <w:t xml:space="preserve"> e ndjeshm</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ris</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rezulton se: nj</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rritje e nj</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kohshme e normave t</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interesit n</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tregun vendas dhe at</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t</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huaj me 2 pp mbi normat e pritshme duke filluar nga viti 2020, mund t</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rris</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shpenzimet p</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r interesa nga </w:t>
      </w:r>
      <w:r w:rsidR="00056701" w:rsidRPr="00A234B9">
        <w:rPr>
          <w:rFonts w:ascii="Times New Roman" w:eastAsia="Times New Roman" w:hAnsi="Times New Roman" w:cs="Times New Roman"/>
          <w:bCs/>
          <w:noProof/>
          <w:sz w:val="24"/>
          <w:szCs w:val="28"/>
          <w:lang w:val="sq-AL"/>
        </w:rPr>
        <w:t>0.8</w:t>
      </w:r>
      <w:r w:rsidR="0052364D" w:rsidRPr="00A234B9">
        <w:rPr>
          <w:rFonts w:ascii="Times New Roman" w:eastAsia="Times New Roman" w:hAnsi="Times New Roman" w:cs="Times New Roman"/>
          <w:bCs/>
          <w:noProof/>
          <w:sz w:val="24"/>
          <w:szCs w:val="28"/>
          <w:lang w:val="sq-AL"/>
        </w:rPr>
        <w:t xml:space="preserve"> miliard Lek</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n</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vitin 2020 deri n</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1</w:t>
      </w:r>
      <w:r w:rsidR="00A55D93" w:rsidRPr="00A234B9">
        <w:rPr>
          <w:rFonts w:ascii="Times New Roman" w:eastAsia="Times New Roman" w:hAnsi="Times New Roman" w:cs="Times New Roman"/>
          <w:bCs/>
          <w:noProof/>
          <w:sz w:val="24"/>
          <w:szCs w:val="28"/>
          <w:lang w:val="sq-AL"/>
        </w:rPr>
        <w:t>5</w:t>
      </w:r>
      <w:r w:rsidR="0052364D" w:rsidRPr="00A234B9">
        <w:rPr>
          <w:rFonts w:ascii="Times New Roman" w:eastAsia="Times New Roman" w:hAnsi="Times New Roman" w:cs="Times New Roman"/>
          <w:bCs/>
          <w:noProof/>
          <w:sz w:val="24"/>
          <w:szCs w:val="28"/>
          <w:lang w:val="sq-AL"/>
        </w:rPr>
        <w:t xml:space="preserve"> miliard Lek</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n</w:t>
      </w:r>
      <w:r w:rsidR="00982338" w:rsidRPr="00A234B9">
        <w:rPr>
          <w:rFonts w:ascii="Times New Roman" w:eastAsia="Times New Roman" w:hAnsi="Times New Roman" w:cs="Times New Roman"/>
          <w:bCs/>
          <w:noProof/>
          <w:sz w:val="24"/>
          <w:szCs w:val="28"/>
          <w:lang w:val="sq-AL"/>
        </w:rPr>
        <w:t>ë</w:t>
      </w:r>
      <w:r w:rsidR="0052364D" w:rsidRPr="00A234B9">
        <w:rPr>
          <w:rFonts w:ascii="Times New Roman" w:eastAsia="Times New Roman" w:hAnsi="Times New Roman" w:cs="Times New Roman"/>
          <w:bCs/>
          <w:noProof/>
          <w:sz w:val="24"/>
          <w:szCs w:val="28"/>
          <w:lang w:val="sq-AL"/>
        </w:rPr>
        <w:t xml:space="preserve"> vitin 2022.</w:t>
      </w:r>
    </w:p>
    <w:p w14:paraId="71DF5DC2" w14:textId="77777777" w:rsidR="00E95A3E" w:rsidRPr="000F5C13" w:rsidRDefault="00E95A3E" w:rsidP="00E57778">
      <w:pPr>
        <w:spacing w:after="0" w:line="240" w:lineRule="auto"/>
        <w:ind w:right="95"/>
        <w:contextualSpacing/>
        <w:rPr>
          <w:rFonts w:ascii="Cambria" w:eastAsia="Batang" w:hAnsi="Cambria"/>
          <w:b/>
          <w:noProof/>
          <w:color w:val="8E0000"/>
          <w:sz w:val="16"/>
          <w:szCs w:val="20"/>
          <w:lang w:val="sq-AL"/>
        </w:rPr>
      </w:pPr>
    </w:p>
    <w:p w14:paraId="71DF5DC3" w14:textId="77777777" w:rsidR="00E57778" w:rsidRPr="007905AB" w:rsidRDefault="00E57778" w:rsidP="007905AB">
      <w:pPr>
        <w:tabs>
          <w:tab w:val="left" w:pos="8789"/>
        </w:tabs>
        <w:spacing w:after="0" w:line="240" w:lineRule="auto"/>
        <w:ind w:left="709" w:right="237" w:hanging="709"/>
        <w:contextualSpacing/>
        <w:jc w:val="center"/>
        <w:rPr>
          <w:rFonts w:ascii="Cambria" w:eastAsia="Batang" w:hAnsi="Cambria"/>
          <w:i/>
          <w:noProof/>
          <w:color w:val="8E0000"/>
          <w:sz w:val="20"/>
          <w:szCs w:val="20"/>
          <w:lang w:val="sq-AL"/>
        </w:rPr>
      </w:pPr>
      <w:r w:rsidRPr="007905AB">
        <w:rPr>
          <w:rFonts w:ascii="Cambria" w:eastAsia="Batang" w:hAnsi="Cambria"/>
          <w:b/>
          <w:noProof/>
          <w:color w:val="8E0000"/>
          <w:sz w:val="20"/>
          <w:szCs w:val="20"/>
          <w:lang w:val="sq-AL"/>
        </w:rPr>
        <w:t xml:space="preserve">Paraqitje Grafike 2.4.3 (c): </w:t>
      </w:r>
      <w:r w:rsidRPr="007905AB">
        <w:rPr>
          <w:rFonts w:ascii="Cambria" w:eastAsia="Batang" w:hAnsi="Cambria"/>
          <w:i/>
          <w:noProof/>
          <w:color w:val="8E0000"/>
          <w:sz w:val="20"/>
          <w:szCs w:val="20"/>
          <w:lang w:val="sq-AL"/>
        </w:rPr>
        <w:t xml:space="preserve">Ndjeshmëria e kostos së </w:t>
      </w:r>
      <w:r w:rsidRPr="007905AB">
        <w:rPr>
          <w:rFonts w:ascii="Cambria" w:eastAsia="Batang" w:hAnsi="Cambria"/>
          <w:b/>
          <w:i/>
          <w:noProof/>
          <w:color w:val="8E0000"/>
          <w:sz w:val="20"/>
          <w:szCs w:val="20"/>
          <w:lang w:val="sq-AL"/>
        </w:rPr>
        <w:t>borxhit shtetëror</w:t>
      </w:r>
      <w:r w:rsidRPr="007905AB">
        <w:rPr>
          <w:rFonts w:ascii="Cambria" w:eastAsia="Batang" w:hAnsi="Cambria"/>
          <w:i/>
          <w:noProof/>
          <w:color w:val="8E0000"/>
          <w:sz w:val="20"/>
          <w:szCs w:val="20"/>
          <w:lang w:val="sq-AL"/>
        </w:rPr>
        <w:t xml:space="preserve"> ndaj goditjeve të normave  të interesit</w:t>
      </w:r>
      <w:r w:rsidR="00251B08" w:rsidRPr="007905AB">
        <w:rPr>
          <w:rFonts w:ascii="Cambria" w:eastAsia="Batang" w:hAnsi="Cambria"/>
          <w:i/>
          <w:noProof/>
          <w:color w:val="8E0000"/>
          <w:sz w:val="20"/>
          <w:szCs w:val="20"/>
          <w:lang w:val="sq-AL"/>
        </w:rPr>
        <w:t xml:space="preserve"> n</w:t>
      </w:r>
      <w:r w:rsidR="00982338" w:rsidRPr="007905AB">
        <w:rPr>
          <w:rFonts w:ascii="Cambria" w:eastAsia="Batang" w:hAnsi="Cambria"/>
          <w:i/>
          <w:noProof/>
          <w:color w:val="8E0000"/>
          <w:sz w:val="20"/>
          <w:szCs w:val="20"/>
          <w:lang w:val="sq-AL"/>
        </w:rPr>
        <w:t>ë</w:t>
      </w:r>
      <w:r w:rsidR="00251B08" w:rsidRPr="007905AB">
        <w:rPr>
          <w:rFonts w:ascii="Cambria" w:eastAsia="Batang" w:hAnsi="Cambria"/>
          <w:i/>
          <w:noProof/>
          <w:color w:val="8E0000"/>
          <w:sz w:val="20"/>
          <w:szCs w:val="20"/>
          <w:lang w:val="sq-AL"/>
        </w:rPr>
        <w:t xml:space="preserve"> tregun vendas dhe t</w:t>
      </w:r>
      <w:r w:rsidR="00982338" w:rsidRPr="007905AB">
        <w:rPr>
          <w:rFonts w:ascii="Cambria" w:eastAsia="Batang" w:hAnsi="Cambria"/>
          <w:i/>
          <w:noProof/>
          <w:color w:val="8E0000"/>
          <w:sz w:val="20"/>
          <w:szCs w:val="20"/>
          <w:lang w:val="sq-AL"/>
        </w:rPr>
        <w:t>ë</w:t>
      </w:r>
      <w:r w:rsidR="00251B08" w:rsidRPr="007905AB">
        <w:rPr>
          <w:rFonts w:ascii="Cambria" w:eastAsia="Batang" w:hAnsi="Cambria"/>
          <w:i/>
          <w:noProof/>
          <w:color w:val="8E0000"/>
          <w:sz w:val="20"/>
          <w:szCs w:val="20"/>
          <w:lang w:val="sq-AL"/>
        </w:rPr>
        <w:t xml:space="preserve"> huaj</w:t>
      </w:r>
      <w:r w:rsidRPr="007905AB">
        <w:rPr>
          <w:rFonts w:ascii="Cambria" w:eastAsia="Batang" w:hAnsi="Cambria"/>
          <w:i/>
          <w:noProof/>
          <w:color w:val="8E0000"/>
          <w:sz w:val="20"/>
          <w:szCs w:val="20"/>
          <w:lang w:val="sq-AL"/>
        </w:rPr>
        <w:t xml:space="preserve"> (201</w:t>
      </w:r>
      <w:r w:rsidR="00F60917" w:rsidRPr="007905AB">
        <w:rPr>
          <w:rFonts w:ascii="Cambria" w:eastAsia="Batang" w:hAnsi="Cambria"/>
          <w:i/>
          <w:noProof/>
          <w:color w:val="8E0000"/>
          <w:sz w:val="20"/>
          <w:szCs w:val="20"/>
          <w:lang w:val="sq-AL"/>
        </w:rPr>
        <w:t>9</w:t>
      </w:r>
      <w:r w:rsidRPr="007905AB">
        <w:rPr>
          <w:rFonts w:ascii="Cambria" w:eastAsia="Batang" w:hAnsi="Cambria"/>
          <w:i/>
          <w:noProof/>
          <w:color w:val="8E0000"/>
          <w:sz w:val="20"/>
          <w:szCs w:val="20"/>
          <w:lang w:val="sq-AL"/>
        </w:rPr>
        <w:t>-202</w:t>
      </w:r>
      <w:r w:rsidR="00F60917" w:rsidRPr="007905AB">
        <w:rPr>
          <w:rFonts w:ascii="Cambria" w:eastAsia="Batang" w:hAnsi="Cambria"/>
          <w:i/>
          <w:noProof/>
          <w:color w:val="8E0000"/>
          <w:sz w:val="20"/>
          <w:szCs w:val="20"/>
          <w:lang w:val="sq-AL"/>
        </w:rPr>
        <w:t>2</w:t>
      </w:r>
      <w:r w:rsidRPr="007905AB">
        <w:rPr>
          <w:rFonts w:ascii="Cambria" w:eastAsia="Batang" w:hAnsi="Cambria"/>
          <w:i/>
          <w:noProof/>
          <w:color w:val="8E0000"/>
          <w:sz w:val="20"/>
          <w:szCs w:val="20"/>
          <w:lang w:val="sq-AL"/>
        </w:rPr>
        <w:t>)</w:t>
      </w:r>
    </w:p>
    <w:p w14:paraId="71DF5DC4" w14:textId="77777777" w:rsidR="00E57778" w:rsidRPr="000F5C13" w:rsidRDefault="00E02870" w:rsidP="007905AB">
      <w:pPr>
        <w:tabs>
          <w:tab w:val="left" w:pos="2730"/>
        </w:tabs>
        <w:spacing w:after="0" w:line="276" w:lineRule="auto"/>
        <w:ind w:right="237"/>
        <w:rPr>
          <w:rFonts w:ascii="Times New Roman" w:eastAsia="Times New Roman" w:hAnsi="Times New Roman" w:cs="Times New Roman"/>
          <w:bCs/>
          <w:iCs/>
          <w:noProof/>
          <w:sz w:val="24"/>
          <w:szCs w:val="24"/>
          <w:lang w:val="sq-AL"/>
        </w:rPr>
      </w:pPr>
      <w:r w:rsidRPr="009348D5">
        <w:rPr>
          <w:noProof/>
          <w:highlight w:val="yellow"/>
        </w:rPr>
        <w:drawing>
          <wp:inline distT="0" distB="0" distL="0" distR="0" wp14:anchorId="71DF5F9D" wp14:editId="71DF5F9E">
            <wp:extent cx="5562600" cy="20193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1DF5DC5" w14:textId="77777777" w:rsidR="009A1018" w:rsidRPr="000F5C13" w:rsidRDefault="009A1018" w:rsidP="009A1018">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 xml:space="preserve">Burimi: </w:t>
      </w:r>
      <w:r w:rsidRPr="000F5C13">
        <w:rPr>
          <w:rFonts w:ascii="Cambria" w:eastAsia="Calibri" w:hAnsi="Cambria" w:cs="Times New Roman"/>
          <w:i/>
          <w:noProof/>
          <w:color w:val="8E0000"/>
          <w:sz w:val="20"/>
          <w:szCs w:val="20"/>
          <w:lang w:val="sq-AL"/>
        </w:rPr>
        <w:t>Ministria e Financave dhe Ekonomisë (201</w:t>
      </w:r>
      <w:r>
        <w:rPr>
          <w:rFonts w:ascii="Cambria" w:eastAsia="Calibri" w:hAnsi="Cambria" w:cs="Times New Roman"/>
          <w:i/>
          <w:noProof/>
          <w:color w:val="8E0000"/>
          <w:sz w:val="20"/>
          <w:szCs w:val="20"/>
          <w:lang w:val="sq-AL"/>
        </w:rPr>
        <w:t>9</w:t>
      </w:r>
      <w:r w:rsidRPr="000F5C13">
        <w:rPr>
          <w:rFonts w:ascii="Cambria" w:eastAsia="Calibri" w:hAnsi="Cambria" w:cs="Times New Roman"/>
          <w:i/>
          <w:noProof/>
          <w:color w:val="8E0000"/>
          <w:sz w:val="20"/>
          <w:szCs w:val="20"/>
          <w:lang w:val="sq-AL"/>
        </w:rPr>
        <w:t>)</w:t>
      </w:r>
    </w:p>
    <w:p w14:paraId="71DF5DC6" w14:textId="77777777" w:rsidR="00E57778" w:rsidRPr="000F5C13" w:rsidRDefault="00E57778" w:rsidP="00E57778">
      <w:pPr>
        <w:tabs>
          <w:tab w:val="left" w:pos="2730"/>
        </w:tabs>
        <w:spacing w:after="0" w:line="276" w:lineRule="auto"/>
        <w:ind w:left="284" w:right="237"/>
        <w:rPr>
          <w:rFonts w:ascii="Times New Roman" w:eastAsia="Times New Roman" w:hAnsi="Times New Roman" w:cs="Times New Roman"/>
          <w:bCs/>
          <w:iCs/>
          <w:noProof/>
          <w:sz w:val="16"/>
          <w:szCs w:val="16"/>
          <w:lang w:val="sq-AL"/>
        </w:rPr>
      </w:pPr>
    </w:p>
    <w:p w14:paraId="71DF5DC7" w14:textId="77777777" w:rsidR="00E57778" w:rsidRPr="000F5C13" w:rsidRDefault="00CA5FB7" w:rsidP="007905AB">
      <w:pPr>
        <w:tabs>
          <w:tab w:val="left" w:pos="2730"/>
        </w:tabs>
        <w:spacing w:after="0" w:line="276" w:lineRule="auto"/>
        <w:ind w:right="237"/>
        <w:jc w:val="both"/>
        <w:rPr>
          <w:rFonts w:ascii="Times New Roman" w:eastAsia="Times New Roman" w:hAnsi="Times New Roman" w:cs="Times New Roman"/>
          <w:bCs/>
          <w:iCs/>
          <w:noProof/>
          <w:sz w:val="24"/>
          <w:szCs w:val="24"/>
          <w:lang w:val="sq-AL"/>
        </w:rPr>
      </w:pPr>
      <w:r w:rsidRPr="007905AB">
        <w:rPr>
          <w:rFonts w:ascii="Times New Roman" w:eastAsia="Times New Roman" w:hAnsi="Times New Roman" w:cs="Times New Roman"/>
          <w:bCs/>
          <w:iCs/>
          <w:noProof/>
          <w:sz w:val="24"/>
          <w:szCs w:val="24"/>
          <w:lang w:val="sq-AL"/>
        </w:rPr>
        <w:t>E</w:t>
      </w:r>
      <w:r w:rsidR="00E57778" w:rsidRPr="007905AB">
        <w:rPr>
          <w:rFonts w:ascii="Times New Roman" w:eastAsia="Times New Roman" w:hAnsi="Times New Roman" w:cs="Times New Roman"/>
          <w:bCs/>
          <w:iCs/>
          <w:noProof/>
          <w:sz w:val="24"/>
          <w:szCs w:val="24"/>
          <w:lang w:val="sq-AL"/>
        </w:rPr>
        <w:t>fekt</w:t>
      </w:r>
      <w:r w:rsidRPr="007905AB">
        <w:rPr>
          <w:rFonts w:ascii="Times New Roman" w:eastAsia="Times New Roman" w:hAnsi="Times New Roman" w:cs="Times New Roman"/>
          <w:bCs/>
          <w:iCs/>
          <w:noProof/>
          <w:sz w:val="24"/>
          <w:szCs w:val="24"/>
          <w:lang w:val="sq-AL"/>
        </w:rPr>
        <w:t>i</w:t>
      </w:r>
      <w:r w:rsidR="00E57778" w:rsidRPr="007905AB">
        <w:rPr>
          <w:rFonts w:ascii="Times New Roman" w:eastAsia="Times New Roman" w:hAnsi="Times New Roman" w:cs="Times New Roman"/>
          <w:bCs/>
          <w:iCs/>
          <w:noProof/>
          <w:sz w:val="24"/>
          <w:szCs w:val="24"/>
          <w:lang w:val="sq-AL"/>
        </w:rPr>
        <w:t xml:space="preserve"> </w:t>
      </w:r>
      <w:r w:rsidRPr="007905AB">
        <w:rPr>
          <w:rFonts w:ascii="Times New Roman" w:eastAsia="Times New Roman" w:hAnsi="Times New Roman" w:cs="Times New Roman"/>
          <w:bCs/>
          <w:iCs/>
          <w:noProof/>
          <w:sz w:val="24"/>
          <w:szCs w:val="24"/>
          <w:lang w:val="sq-AL"/>
        </w:rPr>
        <w:t>n</w:t>
      </w:r>
      <w:r w:rsidR="00982338" w:rsidRPr="007905AB">
        <w:rPr>
          <w:rFonts w:ascii="Times New Roman" w:eastAsia="Times New Roman" w:hAnsi="Times New Roman" w:cs="Times New Roman"/>
          <w:bCs/>
          <w:iCs/>
          <w:noProof/>
          <w:sz w:val="24"/>
          <w:szCs w:val="24"/>
          <w:lang w:val="sq-AL"/>
        </w:rPr>
        <w:t>ë</w:t>
      </w:r>
      <w:r w:rsidR="00E57778" w:rsidRPr="007905AB">
        <w:rPr>
          <w:rFonts w:ascii="Times New Roman" w:eastAsia="Times New Roman" w:hAnsi="Times New Roman" w:cs="Times New Roman"/>
          <w:bCs/>
          <w:iCs/>
          <w:noProof/>
          <w:sz w:val="24"/>
          <w:szCs w:val="24"/>
          <w:lang w:val="sq-AL"/>
        </w:rPr>
        <w:t xml:space="preserve"> rritjen e kostove të borxhit </w:t>
      </w:r>
      <w:r w:rsidRPr="007905AB">
        <w:rPr>
          <w:rFonts w:ascii="Times New Roman" w:eastAsia="Times New Roman" w:hAnsi="Times New Roman" w:cs="Times New Roman"/>
          <w:bCs/>
          <w:iCs/>
          <w:noProof/>
          <w:sz w:val="24"/>
          <w:szCs w:val="24"/>
          <w:lang w:val="sq-AL"/>
        </w:rPr>
        <w:t>q</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buron nga rritja e normave t</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interesit n</w:t>
      </w:r>
      <w:r w:rsidR="00982338" w:rsidRPr="007905AB">
        <w:rPr>
          <w:rFonts w:ascii="Times New Roman" w:eastAsia="Times New Roman" w:hAnsi="Times New Roman" w:cs="Times New Roman"/>
          <w:bCs/>
          <w:iCs/>
          <w:noProof/>
          <w:sz w:val="24"/>
          <w:szCs w:val="24"/>
          <w:lang w:val="sq-AL"/>
        </w:rPr>
        <w:t>ë</w:t>
      </w:r>
      <w:r w:rsidR="00E57778" w:rsidRPr="007905AB">
        <w:rPr>
          <w:rFonts w:ascii="Times New Roman" w:eastAsia="Times New Roman" w:hAnsi="Times New Roman" w:cs="Times New Roman"/>
          <w:bCs/>
          <w:iCs/>
          <w:noProof/>
          <w:sz w:val="24"/>
          <w:szCs w:val="24"/>
          <w:lang w:val="sq-AL"/>
        </w:rPr>
        <w:t xml:space="preserve"> </w:t>
      </w:r>
      <w:r w:rsidRPr="007905AB">
        <w:rPr>
          <w:rFonts w:ascii="Times New Roman" w:eastAsia="Times New Roman" w:hAnsi="Times New Roman" w:cs="Times New Roman"/>
          <w:bCs/>
          <w:iCs/>
          <w:noProof/>
          <w:sz w:val="24"/>
          <w:szCs w:val="24"/>
          <w:lang w:val="sq-AL"/>
        </w:rPr>
        <w:t>tregun e brendsh</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m</w:t>
      </w:r>
      <w:r w:rsidR="00E57778" w:rsidRPr="007905AB">
        <w:rPr>
          <w:rFonts w:ascii="Times New Roman" w:eastAsia="Times New Roman" w:hAnsi="Times New Roman" w:cs="Times New Roman"/>
          <w:bCs/>
          <w:iCs/>
          <w:noProof/>
          <w:sz w:val="24"/>
          <w:szCs w:val="24"/>
          <w:lang w:val="sq-AL"/>
        </w:rPr>
        <w:t xml:space="preserve"> </w:t>
      </w:r>
      <w:r w:rsidRPr="007905AB">
        <w:rPr>
          <w:rFonts w:ascii="Times New Roman" w:eastAsia="Times New Roman" w:hAnsi="Times New Roman" w:cs="Times New Roman"/>
          <w:bCs/>
          <w:iCs/>
          <w:noProof/>
          <w:sz w:val="24"/>
          <w:szCs w:val="24"/>
          <w:lang w:val="sq-AL"/>
        </w:rPr>
        <w:t>vler</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sohet t</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jet</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rreth 10% m</w:t>
      </w:r>
      <w:r w:rsidR="006B5F3A">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i lart</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se ai i normave t</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interesit n</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tregjet e </w:t>
      </w:r>
      <w:r w:rsidRPr="007905AB">
        <w:rPr>
          <w:rFonts w:ascii="Times New Roman" w:eastAsia="Times New Roman" w:hAnsi="Times New Roman" w:cs="Times New Roman"/>
          <w:bCs/>
          <w:iCs/>
          <w:noProof/>
          <w:sz w:val="24"/>
          <w:szCs w:val="24"/>
          <w:lang w:val="sq-AL"/>
        </w:rPr>
        <w:lastRenderedPageBreak/>
        <w:t>huaja,</w:t>
      </w:r>
      <w:r w:rsidR="008E724D" w:rsidRPr="007905AB">
        <w:rPr>
          <w:rFonts w:ascii="Times New Roman" w:eastAsia="Times New Roman" w:hAnsi="Times New Roman" w:cs="Times New Roman"/>
          <w:bCs/>
          <w:iCs/>
          <w:noProof/>
          <w:sz w:val="24"/>
          <w:szCs w:val="24"/>
          <w:lang w:val="sq-AL"/>
        </w:rPr>
        <w:t xml:space="preserve"> kryesisht</w:t>
      </w:r>
      <w:r w:rsidR="00E57778" w:rsidRPr="007905AB">
        <w:rPr>
          <w:rFonts w:ascii="Times New Roman" w:eastAsia="Times New Roman" w:hAnsi="Times New Roman" w:cs="Times New Roman"/>
          <w:bCs/>
          <w:iCs/>
          <w:noProof/>
          <w:sz w:val="24"/>
          <w:szCs w:val="24"/>
          <w:lang w:val="sq-AL"/>
        </w:rPr>
        <w:t xml:space="preserve"> për shkak të nivelit relativisht më të lartë të instrumenteve që rifiksojnë normën e interesit në </w:t>
      </w:r>
      <w:r w:rsidRPr="007905AB">
        <w:rPr>
          <w:rFonts w:ascii="Times New Roman" w:eastAsia="Times New Roman" w:hAnsi="Times New Roman" w:cs="Times New Roman"/>
          <w:bCs/>
          <w:iCs/>
          <w:noProof/>
          <w:sz w:val="24"/>
          <w:szCs w:val="24"/>
          <w:lang w:val="sq-AL"/>
        </w:rPr>
        <w:t>portofolin e borxhit t</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 xml:space="preserve"> brendsh</w:t>
      </w:r>
      <w:r w:rsidR="00982338" w:rsidRPr="007905AB">
        <w:rPr>
          <w:rFonts w:ascii="Times New Roman" w:eastAsia="Times New Roman" w:hAnsi="Times New Roman" w:cs="Times New Roman"/>
          <w:bCs/>
          <w:iCs/>
          <w:noProof/>
          <w:sz w:val="24"/>
          <w:szCs w:val="24"/>
          <w:lang w:val="sq-AL"/>
        </w:rPr>
        <w:t>ë</w:t>
      </w:r>
      <w:r w:rsidRPr="007905AB">
        <w:rPr>
          <w:rFonts w:ascii="Times New Roman" w:eastAsia="Times New Roman" w:hAnsi="Times New Roman" w:cs="Times New Roman"/>
          <w:bCs/>
          <w:iCs/>
          <w:noProof/>
          <w:sz w:val="24"/>
          <w:szCs w:val="24"/>
          <w:lang w:val="sq-AL"/>
        </w:rPr>
        <w:t>m</w:t>
      </w:r>
      <w:r w:rsidR="00E57778" w:rsidRPr="007905AB">
        <w:rPr>
          <w:rFonts w:ascii="Times New Roman" w:eastAsia="Times New Roman" w:hAnsi="Times New Roman" w:cs="Times New Roman"/>
          <w:bCs/>
          <w:iCs/>
          <w:noProof/>
          <w:sz w:val="24"/>
          <w:szCs w:val="24"/>
          <w:lang w:val="sq-AL"/>
        </w:rPr>
        <w:t>.</w:t>
      </w:r>
    </w:p>
    <w:p w14:paraId="71DF5DC8" w14:textId="77777777" w:rsidR="00E57778" w:rsidRPr="000F5C13" w:rsidRDefault="00E57778" w:rsidP="00E57778">
      <w:pPr>
        <w:spacing w:after="0" w:line="240" w:lineRule="auto"/>
        <w:ind w:left="-851" w:right="237" w:firstLine="931"/>
        <w:contextualSpacing/>
        <w:jc w:val="center"/>
        <w:rPr>
          <w:rFonts w:ascii="Cambria" w:eastAsia="Batang" w:hAnsi="Cambria"/>
          <w:b/>
          <w:noProof/>
          <w:color w:val="8E0000"/>
          <w:sz w:val="16"/>
          <w:szCs w:val="20"/>
          <w:lang w:val="sq-AL"/>
        </w:rPr>
      </w:pPr>
    </w:p>
    <w:p w14:paraId="71DF5DC9" w14:textId="77777777" w:rsidR="00E57778" w:rsidRPr="000F5C13" w:rsidRDefault="00E57778" w:rsidP="00E57778">
      <w:pPr>
        <w:spacing w:after="0" w:line="240" w:lineRule="auto"/>
        <w:ind w:left="1276" w:right="237" w:hanging="992"/>
        <w:contextualSpacing/>
        <w:jc w:val="center"/>
        <w:rPr>
          <w:rFonts w:ascii="Cambria" w:eastAsia="Batang" w:hAnsi="Cambria"/>
          <w:i/>
          <w:noProof/>
          <w:color w:val="8E0000"/>
          <w:sz w:val="20"/>
          <w:szCs w:val="20"/>
          <w:lang w:val="sq-AL"/>
        </w:rPr>
      </w:pPr>
      <w:r w:rsidRPr="000F5C13">
        <w:rPr>
          <w:rFonts w:ascii="Cambria" w:eastAsia="Batang" w:hAnsi="Cambria"/>
          <w:b/>
          <w:noProof/>
          <w:color w:val="8E0000"/>
          <w:sz w:val="20"/>
          <w:szCs w:val="20"/>
          <w:lang w:val="sq-AL"/>
        </w:rPr>
        <w:t xml:space="preserve">Paraqitje Grafike 2.4.3 (d): </w:t>
      </w:r>
      <w:r w:rsidRPr="000F5C13">
        <w:rPr>
          <w:rFonts w:ascii="Cambria" w:eastAsia="Batang" w:hAnsi="Cambria"/>
          <w:i/>
          <w:noProof/>
          <w:color w:val="8E0000"/>
          <w:sz w:val="20"/>
          <w:szCs w:val="20"/>
          <w:lang w:val="sq-AL"/>
        </w:rPr>
        <w:t xml:space="preserve">Ndjeshmëria e kostos së </w:t>
      </w:r>
      <w:r w:rsidRPr="000F5C13">
        <w:rPr>
          <w:rFonts w:ascii="Cambria" w:eastAsia="Batang" w:hAnsi="Cambria"/>
          <w:b/>
          <w:i/>
          <w:noProof/>
          <w:color w:val="8E0000"/>
          <w:sz w:val="20"/>
          <w:szCs w:val="20"/>
          <w:lang w:val="sq-AL"/>
        </w:rPr>
        <w:t>borxhit të brendshëm shtetëror</w:t>
      </w:r>
      <w:r w:rsidRPr="000F5C13">
        <w:rPr>
          <w:rFonts w:ascii="Cambria" w:eastAsia="Batang" w:hAnsi="Cambria"/>
          <w:i/>
          <w:noProof/>
          <w:color w:val="8E0000"/>
          <w:sz w:val="20"/>
          <w:szCs w:val="20"/>
          <w:lang w:val="sq-AL"/>
        </w:rPr>
        <w:t xml:space="preserve"> ndaj goditjeve të normave të interesit (201</w:t>
      </w:r>
      <w:r w:rsidR="00A55D93">
        <w:rPr>
          <w:rFonts w:ascii="Cambria" w:eastAsia="Batang" w:hAnsi="Cambria"/>
          <w:i/>
          <w:noProof/>
          <w:color w:val="8E0000"/>
          <w:sz w:val="20"/>
          <w:szCs w:val="20"/>
          <w:lang w:val="sq-AL"/>
        </w:rPr>
        <w:t>9</w:t>
      </w:r>
      <w:r w:rsidRPr="000F5C13">
        <w:rPr>
          <w:rFonts w:ascii="Cambria" w:eastAsia="Batang" w:hAnsi="Cambria"/>
          <w:i/>
          <w:noProof/>
          <w:color w:val="8E0000"/>
          <w:sz w:val="20"/>
          <w:szCs w:val="20"/>
          <w:lang w:val="sq-AL"/>
        </w:rPr>
        <w:t>-202</w:t>
      </w:r>
      <w:r w:rsidR="00A55D93">
        <w:rPr>
          <w:rFonts w:ascii="Cambria" w:eastAsia="Batang" w:hAnsi="Cambria"/>
          <w:i/>
          <w:noProof/>
          <w:color w:val="8E0000"/>
          <w:sz w:val="20"/>
          <w:szCs w:val="20"/>
          <w:lang w:val="sq-AL"/>
        </w:rPr>
        <w:t>2</w:t>
      </w:r>
      <w:r w:rsidRPr="000F5C13">
        <w:rPr>
          <w:rFonts w:ascii="Cambria" w:eastAsia="Batang" w:hAnsi="Cambria"/>
          <w:i/>
          <w:noProof/>
          <w:color w:val="8E0000"/>
          <w:sz w:val="20"/>
          <w:szCs w:val="20"/>
          <w:lang w:val="sq-AL"/>
        </w:rPr>
        <w:t>)</w:t>
      </w:r>
    </w:p>
    <w:p w14:paraId="71DF5DCA" w14:textId="77777777" w:rsidR="009A1018" w:rsidRPr="009A1018" w:rsidRDefault="00513105" w:rsidP="007905AB">
      <w:pPr>
        <w:keepNext/>
        <w:keepLines/>
        <w:spacing w:after="0" w:line="240" w:lineRule="auto"/>
        <w:ind w:right="238"/>
        <w:outlineLvl w:val="3"/>
        <w:rPr>
          <w:rFonts w:ascii="Times New Roman" w:eastAsia="Times New Roman" w:hAnsi="Times New Roman" w:cs="Times New Roman"/>
          <w:bCs/>
          <w:iCs/>
          <w:noProof/>
          <w:sz w:val="24"/>
          <w:szCs w:val="24"/>
          <w:lang w:val="sq-AL"/>
        </w:rPr>
      </w:pPr>
      <w:r>
        <w:rPr>
          <w:noProof/>
        </w:rPr>
        <w:drawing>
          <wp:inline distT="0" distB="0" distL="0" distR="0" wp14:anchorId="71DF5F9F" wp14:editId="71DF5FA0">
            <wp:extent cx="5553075" cy="20669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1DF5DCB" w14:textId="77777777" w:rsidR="009A1018" w:rsidRPr="000F5C13" w:rsidRDefault="009A1018" w:rsidP="009A1018">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 xml:space="preserve">Burimi: </w:t>
      </w:r>
      <w:r w:rsidRPr="000F5C13">
        <w:rPr>
          <w:rFonts w:ascii="Cambria" w:eastAsia="Calibri" w:hAnsi="Cambria" w:cs="Times New Roman"/>
          <w:i/>
          <w:noProof/>
          <w:color w:val="8E0000"/>
          <w:sz w:val="20"/>
          <w:szCs w:val="20"/>
          <w:lang w:val="sq-AL"/>
        </w:rPr>
        <w:t>Ministria e Financave dhe Ekonomisë (201</w:t>
      </w:r>
      <w:r>
        <w:rPr>
          <w:rFonts w:ascii="Cambria" w:eastAsia="Calibri" w:hAnsi="Cambria" w:cs="Times New Roman"/>
          <w:i/>
          <w:noProof/>
          <w:color w:val="8E0000"/>
          <w:sz w:val="20"/>
          <w:szCs w:val="20"/>
          <w:lang w:val="sq-AL"/>
        </w:rPr>
        <w:t>9</w:t>
      </w:r>
      <w:r w:rsidRPr="000F5C13">
        <w:rPr>
          <w:rFonts w:ascii="Cambria" w:eastAsia="Calibri" w:hAnsi="Cambria" w:cs="Times New Roman"/>
          <w:i/>
          <w:noProof/>
          <w:color w:val="8E0000"/>
          <w:sz w:val="20"/>
          <w:szCs w:val="20"/>
          <w:lang w:val="sq-AL"/>
        </w:rPr>
        <w:t>)</w:t>
      </w:r>
    </w:p>
    <w:p w14:paraId="71DF5DCC" w14:textId="77777777" w:rsidR="00F02481" w:rsidRPr="00F02481" w:rsidRDefault="00F02481" w:rsidP="009A1018">
      <w:pPr>
        <w:spacing w:after="0" w:line="240" w:lineRule="auto"/>
        <w:ind w:right="238"/>
        <w:contextualSpacing/>
        <w:rPr>
          <w:rFonts w:ascii="Cambria" w:eastAsia="Batang" w:hAnsi="Cambria"/>
          <w:b/>
          <w:noProof/>
          <w:color w:val="8E0000"/>
          <w:sz w:val="16"/>
          <w:szCs w:val="20"/>
          <w:lang w:val="sq-AL"/>
        </w:rPr>
      </w:pPr>
    </w:p>
    <w:p w14:paraId="71DF5DCD" w14:textId="77777777" w:rsidR="00E57778" w:rsidRPr="000F5C13" w:rsidRDefault="00E57778" w:rsidP="00E57778">
      <w:pPr>
        <w:spacing w:after="0" w:line="240" w:lineRule="auto"/>
        <w:ind w:left="-426" w:right="238" w:firstLine="710"/>
        <w:contextualSpacing/>
        <w:jc w:val="center"/>
        <w:rPr>
          <w:rFonts w:ascii="Cambria" w:eastAsia="Batang" w:hAnsi="Cambria"/>
          <w:i/>
          <w:noProof/>
          <w:color w:val="8E0000"/>
          <w:sz w:val="20"/>
          <w:szCs w:val="20"/>
          <w:lang w:val="sq-AL"/>
        </w:rPr>
      </w:pPr>
      <w:r w:rsidRPr="000F5C13">
        <w:rPr>
          <w:rFonts w:ascii="Cambria" w:eastAsia="Batang" w:hAnsi="Cambria"/>
          <w:b/>
          <w:noProof/>
          <w:color w:val="8E0000"/>
          <w:sz w:val="20"/>
          <w:szCs w:val="20"/>
          <w:lang w:val="sq-AL"/>
        </w:rPr>
        <w:t xml:space="preserve">Paraqitje Grafike 2.4.3 (e): </w:t>
      </w:r>
      <w:r w:rsidRPr="000F5C13">
        <w:rPr>
          <w:rFonts w:ascii="Cambria" w:eastAsia="Batang" w:hAnsi="Cambria"/>
          <w:i/>
          <w:noProof/>
          <w:color w:val="8E0000"/>
          <w:sz w:val="20"/>
          <w:szCs w:val="20"/>
          <w:lang w:val="sq-AL"/>
        </w:rPr>
        <w:t xml:space="preserve">Ndjeshmëria e kostos së </w:t>
      </w:r>
      <w:r w:rsidRPr="000F5C13">
        <w:rPr>
          <w:rFonts w:ascii="Cambria" w:eastAsia="Batang" w:hAnsi="Cambria"/>
          <w:b/>
          <w:i/>
          <w:noProof/>
          <w:color w:val="8E0000"/>
          <w:sz w:val="20"/>
          <w:szCs w:val="20"/>
          <w:lang w:val="sq-AL"/>
        </w:rPr>
        <w:t>borxhit të jashtëm shtetëror</w:t>
      </w:r>
      <w:r w:rsidRPr="000F5C13">
        <w:rPr>
          <w:rFonts w:ascii="Cambria" w:eastAsia="Batang" w:hAnsi="Cambria"/>
          <w:i/>
          <w:noProof/>
          <w:color w:val="8E0000"/>
          <w:sz w:val="20"/>
          <w:szCs w:val="20"/>
          <w:lang w:val="sq-AL"/>
        </w:rPr>
        <w:t xml:space="preserve"> ndaj goditjeve të normave të interesit (201</w:t>
      </w:r>
      <w:r w:rsidR="00513105">
        <w:rPr>
          <w:rFonts w:ascii="Cambria" w:eastAsia="Batang" w:hAnsi="Cambria"/>
          <w:i/>
          <w:noProof/>
          <w:color w:val="8E0000"/>
          <w:sz w:val="20"/>
          <w:szCs w:val="20"/>
          <w:lang w:val="sq-AL"/>
        </w:rPr>
        <w:t>9</w:t>
      </w:r>
      <w:r w:rsidRPr="000F5C13">
        <w:rPr>
          <w:rFonts w:ascii="Cambria" w:eastAsia="Batang" w:hAnsi="Cambria"/>
          <w:i/>
          <w:noProof/>
          <w:color w:val="8E0000"/>
          <w:sz w:val="20"/>
          <w:szCs w:val="20"/>
          <w:lang w:val="sq-AL"/>
        </w:rPr>
        <w:t>-202</w:t>
      </w:r>
      <w:r w:rsidR="00513105">
        <w:rPr>
          <w:rFonts w:ascii="Cambria" w:eastAsia="Batang" w:hAnsi="Cambria"/>
          <w:i/>
          <w:noProof/>
          <w:color w:val="8E0000"/>
          <w:sz w:val="20"/>
          <w:szCs w:val="20"/>
          <w:lang w:val="sq-AL"/>
        </w:rPr>
        <w:t>2</w:t>
      </w:r>
      <w:r w:rsidRPr="000F5C13">
        <w:rPr>
          <w:rFonts w:ascii="Cambria" w:eastAsia="Batang" w:hAnsi="Cambria"/>
          <w:i/>
          <w:noProof/>
          <w:color w:val="8E0000"/>
          <w:sz w:val="20"/>
          <w:szCs w:val="20"/>
          <w:lang w:val="sq-AL"/>
        </w:rPr>
        <w:t>)</w:t>
      </w:r>
    </w:p>
    <w:p w14:paraId="71DF5DCE" w14:textId="77777777" w:rsidR="00E57778" w:rsidRPr="000F5C13" w:rsidRDefault="00513105" w:rsidP="007905AB">
      <w:pPr>
        <w:spacing w:after="0" w:line="240" w:lineRule="auto"/>
        <w:ind w:left="2835" w:right="238" w:hanging="2835"/>
        <w:contextualSpacing/>
        <w:rPr>
          <w:rFonts w:eastAsia="Batang"/>
          <w:noProof/>
          <w:lang w:val="sq-AL"/>
        </w:rPr>
      </w:pPr>
      <w:r>
        <w:rPr>
          <w:noProof/>
        </w:rPr>
        <w:drawing>
          <wp:inline distT="0" distB="0" distL="0" distR="0" wp14:anchorId="71DF5FA1" wp14:editId="71DF5FA2">
            <wp:extent cx="5553075" cy="200977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1DF5DCF" w14:textId="77777777" w:rsidR="008F516B" w:rsidRDefault="00E57778"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0F5C13">
        <w:rPr>
          <w:rFonts w:ascii="Cambria" w:eastAsia="Calibri" w:hAnsi="Cambria" w:cs="Times New Roman"/>
          <w:b/>
          <w:noProof/>
          <w:color w:val="8E0000"/>
          <w:sz w:val="20"/>
          <w:szCs w:val="20"/>
          <w:lang w:val="sq-AL"/>
        </w:rPr>
        <w:t xml:space="preserve">Burimi: </w:t>
      </w:r>
      <w:r w:rsidRPr="000F5C13">
        <w:rPr>
          <w:rFonts w:ascii="Cambria" w:eastAsia="Calibri" w:hAnsi="Cambria" w:cs="Times New Roman"/>
          <w:i/>
          <w:noProof/>
          <w:color w:val="8E0000"/>
          <w:sz w:val="20"/>
          <w:szCs w:val="20"/>
          <w:lang w:val="sq-AL"/>
        </w:rPr>
        <w:t>Ministria e Financave dhe Ekonomisë (201</w:t>
      </w:r>
      <w:r w:rsidR="00513105">
        <w:rPr>
          <w:rFonts w:ascii="Cambria" w:eastAsia="Calibri" w:hAnsi="Cambria" w:cs="Times New Roman"/>
          <w:i/>
          <w:noProof/>
          <w:color w:val="8E0000"/>
          <w:sz w:val="20"/>
          <w:szCs w:val="20"/>
          <w:lang w:val="sq-AL"/>
        </w:rPr>
        <w:t>9</w:t>
      </w:r>
      <w:r w:rsidRPr="000F5C13">
        <w:rPr>
          <w:rFonts w:ascii="Cambria" w:eastAsia="Calibri" w:hAnsi="Cambria" w:cs="Times New Roman"/>
          <w:i/>
          <w:noProof/>
          <w:color w:val="8E0000"/>
          <w:sz w:val="20"/>
          <w:szCs w:val="20"/>
          <w:lang w:val="sq-AL"/>
        </w:rPr>
        <w:t>)</w:t>
      </w:r>
    </w:p>
    <w:p w14:paraId="71DF5DD0"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1"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2"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3"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4"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5"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6"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7" w14:textId="77777777" w:rsidR="00A47AB7" w:rsidRDefault="00A47AB7"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8" w14:textId="77777777" w:rsidR="00A47AB7" w:rsidRDefault="00A47AB7"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9" w14:textId="77777777" w:rsidR="00A47AB7" w:rsidRDefault="00A47AB7"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A"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B"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C"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D"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E" w14:textId="77777777" w:rsidR="00CA75E3" w:rsidRDefault="00CA75E3"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DF" w14:textId="77777777" w:rsidR="00CA75E3" w:rsidRDefault="00CA75E3"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E0" w14:textId="77777777" w:rsidR="006D2DC6"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E1" w14:textId="77777777" w:rsidR="006D2DC6" w:rsidRPr="006E386F" w:rsidRDefault="006D2DC6" w:rsidP="006E386F">
      <w:pPr>
        <w:tabs>
          <w:tab w:val="left" w:pos="2730"/>
        </w:tabs>
        <w:spacing w:after="0" w:line="276" w:lineRule="auto"/>
        <w:ind w:left="284" w:right="237"/>
        <w:jc w:val="center"/>
        <w:rPr>
          <w:rFonts w:ascii="Cambria" w:eastAsia="Calibri" w:hAnsi="Cambria" w:cs="Times New Roman"/>
          <w:i/>
          <w:noProof/>
          <w:color w:val="8E0000"/>
          <w:sz w:val="20"/>
          <w:szCs w:val="20"/>
          <w:lang w:val="sq-AL"/>
        </w:rPr>
      </w:pPr>
    </w:p>
    <w:p w14:paraId="71DF5DE2" w14:textId="77777777" w:rsidR="009053CD" w:rsidRPr="000F5C13" w:rsidRDefault="009053CD" w:rsidP="009053CD">
      <w:pPr>
        <w:pStyle w:val="Heading1"/>
        <w:jc w:val="center"/>
        <w:rPr>
          <w:rFonts w:eastAsia="Times New Roman"/>
          <w:noProof/>
          <w:color w:val="C00000"/>
          <w:lang w:val="sq-AL"/>
        </w:rPr>
      </w:pPr>
      <w:r w:rsidRPr="000F5C13">
        <w:rPr>
          <w:rFonts w:eastAsia="Times New Roman"/>
          <w:noProof/>
          <w:color w:val="C00000"/>
          <w:lang w:val="sq-AL"/>
        </w:rPr>
        <w:lastRenderedPageBreak/>
        <w:t>ANEKS I</w:t>
      </w:r>
    </w:p>
    <w:p w14:paraId="71DF5DE3" w14:textId="77777777" w:rsidR="009053CD" w:rsidRPr="000F5C13" w:rsidRDefault="009053CD" w:rsidP="009053CD">
      <w:pPr>
        <w:tabs>
          <w:tab w:val="left" w:pos="2730"/>
        </w:tabs>
        <w:spacing w:line="276" w:lineRule="auto"/>
        <w:ind w:left="284" w:right="237"/>
        <w:contextualSpacing/>
        <w:jc w:val="center"/>
        <w:rPr>
          <w:rFonts w:ascii="Times New Roman" w:eastAsia="Times New Roman" w:hAnsi="Times New Roman" w:cs="Times New Roman"/>
          <w:bCs/>
          <w:noProof/>
          <w:sz w:val="16"/>
          <w:szCs w:val="28"/>
          <w:lang w:val="sq-AL"/>
        </w:rPr>
      </w:pPr>
    </w:p>
    <w:p w14:paraId="71DF5DE4" w14:textId="77777777" w:rsidR="009053CD" w:rsidRPr="000F5C13" w:rsidRDefault="009053CD" w:rsidP="009053CD">
      <w:pPr>
        <w:tabs>
          <w:tab w:val="left" w:pos="2730"/>
        </w:tabs>
        <w:spacing w:line="276" w:lineRule="auto"/>
        <w:ind w:left="284" w:right="237"/>
        <w:contextualSpacing/>
        <w:jc w:val="center"/>
        <w:rPr>
          <w:rFonts w:ascii="Cambria" w:eastAsia="Times New Roman" w:hAnsi="Cambria" w:cs="Times New Roman"/>
          <w:b/>
          <w:bCs/>
          <w:noProof/>
          <w:sz w:val="24"/>
          <w:szCs w:val="28"/>
          <w:lang w:val="sq-AL"/>
        </w:rPr>
      </w:pPr>
      <w:bookmarkStart w:id="147" w:name="_Toc448146925"/>
      <w:bookmarkStart w:id="148" w:name="_Toc448399358"/>
      <w:bookmarkStart w:id="149" w:name="_Toc448931057"/>
      <w:bookmarkStart w:id="150" w:name="_Toc449351172"/>
      <w:r w:rsidRPr="000F5C13">
        <w:rPr>
          <w:rFonts w:ascii="Cambria" w:eastAsia="Times New Roman" w:hAnsi="Cambria" w:cs="Times New Roman"/>
          <w:b/>
          <w:bCs/>
          <w:noProof/>
          <w:sz w:val="24"/>
          <w:szCs w:val="28"/>
          <w:lang w:val="sq-AL"/>
        </w:rPr>
        <w:t>ANALIZA E STRATEGJIVE ALTERNATIVE TË FINANCIMIT</w:t>
      </w:r>
      <w:bookmarkEnd w:id="147"/>
      <w:bookmarkEnd w:id="148"/>
      <w:bookmarkEnd w:id="149"/>
      <w:bookmarkEnd w:id="150"/>
    </w:p>
    <w:p w14:paraId="71DF5DE5" w14:textId="77777777" w:rsidR="009053CD" w:rsidRPr="000F5C13" w:rsidRDefault="009053CD" w:rsidP="009053CD">
      <w:pPr>
        <w:tabs>
          <w:tab w:val="left" w:pos="2730"/>
        </w:tabs>
        <w:spacing w:line="276" w:lineRule="auto"/>
        <w:ind w:left="284" w:right="237"/>
        <w:contextualSpacing/>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rPr>
        <mc:AlternateContent>
          <mc:Choice Requires="wps">
            <w:drawing>
              <wp:anchor distT="0" distB="0" distL="114300" distR="114300" simplePos="0" relativeHeight="251859968" behindDoc="1" locked="0" layoutInCell="1" allowOverlap="1" wp14:anchorId="71DF5FA3" wp14:editId="71DF5FA4">
                <wp:simplePos x="0" y="0"/>
                <wp:positionH relativeFrom="margin">
                  <wp:align>left</wp:align>
                </wp:positionH>
                <wp:positionV relativeFrom="paragraph">
                  <wp:posOffset>64770</wp:posOffset>
                </wp:positionV>
                <wp:extent cx="5562600" cy="647700"/>
                <wp:effectExtent l="0" t="0" r="19050" b="19050"/>
                <wp:wrapNone/>
                <wp:docPr id="6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47700"/>
                        </a:xfrm>
                        <a:prstGeom prst="rect">
                          <a:avLst/>
                        </a:prstGeom>
                        <a:solidFill>
                          <a:schemeClr val="accent1">
                            <a:lumMod val="20000"/>
                            <a:lumOff val="80000"/>
                          </a:schemeClr>
                        </a:solidFill>
                        <a:ln w="12700" cap="flat" cmpd="sng" algn="ctr">
                          <a:solidFill>
                            <a:sysClr val="windowText" lastClr="000000">
                              <a:lumMod val="65000"/>
                              <a:lumOff val="35000"/>
                            </a:sysClr>
                          </a:solidFill>
                          <a:prstDash val="solid"/>
                          <a:miter lim="800000"/>
                        </a:ln>
                        <a:effectLst/>
                      </wps:spPr>
                      <wps:txbx>
                        <w:txbxContent>
                          <w:p w14:paraId="71DF5FC6" w14:textId="77777777" w:rsidR="00D235BC" w:rsidRPr="00325A79" w:rsidRDefault="00D235BC" w:rsidP="009053CD">
                            <w:pPr>
                              <w:jc w:val="both"/>
                              <w:rPr>
                                <w:rFonts w:ascii="Times New Roman" w:hAnsi="Times New Roman" w:cs="Times New Roman"/>
                                <w:i/>
                                <w:sz w:val="24"/>
                                <w:szCs w:val="24"/>
                              </w:rPr>
                            </w:pPr>
                            <w:proofErr w:type="spellStart"/>
                            <w:r w:rsidRPr="00A234B9">
                              <w:rPr>
                                <w:rFonts w:ascii="Times New Roman" w:hAnsi="Times New Roman" w:cs="Times New Roman"/>
                                <w:i/>
                                <w:sz w:val="24"/>
                                <w:szCs w:val="24"/>
                              </w:rPr>
                              <w:t>Analiza</w:t>
                            </w:r>
                            <w:proofErr w:type="spellEnd"/>
                            <w:r w:rsidRPr="00A234B9">
                              <w:rPr>
                                <w:rFonts w:ascii="Times New Roman" w:hAnsi="Times New Roman" w:cs="Times New Roman"/>
                                <w:i/>
                                <w:sz w:val="24"/>
                                <w:szCs w:val="24"/>
                              </w:rPr>
                              <w:t xml:space="preserve"> e </w:t>
                            </w:r>
                            <w:proofErr w:type="spellStart"/>
                            <w:r w:rsidRPr="00A234B9">
                              <w:rPr>
                                <w:rFonts w:ascii="Times New Roman" w:hAnsi="Times New Roman" w:cs="Times New Roman"/>
                                <w:i/>
                                <w:sz w:val="24"/>
                                <w:szCs w:val="24"/>
                              </w:rPr>
                              <w:t>strategjive</w:t>
                            </w:r>
                            <w:proofErr w:type="spellEnd"/>
                            <w:r w:rsidRPr="00A234B9">
                              <w:rPr>
                                <w:rFonts w:ascii="Times New Roman" w:hAnsi="Times New Roman" w:cs="Times New Roman"/>
                                <w:i/>
                                <w:sz w:val="24"/>
                                <w:szCs w:val="24"/>
                              </w:rPr>
                              <w:t xml:space="preserve"> alternative </w:t>
                            </w:r>
                            <w:proofErr w:type="spellStart"/>
                            <w:r w:rsidRPr="00A234B9">
                              <w:rPr>
                                <w:rFonts w:ascii="Times New Roman" w:hAnsi="Times New Roman" w:cs="Times New Roman"/>
                                <w:i/>
                                <w:sz w:val="24"/>
                                <w:szCs w:val="24"/>
                              </w:rPr>
                              <w:t>të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financimit</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është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realizuar</w:t>
                            </w:r>
                            <w:proofErr w:type="spellEnd"/>
                            <w:r w:rsidRPr="00A234B9">
                              <w:rPr>
                                <w:rFonts w:ascii="Times New Roman" w:hAnsi="Times New Roman" w:cs="Times New Roman"/>
                                <w:i/>
                                <w:sz w:val="24"/>
                                <w:szCs w:val="24"/>
                              </w:rPr>
                              <w:t xml:space="preserve"> duke </w:t>
                            </w:r>
                            <w:proofErr w:type="spellStart"/>
                            <w:r w:rsidRPr="00A234B9">
                              <w:rPr>
                                <w:rFonts w:ascii="Times New Roman" w:hAnsi="Times New Roman" w:cs="Times New Roman"/>
                                <w:i/>
                                <w:sz w:val="24"/>
                                <w:szCs w:val="24"/>
                              </w:rPr>
                              <w:t>marrë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parasysh</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analizën</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sasiore</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kosto</w:t>
                            </w:r>
                            <w:proofErr w:type="spellEnd"/>
                            <w:r w:rsidRPr="00A234B9">
                              <w:rPr>
                                <w:rFonts w:ascii="Times New Roman" w:hAnsi="Times New Roman" w:cs="Times New Roman"/>
                                <w:i/>
                                <w:sz w:val="24"/>
                                <w:szCs w:val="24"/>
                              </w:rPr>
                              <w:t xml:space="preserve">/risk), </w:t>
                            </w:r>
                            <w:proofErr w:type="spellStart"/>
                            <w:r w:rsidRPr="00A234B9">
                              <w:rPr>
                                <w:rFonts w:ascii="Times New Roman" w:hAnsi="Times New Roman" w:cs="Times New Roman"/>
                                <w:i/>
                                <w:sz w:val="24"/>
                                <w:szCs w:val="24"/>
                              </w:rPr>
                              <w:t>si</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edhe</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vlerësimet</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dhe</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kufizimet</w:t>
                            </w:r>
                            <w:proofErr w:type="spellEnd"/>
                            <w:r w:rsidRPr="00A234B9">
                              <w:rPr>
                                <w:rFonts w:ascii="Times New Roman" w:hAnsi="Times New Roman" w:cs="Times New Roman"/>
                                <w:i/>
                                <w:sz w:val="24"/>
                                <w:szCs w:val="24"/>
                              </w:rPr>
                              <w:t xml:space="preserve"> e </w:t>
                            </w:r>
                            <w:proofErr w:type="spellStart"/>
                            <w:r w:rsidRPr="00A234B9">
                              <w:rPr>
                                <w:rFonts w:ascii="Times New Roman" w:hAnsi="Times New Roman" w:cs="Times New Roman"/>
                                <w:i/>
                                <w:sz w:val="24"/>
                                <w:szCs w:val="24"/>
                              </w:rPr>
                              <w:t>parashtruara</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në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Nënkapitullin</w:t>
                            </w:r>
                            <w:proofErr w:type="spellEnd"/>
                            <w:r w:rsidRPr="00A234B9">
                              <w:rPr>
                                <w:rFonts w:ascii="Times New Roman" w:hAnsi="Times New Roman" w:cs="Times New Roman"/>
                                <w:i/>
                                <w:sz w:val="24"/>
                                <w:szCs w:val="24"/>
                              </w:rPr>
                              <w:t xml:space="preserve"> 1.5.</w:t>
                            </w:r>
                            <w:r w:rsidRPr="00325A79">
                              <w:rPr>
                                <w:rFonts w:ascii="Times New Roman" w:hAnsi="Times New Roman" w:cs="Times New Roman"/>
                                <w:i/>
                                <w:sz w:val="24"/>
                                <w:szCs w:val="24"/>
                              </w:rPr>
                              <w:t xml:space="preserve"> </w:t>
                            </w:r>
                          </w:p>
                          <w:p w14:paraId="71DF5FC7" w14:textId="77777777" w:rsidR="00D235BC" w:rsidRDefault="00D235BC" w:rsidP="009053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DF5FA3" id="_x0000_t202" coordsize="21600,21600" o:spt="202" path="m,l,21600r21600,l21600,xe">
                <v:stroke joinstyle="miter"/>
                <v:path gradientshapeok="t" o:connecttype="rect"/>
              </v:shapetype>
              <v:shape id="Text Box 29" o:spid="_x0000_s1026" type="#_x0000_t202" style="position:absolute;left:0;text-align:left;margin-left:0;margin-top:5.1pt;width:438pt;height:51pt;z-index:-251456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" fillcolor="#deeaf6 [660]" strokecolor="#595959" strokeweight="1pt">
                <v:textbox>
                  <w:txbxContent>
                    <w:p w14:paraId="71DF5FC6" w14:textId="77777777" w:rsidR="00D235BC" w:rsidRPr="00325A79" w:rsidRDefault="00D235BC" w:rsidP="009053CD">
                      <w:pPr>
                        <w:jc w:val="both"/>
                        <w:rPr>
                          <w:rFonts w:ascii="Times New Roman" w:hAnsi="Times New Roman" w:cs="Times New Roman"/>
                          <w:i/>
                          <w:sz w:val="24"/>
                          <w:szCs w:val="24"/>
                        </w:rPr>
                      </w:pPr>
                      <w:proofErr w:type="spellStart"/>
                      <w:r w:rsidRPr="00A234B9">
                        <w:rPr>
                          <w:rFonts w:ascii="Times New Roman" w:hAnsi="Times New Roman" w:cs="Times New Roman"/>
                          <w:i/>
                          <w:sz w:val="24"/>
                          <w:szCs w:val="24"/>
                        </w:rPr>
                        <w:t>Analiza</w:t>
                      </w:r>
                      <w:proofErr w:type="spellEnd"/>
                      <w:r w:rsidRPr="00A234B9">
                        <w:rPr>
                          <w:rFonts w:ascii="Times New Roman" w:hAnsi="Times New Roman" w:cs="Times New Roman"/>
                          <w:i/>
                          <w:sz w:val="24"/>
                          <w:szCs w:val="24"/>
                        </w:rPr>
                        <w:t xml:space="preserve"> e </w:t>
                      </w:r>
                      <w:proofErr w:type="spellStart"/>
                      <w:r w:rsidRPr="00A234B9">
                        <w:rPr>
                          <w:rFonts w:ascii="Times New Roman" w:hAnsi="Times New Roman" w:cs="Times New Roman"/>
                          <w:i/>
                          <w:sz w:val="24"/>
                          <w:szCs w:val="24"/>
                        </w:rPr>
                        <w:t>strategjive</w:t>
                      </w:r>
                      <w:proofErr w:type="spellEnd"/>
                      <w:r w:rsidRPr="00A234B9">
                        <w:rPr>
                          <w:rFonts w:ascii="Times New Roman" w:hAnsi="Times New Roman" w:cs="Times New Roman"/>
                          <w:i/>
                          <w:sz w:val="24"/>
                          <w:szCs w:val="24"/>
                        </w:rPr>
                        <w:t xml:space="preserve"> alternative </w:t>
                      </w:r>
                      <w:proofErr w:type="spellStart"/>
                      <w:r w:rsidRPr="00A234B9">
                        <w:rPr>
                          <w:rFonts w:ascii="Times New Roman" w:hAnsi="Times New Roman" w:cs="Times New Roman"/>
                          <w:i/>
                          <w:sz w:val="24"/>
                          <w:szCs w:val="24"/>
                        </w:rPr>
                        <w:t>të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financimit</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është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realizuar</w:t>
                      </w:r>
                      <w:proofErr w:type="spellEnd"/>
                      <w:r w:rsidRPr="00A234B9">
                        <w:rPr>
                          <w:rFonts w:ascii="Times New Roman" w:hAnsi="Times New Roman" w:cs="Times New Roman"/>
                          <w:i/>
                          <w:sz w:val="24"/>
                          <w:szCs w:val="24"/>
                        </w:rPr>
                        <w:t xml:space="preserve"> duke </w:t>
                      </w:r>
                      <w:proofErr w:type="spellStart"/>
                      <w:r w:rsidRPr="00A234B9">
                        <w:rPr>
                          <w:rFonts w:ascii="Times New Roman" w:hAnsi="Times New Roman" w:cs="Times New Roman"/>
                          <w:i/>
                          <w:sz w:val="24"/>
                          <w:szCs w:val="24"/>
                        </w:rPr>
                        <w:t>marrë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parasysh</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analizën</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sasiore</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kosto</w:t>
                      </w:r>
                      <w:proofErr w:type="spellEnd"/>
                      <w:r w:rsidRPr="00A234B9">
                        <w:rPr>
                          <w:rFonts w:ascii="Times New Roman" w:hAnsi="Times New Roman" w:cs="Times New Roman"/>
                          <w:i/>
                          <w:sz w:val="24"/>
                          <w:szCs w:val="24"/>
                        </w:rPr>
                        <w:t xml:space="preserve">/risk), </w:t>
                      </w:r>
                      <w:proofErr w:type="spellStart"/>
                      <w:r w:rsidRPr="00A234B9">
                        <w:rPr>
                          <w:rFonts w:ascii="Times New Roman" w:hAnsi="Times New Roman" w:cs="Times New Roman"/>
                          <w:i/>
                          <w:sz w:val="24"/>
                          <w:szCs w:val="24"/>
                        </w:rPr>
                        <w:t>si</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edhe</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vlerësimet</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dhe</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kufizimet</w:t>
                      </w:r>
                      <w:proofErr w:type="spellEnd"/>
                      <w:r w:rsidRPr="00A234B9">
                        <w:rPr>
                          <w:rFonts w:ascii="Times New Roman" w:hAnsi="Times New Roman" w:cs="Times New Roman"/>
                          <w:i/>
                          <w:sz w:val="24"/>
                          <w:szCs w:val="24"/>
                        </w:rPr>
                        <w:t xml:space="preserve"> e </w:t>
                      </w:r>
                      <w:proofErr w:type="spellStart"/>
                      <w:r w:rsidRPr="00A234B9">
                        <w:rPr>
                          <w:rFonts w:ascii="Times New Roman" w:hAnsi="Times New Roman" w:cs="Times New Roman"/>
                          <w:i/>
                          <w:sz w:val="24"/>
                          <w:szCs w:val="24"/>
                        </w:rPr>
                        <w:t>parashtruara</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në</w:t>
                      </w:r>
                      <w:proofErr w:type="spellEnd"/>
                      <w:r w:rsidRPr="00A234B9">
                        <w:rPr>
                          <w:rFonts w:ascii="Times New Roman" w:hAnsi="Times New Roman" w:cs="Times New Roman"/>
                          <w:i/>
                          <w:sz w:val="24"/>
                          <w:szCs w:val="24"/>
                        </w:rPr>
                        <w:t xml:space="preserve"> </w:t>
                      </w:r>
                      <w:proofErr w:type="spellStart"/>
                      <w:r w:rsidRPr="00A234B9">
                        <w:rPr>
                          <w:rFonts w:ascii="Times New Roman" w:hAnsi="Times New Roman" w:cs="Times New Roman"/>
                          <w:i/>
                          <w:sz w:val="24"/>
                          <w:szCs w:val="24"/>
                        </w:rPr>
                        <w:t>Nënkapitullin</w:t>
                      </w:r>
                      <w:proofErr w:type="spellEnd"/>
                      <w:r w:rsidRPr="00A234B9">
                        <w:rPr>
                          <w:rFonts w:ascii="Times New Roman" w:hAnsi="Times New Roman" w:cs="Times New Roman"/>
                          <w:i/>
                          <w:sz w:val="24"/>
                          <w:szCs w:val="24"/>
                        </w:rPr>
                        <w:t xml:space="preserve"> 1.5.</w:t>
                      </w:r>
                      <w:r w:rsidRPr="00325A79">
                        <w:rPr>
                          <w:rFonts w:ascii="Times New Roman" w:hAnsi="Times New Roman" w:cs="Times New Roman"/>
                          <w:i/>
                          <w:sz w:val="24"/>
                          <w:szCs w:val="24"/>
                        </w:rPr>
                        <w:t xml:space="preserve"> </w:t>
                      </w:r>
                    </w:p>
                    <w:p w14:paraId="71DF5FC7" w14:textId="77777777" w:rsidR="00D235BC" w:rsidRDefault="00D235BC" w:rsidP="009053CD"/>
                  </w:txbxContent>
                </v:textbox>
                <w10:wrap anchorx="margin"/>
              </v:shape>
            </w:pict>
          </mc:Fallback>
        </mc:AlternateContent>
      </w:r>
    </w:p>
    <w:p w14:paraId="71DF5DE6" w14:textId="77777777" w:rsidR="009053CD" w:rsidRPr="000F5C13" w:rsidRDefault="009053CD" w:rsidP="009053CD">
      <w:pPr>
        <w:tabs>
          <w:tab w:val="left" w:pos="2730"/>
        </w:tabs>
        <w:spacing w:line="276" w:lineRule="auto"/>
        <w:ind w:left="284" w:right="237"/>
        <w:contextualSpacing/>
        <w:jc w:val="both"/>
        <w:rPr>
          <w:rFonts w:ascii="Times New Roman" w:eastAsia="Times New Roman" w:hAnsi="Times New Roman" w:cs="Times New Roman"/>
          <w:bCs/>
          <w:noProof/>
          <w:sz w:val="24"/>
          <w:szCs w:val="28"/>
          <w:lang w:val="sq-AL"/>
        </w:rPr>
      </w:pPr>
    </w:p>
    <w:p w14:paraId="71DF5DE7" w14:textId="77777777" w:rsidR="009053CD" w:rsidRPr="000F5C13" w:rsidRDefault="009053CD" w:rsidP="009053CD">
      <w:pPr>
        <w:tabs>
          <w:tab w:val="left" w:pos="2730"/>
        </w:tabs>
        <w:spacing w:line="276" w:lineRule="auto"/>
        <w:ind w:left="284" w:right="237"/>
        <w:contextualSpacing/>
        <w:jc w:val="both"/>
        <w:rPr>
          <w:rFonts w:ascii="Times New Roman" w:eastAsia="Times New Roman" w:hAnsi="Times New Roman" w:cs="Times New Roman"/>
          <w:bCs/>
          <w:noProof/>
          <w:sz w:val="24"/>
          <w:szCs w:val="28"/>
          <w:lang w:val="sq-AL"/>
        </w:rPr>
      </w:pPr>
    </w:p>
    <w:p w14:paraId="71DF5DE8" w14:textId="77777777" w:rsidR="009053CD" w:rsidRPr="000F5C13" w:rsidRDefault="009053CD" w:rsidP="009053CD">
      <w:pPr>
        <w:tabs>
          <w:tab w:val="left" w:pos="2730"/>
        </w:tabs>
        <w:spacing w:line="276" w:lineRule="auto"/>
        <w:ind w:left="284" w:right="237"/>
        <w:contextualSpacing/>
        <w:rPr>
          <w:rFonts w:ascii="Times New Roman" w:eastAsia="Times New Roman" w:hAnsi="Times New Roman" w:cs="Times New Roman"/>
          <w:bCs/>
          <w:noProof/>
          <w:sz w:val="24"/>
          <w:szCs w:val="28"/>
          <w:lang w:val="sq-AL"/>
        </w:rPr>
      </w:pPr>
    </w:p>
    <w:p w14:paraId="71DF5DE9" w14:textId="77777777" w:rsidR="009053CD" w:rsidRPr="000F5C13" w:rsidRDefault="009053CD" w:rsidP="009053CD">
      <w:pPr>
        <w:tabs>
          <w:tab w:val="left" w:pos="2730"/>
        </w:tabs>
        <w:spacing w:line="276" w:lineRule="auto"/>
        <w:ind w:left="284" w:right="237"/>
        <w:contextualSpacing/>
        <w:rPr>
          <w:rFonts w:ascii="Times New Roman" w:eastAsia="Times New Roman" w:hAnsi="Times New Roman" w:cs="Times New Roman"/>
          <w:bCs/>
          <w:noProof/>
          <w:sz w:val="16"/>
          <w:szCs w:val="28"/>
          <w:lang w:val="sq-AL"/>
        </w:rPr>
      </w:pPr>
    </w:p>
    <w:p w14:paraId="71DF5DEA" w14:textId="77777777" w:rsidR="009053CD" w:rsidRPr="00FB61A5" w:rsidRDefault="009053CD" w:rsidP="00A234B9">
      <w:pPr>
        <w:numPr>
          <w:ilvl w:val="0"/>
          <w:numId w:val="12"/>
        </w:numPr>
        <w:tabs>
          <w:tab w:val="left" w:pos="709"/>
        </w:tabs>
        <w:spacing w:line="276" w:lineRule="auto"/>
        <w:ind w:left="567" w:right="237" w:hanging="567"/>
        <w:contextualSpacing/>
        <w:jc w:val="both"/>
        <w:rPr>
          <w:rFonts w:ascii="Cambria" w:eastAsia="Times New Roman" w:hAnsi="Cambria" w:cs="Times New Roman"/>
          <w:b/>
          <w:bCs/>
          <w:noProof/>
          <w:sz w:val="24"/>
          <w:szCs w:val="28"/>
          <w:lang w:val="sq-AL"/>
        </w:rPr>
      </w:pPr>
      <w:bookmarkStart w:id="151" w:name="_Toc448146926"/>
      <w:bookmarkStart w:id="152" w:name="_Toc448399359"/>
      <w:bookmarkStart w:id="153" w:name="_Toc448931058"/>
      <w:bookmarkStart w:id="154" w:name="_Toc449351173"/>
      <w:r w:rsidRPr="00FB61A5">
        <w:rPr>
          <w:rFonts w:ascii="Cambria" w:eastAsia="Times New Roman" w:hAnsi="Cambria" w:cs="Times New Roman"/>
          <w:b/>
          <w:bCs/>
          <w:noProof/>
          <w:sz w:val="24"/>
          <w:szCs w:val="28"/>
          <w:lang w:val="sq-AL"/>
        </w:rPr>
        <w:t>Metodologjia e Përdorur në Analizën Sasiore</w:t>
      </w:r>
      <w:bookmarkEnd w:id="151"/>
      <w:bookmarkEnd w:id="152"/>
      <w:bookmarkEnd w:id="153"/>
      <w:bookmarkEnd w:id="154"/>
    </w:p>
    <w:p w14:paraId="71DF5DEB"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
          <w:bCs/>
          <w:noProof/>
          <w:sz w:val="16"/>
          <w:szCs w:val="28"/>
          <w:lang w:val="sq-AL"/>
        </w:rPr>
      </w:pPr>
    </w:p>
    <w:p w14:paraId="71DF5DEC" w14:textId="77777777" w:rsidR="009053CD" w:rsidRPr="00FB61A5" w:rsidRDefault="009053CD" w:rsidP="00A234B9">
      <w:pPr>
        <w:numPr>
          <w:ilvl w:val="1"/>
          <w:numId w:val="9"/>
        </w:numPr>
        <w:spacing w:line="276" w:lineRule="auto"/>
        <w:ind w:right="237" w:hanging="720"/>
        <w:contextualSpacing/>
        <w:jc w:val="both"/>
        <w:rPr>
          <w:rFonts w:ascii="Cambria" w:eastAsia="Times New Roman" w:hAnsi="Cambria" w:cs="Times New Roman"/>
          <w:b/>
          <w:bCs/>
          <w:noProof/>
          <w:sz w:val="24"/>
          <w:szCs w:val="28"/>
          <w:lang w:val="sq-AL"/>
        </w:rPr>
      </w:pPr>
      <w:bookmarkStart w:id="155" w:name="_Toc448146927"/>
      <w:bookmarkStart w:id="156" w:name="_Toc448399360"/>
      <w:bookmarkStart w:id="157" w:name="_Toc448931059"/>
      <w:bookmarkStart w:id="158" w:name="_Toc449351174"/>
      <w:r w:rsidRPr="00FB61A5">
        <w:rPr>
          <w:rFonts w:ascii="Cambria" w:eastAsia="Times New Roman" w:hAnsi="Cambria" w:cs="Times New Roman"/>
          <w:b/>
          <w:bCs/>
          <w:noProof/>
          <w:sz w:val="24"/>
          <w:szCs w:val="28"/>
          <w:lang w:val="sq-AL"/>
        </w:rPr>
        <w:t xml:space="preserve">  Modeli i përdorur</w:t>
      </w:r>
      <w:bookmarkEnd w:id="155"/>
      <w:bookmarkEnd w:id="156"/>
      <w:bookmarkEnd w:id="157"/>
      <w:bookmarkEnd w:id="158"/>
    </w:p>
    <w:p w14:paraId="71DF5DED" w14:textId="77777777" w:rsidR="009053CD" w:rsidRPr="00FB61A5" w:rsidRDefault="009053CD" w:rsidP="009053CD">
      <w:pPr>
        <w:tabs>
          <w:tab w:val="left" w:pos="2730"/>
        </w:tabs>
        <w:spacing w:line="276" w:lineRule="auto"/>
        <w:ind w:left="284" w:right="237"/>
        <w:contextualSpacing/>
        <w:jc w:val="both"/>
        <w:rPr>
          <w:rFonts w:ascii="Times New Roman" w:eastAsia="Times New Roman" w:hAnsi="Times New Roman" w:cs="Times New Roman"/>
          <w:bCs/>
          <w:noProof/>
          <w:sz w:val="16"/>
          <w:szCs w:val="28"/>
          <w:lang w:val="sq-AL"/>
        </w:rPr>
      </w:pPr>
    </w:p>
    <w:p w14:paraId="71DF5DEE" w14:textId="77777777" w:rsidR="009053CD" w:rsidRPr="00FB61A5" w:rsidRDefault="009053CD" w:rsidP="00A234B9">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 xml:space="preserve">Analiza sasiore </w:t>
      </w:r>
      <w:r w:rsidRPr="00236CC5">
        <w:rPr>
          <w:rFonts w:ascii="Times New Roman" w:eastAsia="Times New Roman" w:hAnsi="Times New Roman" w:cs="Times New Roman"/>
          <w:bCs/>
          <w:noProof/>
          <w:sz w:val="24"/>
          <w:szCs w:val="28"/>
          <w:lang w:val="sq-AL"/>
        </w:rPr>
        <w:t>(kosto/risk)</w:t>
      </w:r>
      <w:r w:rsidRPr="00FB61A5">
        <w:rPr>
          <w:rFonts w:ascii="Times New Roman" w:eastAsia="Times New Roman" w:hAnsi="Times New Roman" w:cs="Times New Roman"/>
          <w:bCs/>
          <w:i/>
          <w:noProof/>
          <w:sz w:val="24"/>
          <w:szCs w:val="28"/>
          <w:lang w:val="sq-AL"/>
        </w:rPr>
        <w:t xml:space="preserve"> </w:t>
      </w:r>
      <w:r w:rsidRPr="00FB61A5">
        <w:rPr>
          <w:rFonts w:ascii="Times New Roman" w:eastAsia="Times New Roman" w:hAnsi="Times New Roman" w:cs="Times New Roman"/>
          <w:bCs/>
          <w:noProof/>
          <w:sz w:val="24"/>
          <w:szCs w:val="28"/>
          <w:lang w:val="sq-AL"/>
        </w:rPr>
        <w:t xml:space="preserve">e strategjive alternative të financimit është realizuar bazuar në përdorimin e modelit analitik për Strategjinë Afatmesme të Menaxhimit të Borxhit </w:t>
      </w:r>
      <w:r w:rsidRPr="00FB61A5">
        <w:rPr>
          <w:rFonts w:ascii="Times New Roman" w:eastAsia="Times New Roman" w:hAnsi="Times New Roman" w:cs="Times New Roman"/>
          <w:bCs/>
          <w:i/>
          <w:noProof/>
          <w:sz w:val="24"/>
          <w:szCs w:val="28"/>
          <w:lang w:val="sq-AL"/>
        </w:rPr>
        <w:t>(MTDS analytical tool),</w:t>
      </w:r>
      <w:r w:rsidRPr="00FB61A5">
        <w:rPr>
          <w:rFonts w:ascii="Times New Roman" w:eastAsia="Times New Roman" w:hAnsi="Times New Roman" w:cs="Times New Roman"/>
          <w:bCs/>
          <w:noProof/>
          <w:sz w:val="24"/>
          <w:szCs w:val="28"/>
          <w:lang w:val="sq-AL"/>
        </w:rPr>
        <w:t xml:space="preserve"> i konceptuar nga Banka Botërore dhe FMN për t’i ardhur në ndihmë Menaxhimit të Borxhit të vendeve në zhvillim. Modeli i përdorur është një model determinues, </w:t>
      </w:r>
      <w:r w:rsidRPr="00FB61A5">
        <w:rPr>
          <w:rFonts w:ascii="Times New Roman" w:eastAsia="Times New Roman" w:hAnsi="Times New Roman" w:cs="Times New Roman"/>
          <w:bCs/>
          <w:i/>
          <w:noProof/>
          <w:sz w:val="24"/>
          <w:szCs w:val="28"/>
          <w:lang w:val="sq-AL"/>
        </w:rPr>
        <w:t>output</w:t>
      </w:r>
      <w:r w:rsidRPr="00FB61A5">
        <w:rPr>
          <w:rFonts w:ascii="Times New Roman" w:eastAsia="Times New Roman" w:hAnsi="Times New Roman" w:cs="Times New Roman"/>
          <w:bCs/>
          <w:noProof/>
          <w:sz w:val="24"/>
          <w:szCs w:val="28"/>
          <w:lang w:val="sq-AL"/>
        </w:rPr>
        <w:t xml:space="preserve">-et e të cilit varen nga vlerat dhe gjendja fillestare e parametrave </w:t>
      </w:r>
      <w:r w:rsidRPr="00236CC5">
        <w:rPr>
          <w:rFonts w:ascii="Times New Roman" w:eastAsia="Times New Roman" w:hAnsi="Times New Roman" w:cs="Times New Roman"/>
          <w:bCs/>
          <w:noProof/>
          <w:sz w:val="24"/>
          <w:szCs w:val="28"/>
          <w:lang w:val="sq-AL"/>
        </w:rPr>
        <w:t>(parametrat ekzistues të borxhit)</w:t>
      </w:r>
      <w:r w:rsidRPr="00FB61A5">
        <w:rPr>
          <w:rFonts w:ascii="Times New Roman" w:eastAsia="Times New Roman" w:hAnsi="Times New Roman" w:cs="Times New Roman"/>
          <w:bCs/>
          <w:noProof/>
          <w:sz w:val="24"/>
          <w:szCs w:val="28"/>
          <w:lang w:val="sq-AL"/>
        </w:rPr>
        <w:t xml:space="preserve">. Modeli është i ndërtuar në mënyrë të tillë që të projektojë flukset e borxhit në periudhën afatmesme në varësi të inputeve që i injektohen modelit në secilën prej strategjive të analizuara. </w:t>
      </w:r>
      <w:r w:rsidRPr="00FB61A5">
        <w:rPr>
          <w:rFonts w:ascii="Times New Roman" w:eastAsia="Times New Roman" w:hAnsi="Times New Roman" w:cs="Times New Roman"/>
          <w:bCs/>
          <w:i/>
          <w:noProof/>
          <w:sz w:val="24"/>
          <w:szCs w:val="28"/>
          <w:lang w:val="sq-AL"/>
        </w:rPr>
        <w:t>Output</w:t>
      </w:r>
      <w:r w:rsidRPr="00FB61A5">
        <w:rPr>
          <w:rFonts w:ascii="Times New Roman" w:eastAsia="Times New Roman" w:hAnsi="Times New Roman" w:cs="Times New Roman"/>
          <w:bCs/>
          <w:noProof/>
          <w:sz w:val="24"/>
          <w:szCs w:val="28"/>
          <w:lang w:val="sq-AL"/>
        </w:rPr>
        <w:t>-i i modelit është vlerësimi i kostos dhe riskut përkatësisht për secilën prej strategjive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analizuara.</w:t>
      </w:r>
    </w:p>
    <w:p w14:paraId="71DF5DEF"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Cs/>
          <w:noProof/>
          <w:sz w:val="16"/>
          <w:szCs w:val="28"/>
          <w:lang w:val="sq-AL"/>
        </w:rPr>
      </w:pPr>
    </w:p>
    <w:p w14:paraId="71DF5DF0" w14:textId="77777777" w:rsidR="009053CD" w:rsidRPr="00FB61A5" w:rsidRDefault="009053CD" w:rsidP="00A234B9">
      <w:pPr>
        <w:numPr>
          <w:ilvl w:val="2"/>
          <w:numId w:val="9"/>
        </w:numPr>
        <w:tabs>
          <w:tab w:val="left" w:pos="2730"/>
        </w:tabs>
        <w:spacing w:line="276" w:lineRule="auto"/>
        <w:ind w:left="851" w:right="237" w:hanging="851"/>
        <w:contextualSpacing/>
        <w:rPr>
          <w:rFonts w:ascii="Cambria" w:eastAsia="Times New Roman" w:hAnsi="Cambria" w:cs="Times New Roman"/>
          <w:bCs/>
          <w:noProof/>
          <w:sz w:val="24"/>
          <w:szCs w:val="28"/>
          <w:lang w:val="sq-AL"/>
        </w:rPr>
      </w:pPr>
      <w:r w:rsidRPr="00FB61A5">
        <w:rPr>
          <w:rFonts w:ascii="Cambria" w:eastAsia="Times New Roman" w:hAnsi="Cambria" w:cs="Times New Roman"/>
          <w:bCs/>
          <w:noProof/>
          <w:sz w:val="24"/>
          <w:szCs w:val="28"/>
          <w:lang w:val="sq-AL"/>
        </w:rPr>
        <w:t>Input-et</w:t>
      </w:r>
    </w:p>
    <w:p w14:paraId="71DF5DF1"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
          <w:bCs/>
          <w:i/>
          <w:noProof/>
          <w:sz w:val="16"/>
          <w:szCs w:val="28"/>
          <w:u w:val="single"/>
          <w:lang w:val="sq-AL"/>
        </w:rPr>
      </w:pPr>
    </w:p>
    <w:p w14:paraId="71DF5DF2" w14:textId="77777777" w:rsidR="009053CD" w:rsidRPr="00FB61A5" w:rsidRDefault="009053CD" w:rsidP="00A234B9">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i/>
          <w:noProof/>
          <w:sz w:val="24"/>
          <w:szCs w:val="28"/>
          <w:lang w:val="sq-AL"/>
        </w:rPr>
        <w:t>Input</w:t>
      </w:r>
      <w:r w:rsidRPr="00FB61A5">
        <w:rPr>
          <w:rFonts w:ascii="Times New Roman" w:eastAsia="Times New Roman" w:hAnsi="Times New Roman" w:cs="Times New Roman"/>
          <w:bCs/>
          <w:noProof/>
          <w:sz w:val="24"/>
          <w:szCs w:val="28"/>
          <w:lang w:val="sq-AL"/>
        </w:rPr>
        <w:t xml:space="preserve">-et kryesore të përdorura në model janë: i) flukset e borxhit </w:t>
      </w:r>
      <w:r w:rsidRPr="00236CC5">
        <w:rPr>
          <w:rFonts w:ascii="Times New Roman" w:eastAsia="Times New Roman" w:hAnsi="Times New Roman" w:cs="Times New Roman"/>
          <w:bCs/>
          <w:noProof/>
          <w:sz w:val="24"/>
          <w:szCs w:val="28"/>
          <w:lang w:val="sq-AL"/>
        </w:rPr>
        <w:t>(interesat dhe principali)</w:t>
      </w:r>
      <w:r w:rsidRPr="00FB61A5">
        <w:rPr>
          <w:rFonts w:ascii="Times New Roman" w:eastAsia="Times New Roman" w:hAnsi="Times New Roman" w:cs="Times New Roman"/>
          <w:bCs/>
          <w:noProof/>
          <w:sz w:val="24"/>
          <w:szCs w:val="28"/>
          <w:lang w:val="sq-AL"/>
        </w:rPr>
        <w:t xml:space="preserve"> ekzistues në fundin e vitit 201</w:t>
      </w:r>
      <w:r w:rsidR="00C5786A">
        <w:rPr>
          <w:rFonts w:ascii="Times New Roman" w:eastAsia="Times New Roman" w:hAnsi="Times New Roman" w:cs="Times New Roman"/>
          <w:bCs/>
          <w:noProof/>
          <w:sz w:val="24"/>
          <w:szCs w:val="28"/>
          <w:lang w:val="sq-AL"/>
        </w:rPr>
        <w:t>8</w:t>
      </w:r>
      <w:r w:rsidRPr="00FB61A5">
        <w:rPr>
          <w:rFonts w:ascii="Times New Roman" w:eastAsia="Times New Roman" w:hAnsi="Times New Roman" w:cs="Times New Roman"/>
          <w:bCs/>
          <w:noProof/>
          <w:sz w:val="24"/>
          <w:szCs w:val="28"/>
          <w:lang w:val="sq-AL"/>
        </w:rPr>
        <w:t xml:space="preserve">; ii) treguesit makro-fiskal </w:t>
      </w:r>
      <w:r w:rsidR="00236CC5" w:rsidRPr="00236CC5">
        <w:rPr>
          <w:rFonts w:ascii="Times New Roman" w:eastAsia="Times New Roman" w:hAnsi="Times New Roman" w:cs="Times New Roman"/>
          <w:bCs/>
          <w:noProof/>
          <w:sz w:val="24"/>
          <w:szCs w:val="28"/>
          <w:lang w:val="sq-AL"/>
        </w:rPr>
        <w:t>(balanca</w:t>
      </w:r>
      <w:r w:rsidRPr="00236CC5">
        <w:rPr>
          <w:rFonts w:ascii="Times New Roman" w:eastAsia="Times New Roman" w:hAnsi="Times New Roman" w:cs="Times New Roman"/>
          <w:bCs/>
          <w:noProof/>
          <w:sz w:val="24"/>
          <w:szCs w:val="28"/>
          <w:lang w:val="sq-AL"/>
        </w:rPr>
        <w:t xml:space="preserve"> primar</w:t>
      </w:r>
      <w:r w:rsidR="00236CC5" w:rsidRPr="00236CC5">
        <w:rPr>
          <w:rFonts w:ascii="Times New Roman" w:eastAsia="Times New Roman" w:hAnsi="Times New Roman" w:cs="Times New Roman"/>
          <w:bCs/>
          <w:noProof/>
          <w:sz w:val="24"/>
          <w:szCs w:val="28"/>
          <w:lang w:val="sq-AL"/>
        </w:rPr>
        <w:t>e</w:t>
      </w:r>
      <w:r w:rsidRPr="00236CC5">
        <w:rPr>
          <w:rFonts w:ascii="Times New Roman" w:eastAsia="Times New Roman" w:hAnsi="Times New Roman" w:cs="Times New Roman"/>
          <w:bCs/>
          <w:noProof/>
          <w:sz w:val="24"/>
          <w:szCs w:val="28"/>
          <w:lang w:val="sq-AL"/>
        </w:rPr>
        <w:t>, PBB, rezerva valutore, eksportet)</w:t>
      </w:r>
      <w:r w:rsidRPr="00FB61A5">
        <w:rPr>
          <w:rFonts w:ascii="Times New Roman" w:eastAsia="Times New Roman" w:hAnsi="Times New Roman" w:cs="Times New Roman"/>
          <w:bCs/>
          <w:i/>
          <w:noProof/>
          <w:sz w:val="24"/>
          <w:szCs w:val="28"/>
          <w:lang w:val="sq-AL"/>
        </w:rPr>
        <w:t>,</w:t>
      </w:r>
      <w:r w:rsidRPr="00FB61A5">
        <w:rPr>
          <w:rFonts w:ascii="Times New Roman" w:eastAsia="Times New Roman" w:hAnsi="Times New Roman" w:cs="Times New Roman"/>
          <w:bCs/>
          <w:noProof/>
          <w:sz w:val="24"/>
          <w:szCs w:val="28"/>
          <w:lang w:val="sq-AL"/>
        </w:rPr>
        <w:t xml:space="preserve"> të cilat orientojnë nevojat për financim të qeverisë dhe paraqesin raporte të caktura të borxhit; iii) strategjitë alternative të financimit; dhe iv) treguesit e tregut të tillë si normat e interesit dhe kursi i këmbimit.</w:t>
      </w:r>
    </w:p>
    <w:p w14:paraId="71DF5DF3" w14:textId="77777777" w:rsidR="009053CD" w:rsidRPr="00FB61A5" w:rsidRDefault="009053CD" w:rsidP="00A234B9">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i/>
          <w:noProof/>
          <w:sz w:val="24"/>
          <w:szCs w:val="28"/>
          <w:lang w:val="sq-AL"/>
        </w:rPr>
        <w:t>Input</w:t>
      </w:r>
      <w:r w:rsidRPr="00FB61A5">
        <w:rPr>
          <w:rFonts w:ascii="Times New Roman" w:eastAsia="Times New Roman" w:hAnsi="Times New Roman" w:cs="Times New Roman"/>
          <w:bCs/>
          <w:noProof/>
          <w:sz w:val="24"/>
          <w:szCs w:val="28"/>
          <w:lang w:val="sq-AL"/>
        </w:rPr>
        <w:t xml:space="preserve">-et për flukset e borxhit ekzistues injektohen në model pasi paraprakisht grupohen sipas karakteristikave të riskut. Në rastin konkret, flukset e borxhit ekzistues janë grupuar në 15 grupe, përkatësisht 9 grupe për instrumentet në monedhë vendase </w:t>
      </w:r>
      <w:r w:rsidRPr="00236CC5">
        <w:rPr>
          <w:rFonts w:ascii="Times New Roman" w:eastAsia="Times New Roman" w:hAnsi="Times New Roman" w:cs="Times New Roman"/>
          <w:bCs/>
          <w:noProof/>
          <w:sz w:val="24"/>
          <w:szCs w:val="28"/>
          <w:lang w:val="sq-AL"/>
        </w:rPr>
        <w:t>(borxhi i brendshëm)</w:t>
      </w:r>
      <w:r w:rsidRPr="00FB61A5">
        <w:rPr>
          <w:rFonts w:ascii="Times New Roman" w:eastAsia="Times New Roman" w:hAnsi="Times New Roman" w:cs="Times New Roman"/>
          <w:bCs/>
          <w:noProof/>
          <w:sz w:val="24"/>
          <w:szCs w:val="28"/>
          <w:lang w:val="sq-AL"/>
        </w:rPr>
        <w:t xml:space="preserve"> dhe 6 grupe për instrumentet në monedhë të huaj </w:t>
      </w:r>
      <w:r w:rsidRPr="00236CC5">
        <w:rPr>
          <w:rFonts w:ascii="Times New Roman" w:eastAsia="Times New Roman" w:hAnsi="Times New Roman" w:cs="Times New Roman"/>
          <w:bCs/>
          <w:noProof/>
          <w:sz w:val="24"/>
          <w:szCs w:val="28"/>
          <w:lang w:val="sq-AL"/>
        </w:rPr>
        <w:t>(borxhi i jashtëm)</w:t>
      </w:r>
      <w:r w:rsidRPr="00FB61A5">
        <w:rPr>
          <w:rFonts w:ascii="Times New Roman" w:eastAsia="Times New Roman" w:hAnsi="Times New Roman" w:cs="Times New Roman"/>
          <w:bCs/>
          <w:i/>
          <w:noProof/>
          <w:sz w:val="24"/>
          <w:szCs w:val="28"/>
          <w:lang w:val="sq-AL"/>
        </w:rPr>
        <w:t>.</w:t>
      </w:r>
    </w:p>
    <w:p w14:paraId="71DF5DF4" w14:textId="77777777" w:rsidR="009053CD" w:rsidRPr="00FB61A5" w:rsidRDefault="009053CD" w:rsidP="00A234B9">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 xml:space="preserve">Strategjitë alternative të financimit dallojnë nga njëra-tjetra nga: i) raporti i financimit ndërmjet borxhit të brendshëm dhe të jashtëm; dhe ii) raportet e financimit ndërmjet grupeve me karakteristika risku të ngjashme, përkatësisht për borxhin e brendshëm dhe të jashtëm. </w:t>
      </w:r>
    </w:p>
    <w:p w14:paraId="71DF5DF5"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Cs/>
          <w:noProof/>
          <w:sz w:val="16"/>
          <w:szCs w:val="28"/>
          <w:lang w:val="sq-AL"/>
        </w:rPr>
      </w:pPr>
    </w:p>
    <w:p w14:paraId="71DF5DF6" w14:textId="77777777" w:rsidR="009053CD" w:rsidRPr="00FB61A5" w:rsidRDefault="009053CD" w:rsidP="00A234B9">
      <w:pPr>
        <w:numPr>
          <w:ilvl w:val="2"/>
          <w:numId w:val="9"/>
        </w:numPr>
        <w:tabs>
          <w:tab w:val="left" w:pos="2730"/>
        </w:tabs>
        <w:spacing w:line="276" w:lineRule="auto"/>
        <w:ind w:left="851" w:right="237" w:hanging="851"/>
        <w:contextualSpacing/>
        <w:rPr>
          <w:rFonts w:ascii="Cambria" w:eastAsia="Times New Roman" w:hAnsi="Cambria" w:cs="Times New Roman"/>
          <w:bCs/>
          <w:noProof/>
          <w:sz w:val="24"/>
          <w:szCs w:val="28"/>
          <w:lang w:val="sq-AL"/>
        </w:rPr>
      </w:pPr>
      <w:r w:rsidRPr="00FB61A5">
        <w:rPr>
          <w:rFonts w:ascii="Cambria" w:eastAsia="Times New Roman" w:hAnsi="Cambria" w:cs="Times New Roman"/>
          <w:bCs/>
          <w:noProof/>
          <w:sz w:val="24"/>
          <w:szCs w:val="28"/>
          <w:lang w:val="sq-AL"/>
        </w:rPr>
        <w:t>Output-i</w:t>
      </w:r>
    </w:p>
    <w:p w14:paraId="71DF5DF7"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Cs/>
          <w:noProof/>
          <w:sz w:val="16"/>
          <w:szCs w:val="28"/>
          <w:lang w:val="sq-AL"/>
        </w:rPr>
      </w:pPr>
    </w:p>
    <w:p w14:paraId="71DF5DF8" w14:textId="77777777" w:rsidR="009053CD" w:rsidRPr="00FB61A5" w:rsidRDefault="009053CD" w:rsidP="00A234B9">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i/>
          <w:noProof/>
          <w:sz w:val="24"/>
          <w:szCs w:val="28"/>
          <w:lang w:val="sq-AL"/>
        </w:rPr>
        <w:t>Output</w:t>
      </w:r>
      <w:r w:rsidRPr="00FB61A5">
        <w:rPr>
          <w:rFonts w:ascii="Times New Roman" w:eastAsia="Times New Roman" w:hAnsi="Times New Roman" w:cs="Times New Roman"/>
          <w:bCs/>
          <w:noProof/>
          <w:sz w:val="24"/>
          <w:szCs w:val="28"/>
          <w:lang w:val="sq-AL"/>
        </w:rPr>
        <w:t>-i i modelit të përdorur konsiston në kuantifikimin e kostos dhe riskut për secilën strategji të analizuar. Modeli ilustron rezultatet që ka secila nga strategjitë e marra në shqyrtim nën efektin e skenarëve të treguesve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tregut, si edhe jep informacion për risqet që do të mbartë struktura e borxhit në fund të periudhës afatmesme për secilën nga strategjitë e konsideruara.</w:t>
      </w:r>
    </w:p>
    <w:p w14:paraId="71DF5DF9"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Cs/>
          <w:noProof/>
          <w:sz w:val="16"/>
          <w:szCs w:val="16"/>
          <w:lang w:val="sq-AL"/>
        </w:rPr>
      </w:pPr>
    </w:p>
    <w:p w14:paraId="71DF5DFA" w14:textId="77777777" w:rsidR="00FB61A5" w:rsidRPr="00FB61A5" w:rsidRDefault="00FB61A5" w:rsidP="009053CD">
      <w:pPr>
        <w:tabs>
          <w:tab w:val="left" w:pos="2730"/>
        </w:tabs>
        <w:spacing w:line="276" w:lineRule="auto"/>
        <w:ind w:left="284" w:right="237"/>
        <w:contextualSpacing/>
        <w:rPr>
          <w:rFonts w:ascii="Times New Roman" w:eastAsia="Times New Roman" w:hAnsi="Times New Roman" w:cs="Times New Roman"/>
          <w:bCs/>
          <w:noProof/>
          <w:sz w:val="16"/>
          <w:szCs w:val="16"/>
          <w:lang w:val="sq-AL"/>
        </w:rPr>
      </w:pPr>
    </w:p>
    <w:p w14:paraId="71DF5DFB"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Cs/>
          <w:noProof/>
          <w:sz w:val="16"/>
          <w:szCs w:val="16"/>
          <w:lang w:val="sq-AL"/>
        </w:rPr>
      </w:pPr>
    </w:p>
    <w:p w14:paraId="71DF5DFC" w14:textId="77777777" w:rsidR="009053CD" w:rsidRPr="00FB61A5" w:rsidRDefault="009053CD" w:rsidP="00FB61A5">
      <w:pPr>
        <w:numPr>
          <w:ilvl w:val="2"/>
          <w:numId w:val="9"/>
        </w:numPr>
        <w:tabs>
          <w:tab w:val="left" w:pos="2730"/>
        </w:tabs>
        <w:spacing w:line="276" w:lineRule="auto"/>
        <w:ind w:left="851" w:right="237" w:hanging="851"/>
        <w:contextualSpacing/>
        <w:rPr>
          <w:rFonts w:ascii="Cambria" w:eastAsia="Times New Roman" w:hAnsi="Cambria" w:cs="Times New Roman"/>
          <w:bCs/>
          <w:noProof/>
          <w:sz w:val="24"/>
          <w:szCs w:val="28"/>
          <w:lang w:val="sq-AL"/>
        </w:rPr>
      </w:pPr>
      <w:r w:rsidRPr="00FB61A5">
        <w:rPr>
          <w:rFonts w:ascii="Cambria" w:eastAsia="Times New Roman" w:hAnsi="Cambria" w:cs="Times New Roman"/>
          <w:bCs/>
          <w:noProof/>
          <w:sz w:val="24"/>
          <w:szCs w:val="28"/>
          <w:lang w:val="sq-AL"/>
        </w:rPr>
        <w:lastRenderedPageBreak/>
        <w:t>Skenarët</w:t>
      </w:r>
    </w:p>
    <w:p w14:paraId="71DF5DFD" w14:textId="77777777" w:rsidR="009053CD" w:rsidRPr="00FB61A5" w:rsidRDefault="009053CD" w:rsidP="00FB61A5">
      <w:pPr>
        <w:tabs>
          <w:tab w:val="left" w:pos="2730"/>
        </w:tabs>
        <w:spacing w:line="276" w:lineRule="auto"/>
        <w:ind w:left="284" w:right="237" w:hanging="284"/>
        <w:contextualSpacing/>
        <w:jc w:val="both"/>
        <w:rPr>
          <w:rFonts w:ascii="Times New Roman" w:eastAsia="Times New Roman" w:hAnsi="Times New Roman" w:cs="Times New Roman"/>
          <w:bCs/>
          <w:noProof/>
          <w:sz w:val="16"/>
          <w:szCs w:val="28"/>
          <w:lang w:val="sq-AL"/>
        </w:rPr>
      </w:pPr>
    </w:p>
    <w:p w14:paraId="71DF5DFE" w14:textId="77777777" w:rsidR="009053CD" w:rsidRPr="00FB61A5" w:rsidRDefault="009053CD" w:rsidP="00FB61A5">
      <w:pPr>
        <w:numPr>
          <w:ilvl w:val="0"/>
          <w:numId w:val="13"/>
        </w:numPr>
        <w:tabs>
          <w:tab w:val="left" w:pos="851"/>
        </w:tabs>
        <w:spacing w:line="276" w:lineRule="auto"/>
        <w:ind w:left="284" w:right="237" w:hanging="284"/>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Skenari bazë, përcaktohet si skenari me probabilitetin më të lartë të ndodhisë (skenari më shumë i pritshëm) për secilën nga strategjitë dhe përdoret për të përcaktuar kostot (borxhi/PBB, interesa/PBB, etj.).</w:t>
      </w:r>
    </w:p>
    <w:p w14:paraId="71DF5DFF" w14:textId="77777777" w:rsidR="009053CD" w:rsidRPr="00FB61A5" w:rsidRDefault="009053CD" w:rsidP="00FB61A5">
      <w:pPr>
        <w:numPr>
          <w:ilvl w:val="0"/>
          <w:numId w:val="13"/>
        </w:numPr>
        <w:tabs>
          <w:tab w:val="left" w:pos="2730"/>
        </w:tabs>
        <w:spacing w:line="276" w:lineRule="auto"/>
        <w:ind w:left="284" w:right="237" w:hanging="284"/>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Skenarët e stresit, përcaktohen si skenarë alternativë dhe krijohen nga goditjet që aplikohen mbi treguesit e tregut (normat e interesit dhe kursin e këmbimit).</w:t>
      </w:r>
    </w:p>
    <w:p w14:paraId="71DF5E00" w14:textId="77777777" w:rsidR="009053CD" w:rsidRPr="00FB61A5" w:rsidRDefault="009053CD" w:rsidP="009053CD">
      <w:pPr>
        <w:tabs>
          <w:tab w:val="left" w:pos="2730"/>
        </w:tabs>
        <w:spacing w:line="276" w:lineRule="auto"/>
        <w:ind w:left="851" w:right="237"/>
        <w:contextualSpacing/>
        <w:jc w:val="both"/>
        <w:rPr>
          <w:rFonts w:ascii="Times New Roman" w:eastAsia="Times New Roman" w:hAnsi="Times New Roman" w:cs="Times New Roman"/>
          <w:bCs/>
          <w:noProof/>
          <w:sz w:val="16"/>
          <w:szCs w:val="28"/>
          <w:lang w:val="sq-AL"/>
        </w:rPr>
      </w:pPr>
      <w:r w:rsidRPr="00FB61A5">
        <w:rPr>
          <w:rFonts w:ascii="Times New Roman" w:eastAsia="Times New Roman" w:hAnsi="Times New Roman" w:cs="Times New Roman"/>
          <w:bCs/>
          <w:noProof/>
          <w:sz w:val="24"/>
          <w:szCs w:val="28"/>
          <w:lang w:val="sq-AL"/>
        </w:rPr>
        <w:t xml:space="preserve"> </w:t>
      </w:r>
    </w:p>
    <w:p w14:paraId="71DF5E01" w14:textId="77777777" w:rsidR="009053CD" w:rsidRPr="00FB61A5" w:rsidRDefault="009053CD" w:rsidP="00FB61A5">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Devijimi i kostove në skenarët e stresit nga kostot e skenarit bazë të secilës strategji përcakton nivelin e riskut.</w:t>
      </w:r>
    </w:p>
    <w:p w14:paraId="71DF5E02" w14:textId="77777777" w:rsidR="009053CD" w:rsidRPr="00FB61A5" w:rsidRDefault="009053CD" w:rsidP="00FB61A5">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 xml:space="preserve">Teorikisht mund të aplikohet një pafundësi skenarësh stresi, ndërkohë që në rastin konkret janë aplikuar dy skenarë stresi për normat e interesit, dy skenarë stresi për kursin e këmbimit dhe një skenar stresi </w:t>
      </w:r>
      <w:r w:rsidR="00AB2982" w:rsidRPr="00FB61A5">
        <w:rPr>
          <w:rFonts w:ascii="Times New Roman" w:eastAsia="Times New Roman" w:hAnsi="Times New Roman" w:cs="Times New Roman"/>
          <w:bCs/>
          <w:noProof/>
          <w:sz w:val="24"/>
          <w:szCs w:val="28"/>
          <w:lang w:val="sq-AL"/>
        </w:rPr>
        <w:t>p</w:t>
      </w:r>
      <w:r w:rsidR="00134053" w:rsidRPr="00FB61A5">
        <w:rPr>
          <w:rFonts w:ascii="Times New Roman" w:eastAsia="Times New Roman" w:hAnsi="Times New Roman" w:cs="Times New Roman"/>
          <w:bCs/>
          <w:noProof/>
          <w:sz w:val="24"/>
          <w:szCs w:val="28"/>
          <w:lang w:val="sq-AL"/>
        </w:rPr>
        <w:t>ë</w:t>
      </w:r>
      <w:r w:rsidR="00AB2982" w:rsidRPr="00FB61A5">
        <w:rPr>
          <w:rFonts w:ascii="Times New Roman" w:eastAsia="Times New Roman" w:hAnsi="Times New Roman" w:cs="Times New Roman"/>
          <w:bCs/>
          <w:noProof/>
          <w:sz w:val="24"/>
          <w:szCs w:val="28"/>
          <w:lang w:val="sq-AL"/>
        </w:rPr>
        <w:t>r</w:t>
      </w:r>
      <w:r w:rsidRPr="00FB61A5">
        <w:rPr>
          <w:rFonts w:ascii="Times New Roman" w:eastAsia="Times New Roman" w:hAnsi="Times New Roman" w:cs="Times New Roman"/>
          <w:bCs/>
          <w:noProof/>
          <w:sz w:val="24"/>
          <w:szCs w:val="28"/>
          <w:lang w:val="sq-AL"/>
        </w:rPr>
        <w:t xml:space="preserve"> norma</w:t>
      </w:r>
      <w:r w:rsidR="00AB2982" w:rsidRPr="00FB61A5">
        <w:rPr>
          <w:rFonts w:ascii="Times New Roman" w:eastAsia="Times New Roman" w:hAnsi="Times New Roman" w:cs="Times New Roman"/>
          <w:bCs/>
          <w:noProof/>
          <w:sz w:val="24"/>
          <w:szCs w:val="28"/>
          <w:lang w:val="sq-AL"/>
        </w:rPr>
        <w:t>t</w:t>
      </w:r>
      <w:r w:rsidRPr="00FB61A5">
        <w:rPr>
          <w:rFonts w:ascii="Times New Roman" w:eastAsia="Times New Roman" w:hAnsi="Times New Roman" w:cs="Times New Roman"/>
          <w:bCs/>
          <w:noProof/>
          <w:sz w:val="24"/>
          <w:szCs w:val="28"/>
          <w:lang w:val="sq-AL"/>
        </w:rPr>
        <w:t xml:space="preserve"> </w:t>
      </w:r>
      <w:r w:rsidR="00AB2982" w:rsidRPr="00FB61A5">
        <w:rPr>
          <w:rFonts w:ascii="Times New Roman" w:eastAsia="Times New Roman" w:hAnsi="Times New Roman" w:cs="Times New Roman"/>
          <w:bCs/>
          <w:noProof/>
          <w:sz w:val="24"/>
          <w:szCs w:val="28"/>
          <w:lang w:val="sq-AL"/>
        </w:rPr>
        <w:t>e</w:t>
      </w:r>
      <w:r w:rsidRPr="00FB61A5">
        <w:rPr>
          <w:rFonts w:ascii="Times New Roman" w:eastAsia="Times New Roman" w:hAnsi="Times New Roman" w:cs="Times New Roman"/>
          <w:bCs/>
          <w:noProof/>
          <w:sz w:val="24"/>
          <w:szCs w:val="28"/>
          <w:lang w:val="sq-AL"/>
        </w:rPr>
        <w:t xml:space="preserve"> interesit dhe kursi</w:t>
      </w:r>
      <w:r w:rsidR="00AB2982" w:rsidRPr="00FB61A5">
        <w:rPr>
          <w:rFonts w:ascii="Times New Roman" w:eastAsia="Times New Roman" w:hAnsi="Times New Roman" w:cs="Times New Roman"/>
          <w:bCs/>
          <w:noProof/>
          <w:sz w:val="24"/>
          <w:szCs w:val="28"/>
          <w:lang w:val="sq-AL"/>
        </w:rPr>
        <w:t>n</w:t>
      </w:r>
      <w:r w:rsidRPr="00FB61A5">
        <w:rPr>
          <w:rFonts w:ascii="Times New Roman" w:eastAsia="Times New Roman" w:hAnsi="Times New Roman" w:cs="Times New Roman"/>
          <w:bCs/>
          <w:noProof/>
          <w:sz w:val="24"/>
          <w:szCs w:val="28"/>
          <w:lang w:val="sq-AL"/>
        </w:rPr>
        <w:t xml:space="preserve"> </w:t>
      </w:r>
      <w:r w:rsidR="00AB2982" w:rsidRPr="00FB61A5">
        <w:rPr>
          <w:rFonts w:ascii="Times New Roman" w:eastAsia="Times New Roman" w:hAnsi="Times New Roman" w:cs="Times New Roman"/>
          <w:bCs/>
          <w:noProof/>
          <w:sz w:val="24"/>
          <w:szCs w:val="28"/>
          <w:lang w:val="sq-AL"/>
        </w:rPr>
        <w:t>e</w:t>
      </w:r>
      <w:r w:rsidRPr="00FB61A5">
        <w:rPr>
          <w:rFonts w:ascii="Times New Roman" w:eastAsia="Times New Roman" w:hAnsi="Times New Roman" w:cs="Times New Roman"/>
          <w:bCs/>
          <w:noProof/>
          <w:sz w:val="24"/>
          <w:szCs w:val="28"/>
          <w:lang w:val="sq-AL"/>
        </w:rPr>
        <w:t xml:space="preserve"> këmbimit njëkohësisht. Për skenarët e stresit të normave të interesit janë aplikuar: a) goditje uniforme për të gjitha instrumentet financiare (zhvendosje paralele e kurbës së yield-it); dhe b) goditje e diversifikuar (zhvendosje dhe rritje e pjerrësisë së kurbës së yield-it).</w:t>
      </w:r>
    </w:p>
    <w:p w14:paraId="71DF5E03"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Cs/>
          <w:noProof/>
          <w:sz w:val="16"/>
          <w:szCs w:val="28"/>
          <w:lang w:val="sq-AL"/>
        </w:rPr>
      </w:pPr>
    </w:p>
    <w:p w14:paraId="71DF5E04" w14:textId="77777777" w:rsidR="009053CD" w:rsidRPr="00FB61A5" w:rsidRDefault="009053CD" w:rsidP="00FB61A5">
      <w:pPr>
        <w:numPr>
          <w:ilvl w:val="2"/>
          <w:numId w:val="9"/>
        </w:numPr>
        <w:tabs>
          <w:tab w:val="left" w:pos="2730"/>
        </w:tabs>
        <w:spacing w:line="276" w:lineRule="auto"/>
        <w:ind w:left="851" w:right="237" w:hanging="851"/>
        <w:contextualSpacing/>
        <w:rPr>
          <w:rFonts w:ascii="Cambria" w:eastAsia="Times New Roman" w:hAnsi="Cambria" w:cs="Times New Roman"/>
          <w:bCs/>
          <w:noProof/>
          <w:sz w:val="24"/>
          <w:szCs w:val="28"/>
          <w:lang w:val="sq-AL"/>
        </w:rPr>
      </w:pPr>
      <w:r w:rsidRPr="00FB61A5">
        <w:rPr>
          <w:rFonts w:ascii="Cambria" w:eastAsia="Times New Roman" w:hAnsi="Cambria" w:cs="Times New Roman"/>
          <w:bCs/>
          <w:noProof/>
          <w:sz w:val="24"/>
          <w:szCs w:val="28"/>
          <w:lang w:val="sq-AL"/>
        </w:rPr>
        <w:t>Kohështrirja</w:t>
      </w:r>
    </w:p>
    <w:p w14:paraId="71DF5E05" w14:textId="77777777" w:rsidR="009053CD" w:rsidRPr="00FB61A5" w:rsidRDefault="009053CD" w:rsidP="009053CD">
      <w:pPr>
        <w:tabs>
          <w:tab w:val="left" w:pos="2730"/>
        </w:tabs>
        <w:spacing w:line="276" w:lineRule="auto"/>
        <w:ind w:left="284" w:right="237"/>
        <w:contextualSpacing/>
        <w:rPr>
          <w:rFonts w:ascii="Times New Roman" w:eastAsia="Times New Roman" w:hAnsi="Times New Roman" w:cs="Times New Roman"/>
          <w:b/>
          <w:bCs/>
          <w:noProof/>
          <w:sz w:val="16"/>
          <w:szCs w:val="28"/>
          <w:u w:val="single"/>
          <w:lang w:val="sq-AL"/>
        </w:rPr>
      </w:pPr>
    </w:p>
    <w:p w14:paraId="71DF5E06" w14:textId="77777777" w:rsidR="009053CD" w:rsidRPr="00FB61A5" w:rsidRDefault="009053CD" w:rsidP="00FB61A5">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Kohështrirja e analizës është marrë 5 vite me qëllim që secila nga strategjit</w:t>
      </w:r>
      <w:r w:rsidR="00AB2982" w:rsidRPr="00FB61A5">
        <w:rPr>
          <w:rFonts w:ascii="Times New Roman" w:eastAsia="Times New Roman" w:hAnsi="Times New Roman" w:cs="Times New Roman"/>
          <w:bCs/>
          <w:noProof/>
          <w:sz w:val="24"/>
          <w:szCs w:val="28"/>
          <w:lang w:val="sq-AL"/>
        </w:rPr>
        <w:t>ë e konsideruara të japë efekte</w:t>
      </w:r>
      <w:r w:rsidRPr="00FB61A5">
        <w:rPr>
          <w:rFonts w:ascii="Times New Roman" w:eastAsia="Times New Roman" w:hAnsi="Times New Roman" w:cs="Times New Roman"/>
          <w:bCs/>
          <w:noProof/>
          <w:sz w:val="24"/>
          <w:szCs w:val="28"/>
          <w:lang w:val="sq-AL"/>
        </w:rPr>
        <w:t xml:space="preserve"> të dukshme mbi </w:t>
      </w:r>
      <w:r w:rsidR="00AB2982" w:rsidRPr="00FB61A5">
        <w:rPr>
          <w:rFonts w:ascii="Times New Roman" w:eastAsia="Times New Roman" w:hAnsi="Times New Roman" w:cs="Times New Roman"/>
          <w:bCs/>
          <w:noProof/>
          <w:sz w:val="24"/>
          <w:szCs w:val="28"/>
          <w:lang w:val="sq-AL"/>
        </w:rPr>
        <w:t xml:space="preserve">risqet e </w:t>
      </w:r>
      <w:r w:rsidRPr="00FB61A5">
        <w:rPr>
          <w:rFonts w:ascii="Times New Roman" w:eastAsia="Times New Roman" w:hAnsi="Times New Roman" w:cs="Times New Roman"/>
          <w:bCs/>
          <w:noProof/>
          <w:sz w:val="24"/>
          <w:szCs w:val="28"/>
          <w:lang w:val="sq-AL"/>
        </w:rPr>
        <w:t>strukturë</w:t>
      </w:r>
      <w:r w:rsidR="00AB2982" w:rsidRPr="00FB61A5">
        <w:rPr>
          <w:rFonts w:ascii="Times New Roman" w:eastAsia="Times New Roman" w:hAnsi="Times New Roman" w:cs="Times New Roman"/>
          <w:bCs/>
          <w:noProof/>
          <w:sz w:val="24"/>
          <w:szCs w:val="28"/>
          <w:lang w:val="sq-AL"/>
        </w:rPr>
        <w:t>s</w:t>
      </w:r>
      <w:r w:rsidRPr="00FB61A5">
        <w:rPr>
          <w:rFonts w:ascii="Times New Roman" w:eastAsia="Times New Roman" w:hAnsi="Times New Roman" w:cs="Times New Roman"/>
          <w:bCs/>
          <w:noProof/>
          <w:sz w:val="24"/>
          <w:szCs w:val="28"/>
          <w:lang w:val="sq-AL"/>
        </w:rPr>
        <w:t xml:space="preserve"> dhe </w:t>
      </w:r>
      <w:r w:rsidR="00AB2982" w:rsidRPr="00FB61A5">
        <w:rPr>
          <w:rFonts w:ascii="Times New Roman" w:eastAsia="Times New Roman" w:hAnsi="Times New Roman" w:cs="Times New Roman"/>
          <w:bCs/>
          <w:noProof/>
          <w:sz w:val="24"/>
          <w:szCs w:val="28"/>
          <w:lang w:val="sq-AL"/>
        </w:rPr>
        <w:t>kostot</w:t>
      </w:r>
      <w:r w:rsidRPr="00FB61A5">
        <w:rPr>
          <w:rFonts w:ascii="Times New Roman" w:eastAsia="Times New Roman" w:hAnsi="Times New Roman" w:cs="Times New Roman"/>
          <w:bCs/>
          <w:noProof/>
          <w:sz w:val="24"/>
          <w:szCs w:val="28"/>
          <w:lang w:val="sq-AL"/>
        </w:rPr>
        <w:t xml:space="preserve"> </w:t>
      </w:r>
      <w:r w:rsidR="00AB2982" w:rsidRPr="00FB61A5">
        <w:rPr>
          <w:rFonts w:ascii="Times New Roman" w:eastAsia="Times New Roman" w:hAnsi="Times New Roman" w:cs="Times New Roman"/>
          <w:bCs/>
          <w:noProof/>
          <w:sz w:val="24"/>
          <w:szCs w:val="28"/>
          <w:lang w:val="sq-AL"/>
        </w:rPr>
        <w:t>e</w:t>
      </w:r>
      <w:r w:rsidRPr="00FB61A5">
        <w:rPr>
          <w:rFonts w:ascii="Times New Roman" w:eastAsia="Times New Roman" w:hAnsi="Times New Roman" w:cs="Times New Roman"/>
          <w:bCs/>
          <w:noProof/>
          <w:sz w:val="24"/>
          <w:szCs w:val="28"/>
          <w:lang w:val="sq-AL"/>
        </w:rPr>
        <w:t xml:space="preserve"> borxhi</w:t>
      </w:r>
      <w:r w:rsidR="00AB2982" w:rsidRPr="00FB61A5">
        <w:rPr>
          <w:rFonts w:ascii="Times New Roman" w:eastAsia="Times New Roman" w:hAnsi="Times New Roman" w:cs="Times New Roman"/>
          <w:bCs/>
          <w:noProof/>
          <w:sz w:val="24"/>
          <w:szCs w:val="28"/>
          <w:lang w:val="sq-AL"/>
        </w:rPr>
        <w:t>t</w:t>
      </w:r>
      <w:r w:rsidRPr="00FB61A5">
        <w:rPr>
          <w:rFonts w:ascii="Times New Roman" w:eastAsia="Times New Roman" w:hAnsi="Times New Roman" w:cs="Times New Roman"/>
          <w:bCs/>
          <w:noProof/>
          <w:sz w:val="24"/>
          <w:szCs w:val="28"/>
          <w:lang w:val="sq-AL"/>
        </w:rPr>
        <w:t xml:space="preserve">. Në periudha më të shkurtra kohore diferencimi i </w:t>
      </w:r>
      <w:r w:rsidR="00AB2982" w:rsidRPr="00FB61A5">
        <w:rPr>
          <w:rFonts w:ascii="Times New Roman" w:eastAsia="Times New Roman" w:hAnsi="Times New Roman" w:cs="Times New Roman"/>
          <w:bCs/>
          <w:noProof/>
          <w:sz w:val="24"/>
          <w:szCs w:val="28"/>
          <w:lang w:val="sq-AL"/>
        </w:rPr>
        <w:t>output-ve</w:t>
      </w:r>
      <w:r w:rsidRPr="00FB61A5">
        <w:rPr>
          <w:rFonts w:ascii="Times New Roman" w:eastAsia="Times New Roman" w:hAnsi="Times New Roman" w:cs="Times New Roman"/>
          <w:bCs/>
          <w:noProof/>
          <w:sz w:val="24"/>
          <w:szCs w:val="28"/>
          <w:lang w:val="sq-AL"/>
        </w:rPr>
        <w:t xml:space="preserve"> </w:t>
      </w:r>
      <w:r w:rsidR="00AB2982" w:rsidRPr="00FB61A5">
        <w:rPr>
          <w:rFonts w:ascii="Times New Roman" w:eastAsia="Times New Roman" w:hAnsi="Times New Roman" w:cs="Times New Roman"/>
          <w:bCs/>
          <w:noProof/>
          <w:sz w:val="24"/>
          <w:szCs w:val="28"/>
          <w:lang w:val="sq-AL"/>
        </w:rPr>
        <w:t>p</w:t>
      </w:r>
      <w:r w:rsidR="00134053" w:rsidRPr="00FB61A5">
        <w:rPr>
          <w:rFonts w:ascii="Times New Roman" w:eastAsia="Times New Roman" w:hAnsi="Times New Roman" w:cs="Times New Roman"/>
          <w:bCs/>
          <w:noProof/>
          <w:sz w:val="24"/>
          <w:szCs w:val="28"/>
          <w:lang w:val="sq-AL"/>
        </w:rPr>
        <w:t>ë</w:t>
      </w:r>
      <w:r w:rsidR="00AB2982" w:rsidRPr="00FB61A5">
        <w:rPr>
          <w:rFonts w:ascii="Times New Roman" w:eastAsia="Times New Roman" w:hAnsi="Times New Roman" w:cs="Times New Roman"/>
          <w:bCs/>
          <w:noProof/>
          <w:sz w:val="24"/>
          <w:szCs w:val="28"/>
          <w:lang w:val="sq-AL"/>
        </w:rPr>
        <w:t>r</w:t>
      </w:r>
      <w:r w:rsidRPr="00FB61A5">
        <w:rPr>
          <w:rFonts w:ascii="Times New Roman" w:eastAsia="Times New Roman" w:hAnsi="Times New Roman" w:cs="Times New Roman"/>
          <w:bCs/>
          <w:noProof/>
          <w:sz w:val="24"/>
          <w:szCs w:val="28"/>
          <w:lang w:val="sq-AL"/>
        </w:rPr>
        <w:t xml:space="preserve"> secilë</w:t>
      </w:r>
      <w:r w:rsidR="00AB2982" w:rsidRPr="00FB61A5">
        <w:rPr>
          <w:rFonts w:ascii="Times New Roman" w:eastAsia="Times New Roman" w:hAnsi="Times New Roman" w:cs="Times New Roman"/>
          <w:bCs/>
          <w:noProof/>
          <w:sz w:val="24"/>
          <w:szCs w:val="28"/>
          <w:lang w:val="sq-AL"/>
        </w:rPr>
        <w:t>n</w:t>
      </w:r>
      <w:r w:rsidRPr="00FB61A5">
        <w:rPr>
          <w:rFonts w:ascii="Times New Roman" w:eastAsia="Times New Roman" w:hAnsi="Times New Roman" w:cs="Times New Roman"/>
          <w:bCs/>
          <w:noProof/>
          <w:sz w:val="24"/>
          <w:szCs w:val="28"/>
          <w:lang w:val="sq-AL"/>
        </w:rPr>
        <w:t xml:space="preserve"> prej strategjive të </w:t>
      </w:r>
      <w:r w:rsidR="00AB2982" w:rsidRPr="00FB61A5">
        <w:rPr>
          <w:rFonts w:ascii="Times New Roman" w:eastAsia="Times New Roman" w:hAnsi="Times New Roman" w:cs="Times New Roman"/>
          <w:bCs/>
          <w:noProof/>
          <w:sz w:val="24"/>
          <w:szCs w:val="28"/>
          <w:lang w:val="sq-AL"/>
        </w:rPr>
        <w:t>analizuara</w:t>
      </w:r>
      <w:r w:rsidRPr="00FB61A5">
        <w:rPr>
          <w:rFonts w:ascii="Times New Roman" w:eastAsia="Times New Roman" w:hAnsi="Times New Roman" w:cs="Times New Roman"/>
          <w:bCs/>
          <w:noProof/>
          <w:sz w:val="24"/>
          <w:szCs w:val="28"/>
          <w:lang w:val="sq-AL"/>
        </w:rPr>
        <w:t xml:space="preserve"> është relativisht i ulët, duke kufizuar identifikimin e ndryshimeve ndërmjet kostove dhe risqeve </w:t>
      </w:r>
      <w:r w:rsidR="00AB2982" w:rsidRPr="00FB61A5">
        <w:rPr>
          <w:rFonts w:ascii="Times New Roman" w:eastAsia="Times New Roman" w:hAnsi="Times New Roman" w:cs="Times New Roman"/>
          <w:bCs/>
          <w:noProof/>
          <w:sz w:val="24"/>
          <w:szCs w:val="28"/>
          <w:lang w:val="sq-AL"/>
        </w:rPr>
        <w:t>p</w:t>
      </w:r>
      <w:r w:rsidR="00134053" w:rsidRPr="00FB61A5">
        <w:rPr>
          <w:rFonts w:ascii="Times New Roman" w:eastAsia="Times New Roman" w:hAnsi="Times New Roman" w:cs="Times New Roman"/>
          <w:bCs/>
          <w:noProof/>
          <w:sz w:val="24"/>
          <w:szCs w:val="28"/>
          <w:lang w:val="sq-AL"/>
        </w:rPr>
        <w:t>ë</w:t>
      </w:r>
      <w:r w:rsidR="00AB2982" w:rsidRPr="00FB61A5">
        <w:rPr>
          <w:rFonts w:ascii="Times New Roman" w:eastAsia="Times New Roman" w:hAnsi="Times New Roman" w:cs="Times New Roman"/>
          <w:bCs/>
          <w:noProof/>
          <w:sz w:val="24"/>
          <w:szCs w:val="28"/>
          <w:lang w:val="sq-AL"/>
        </w:rPr>
        <w:t>r secil</w:t>
      </w:r>
      <w:r w:rsidR="00134053" w:rsidRPr="00FB61A5">
        <w:rPr>
          <w:rFonts w:ascii="Times New Roman" w:eastAsia="Times New Roman" w:hAnsi="Times New Roman" w:cs="Times New Roman"/>
          <w:bCs/>
          <w:noProof/>
          <w:sz w:val="24"/>
          <w:szCs w:val="28"/>
          <w:lang w:val="sq-AL"/>
        </w:rPr>
        <w:t>ë</w:t>
      </w:r>
      <w:r w:rsidR="00AB2982" w:rsidRPr="00FB61A5">
        <w:rPr>
          <w:rFonts w:ascii="Times New Roman" w:eastAsia="Times New Roman" w:hAnsi="Times New Roman" w:cs="Times New Roman"/>
          <w:bCs/>
          <w:noProof/>
          <w:sz w:val="24"/>
          <w:szCs w:val="28"/>
          <w:lang w:val="sq-AL"/>
        </w:rPr>
        <w:t>n nga</w:t>
      </w:r>
      <w:r w:rsidRPr="00FB61A5">
        <w:rPr>
          <w:rFonts w:ascii="Times New Roman" w:eastAsia="Times New Roman" w:hAnsi="Times New Roman" w:cs="Times New Roman"/>
          <w:bCs/>
          <w:noProof/>
          <w:sz w:val="24"/>
          <w:szCs w:val="28"/>
          <w:lang w:val="sq-AL"/>
        </w:rPr>
        <w:t xml:space="preserve"> strategjitë respektive.   </w:t>
      </w:r>
    </w:p>
    <w:p w14:paraId="71DF5E07" w14:textId="77777777" w:rsidR="009053CD" w:rsidRPr="00FB61A5" w:rsidRDefault="009053CD" w:rsidP="009053CD">
      <w:pPr>
        <w:tabs>
          <w:tab w:val="left" w:pos="2730"/>
        </w:tabs>
        <w:spacing w:line="276" w:lineRule="auto"/>
        <w:ind w:left="284" w:right="237"/>
        <w:contextualSpacing/>
        <w:jc w:val="both"/>
        <w:rPr>
          <w:rFonts w:ascii="Times New Roman" w:eastAsia="Times New Roman" w:hAnsi="Times New Roman" w:cs="Times New Roman"/>
          <w:bCs/>
          <w:noProof/>
          <w:sz w:val="20"/>
          <w:szCs w:val="28"/>
          <w:lang w:val="sq-AL"/>
        </w:rPr>
      </w:pPr>
    </w:p>
    <w:p w14:paraId="71DF5E08" w14:textId="77777777" w:rsidR="009053CD" w:rsidRPr="00FB61A5" w:rsidRDefault="009053CD" w:rsidP="00FB61A5">
      <w:pPr>
        <w:numPr>
          <w:ilvl w:val="0"/>
          <w:numId w:val="12"/>
        </w:numPr>
        <w:tabs>
          <w:tab w:val="left" w:pos="709"/>
          <w:tab w:val="left" w:pos="8789"/>
        </w:tabs>
        <w:spacing w:line="276" w:lineRule="auto"/>
        <w:ind w:left="567" w:right="237" w:hanging="567"/>
        <w:contextualSpacing/>
        <w:jc w:val="both"/>
        <w:rPr>
          <w:rFonts w:ascii="Cambria" w:eastAsia="Times New Roman" w:hAnsi="Cambria" w:cs="Times New Roman"/>
          <w:b/>
          <w:bCs/>
          <w:noProof/>
          <w:sz w:val="24"/>
          <w:szCs w:val="28"/>
          <w:lang w:val="sq-AL"/>
        </w:rPr>
      </w:pPr>
      <w:bookmarkStart w:id="159" w:name="_Toc448146928"/>
      <w:bookmarkStart w:id="160" w:name="_Toc448399361"/>
      <w:bookmarkStart w:id="161" w:name="_Toc448931060"/>
      <w:bookmarkStart w:id="162" w:name="_Toc449351175"/>
      <w:r w:rsidRPr="00FB61A5">
        <w:rPr>
          <w:rFonts w:ascii="Cambria" w:eastAsia="Times New Roman" w:hAnsi="Cambria" w:cs="Times New Roman"/>
          <w:b/>
          <w:bCs/>
          <w:noProof/>
          <w:sz w:val="24"/>
          <w:szCs w:val="28"/>
          <w:lang w:val="sq-AL"/>
        </w:rPr>
        <w:t xml:space="preserve">Strategjitë Alternative </w:t>
      </w:r>
      <w:bookmarkEnd w:id="159"/>
      <w:bookmarkEnd w:id="160"/>
      <w:bookmarkEnd w:id="161"/>
      <w:bookmarkEnd w:id="162"/>
    </w:p>
    <w:p w14:paraId="71DF5E09" w14:textId="77777777" w:rsidR="009053CD" w:rsidRPr="00FB61A5" w:rsidRDefault="009053CD" w:rsidP="009053CD">
      <w:pPr>
        <w:tabs>
          <w:tab w:val="left" w:pos="2730"/>
        </w:tabs>
        <w:spacing w:after="0" w:line="276" w:lineRule="auto"/>
        <w:ind w:left="284" w:right="237"/>
        <w:contextualSpacing/>
        <w:rPr>
          <w:rFonts w:ascii="Times New Roman" w:eastAsia="Times New Roman" w:hAnsi="Times New Roman" w:cs="Times New Roman"/>
          <w:bCs/>
          <w:noProof/>
          <w:sz w:val="20"/>
          <w:szCs w:val="28"/>
          <w:lang w:val="sq-AL"/>
        </w:rPr>
      </w:pPr>
    </w:p>
    <w:p w14:paraId="71DF5E0A" w14:textId="77777777" w:rsidR="009053CD" w:rsidRPr="00FB61A5" w:rsidRDefault="009053CD" w:rsidP="00FB61A5">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Në procesin e hartimit të strategjive alternative të financimit, përveç kufizimeve dhe  supozimeve të sipërcituara (Kreu I, Kapitulli 1) është konsideruar edhe materializimi i risqeve sistemike në tregun e brendshëm dhe tregjet ndërkombëtare.</w:t>
      </w:r>
    </w:p>
    <w:p w14:paraId="71DF5E0B" w14:textId="77777777" w:rsidR="009053CD" w:rsidRPr="00FB61A5" w:rsidRDefault="009053CD" w:rsidP="00FB61A5">
      <w:pPr>
        <w:tabs>
          <w:tab w:val="left" w:pos="2730"/>
        </w:tabs>
        <w:spacing w:line="276" w:lineRule="auto"/>
        <w:ind w:right="237"/>
        <w:contextualSpacing/>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Në këto kushte, janë vlerësuar tre strategji të mundshme financimi, të cilat praktikisht janë të ngjashme në periudhën afatshkurtër, ndërkohë që diferencohen në periudhën afatmesme. Më konkretisht, strategjitë paraqiten si më poshtë:</w:t>
      </w:r>
    </w:p>
    <w:p w14:paraId="71DF5E0C" w14:textId="77777777" w:rsidR="009053CD" w:rsidRPr="00FB61A5" w:rsidRDefault="009053CD" w:rsidP="00FB61A5">
      <w:pPr>
        <w:tabs>
          <w:tab w:val="left" w:pos="2730"/>
        </w:tabs>
        <w:spacing w:after="0" w:line="276" w:lineRule="auto"/>
        <w:ind w:left="709" w:right="238" w:hanging="709"/>
        <w:contextualSpacing/>
        <w:jc w:val="both"/>
        <w:rPr>
          <w:rFonts w:ascii="Times New Roman" w:eastAsia="Times New Roman" w:hAnsi="Times New Roman" w:cs="Times New Roman"/>
          <w:bCs/>
          <w:noProof/>
          <w:sz w:val="16"/>
          <w:szCs w:val="28"/>
          <w:lang w:val="sq-AL"/>
        </w:rPr>
      </w:pPr>
    </w:p>
    <w:p w14:paraId="71DF5E0D" w14:textId="77777777" w:rsidR="009053CD" w:rsidRPr="00320945" w:rsidRDefault="009053CD" w:rsidP="00FB61A5">
      <w:pPr>
        <w:pStyle w:val="ListParagraph"/>
        <w:numPr>
          <w:ilvl w:val="1"/>
          <w:numId w:val="22"/>
        </w:numPr>
        <w:tabs>
          <w:tab w:val="left" w:pos="2730"/>
        </w:tabs>
        <w:spacing w:after="0" w:line="276" w:lineRule="auto"/>
        <w:ind w:left="709" w:right="238" w:hanging="709"/>
        <w:jc w:val="both"/>
        <w:rPr>
          <w:rFonts w:ascii="Cambria" w:eastAsia="Times New Roman" w:hAnsi="Cambria" w:cs="Times New Roman"/>
          <w:b/>
          <w:bCs/>
          <w:noProof/>
          <w:sz w:val="24"/>
          <w:szCs w:val="28"/>
          <w:lang w:val="sq-AL"/>
        </w:rPr>
      </w:pPr>
      <w:r w:rsidRPr="00FB61A5">
        <w:rPr>
          <w:rFonts w:ascii="Cambria" w:eastAsia="Times New Roman" w:hAnsi="Cambria" w:cs="Times New Roman"/>
          <w:b/>
          <w:bCs/>
          <w:noProof/>
          <w:sz w:val="24"/>
          <w:szCs w:val="28"/>
          <w:lang w:val="sq-AL"/>
        </w:rPr>
        <w:t xml:space="preserve">Strategjia 1 </w:t>
      </w:r>
      <w:r w:rsidRPr="00320945">
        <w:rPr>
          <w:rFonts w:ascii="Cambria" w:eastAsia="Times New Roman" w:hAnsi="Cambria" w:cs="Times New Roman"/>
          <w:b/>
          <w:bCs/>
          <w:noProof/>
          <w:sz w:val="24"/>
          <w:szCs w:val="28"/>
          <w:lang w:val="sq-AL"/>
        </w:rPr>
        <w:t>(Bazë)</w:t>
      </w:r>
    </w:p>
    <w:p w14:paraId="71DF5E0E" w14:textId="77777777" w:rsidR="009053CD" w:rsidRPr="00FB61A5" w:rsidRDefault="009053CD" w:rsidP="009053CD">
      <w:pPr>
        <w:pStyle w:val="ListParagraph"/>
        <w:tabs>
          <w:tab w:val="left" w:pos="2730"/>
        </w:tabs>
        <w:spacing w:after="0" w:line="276" w:lineRule="auto"/>
        <w:ind w:left="851" w:right="238"/>
        <w:jc w:val="both"/>
        <w:rPr>
          <w:rFonts w:ascii="Cambria" w:eastAsia="Times New Roman" w:hAnsi="Cambria" w:cs="Times New Roman"/>
          <w:b/>
          <w:bCs/>
          <w:noProof/>
          <w:sz w:val="16"/>
          <w:szCs w:val="28"/>
          <w:lang w:val="sq-AL"/>
        </w:rPr>
      </w:pPr>
    </w:p>
    <w:p w14:paraId="71DF5E0F" w14:textId="77777777" w:rsidR="009053CD" w:rsidRPr="00FB61A5" w:rsidRDefault="009053CD" w:rsidP="00FB61A5">
      <w:pPr>
        <w:tabs>
          <w:tab w:val="left" w:pos="2730"/>
        </w:tabs>
        <w:spacing w:after="0" w:line="276" w:lineRule="auto"/>
        <w:ind w:right="238"/>
        <w:rPr>
          <w:rFonts w:ascii="Times New Roman" w:eastAsia="Times New Roman" w:hAnsi="Times New Roman" w:cs="Times New Roman"/>
          <w:bCs/>
          <w:noProof/>
          <w:sz w:val="24"/>
          <w:szCs w:val="28"/>
          <w:u w:val="single"/>
          <w:lang w:val="sq-AL"/>
        </w:rPr>
      </w:pPr>
      <w:r w:rsidRPr="00FB61A5">
        <w:rPr>
          <w:rFonts w:ascii="Times New Roman" w:eastAsia="Times New Roman" w:hAnsi="Times New Roman" w:cs="Times New Roman"/>
          <w:bCs/>
          <w:noProof/>
          <w:sz w:val="24"/>
          <w:szCs w:val="28"/>
          <w:u w:val="single"/>
          <w:lang w:val="sq-AL"/>
        </w:rPr>
        <w:t>Supozimet bazë</w:t>
      </w:r>
    </w:p>
    <w:p w14:paraId="71DF5E10" w14:textId="77777777" w:rsidR="009053CD" w:rsidRPr="00FB61A5" w:rsidRDefault="009053CD" w:rsidP="009053CD">
      <w:pPr>
        <w:tabs>
          <w:tab w:val="left" w:pos="2730"/>
        </w:tabs>
        <w:spacing w:after="0" w:line="276" w:lineRule="auto"/>
        <w:ind w:left="284" w:right="238"/>
        <w:rPr>
          <w:rFonts w:ascii="Times New Roman" w:eastAsia="Times New Roman" w:hAnsi="Times New Roman" w:cs="Times New Roman"/>
          <w:bCs/>
          <w:noProof/>
          <w:sz w:val="16"/>
          <w:szCs w:val="28"/>
          <w:u w:val="single"/>
          <w:lang w:val="sq-AL"/>
        </w:rPr>
      </w:pPr>
    </w:p>
    <w:p w14:paraId="71DF5E11" w14:textId="77777777" w:rsidR="000B2788" w:rsidRPr="00FB61A5" w:rsidRDefault="000B2788" w:rsidP="00FB61A5">
      <w:pPr>
        <w:pStyle w:val="ListParagraph"/>
        <w:numPr>
          <w:ilvl w:val="0"/>
          <w:numId w:val="13"/>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Nevojat p</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 financim 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periudh</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n afatmesme </w:t>
      </w:r>
      <w:r w:rsidR="00CC574B" w:rsidRPr="00FB61A5">
        <w:rPr>
          <w:rFonts w:ascii="Times New Roman" w:eastAsia="Times New Roman" w:hAnsi="Times New Roman" w:cs="Times New Roman"/>
          <w:bCs/>
          <w:noProof/>
          <w:sz w:val="24"/>
          <w:szCs w:val="28"/>
          <w:lang w:val="sq-AL"/>
        </w:rPr>
        <w:t>jan</w:t>
      </w:r>
      <w:r w:rsidR="00134053" w:rsidRPr="00FB61A5">
        <w:rPr>
          <w:rFonts w:ascii="Times New Roman" w:eastAsia="Times New Roman" w:hAnsi="Times New Roman" w:cs="Times New Roman"/>
          <w:bCs/>
          <w:noProof/>
          <w:sz w:val="24"/>
          <w:szCs w:val="28"/>
          <w:lang w:val="sq-AL"/>
        </w:rPr>
        <w:t>ë</w:t>
      </w:r>
      <w:r w:rsidR="00CC574B" w:rsidRPr="00FB61A5">
        <w:rPr>
          <w:rFonts w:ascii="Times New Roman" w:eastAsia="Times New Roman" w:hAnsi="Times New Roman" w:cs="Times New Roman"/>
          <w:bCs/>
          <w:noProof/>
          <w:sz w:val="24"/>
          <w:szCs w:val="28"/>
          <w:lang w:val="sq-AL"/>
        </w:rPr>
        <w:t xml:space="preserve"> </w:t>
      </w:r>
      <w:r w:rsidRPr="00FB61A5">
        <w:rPr>
          <w:rFonts w:ascii="Times New Roman" w:eastAsia="Times New Roman" w:hAnsi="Times New Roman" w:cs="Times New Roman"/>
          <w:bCs/>
          <w:noProof/>
          <w:sz w:val="24"/>
          <w:szCs w:val="28"/>
          <w:lang w:val="sq-AL"/>
        </w:rPr>
        <w:t>projekt</w:t>
      </w:r>
      <w:r w:rsidR="00CC574B" w:rsidRPr="00FB61A5">
        <w:rPr>
          <w:rFonts w:ascii="Times New Roman" w:eastAsia="Times New Roman" w:hAnsi="Times New Roman" w:cs="Times New Roman"/>
          <w:bCs/>
          <w:noProof/>
          <w:sz w:val="24"/>
          <w:szCs w:val="28"/>
          <w:lang w:val="sq-AL"/>
        </w:rPr>
        <w:t xml:space="preserve">uar </w:t>
      </w:r>
      <w:r w:rsidRPr="00FB61A5">
        <w:rPr>
          <w:rFonts w:ascii="Times New Roman" w:eastAsia="Times New Roman" w:hAnsi="Times New Roman" w:cs="Times New Roman"/>
          <w:bCs/>
          <w:noProof/>
          <w:sz w:val="24"/>
          <w:szCs w:val="28"/>
          <w:lang w:val="sq-AL"/>
        </w:rPr>
        <w:t>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rputhje me bilancin primar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rcaktuar 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w:t>
      </w:r>
      <w:r w:rsidR="000D7062" w:rsidRPr="00FB61A5">
        <w:rPr>
          <w:rFonts w:ascii="Times New Roman" w:eastAsia="Times New Roman" w:hAnsi="Times New Roman" w:cs="Times New Roman"/>
          <w:bCs/>
          <w:noProof/>
          <w:sz w:val="24"/>
          <w:szCs w:val="28"/>
          <w:lang w:val="sq-AL"/>
        </w:rPr>
        <w:t>draft-</w:t>
      </w:r>
      <w:r w:rsidRPr="00FB61A5">
        <w:rPr>
          <w:rFonts w:ascii="Times New Roman" w:eastAsia="Times New Roman" w:hAnsi="Times New Roman" w:cs="Times New Roman"/>
          <w:bCs/>
          <w:noProof/>
          <w:sz w:val="24"/>
          <w:szCs w:val="28"/>
          <w:lang w:val="sq-AL"/>
        </w:rPr>
        <w:t>Kuadrin Makroekonomik dhe Fiskal 202</w:t>
      </w:r>
      <w:r w:rsidR="000D7062" w:rsidRPr="00FB61A5">
        <w:rPr>
          <w:rFonts w:ascii="Times New Roman" w:eastAsia="Times New Roman" w:hAnsi="Times New Roman" w:cs="Times New Roman"/>
          <w:bCs/>
          <w:noProof/>
          <w:sz w:val="24"/>
          <w:szCs w:val="28"/>
          <w:lang w:val="sq-AL"/>
        </w:rPr>
        <w:t>1</w:t>
      </w:r>
      <w:r w:rsidRPr="00FB61A5">
        <w:rPr>
          <w:rFonts w:ascii="Times New Roman" w:eastAsia="Times New Roman" w:hAnsi="Times New Roman" w:cs="Times New Roman"/>
          <w:bCs/>
          <w:noProof/>
          <w:sz w:val="24"/>
          <w:szCs w:val="28"/>
          <w:lang w:val="sq-AL"/>
        </w:rPr>
        <w:t>-202</w:t>
      </w:r>
      <w:r w:rsidR="000D7062" w:rsidRPr="00FB61A5">
        <w:rPr>
          <w:rFonts w:ascii="Times New Roman" w:eastAsia="Times New Roman" w:hAnsi="Times New Roman" w:cs="Times New Roman"/>
          <w:bCs/>
          <w:noProof/>
          <w:sz w:val="24"/>
          <w:szCs w:val="28"/>
          <w:lang w:val="sq-AL"/>
        </w:rPr>
        <w:t>3</w:t>
      </w:r>
      <w:r w:rsidRPr="00FB61A5">
        <w:rPr>
          <w:rFonts w:ascii="Times New Roman" w:eastAsia="Times New Roman" w:hAnsi="Times New Roman" w:cs="Times New Roman"/>
          <w:bCs/>
          <w:noProof/>
          <w:sz w:val="24"/>
          <w:szCs w:val="28"/>
          <w:lang w:val="sq-AL"/>
        </w:rPr>
        <w:t>.</w:t>
      </w:r>
    </w:p>
    <w:p w14:paraId="71DF5E12" w14:textId="77777777" w:rsidR="00CC574B" w:rsidRPr="00FB61A5" w:rsidRDefault="00CC574B" w:rsidP="000801F0">
      <w:pPr>
        <w:tabs>
          <w:tab w:val="left" w:pos="2730"/>
        </w:tabs>
        <w:spacing w:after="0" w:line="276" w:lineRule="auto"/>
        <w:ind w:left="567" w:right="238" w:hanging="207"/>
        <w:jc w:val="both"/>
        <w:rPr>
          <w:rFonts w:ascii="Times New Roman" w:eastAsia="Times New Roman" w:hAnsi="Times New Roman" w:cs="Times New Roman"/>
          <w:bCs/>
          <w:noProof/>
          <w:sz w:val="16"/>
          <w:szCs w:val="28"/>
          <w:lang w:val="sq-AL"/>
        </w:rPr>
      </w:pPr>
    </w:p>
    <w:p w14:paraId="71DF5E13" w14:textId="77777777" w:rsidR="009053CD" w:rsidRPr="00FB61A5" w:rsidRDefault="00CC574B" w:rsidP="00FB61A5">
      <w:pPr>
        <w:pStyle w:val="ListParagraph"/>
        <w:numPr>
          <w:ilvl w:val="0"/>
          <w:numId w:val="13"/>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Tregu i brendsh</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m i titujve shtet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ror</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dhe tregu i jasht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m i kapitaleve supozohet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jen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q</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ndruesh</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m</w:t>
      </w:r>
      <w:r w:rsidR="009053CD" w:rsidRPr="00FB61A5">
        <w:rPr>
          <w:rFonts w:ascii="Times New Roman" w:eastAsia="Times New Roman" w:hAnsi="Times New Roman" w:cs="Times New Roman"/>
          <w:bCs/>
          <w:noProof/>
          <w:sz w:val="24"/>
          <w:szCs w:val="28"/>
          <w:lang w:val="sq-AL"/>
        </w:rPr>
        <w:t xml:space="preserve">, </w:t>
      </w:r>
      <w:r w:rsidRPr="00FB61A5">
        <w:rPr>
          <w:rFonts w:ascii="Times New Roman" w:eastAsia="Times New Roman" w:hAnsi="Times New Roman" w:cs="Times New Roman"/>
          <w:bCs/>
          <w:noProof/>
          <w:sz w:val="24"/>
          <w:szCs w:val="28"/>
          <w:lang w:val="sq-AL"/>
        </w:rPr>
        <w:t>duke i mund</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suar </w:t>
      </w:r>
      <w:r w:rsidR="009053CD" w:rsidRPr="00FB61A5">
        <w:rPr>
          <w:rFonts w:ascii="Times New Roman" w:eastAsia="Times New Roman" w:hAnsi="Times New Roman" w:cs="Times New Roman"/>
          <w:bCs/>
          <w:noProof/>
          <w:sz w:val="24"/>
          <w:szCs w:val="28"/>
          <w:lang w:val="sq-AL"/>
        </w:rPr>
        <w:t>Republik</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w:t>
      </w:r>
      <w:r w:rsidR="009053CD" w:rsidRPr="00FB61A5">
        <w:rPr>
          <w:rFonts w:ascii="Times New Roman" w:eastAsia="Times New Roman" w:hAnsi="Times New Roman" w:cs="Times New Roman"/>
          <w:bCs/>
          <w:noProof/>
          <w:sz w:val="24"/>
          <w:szCs w:val="28"/>
          <w:lang w:val="sq-AL"/>
        </w:rPr>
        <w:t xml:space="preserve"> </w:t>
      </w:r>
      <w:r w:rsidRPr="00FB61A5">
        <w:rPr>
          <w:rFonts w:ascii="Times New Roman" w:eastAsia="Times New Roman" w:hAnsi="Times New Roman" w:cs="Times New Roman"/>
          <w:bCs/>
          <w:noProof/>
          <w:sz w:val="24"/>
          <w:szCs w:val="28"/>
          <w:lang w:val="sq-AL"/>
        </w:rPr>
        <w:t>s</w:t>
      </w:r>
      <w:r w:rsidR="00134053" w:rsidRPr="00FB61A5">
        <w:rPr>
          <w:rFonts w:ascii="Times New Roman" w:eastAsia="Times New Roman" w:hAnsi="Times New Roman" w:cs="Times New Roman"/>
          <w:bCs/>
          <w:noProof/>
          <w:sz w:val="24"/>
          <w:szCs w:val="28"/>
          <w:lang w:val="sq-AL"/>
        </w:rPr>
        <w:t>ë</w:t>
      </w:r>
      <w:r w:rsidR="009053CD" w:rsidRPr="00FB61A5">
        <w:rPr>
          <w:rFonts w:ascii="Times New Roman" w:eastAsia="Times New Roman" w:hAnsi="Times New Roman" w:cs="Times New Roman"/>
          <w:bCs/>
          <w:noProof/>
          <w:sz w:val="24"/>
          <w:szCs w:val="28"/>
          <w:lang w:val="sq-AL"/>
        </w:rPr>
        <w:t xml:space="preserve"> Shqipërisë në periudhën afatmesme </w:t>
      </w:r>
      <w:r w:rsidR="00857923" w:rsidRPr="00FB61A5">
        <w:rPr>
          <w:rFonts w:ascii="Times New Roman" w:eastAsia="Times New Roman" w:hAnsi="Times New Roman" w:cs="Times New Roman"/>
          <w:bCs/>
          <w:noProof/>
          <w:sz w:val="24"/>
          <w:szCs w:val="28"/>
          <w:lang w:val="sq-AL"/>
        </w:rPr>
        <w:t>akses p</w:t>
      </w:r>
      <w:r w:rsidR="00134053" w:rsidRPr="00FB61A5">
        <w:rPr>
          <w:rFonts w:ascii="Times New Roman" w:eastAsia="Times New Roman" w:hAnsi="Times New Roman" w:cs="Times New Roman"/>
          <w:bCs/>
          <w:noProof/>
          <w:sz w:val="24"/>
          <w:szCs w:val="28"/>
          <w:lang w:val="sq-AL"/>
        </w:rPr>
        <w:t>ë</w:t>
      </w:r>
      <w:r w:rsidR="00857923" w:rsidRPr="00FB61A5">
        <w:rPr>
          <w:rFonts w:ascii="Times New Roman" w:eastAsia="Times New Roman" w:hAnsi="Times New Roman" w:cs="Times New Roman"/>
          <w:bCs/>
          <w:noProof/>
          <w:sz w:val="24"/>
          <w:szCs w:val="28"/>
          <w:lang w:val="sq-AL"/>
        </w:rPr>
        <w:t xml:space="preserve">r humarrje </w:t>
      </w:r>
      <w:r w:rsidR="00D5153B" w:rsidRPr="00FB61A5">
        <w:rPr>
          <w:rFonts w:ascii="Times New Roman" w:eastAsia="Times New Roman" w:hAnsi="Times New Roman" w:cs="Times New Roman"/>
          <w:bCs/>
          <w:noProof/>
          <w:sz w:val="24"/>
          <w:szCs w:val="28"/>
          <w:lang w:val="sq-AL"/>
        </w:rPr>
        <w:t>n</w:t>
      </w:r>
      <w:r w:rsidR="00134053" w:rsidRPr="00FB61A5">
        <w:rPr>
          <w:rFonts w:ascii="Times New Roman" w:eastAsia="Times New Roman" w:hAnsi="Times New Roman" w:cs="Times New Roman"/>
          <w:bCs/>
          <w:noProof/>
          <w:sz w:val="24"/>
          <w:szCs w:val="28"/>
          <w:lang w:val="sq-AL"/>
        </w:rPr>
        <w:t>ë</w:t>
      </w:r>
      <w:r w:rsidR="00D5153B" w:rsidRPr="00FB61A5">
        <w:rPr>
          <w:rFonts w:ascii="Times New Roman" w:eastAsia="Times New Roman" w:hAnsi="Times New Roman" w:cs="Times New Roman"/>
          <w:bCs/>
          <w:noProof/>
          <w:sz w:val="24"/>
          <w:szCs w:val="28"/>
          <w:lang w:val="sq-AL"/>
        </w:rPr>
        <w:t>p</w:t>
      </w:r>
      <w:r w:rsidR="00134053" w:rsidRPr="00FB61A5">
        <w:rPr>
          <w:rFonts w:ascii="Times New Roman" w:eastAsia="Times New Roman" w:hAnsi="Times New Roman" w:cs="Times New Roman"/>
          <w:bCs/>
          <w:noProof/>
          <w:sz w:val="24"/>
          <w:szCs w:val="28"/>
          <w:lang w:val="sq-AL"/>
        </w:rPr>
        <w:t>ë</w:t>
      </w:r>
      <w:r w:rsidR="00D5153B" w:rsidRPr="00FB61A5">
        <w:rPr>
          <w:rFonts w:ascii="Times New Roman" w:eastAsia="Times New Roman" w:hAnsi="Times New Roman" w:cs="Times New Roman"/>
          <w:bCs/>
          <w:noProof/>
          <w:sz w:val="24"/>
          <w:szCs w:val="28"/>
          <w:lang w:val="sq-AL"/>
        </w:rPr>
        <w:t>rmjet burimeve private t</w:t>
      </w:r>
      <w:r w:rsidR="00134053" w:rsidRPr="00FB61A5">
        <w:rPr>
          <w:rFonts w:ascii="Times New Roman" w:eastAsia="Times New Roman" w:hAnsi="Times New Roman" w:cs="Times New Roman"/>
          <w:bCs/>
          <w:noProof/>
          <w:sz w:val="24"/>
          <w:szCs w:val="28"/>
          <w:lang w:val="sq-AL"/>
        </w:rPr>
        <w:t>ë</w:t>
      </w:r>
      <w:r w:rsidR="00D5153B" w:rsidRPr="00FB61A5">
        <w:rPr>
          <w:rFonts w:ascii="Times New Roman" w:eastAsia="Times New Roman" w:hAnsi="Times New Roman" w:cs="Times New Roman"/>
          <w:bCs/>
          <w:noProof/>
          <w:sz w:val="24"/>
          <w:szCs w:val="28"/>
          <w:lang w:val="sq-AL"/>
        </w:rPr>
        <w:t xml:space="preserve"> financimit </w:t>
      </w:r>
      <w:r w:rsidR="00857923" w:rsidRPr="00FB61A5">
        <w:rPr>
          <w:rFonts w:ascii="Times New Roman" w:eastAsia="Times New Roman" w:hAnsi="Times New Roman" w:cs="Times New Roman"/>
          <w:bCs/>
          <w:noProof/>
          <w:sz w:val="24"/>
          <w:szCs w:val="28"/>
          <w:lang w:val="sq-AL"/>
        </w:rPr>
        <w:t>qoft</w:t>
      </w:r>
      <w:r w:rsidR="00134053" w:rsidRPr="00FB61A5">
        <w:rPr>
          <w:rFonts w:ascii="Times New Roman" w:eastAsia="Times New Roman" w:hAnsi="Times New Roman" w:cs="Times New Roman"/>
          <w:bCs/>
          <w:noProof/>
          <w:sz w:val="24"/>
          <w:szCs w:val="28"/>
          <w:lang w:val="sq-AL"/>
        </w:rPr>
        <w:t>ë</w:t>
      </w:r>
      <w:r w:rsidR="00857923" w:rsidRPr="00FB61A5">
        <w:rPr>
          <w:rFonts w:ascii="Times New Roman" w:eastAsia="Times New Roman" w:hAnsi="Times New Roman" w:cs="Times New Roman"/>
          <w:bCs/>
          <w:noProof/>
          <w:sz w:val="24"/>
          <w:szCs w:val="28"/>
          <w:lang w:val="sq-AL"/>
        </w:rPr>
        <w:t xml:space="preserve"> n</w:t>
      </w:r>
      <w:r w:rsidR="00134053" w:rsidRPr="00FB61A5">
        <w:rPr>
          <w:rFonts w:ascii="Times New Roman" w:eastAsia="Times New Roman" w:hAnsi="Times New Roman" w:cs="Times New Roman"/>
          <w:bCs/>
          <w:noProof/>
          <w:sz w:val="24"/>
          <w:szCs w:val="28"/>
          <w:lang w:val="sq-AL"/>
        </w:rPr>
        <w:t>ë</w:t>
      </w:r>
      <w:r w:rsidR="00857923" w:rsidRPr="00FB61A5">
        <w:rPr>
          <w:rFonts w:ascii="Times New Roman" w:eastAsia="Times New Roman" w:hAnsi="Times New Roman" w:cs="Times New Roman"/>
          <w:bCs/>
          <w:noProof/>
          <w:sz w:val="24"/>
          <w:szCs w:val="28"/>
          <w:lang w:val="sq-AL"/>
        </w:rPr>
        <w:t xml:space="preserve"> tregun e brendsh</w:t>
      </w:r>
      <w:r w:rsidR="00134053" w:rsidRPr="00FB61A5">
        <w:rPr>
          <w:rFonts w:ascii="Times New Roman" w:eastAsia="Times New Roman" w:hAnsi="Times New Roman" w:cs="Times New Roman"/>
          <w:bCs/>
          <w:noProof/>
          <w:sz w:val="24"/>
          <w:szCs w:val="28"/>
          <w:lang w:val="sq-AL"/>
        </w:rPr>
        <w:t>ë</w:t>
      </w:r>
      <w:r w:rsidR="00857923" w:rsidRPr="00FB61A5">
        <w:rPr>
          <w:rFonts w:ascii="Times New Roman" w:eastAsia="Times New Roman" w:hAnsi="Times New Roman" w:cs="Times New Roman"/>
          <w:bCs/>
          <w:noProof/>
          <w:sz w:val="24"/>
          <w:szCs w:val="28"/>
          <w:lang w:val="sq-AL"/>
        </w:rPr>
        <w:t>m ashtu edhe at</w:t>
      </w:r>
      <w:r w:rsidR="00134053" w:rsidRPr="00FB61A5">
        <w:rPr>
          <w:rFonts w:ascii="Times New Roman" w:eastAsia="Times New Roman" w:hAnsi="Times New Roman" w:cs="Times New Roman"/>
          <w:bCs/>
          <w:noProof/>
          <w:sz w:val="24"/>
          <w:szCs w:val="28"/>
          <w:lang w:val="sq-AL"/>
        </w:rPr>
        <w:t>ë</w:t>
      </w:r>
      <w:r w:rsidR="00857923" w:rsidRPr="00FB61A5">
        <w:rPr>
          <w:rFonts w:ascii="Times New Roman" w:eastAsia="Times New Roman" w:hAnsi="Times New Roman" w:cs="Times New Roman"/>
          <w:bCs/>
          <w:noProof/>
          <w:sz w:val="24"/>
          <w:szCs w:val="28"/>
          <w:lang w:val="sq-AL"/>
        </w:rPr>
        <w:t xml:space="preserve"> t</w:t>
      </w:r>
      <w:r w:rsidR="00134053" w:rsidRPr="00FB61A5">
        <w:rPr>
          <w:rFonts w:ascii="Times New Roman" w:eastAsia="Times New Roman" w:hAnsi="Times New Roman" w:cs="Times New Roman"/>
          <w:bCs/>
          <w:noProof/>
          <w:sz w:val="24"/>
          <w:szCs w:val="28"/>
          <w:lang w:val="sq-AL"/>
        </w:rPr>
        <w:t>ë</w:t>
      </w:r>
      <w:r w:rsidR="00857923" w:rsidRPr="00FB61A5">
        <w:rPr>
          <w:rFonts w:ascii="Times New Roman" w:eastAsia="Times New Roman" w:hAnsi="Times New Roman" w:cs="Times New Roman"/>
          <w:bCs/>
          <w:noProof/>
          <w:sz w:val="24"/>
          <w:szCs w:val="28"/>
          <w:lang w:val="sq-AL"/>
        </w:rPr>
        <w:t xml:space="preserve"> jasht</w:t>
      </w:r>
      <w:r w:rsidR="00134053" w:rsidRPr="00FB61A5">
        <w:rPr>
          <w:rFonts w:ascii="Times New Roman" w:eastAsia="Times New Roman" w:hAnsi="Times New Roman" w:cs="Times New Roman"/>
          <w:bCs/>
          <w:noProof/>
          <w:sz w:val="24"/>
          <w:szCs w:val="28"/>
          <w:lang w:val="sq-AL"/>
        </w:rPr>
        <w:t>ë</w:t>
      </w:r>
      <w:r w:rsidR="00857923" w:rsidRPr="00FB61A5">
        <w:rPr>
          <w:rFonts w:ascii="Times New Roman" w:eastAsia="Times New Roman" w:hAnsi="Times New Roman" w:cs="Times New Roman"/>
          <w:bCs/>
          <w:noProof/>
          <w:sz w:val="24"/>
          <w:szCs w:val="28"/>
          <w:lang w:val="sq-AL"/>
        </w:rPr>
        <w:t>m</w:t>
      </w:r>
      <w:r w:rsidR="009053CD" w:rsidRPr="00FB61A5">
        <w:rPr>
          <w:rFonts w:ascii="Times New Roman" w:eastAsia="Times New Roman" w:hAnsi="Times New Roman" w:cs="Times New Roman"/>
          <w:bCs/>
          <w:noProof/>
          <w:sz w:val="24"/>
          <w:szCs w:val="28"/>
          <w:lang w:val="sq-AL"/>
        </w:rPr>
        <w:t>.</w:t>
      </w:r>
    </w:p>
    <w:p w14:paraId="71DF5E14" w14:textId="77777777" w:rsidR="000801F0" w:rsidRPr="00FB61A5" w:rsidRDefault="000801F0" w:rsidP="000801F0">
      <w:pPr>
        <w:pStyle w:val="ListParagraph"/>
        <w:ind w:left="567" w:hanging="207"/>
        <w:rPr>
          <w:rFonts w:ascii="Times New Roman" w:eastAsia="Times New Roman" w:hAnsi="Times New Roman" w:cs="Times New Roman"/>
          <w:bCs/>
          <w:noProof/>
          <w:sz w:val="16"/>
          <w:szCs w:val="28"/>
          <w:lang w:val="sq-AL"/>
        </w:rPr>
      </w:pPr>
    </w:p>
    <w:p w14:paraId="71DF5E15" w14:textId="77777777" w:rsidR="000801F0" w:rsidRPr="00FB61A5" w:rsidRDefault="00857923" w:rsidP="00FB61A5">
      <w:pPr>
        <w:pStyle w:val="ListParagraph"/>
        <w:numPr>
          <w:ilvl w:val="0"/>
          <w:numId w:val="13"/>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lastRenderedPageBreak/>
        <w:t>Normat e interesit supozohet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jen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qendrueshme 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periudh</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n afatshkurt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 nd</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rkoh</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q</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pritet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rriten 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m</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nyr</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moderuar duke filluar nga viti 2021.</w:t>
      </w:r>
    </w:p>
    <w:p w14:paraId="71DF5E16" w14:textId="77777777" w:rsidR="009053CD" w:rsidRPr="00FB61A5" w:rsidRDefault="009053CD" w:rsidP="009053CD">
      <w:pPr>
        <w:tabs>
          <w:tab w:val="left" w:pos="2730"/>
        </w:tabs>
        <w:spacing w:after="0" w:line="276" w:lineRule="auto"/>
        <w:ind w:left="284" w:right="238"/>
        <w:jc w:val="both"/>
        <w:rPr>
          <w:rFonts w:ascii="Times New Roman" w:eastAsia="Times New Roman" w:hAnsi="Times New Roman" w:cs="Times New Roman"/>
          <w:bCs/>
          <w:noProof/>
          <w:sz w:val="16"/>
          <w:szCs w:val="28"/>
          <w:lang w:val="sq-AL"/>
        </w:rPr>
      </w:pPr>
    </w:p>
    <w:p w14:paraId="71DF5E17" w14:textId="77777777" w:rsidR="009053CD" w:rsidRPr="00FB61A5" w:rsidRDefault="009053CD" w:rsidP="00FB61A5">
      <w:pPr>
        <w:tabs>
          <w:tab w:val="left" w:pos="2730"/>
        </w:tabs>
        <w:spacing w:after="0" w:line="276" w:lineRule="auto"/>
        <w:ind w:right="238"/>
        <w:rPr>
          <w:rFonts w:ascii="Times New Roman" w:eastAsia="Times New Roman" w:hAnsi="Times New Roman" w:cs="Times New Roman"/>
          <w:bCs/>
          <w:noProof/>
          <w:sz w:val="24"/>
          <w:szCs w:val="28"/>
          <w:u w:val="single"/>
          <w:lang w:val="sq-AL"/>
        </w:rPr>
      </w:pPr>
      <w:r w:rsidRPr="00FB61A5">
        <w:rPr>
          <w:rFonts w:ascii="Times New Roman" w:eastAsia="Times New Roman" w:hAnsi="Times New Roman" w:cs="Times New Roman"/>
          <w:bCs/>
          <w:noProof/>
          <w:sz w:val="24"/>
          <w:szCs w:val="28"/>
          <w:u w:val="single"/>
          <w:lang w:val="sq-AL"/>
        </w:rPr>
        <w:t>Financimi</w:t>
      </w:r>
    </w:p>
    <w:p w14:paraId="71DF5E18" w14:textId="77777777" w:rsidR="009053CD" w:rsidRPr="00FB61A5" w:rsidRDefault="009053CD" w:rsidP="009053CD">
      <w:pPr>
        <w:tabs>
          <w:tab w:val="left" w:pos="2730"/>
        </w:tabs>
        <w:spacing w:after="0" w:line="276" w:lineRule="auto"/>
        <w:ind w:left="284" w:right="238"/>
        <w:rPr>
          <w:rFonts w:ascii="Times New Roman" w:eastAsia="Times New Roman" w:hAnsi="Times New Roman" w:cs="Times New Roman"/>
          <w:bCs/>
          <w:noProof/>
          <w:sz w:val="16"/>
          <w:szCs w:val="28"/>
          <w:u w:val="single"/>
          <w:lang w:val="sq-AL"/>
        </w:rPr>
      </w:pPr>
    </w:p>
    <w:p w14:paraId="71DF5E19" w14:textId="77777777" w:rsidR="009053CD" w:rsidRPr="00FB61A5" w:rsidRDefault="009053CD" w:rsidP="00FB61A5">
      <w:pPr>
        <w:pStyle w:val="ListParagraph"/>
        <w:numPr>
          <w:ilvl w:val="0"/>
          <w:numId w:val="13"/>
        </w:numPr>
        <w:tabs>
          <w:tab w:val="left" w:pos="2730"/>
        </w:tabs>
        <w:spacing w:line="276" w:lineRule="auto"/>
        <w:ind w:left="284" w:right="237"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 xml:space="preserve">Financimi </w:t>
      </w:r>
      <w:r w:rsidR="00A2287B" w:rsidRPr="00FB61A5">
        <w:rPr>
          <w:rFonts w:ascii="Times New Roman" w:eastAsia="Times New Roman" w:hAnsi="Times New Roman" w:cs="Times New Roman"/>
          <w:bCs/>
          <w:noProof/>
          <w:sz w:val="24"/>
          <w:szCs w:val="28"/>
          <w:lang w:val="sq-AL"/>
        </w:rPr>
        <w:t>i brendsh</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m</w:t>
      </w:r>
      <w:r w:rsidR="00CE2880" w:rsidRPr="00FB61A5">
        <w:rPr>
          <w:rFonts w:ascii="Times New Roman" w:eastAsia="Times New Roman" w:hAnsi="Times New Roman" w:cs="Times New Roman"/>
          <w:bCs/>
          <w:noProof/>
          <w:sz w:val="24"/>
          <w:szCs w:val="28"/>
          <w:lang w:val="sq-AL"/>
        </w:rPr>
        <w:t>, n</w:t>
      </w:r>
      <w:r w:rsidR="00134053" w:rsidRPr="00FB61A5">
        <w:rPr>
          <w:rFonts w:ascii="Times New Roman" w:eastAsia="Times New Roman" w:hAnsi="Times New Roman" w:cs="Times New Roman"/>
          <w:bCs/>
          <w:noProof/>
          <w:sz w:val="24"/>
          <w:szCs w:val="28"/>
          <w:lang w:val="sq-AL"/>
        </w:rPr>
        <w:t>ë</w:t>
      </w:r>
      <w:r w:rsidR="00CE2880" w:rsidRPr="00FB61A5">
        <w:rPr>
          <w:rFonts w:ascii="Times New Roman" w:eastAsia="Times New Roman" w:hAnsi="Times New Roman" w:cs="Times New Roman"/>
          <w:bCs/>
          <w:noProof/>
          <w:sz w:val="24"/>
          <w:szCs w:val="28"/>
          <w:lang w:val="sq-AL"/>
        </w:rPr>
        <w:t xml:space="preserve"> terma bruto</w:t>
      </w:r>
      <w:r w:rsidRPr="00FB61A5">
        <w:rPr>
          <w:rFonts w:ascii="Times New Roman" w:eastAsia="Times New Roman" w:hAnsi="Times New Roman" w:cs="Times New Roman"/>
          <w:bCs/>
          <w:noProof/>
          <w:sz w:val="24"/>
          <w:szCs w:val="28"/>
          <w:lang w:val="sq-AL"/>
        </w:rPr>
        <w:t xml:space="preserve"> do të </w:t>
      </w:r>
      <w:r w:rsidR="005D2ACB" w:rsidRPr="00FB61A5">
        <w:rPr>
          <w:rFonts w:ascii="Times New Roman" w:eastAsia="Times New Roman" w:hAnsi="Times New Roman" w:cs="Times New Roman"/>
          <w:bCs/>
          <w:noProof/>
          <w:sz w:val="24"/>
          <w:szCs w:val="28"/>
          <w:lang w:val="sq-AL"/>
        </w:rPr>
        <w:t>plot</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soj</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w:t>
      </w:r>
      <w:r w:rsidR="00CE2880" w:rsidRPr="00FB61A5">
        <w:rPr>
          <w:rFonts w:ascii="Times New Roman" w:eastAsia="Times New Roman" w:hAnsi="Times New Roman" w:cs="Times New Roman"/>
          <w:bCs/>
          <w:noProof/>
          <w:sz w:val="24"/>
          <w:szCs w:val="28"/>
          <w:lang w:val="sq-AL"/>
        </w:rPr>
        <w:t>rreth 80% t</w:t>
      </w:r>
      <w:r w:rsidR="00134053" w:rsidRPr="00FB61A5">
        <w:rPr>
          <w:rFonts w:ascii="Times New Roman" w:eastAsia="Times New Roman" w:hAnsi="Times New Roman" w:cs="Times New Roman"/>
          <w:bCs/>
          <w:noProof/>
          <w:sz w:val="24"/>
          <w:szCs w:val="28"/>
          <w:lang w:val="sq-AL"/>
        </w:rPr>
        <w:t>ë</w:t>
      </w:r>
      <w:r w:rsidR="00CE2880" w:rsidRPr="00FB61A5">
        <w:rPr>
          <w:rFonts w:ascii="Times New Roman" w:eastAsia="Times New Roman" w:hAnsi="Times New Roman" w:cs="Times New Roman"/>
          <w:bCs/>
          <w:noProof/>
          <w:sz w:val="24"/>
          <w:szCs w:val="28"/>
          <w:lang w:val="sq-AL"/>
        </w:rPr>
        <w:t xml:space="preserve"> nevojave p</w:t>
      </w:r>
      <w:r w:rsidR="00134053" w:rsidRPr="00FB61A5">
        <w:rPr>
          <w:rFonts w:ascii="Times New Roman" w:eastAsia="Times New Roman" w:hAnsi="Times New Roman" w:cs="Times New Roman"/>
          <w:bCs/>
          <w:noProof/>
          <w:sz w:val="24"/>
          <w:szCs w:val="28"/>
          <w:lang w:val="sq-AL"/>
        </w:rPr>
        <w:t>ë</w:t>
      </w:r>
      <w:r w:rsidR="00CE2880" w:rsidRPr="00FB61A5">
        <w:rPr>
          <w:rFonts w:ascii="Times New Roman" w:eastAsia="Times New Roman" w:hAnsi="Times New Roman" w:cs="Times New Roman"/>
          <w:bCs/>
          <w:noProof/>
          <w:sz w:val="24"/>
          <w:szCs w:val="28"/>
          <w:lang w:val="sq-AL"/>
        </w:rPr>
        <w:t>r huamarrje</w:t>
      </w:r>
      <w:r w:rsidR="005D2ACB" w:rsidRPr="00FB61A5">
        <w:rPr>
          <w:rFonts w:ascii="Times New Roman" w:eastAsia="Times New Roman" w:hAnsi="Times New Roman" w:cs="Times New Roman"/>
          <w:bCs/>
          <w:noProof/>
          <w:sz w:val="24"/>
          <w:szCs w:val="28"/>
          <w:lang w:val="sq-AL"/>
        </w:rPr>
        <w:t>. N</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p</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rmjet k</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tij financimi do 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 mund</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sohet </w:t>
      </w:r>
      <w:r w:rsidR="005D2ACB" w:rsidRPr="00FB61A5">
        <w:rPr>
          <w:rFonts w:ascii="Times New Roman" w:eastAsia="Times New Roman" w:hAnsi="Times New Roman" w:cs="Times New Roman"/>
          <w:bCs/>
          <w:noProof/>
          <w:sz w:val="24"/>
          <w:szCs w:val="28"/>
          <w:lang w:val="sq-AL"/>
        </w:rPr>
        <w:t>rifinancimi</w:t>
      </w:r>
      <w:r w:rsidRPr="00FB61A5">
        <w:rPr>
          <w:rFonts w:ascii="Times New Roman" w:eastAsia="Times New Roman" w:hAnsi="Times New Roman" w:cs="Times New Roman"/>
          <w:bCs/>
          <w:noProof/>
          <w:sz w:val="24"/>
          <w:szCs w:val="28"/>
          <w:lang w:val="sq-AL"/>
        </w:rPr>
        <w:t xml:space="preserve"> </w:t>
      </w:r>
      <w:r w:rsidR="005D2ACB" w:rsidRPr="00FB61A5">
        <w:rPr>
          <w:rFonts w:ascii="Times New Roman" w:eastAsia="Times New Roman" w:hAnsi="Times New Roman" w:cs="Times New Roman"/>
          <w:bCs/>
          <w:noProof/>
          <w:sz w:val="24"/>
          <w:szCs w:val="28"/>
          <w:lang w:val="sq-AL"/>
        </w:rPr>
        <w:t>i</w:t>
      </w:r>
      <w:r w:rsidRPr="00FB61A5">
        <w:rPr>
          <w:rFonts w:ascii="Times New Roman" w:eastAsia="Times New Roman" w:hAnsi="Times New Roman" w:cs="Times New Roman"/>
          <w:bCs/>
          <w:noProof/>
          <w:sz w:val="24"/>
          <w:szCs w:val="28"/>
          <w:lang w:val="sq-AL"/>
        </w:rPr>
        <w:t xml:space="preserve"> titujve ekzistues që maturohen dhe </w:t>
      </w:r>
      <w:r w:rsidR="005D2ACB" w:rsidRPr="00FB61A5">
        <w:rPr>
          <w:rFonts w:ascii="Times New Roman" w:eastAsia="Times New Roman" w:hAnsi="Times New Roman" w:cs="Times New Roman"/>
          <w:bCs/>
          <w:noProof/>
          <w:sz w:val="24"/>
          <w:szCs w:val="28"/>
          <w:lang w:val="sq-AL"/>
        </w:rPr>
        <w:t xml:space="preserve">mbulimi i </w:t>
      </w:r>
      <w:r w:rsidR="0003235F">
        <w:rPr>
          <w:rFonts w:ascii="Times New Roman" w:eastAsia="Times New Roman" w:hAnsi="Times New Roman" w:cs="Times New Roman"/>
          <w:bCs/>
          <w:noProof/>
          <w:sz w:val="24"/>
          <w:szCs w:val="28"/>
          <w:lang w:val="sq-AL"/>
        </w:rPr>
        <w:t>pjes</w:t>
      </w:r>
      <w:r w:rsidR="00CA75E3">
        <w:rPr>
          <w:rFonts w:ascii="Times New Roman" w:eastAsia="Times New Roman" w:hAnsi="Times New Roman" w:cs="Times New Roman"/>
          <w:bCs/>
          <w:noProof/>
          <w:sz w:val="24"/>
          <w:szCs w:val="28"/>
          <w:lang w:val="sq-AL"/>
        </w:rPr>
        <w:t>ë</w:t>
      </w:r>
      <w:r w:rsidR="0003235F">
        <w:rPr>
          <w:rFonts w:ascii="Times New Roman" w:eastAsia="Times New Roman" w:hAnsi="Times New Roman" w:cs="Times New Roman"/>
          <w:bCs/>
          <w:noProof/>
          <w:sz w:val="24"/>
          <w:szCs w:val="28"/>
          <w:lang w:val="sq-AL"/>
        </w:rPr>
        <w:t>ssh</w:t>
      </w:r>
      <w:r w:rsidR="00CA75E3">
        <w:rPr>
          <w:rFonts w:ascii="Times New Roman" w:eastAsia="Times New Roman" w:hAnsi="Times New Roman" w:cs="Times New Roman"/>
          <w:bCs/>
          <w:noProof/>
          <w:sz w:val="24"/>
          <w:szCs w:val="28"/>
          <w:lang w:val="sq-AL"/>
        </w:rPr>
        <w:t>ë</w:t>
      </w:r>
      <w:r w:rsidR="0003235F">
        <w:rPr>
          <w:rFonts w:ascii="Times New Roman" w:eastAsia="Times New Roman" w:hAnsi="Times New Roman" w:cs="Times New Roman"/>
          <w:bCs/>
          <w:noProof/>
          <w:sz w:val="24"/>
          <w:szCs w:val="28"/>
          <w:lang w:val="sq-AL"/>
        </w:rPr>
        <w:t xml:space="preserve">m i </w:t>
      </w:r>
      <w:r w:rsidR="005D2ACB" w:rsidRPr="00FB61A5">
        <w:rPr>
          <w:rFonts w:ascii="Times New Roman" w:eastAsia="Times New Roman" w:hAnsi="Times New Roman" w:cs="Times New Roman"/>
          <w:bCs/>
          <w:noProof/>
          <w:sz w:val="24"/>
          <w:szCs w:val="28"/>
          <w:lang w:val="sq-AL"/>
        </w:rPr>
        <w:t>deficitit</w:t>
      </w:r>
      <w:r w:rsidR="00602070" w:rsidRPr="00FB61A5">
        <w:rPr>
          <w:rFonts w:ascii="Times New Roman" w:eastAsia="Times New Roman" w:hAnsi="Times New Roman" w:cs="Times New Roman"/>
          <w:bCs/>
          <w:noProof/>
          <w:sz w:val="24"/>
          <w:szCs w:val="28"/>
          <w:lang w:val="sq-AL"/>
        </w:rPr>
        <w:t xml:space="preserve"> buxhetor</w:t>
      </w:r>
      <w:r w:rsidRPr="00FB61A5">
        <w:rPr>
          <w:rFonts w:ascii="Times New Roman" w:eastAsia="Times New Roman" w:hAnsi="Times New Roman" w:cs="Times New Roman"/>
          <w:bCs/>
          <w:noProof/>
          <w:sz w:val="24"/>
          <w:szCs w:val="28"/>
          <w:lang w:val="sq-AL"/>
        </w:rPr>
        <w:t>,</w:t>
      </w:r>
      <w:r w:rsidR="005D2ACB" w:rsidRPr="00FB61A5">
        <w:rPr>
          <w:rFonts w:ascii="Times New Roman" w:eastAsia="Times New Roman" w:hAnsi="Times New Roman" w:cs="Times New Roman"/>
          <w:bCs/>
          <w:noProof/>
          <w:sz w:val="24"/>
          <w:szCs w:val="28"/>
          <w:lang w:val="sq-AL"/>
        </w:rPr>
        <w:t xml:space="preserve"> duke q</w:t>
      </w:r>
      <w:r w:rsidR="000F361F">
        <w:rPr>
          <w:rFonts w:ascii="Times New Roman" w:eastAsia="Times New Roman" w:hAnsi="Times New Roman" w:cs="Times New Roman"/>
          <w:bCs/>
          <w:noProof/>
          <w:sz w:val="24"/>
          <w:szCs w:val="28"/>
          <w:lang w:val="sq-AL"/>
        </w:rPr>
        <w:t>e</w:t>
      </w:r>
      <w:r w:rsidR="005D2ACB" w:rsidRPr="00FB61A5">
        <w:rPr>
          <w:rFonts w:ascii="Times New Roman" w:eastAsia="Times New Roman" w:hAnsi="Times New Roman" w:cs="Times New Roman"/>
          <w:bCs/>
          <w:noProof/>
          <w:sz w:val="24"/>
          <w:szCs w:val="28"/>
          <w:lang w:val="sq-AL"/>
        </w:rPr>
        <w:t>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në përputhje me kapacitetet e tregut.</w:t>
      </w:r>
      <w:r w:rsidR="00A2287B" w:rsidRPr="00FB61A5">
        <w:rPr>
          <w:rFonts w:ascii="Times New Roman" w:eastAsia="Times New Roman" w:hAnsi="Times New Roman" w:cs="Times New Roman"/>
          <w:bCs/>
          <w:noProof/>
          <w:sz w:val="24"/>
          <w:szCs w:val="28"/>
          <w:lang w:val="sq-AL"/>
        </w:rPr>
        <w:t xml:space="preserve"> I gjith</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 financimi i brendsh</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m </w:t>
      </w:r>
      <w:r w:rsidR="00D71E07" w:rsidRPr="00FB61A5">
        <w:rPr>
          <w:rFonts w:ascii="Times New Roman" w:eastAsia="Times New Roman" w:hAnsi="Times New Roman" w:cs="Times New Roman"/>
          <w:bCs/>
          <w:noProof/>
          <w:sz w:val="24"/>
          <w:szCs w:val="28"/>
          <w:lang w:val="sq-AL"/>
        </w:rPr>
        <w:t>planifikohet</w:t>
      </w:r>
      <w:r w:rsidR="00A2287B" w:rsidRPr="00FB61A5">
        <w:rPr>
          <w:rFonts w:ascii="Times New Roman" w:eastAsia="Times New Roman" w:hAnsi="Times New Roman" w:cs="Times New Roman"/>
          <w:bCs/>
          <w:noProof/>
          <w:sz w:val="24"/>
          <w:szCs w:val="28"/>
          <w:lang w:val="sq-AL"/>
        </w:rPr>
        <w:t xml:space="preserve"> 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 realizohet n</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p</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rmjet burimeve private, ku si instrumente huaje do 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 p</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rdoren titujt shtet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ror</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 </w:t>
      </w:r>
    </w:p>
    <w:p w14:paraId="71DF5E1A" w14:textId="77777777" w:rsidR="000801F0" w:rsidRPr="00FB61A5" w:rsidRDefault="003F2809" w:rsidP="00FB61A5">
      <w:pPr>
        <w:pStyle w:val="ListParagraph"/>
        <w:tabs>
          <w:tab w:val="left" w:pos="2730"/>
        </w:tabs>
        <w:spacing w:line="276" w:lineRule="auto"/>
        <w:ind w:left="284" w:right="237"/>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Mesatarisht rreth 60% e huamarrjes s</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brendshme </w:t>
      </w:r>
      <w:r w:rsidR="009A3C2E" w:rsidRPr="00FB61A5">
        <w:rPr>
          <w:rFonts w:ascii="Times New Roman" w:eastAsia="Times New Roman" w:hAnsi="Times New Roman" w:cs="Times New Roman"/>
          <w:bCs/>
          <w:noProof/>
          <w:sz w:val="24"/>
          <w:szCs w:val="28"/>
          <w:lang w:val="sq-AL"/>
        </w:rPr>
        <w:t>planifikohet</w:t>
      </w:r>
      <w:r w:rsidRPr="00FB61A5">
        <w:rPr>
          <w:rFonts w:ascii="Times New Roman" w:eastAsia="Times New Roman" w:hAnsi="Times New Roman" w:cs="Times New Roman"/>
          <w:bCs/>
          <w:noProof/>
          <w:sz w:val="24"/>
          <w:szCs w:val="28"/>
          <w:lang w:val="sq-AL"/>
        </w:rPr>
        <w:t xml:space="preserv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realizohet n</w:t>
      </w:r>
      <w:r w:rsidR="00134053" w:rsidRPr="00FB61A5">
        <w:rPr>
          <w:rFonts w:ascii="Times New Roman" w:eastAsia="Times New Roman" w:hAnsi="Times New Roman" w:cs="Times New Roman"/>
          <w:bCs/>
          <w:noProof/>
          <w:sz w:val="24"/>
          <w:szCs w:val="28"/>
          <w:lang w:val="sq-AL"/>
        </w:rPr>
        <w:t>ë</w:t>
      </w:r>
      <w:r w:rsidR="0066302D" w:rsidRPr="00FB61A5">
        <w:rPr>
          <w:rFonts w:ascii="Times New Roman" w:eastAsia="Times New Roman" w:hAnsi="Times New Roman" w:cs="Times New Roman"/>
          <w:bCs/>
          <w:noProof/>
          <w:sz w:val="24"/>
          <w:szCs w:val="28"/>
          <w:lang w:val="sq-AL"/>
        </w:rPr>
        <w:t>p</w:t>
      </w:r>
      <w:r w:rsidR="00134053" w:rsidRPr="00FB61A5">
        <w:rPr>
          <w:rFonts w:ascii="Times New Roman" w:eastAsia="Times New Roman" w:hAnsi="Times New Roman" w:cs="Times New Roman"/>
          <w:bCs/>
          <w:noProof/>
          <w:sz w:val="24"/>
          <w:szCs w:val="28"/>
          <w:lang w:val="sq-AL"/>
        </w:rPr>
        <w:t>ë</w:t>
      </w:r>
      <w:r w:rsidR="0066302D" w:rsidRPr="00FB61A5">
        <w:rPr>
          <w:rFonts w:ascii="Times New Roman" w:eastAsia="Times New Roman" w:hAnsi="Times New Roman" w:cs="Times New Roman"/>
          <w:bCs/>
          <w:noProof/>
          <w:sz w:val="24"/>
          <w:szCs w:val="28"/>
          <w:lang w:val="sq-AL"/>
        </w:rPr>
        <w:t>rmjet t</w:t>
      </w:r>
      <w:r w:rsidRPr="00FB61A5">
        <w:rPr>
          <w:rFonts w:ascii="Times New Roman" w:eastAsia="Times New Roman" w:hAnsi="Times New Roman" w:cs="Times New Roman"/>
          <w:bCs/>
          <w:noProof/>
          <w:sz w:val="24"/>
          <w:szCs w:val="28"/>
          <w:lang w:val="sq-AL"/>
        </w:rPr>
        <w:t>ituj</w:t>
      </w:r>
      <w:r w:rsidR="0066302D" w:rsidRPr="00FB61A5">
        <w:rPr>
          <w:rFonts w:ascii="Times New Roman" w:eastAsia="Times New Roman" w:hAnsi="Times New Roman" w:cs="Times New Roman"/>
          <w:bCs/>
          <w:noProof/>
          <w:sz w:val="24"/>
          <w:szCs w:val="28"/>
          <w:lang w:val="sq-AL"/>
        </w:rPr>
        <w:t>ve</w:t>
      </w:r>
      <w:r w:rsidR="000801F0" w:rsidRPr="00FB61A5">
        <w:rPr>
          <w:rFonts w:ascii="Times New Roman" w:eastAsia="Times New Roman" w:hAnsi="Times New Roman" w:cs="Times New Roman"/>
          <w:bCs/>
          <w:noProof/>
          <w:sz w:val="24"/>
          <w:szCs w:val="28"/>
          <w:lang w:val="sq-AL"/>
        </w:rPr>
        <w:t xml:space="preserve"> afatshkurt</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r</w:t>
      </w:r>
      <w:r w:rsidR="009A3C2E" w:rsidRPr="00FB61A5">
        <w:rPr>
          <w:rFonts w:ascii="Times New Roman" w:eastAsia="Times New Roman" w:hAnsi="Times New Roman" w:cs="Times New Roman"/>
          <w:bCs/>
          <w:noProof/>
          <w:sz w:val="24"/>
          <w:szCs w:val="28"/>
          <w:lang w:val="sq-AL"/>
        </w:rPr>
        <w:t xml:space="preserve"> dhe</w:t>
      </w:r>
      <w:r w:rsidR="0066302D" w:rsidRPr="00FB61A5">
        <w:rPr>
          <w:rFonts w:ascii="Times New Roman" w:eastAsia="Times New Roman" w:hAnsi="Times New Roman" w:cs="Times New Roman"/>
          <w:bCs/>
          <w:noProof/>
          <w:sz w:val="24"/>
          <w:szCs w:val="28"/>
          <w:lang w:val="sq-AL"/>
        </w:rPr>
        <w:t xml:space="preserve"> do t</w:t>
      </w:r>
      <w:r w:rsidR="00134053" w:rsidRPr="00FB61A5">
        <w:rPr>
          <w:rFonts w:ascii="Times New Roman" w:eastAsia="Times New Roman" w:hAnsi="Times New Roman" w:cs="Times New Roman"/>
          <w:bCs/>
          <w:noProof/>
          <w:sz w:val="24"/>
          <w:szCs w:val="28"/>
          <w:lang w:val="sq-AL"/>
        </w:rPr>
        <w:t>ë</w:t>
      </w:r>
      <w:r w:rsidR="0066302D" w:rsidRPr="00FB61A5">
        <w:rPr>
          <w:rFonts w:ascii="Times New Roman" w:eastAsia="Times New Roman" w:hAnsi="Times New Roman" w:cs="Times New Roman"/>
          <w:bCs/>
          <w:noProof/>
          <w:sz w:val="24"/>
          <w:szCs w:val="28"/>
          <w:lang w:val="sq-AL"/>
        </w:rPr>
        <w:t xml:space="preserve"> sh</w:t>
      </w:r>
      <w:r w:rsidR="00134053" w:rsidRPr="00FB61A5">
        <w:rPr>
          <w:rFonts w:ascii="Times New Roman" w:eastAsia="Times New Roman" w:hAnsi="Times New Roman" w:cs="Times New Roman"/>
          <w:bCs/>
          <w:noProof/>
          <w:sz w:val="24"/>
          <w:szCs w:val="28"/>
          <w:lang w:val="sq-AL"/>
        </w:rPr>
        <w:t>ë</w:t>
      </w:r>
      <w:r w:rsidR="0066302D" w:rsidRPr="00FB61A5">
        <w:rPr>
          <w:rFonts w:ascii="Times New Roman" w:eastAsia="Times New Roman" w:hAnsi="Times New Roman" w:cs="Times New Roman"/>
          <w:bCs/>
          <w:noProof/>
          <w:sz w:val="24"/>
          <w:szCs w:val="28"/>
          <w:lang w:val="sq-AL"/>
        </w:rPr>
        <w:t>rbej</w:t>
      </w:r>
      <w:r w:rsidR="00134053" w:rsidRPr="00FB61A5">
        <w:rPr>
          <w:rFonts w:ascii="Times New Roman" w:eastAsia="Times New Roman" w:hAnsi="Times New Roman" w:cs="Times New Roman"/>
          <w:bCs/>
          <w:noProof/>
          <w:sz w:val="24"/>
          <w:szCs w:val="28"/>
          <w:lang w:val="sq-AL"/>
        </w:rPr>
        <w:t>ë</w:t>
      </w:r>
      <w:r w:rsidR="0066302D" w:rsidRPr="00FB61A5">
        <w:rPr>
          <w:rFonts w:ascii="Times New Roman" w:eastAsia="Times New Roman" w:hAnsi="Times New Roman" w:cs="Times New Roman"/>
          <w:bCs/>
          <w:noProof/>
          <w:sz w:val="24"/>
          <w:szCs w:val="28"/>
          <w:lang w:val="sq-AL"/>
        </w:rPr>
        <w:t xml:space="preserve"> kryesisht </w:t>
      </w:r>
      <w:r w:rsidR="000801F0" w:rsidRPr="00FB61A5">
        <w:rPr>
          <w:rFonts w:ascii="Times New Roman" w:eastAsia="Times New Roman" w:hAnsi="Times New Roman" w:cs="Times New Roman"/>
          <w:bCs/>
          <w:noProof/>
          <w:sz w:val="24"/>
          <w:szCs w:val="28"/>
          <w:lang w:val="sq-AL"/>
        </w:rPr>
        <w:t>p</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r t</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 xml:space="preserve"> rifinancuar muturimin e titujve ekzistues, p</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r t</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 xml:space="preserve"> menaxhuar likuiditetin afatshkurt</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r dhe p</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r t</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 xml:space="preserve"> p</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rmir</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suar struktur</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n vjetore t</w:t>
      </w:r>
      <w:r w:rsidR="00134053" w:rsidRPr="00FB61A5">
        <w:rPr>
          <w:rFonts w:ascii="Times New Roman" w:eastAsia="Times New Roman" w:hAnsi="Times New Roman" w:cs="Times New Roman"/>
          <w:bCs/>
          <w:noProof/>
          <w:sz w:val="24"/>
          <w:szCs w:val="28"/>
          <w:lang w:val="sq-AL"/>
        </w:rPr>
        <w:t>ë</w:t>
      </w:r>
      <w:r w:rsidR="000801F0" w:rsidRPr="00FB61A5">
        <w:rPr>
          <w:rFonts w:ascii="Times New Roman" w:eastAsia="Times New Roman" w:hAnsi="Times New Roman" w:cs="Times New Roman"/>
          <w:bCs/>
          <w:noProof/>
          <w:sz w:val="24"/>
          <w:szCs w:val="28"/>
          <w:lang w:val="sq-AL"/>
        </w:rPr>
        <w:t xml:space="preserve"> maturimeve. </w:t>
      </w:r>
    </w:p>
    <w:p w14:paraId="71DF5E1B" w14:textId="77777777" w:rsidR="000801F0" w:rsidRPr="00FB61A5" w:rsidRDefault="003F2809" w:rsidP="00FB61A5">
      <w:pPr>
        <w:pStyle w:val="ListParagraph"/>
        <w:tabs>
          <w:tab w:val="left" w:pos="2730"/>
        </w:tabs>
        <w:spacing w:line="276" w:lineRule="auto"/>
        <w:ind w:left="284" w:right="237"/>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Pjesa e mbetur e huamarrjes s</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brendshme (mesatarisht rreth 40%) do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sigurohet 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p</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rmjet titujve</w:t>
      </w:r>
      <w:r w:rsidR="00A83342" w:rsidRPr="00FB61A5">
        <w:rPr>
          <w:rFonts w:ascii="Times New Roman" w:eastAsia="Times New Roman" w:hAnsi="Times New Roman" w:cs="Times New Roman"/>
          <w:bCs/>
          <w:noProof/>
          <w:sz w:val="24"/>
          <w:szCs w:val="28"/>
          <w:lang w:val="sq-AL"/>
        </w:rPr>
        <w:t xml:space="preserve"> afatgjat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w:t>
      </w:r>
      <w:r w:rsidR="00A83342" w:rsidRPr="00FB61A5">
        <w:rPr>
          <w:rFonts w:ascii="Times New Roman" w:eastAsia="Times New Roman" w:hAnsi="Times New Roman" w:cs="Times New Roman"/>
          <w:bCs/>
          <w:noProof/>
          <w:sz w:val="24"/>
          <w:szCs w:val="28"/>
          <w:lang w:val="sq-AL"/>
        </w:rPr>
        <w:t xml:space="preserve"> </w:t>
      </w:r>
      <w:r w:rsidRPr="00FB61A5">
        <w:rPr>
          <w:rFonts w:ascii="Times New Roman" w:eastAsia="Times New Roman" w:hAnsi="Times New Roman" w:cs="Times New Roman"/>
          <w:bCs/>
          <w:noProof/>
          <w:sz w:val="24"/>
          <w:szCs w:val="28"/>
          <w:lang w:val="sq-AL"/>
        </w:rPr>
        <w:t>karakteristikat 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cil</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ve do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vler</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sohen vit pas viti n</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var</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si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realizimit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objektivave strategjik</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kushteve t</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tregut dhe preferenca</w:t>
      </w:r>
      <w:r w:rsidR="004F2D76">
        <w:rPr>
          <w:rFonts w:ascii="Times New Roman" w:eastAsia="Times New Roman" w:hAnsi="Times New Roman" w:cs="Times New Roman"/>
          <w:bCs/>
          <w:noProof/>
          <w:sz w:val="24"/>
          <w:szCs w:val="28"/>
          <w:lang w:val="sq-AL"/>
        </w:rPr>
        <w:t>ve</w:t>
      </w:r>
      <w:r w:rsidRPr="00FB61A5">
        <w:rPr>
          <w:rFonts w:ascii="Times New Roman" w:eastAsia="Times New Roman" w:hAnsi="Times New Roman" w:cs="Times New Roman"/>
          <w:bCs/>
          <w:noProof/>
          <w:sz w:val="24"/>
          <w:szCs w:val="28"/>
          <w:lang w:val="sq-AL"/>
        </w:rPr>
        <w:t xml:space="preserve"> </w:t>
      </w:r>
      <w:r w:rsidR="004F2D76">
        <w:rPr>
          <w:rFonts w:ascii="Times New Roman" w:eastAsia="Times New Roman" w:hAnsi="Times New Roman" w:cs="Times New Roman"/>
          <w:bCs/>
          <w:noProof/>
          <w:sz w:val="24"/>
          <w:szCs w:val="28"/>
          <w:lang w:val="sq-AL"/>
        </w:rPr>
        <w:t>të</w:t>
      </w:r>
      <w:r w:rsidRPr="00FB61A5">
        <w:rPr>
          <w:rFonts w:ascii="Times New Roman" w:eastAsia="Times New Roman" w:hAnsi="Times New Roman" w:cs="Times New Roman"/>
          <w:bCs/>
          <w:noProof/>
          <w:sz w:val="24"/>
          <w:szCs w:val="28"/>
          <w:lang w:val="sq-AL"/>
        </w:rPr>
        <w:t xml:space="preserve"> k</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rkes</w:t>
      </w:r>
      <w:r w:rsidR="00134053"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w:t>
      </w:r>
      <w:r w:rsidR="00A83342" w:rsidRPr="00FB61A5">
        <w:rPr>
          <w:rFonts w:ascii="Times New Roman" w:eastAsia="Times New Roman" w:hAnsi="Times New Roman" w:cs="Times New Roman"/>
          <w:bCs/>
          <w:noProof/>
          <w:sz w:val="24"/>
          <w:szCs w:val="28"/>
          <w:lang w:val="sq-AL"/>
        </w:rPr>
        <w:t xml:space="preserve"> </w:t>
      </w:r>
    </w:p>
    <w:p w14:paraId="71DF5E1C" w14:textId="77777777" w:rsidR="009053CD" w:rsidRPr="00FB61A5" w:rsidRDefault="009053CD" w:rsidP="009053CD">
      <w:pPr>
        <w:pStyle w:val="ListParagraph"/>
        <w:tabs>
          <w:tab w:val="left" w:pos="2730"/>
        </w:tabs>
        <w:spacing w:line="276" w:lineRule="auto"/>
        <w:ind w:left="567" w:right="237"/>
        <w:jc w:val="both"/>
        <w:rPr>
          <w:rFonts w:ascii="Times New Roman" w:eastAsia="Times New Roman" w:hAnsi="Times New Roman" w:cs="Times New Roman"/>
          <w:bCs/>
          <w:noProof/>
          <w:sz w:val="16"/>
          <w:szCs w:val="28"/>
          <w:lang w:val="sq-AL"/>
        </w:rPr>
      </w:pPr>
    </w:p>
    <w:p w14:paraId="71DF5E1D" w14:textId="77777777" w:rsidR="005D2ACB" w:rsidRPr="00FB61A5" w:rsidRDefault="009053CD" w:rsidP="00FB61A5">
      <w:pPr>
        <w:pStyle w:val="ListParagraph"/>
        <w:numPr>
          <w:ilvl w:val="0"/>
          <w:numId w:val="13"/>
        </w:numPr>
        <w:tabs>
          <w:tab w:val="left" w:pos="2730"/>
        </w:tabs>
        <w:spacing w:line="276" w:lineRule="auto"/>
        <w:ind w:left="284" w:right="237"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Financimi huaj</w:t>
      </w:r>
      <w:r w:rsidR="005D2ACB" w:rsidRPr="00FB61A5">
        <w:rPr>
          <w:rFonts w:ascii="Times New Roman" w:eastAsia="Times New Roman" w:hAnsi="Times New Roman" w:cs="Times New Roman"/>
          <w:bCs/>
          <w:noProof/>
          <w:sz w:val="24"/>
          <w:szCs w:val="28"/>
          <w:lang w:val="sq-AL"/>
        </w:rPr>
        <w:t>, n</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 xml:space="preserve"> terma bruto do t</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 xml:space="preserve"> plot</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soj</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 xml:space="preserve"> deri n</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 xml:space="preserve"> 20% t</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 xml:space="preserve"> nevojave p</w:t>
      </w:r>
      <w:r w:rsidR="000D7062" w:rsidRPr="00FB61A5">
        <w:rPr>
          <w:rFonts w:ascii="Times New Roman" w:eastAsia="Times New Roman" w:hAnsi="Times New Roman" w:cs="Times New Roman"/>
          <w:bCs/>
          <w:noProof/>
          <w:sz w:val="24"/>
          <w:szCs w:val="28"/>
          <w:lang w:val="sq-AL"/>
        </w:rPr>
        <w:t>ë</w:t>
      </w:r>
      <w:r w:rsidR="005D2ACB" w:rsidRPr="00FB61A5">
        <w:rPr>
          <w:rFonts w:ascii="Times New Roman" w:eastAsia="Times New Roman" w:hAnsi="Times New Roman" w:cs="Times New Roman"/>
          <w:bCs/>
          <w:noProof/>
          <w:sz w:val="24"/>
          <w:szCs w:val="28"/>
          <w:lang w:val="sq-AL"/>
        </w:rPr>
        <w:t>r huamarrje.</w:t>
      </w:r>
      <w:r w:rsidR="00A2287B" w:rsidRPr="00FB61A5">
        <w:rPr>
          <w:rFonts w:ascii="Times New Roman" w:eastAsia="Times New Roman" w:hAnsi="Times New Roman" w:cs="Times New Roman"/>
          <w:bCs/>
          <w:noProof/>
          <w:sz w:val="24"/>
          <w:szCs w:val="28"/>
          <w:lang w:val="sq-AL"/>
        </w:rPr>
        <w:t xml:space="preserve"> </w:t>
      </w:r>
      <w:r w:rsidR="009A3C2E" w:rsidRPr="00FB61A5">
        <w:rPr>
          <w:rFonts w:ascii="Times New Roman" w:eastAsia="Times New Roman" w:hAnsi="Times New Roman" w:cs="Times New Roman"/>
          <w:bCs/>
          <w:noProof/>
          <w:sz w:val="24"/>
          <w:szCs w:val="28"/>
          <w:lang w:val="sq-AL"/>
        </w:rPr>
        <w:t>N</w:t>
      </w:r>
      <w:r w:rsidR="000D7062" w:rsidRPr="00FB61A5">
        <w:rPr>
          <w:rFonts w:ascii="Times New Roman" w:eastAsia="Times New Roman" w:hAnsi="Times New Roman" w:cs="Times New Roman"/>
          <w:bCs/>
          <w:noProof/>
          <w:sz w:val="24"/>
          <w:szCs w:val="28"/>
          <w:lang w:val="sq-AL"/>
        </w:rPr>
        <w:t>ë</w:t>
      </w:r>
      <w:r w:rsidR="009A3C2E" w:rsidRPr="00FB61A5">
        <w:rPr>
          <w:rFonts w:ascii="Times New Roman" w:eastAsia="Times New Roman" w:hAnsi="Times New Roman" w:cs="Times New Roman"/>
          <w:bCs/>
          <w:noProof/>
          <w:sz w:val="24"/>
          <w:szCs w:val="28"/>
          <w:lang w:val="sq-AL"/>
        </w:rPr>
        <w:t>p</w:t>
      </w:r>
      <w:r w:rsidR="000D7062" w:rsidRPr="00FB61A5">
        <w:rPr>
          <w:rFonts w:ascii="Times New Roman" w:eastAsia="Times New Roman" w:hAnsi="Times New Roman" w:cs="Times New Roman"/>
          <w:bCs/>
          <w:noProof/>
          <w:sz w:val="24"/>
          <w:szCs w:val="28"/>
          <w:lang w:val="sq-AL"/>
        </w:rPr>
        <w:t>ë</w:t>
      </w:r>
      <w:r w:rsidR="009A3C2E" w:rsidRPr="00FB61A5">
        <w:rPr>
          <w:rFonts w:ascii="Times New Roman" w:eastAsia="Times New Roman" w:hAnsi="Times New Roman" w:cs="Times New Roman"/>
          <w:bCs/>
          <w:noProof/>
          <w:sz w:val="24"/>
          <w:szCs w:val="28"/>
          <w:lang w:val="sq-AL"/>
        </w:rPr>
        <w:t>rmjet k</w:t>
      </w:r>
      <w:r w:rsidR="000D7062" w:rsidRPr="00FB61A5">
        <w:rPr>
          <w:rFonts w:ascii="Times New Roman" w:eastAsia="Times New Roman" w:hAnsi="Times New Roman" w:cs="Times New Roman"/>
          <w:bCs/>
          <w:noProof/>
          <w:sz w:val="24"/>
          <w:szCs w:val="28"/>
          <w:lang w:val="sq-AL"/>
        </w:rPr>
        <w:t>ë</w:t>
      </w:r>
      <w:r w:rsidR="009A3C2E" w:rsidRPr="00FB61A5">
        <w:rPr>
          <w:rFonts w:ascii="Times New Roman" w:eastAsia="Times New Roman" w:hAnsi="Times New Roman" w:cs="Times New Roman"/>
          <w:bCs/>
          <w:noProof/>
          <w:sz w:val="24"/>
          <w:szCs w:val="28"/>
          <w:lang w:val="sq-AL"/>
        </w:rPr>
        <w:t xml:space="preserve">tij financimi </w:t>
      </w:r>
      <w:r w:rsidR="00A2287B" w:rsidRPr="00FB61A5">
        <w:rPr>
          <w:rFonts w:ascii="Times New Roman" w:eastAsia="Times New Roman" w:hAnsi="Times New Roman" w:cs="Times New Roman"/>
          <w:bCs/>
          <w:noProof/>
          <w:sz w:val="24"/>
          <w:szCs w:val="28"/>
          <w:lang w:val="sq-AL"/>
        </w:rPr>
        <w:t>do 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 syno</w:t>
      </w:r>
      <w:r w:rsidR="009A3C2E" w:rsidRPr="00FB61A5">
        <w:rPr>
          <w:rFonts w:ascii="Times New Roman" w:eastAsia="Times New Roman" w:hAnsi="Times New Roman" w:cs="Times New Roman"/>
          <w:bCs/>
          <w:noProof/>
          <w:sz w:val="24"/>
          <w:szCs w:val="28"/>
          <w:lang w:val="sq-AL"/>
        </w:rPr>
        <w:t>het</w:t>
      </w:r>
      <w:r w:rsidR="00A2287B" w:rsidRPr="00FB61A5">
        <w:rPr>
          <w:rFonts w:ascii="Times New Roman" w:eastAsia="Times New Roman" w:hAnsi="Times New Roman" w:cs="Times New Roman"/>
          <w:bCs/>
          <w:noProof/>
          <w:sz w:val="24"/>
          <w:szCs w:val="28"/>
          <w:lang w:val="sq-AL"/>
        </w:rPr>
        <w:t xml:space="preserve"> 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 xml:space="preserve"> plot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so</w:t>
      </w:r>
      <w:r w:rsidR="009A3C2E" w:rsidRPr="00FB61A5">
        <w:rPr>
          <w:rFonts w:ascii="Times New Roman" w:eastAsia="Times New Roman" w:hAnsi="Times New Roman" w:cs="Times New Roman"/>
          <w:bCs/>
          <w:noProof/>
          <w:sz w:val="24"/>
          <w:szCs w:val="28"/>
          <w:lang w:val="sq-AL"/>
        </w:rPr>
        <w:t>het</w:t>
      </w:r>
      <w:r w:rsidR="00A2287B" w:rsidRPr="00FB61A5">
        <w:rPr>
          <w:rFonts w:ascii="Times New Roman" w:eastAsia="Times New Roman" w:hAnsi="Times New Roman" w:cs="Times New Roman"/>
          <w:bCs/>
          <w:noProof/>
          <w:sz w:val="24"/>
          <w:szCs w:val="28"/>
          <w:lang w:val="sq-AL"/>
        </w:rPr>
        <w:t xml:space="preserve"> </w:t>
      </w:r>
      <w:r w:rsidR="009A3C2E" w:rsidRPr="00FB61A5">
        <w:rPr>
          <w:rFonts w:ascii="Times New Roman" w:eastAsia="Times New Roman" w:hAnsi="Times New Roman" w:cs="Times New Roman"/>
          <w:bCs/>
          <w:noProof/>
          <w:sz w:val="24"/>
          <w:szCs w:val="28"/>
          <w:lang w:val="sq-AL"/>
        </w:rPr>
        <w:t xml:space="preserve">pjesa e mbetur e </w:t>
      </w:r>
      <w:r w:rsidR="00A2287B" w:rsidRPr="00FB61A5">
        <w:rPr>
          <w:rFonts w:ascii="Times New Roman" w:eastAsia="Times New Roman" w:hAnsi="Times New Roman" w:cs="Times New Roman"/>
          <w:bCs/>
          <w:noProof/>
          <w:sz w:val="24"/>
          <w:szCs w:val="28"/>
          <w:lang w:val="sq-AL"/>
        </w:rPr>
        <w:t>deficitit</w:t>
      </w:r>
      <w:r w:rsidR="00602070" w:rsidRPr="00FB61A5">
        <w:rPr>
          <w:rFonts w:ascii="Times New Roman" w:eastAsia="Times New Roman" w:hAnsi="Times New Roman" w:cs="Times New Roman"/>
          <w:bCs/>
          <w:noProof/>
          <w:sz w:val="24"/>
          <w:szCs w:val="28"/>
          <w:lang w:val="sq-AL"/>
        </w:rPr>
        <w:t xml:space="preserve"> buxhetor</w:t>
      </w:r>
      <w:r w:rsidR="00A2287B" w:rsidRPr="00FB61A5">
        <w:rPr>
          <w:rFonts w:ascii="Times New Roman" w:eastAsia="Times New Roman" w:hAnsi="Times New Roman" w:cs="Times New Roman"/>
          <w:bCs/>
          <w:noProof/>
          <w:sz w:val="24"/>
          <w:szCs w:val="28"/>
          <w:lang w:val="sq-AL"/>
        </w:rPr>
        <w:t xml:space="preserve">, </w:t>
      </w:r>
      <w:r w:rsidR="00602070" w:rsidRPr="00FB61A5">
        <w:rPr>
          <w:rFonts w:ascii="Times New Roman" w:eastAsia="Times New Roman" w:hAnsi="Times New Roman" w:cs="Times New Roman"/>
          <w:bCs/>
          <w:noProof/>
          <w:sz w:val="24"/>
          <w:szCs w:val="28"/>
          <w:lang w:val="sq-AL"/>
        </w:rPr>
        <w:t>si edhe t</w:t>
      </w:r>
      <w:r w:rsidR="000D7062" w:rsidRPr="00FB61A5">
        <w:rPr>
          <w:rFonts w:ascii="Times New Roman" w:eastAsia="Times New Roman" w:hAnsi="Times New Roman" w:cs="Times New Roman"/>
          <w:bCs/>
          <w:noProof/>
          <w:sz w:val="24"/>
          <w:szCs w:val="28"/>
          <w:lang w:val="sq-AL"/>
        </w:rPr>
        <w:t>ë</w:t>
      </w:r>
      <w:r w:rsidR="00602070" w:rsidRPr="00FB61A5">
        <w:rPr>
          <w:rFonts w:ascii="Times New Roman" w:eastAsia="Times New Roman" w:hAnsi="Times New Roman" w:cs="Times New Roman"/>
          <w:bCs/>
          <w:noProof/>
          <w:sz w:val="24"/>
          <w:szCs w:val="28"/>
          <w:lang w:val="sq-AL"/>
        </w:rPr>
        <w:t xml:space="preserve"> mund</w:t>
      </w:r>
      <w:r w:rsidR="000D7062" w:rsidRPr="00FB61A5">
        <w:rPr>
          <w:rFonts w:ascii="Times New Roman" w:eastAsia="Times New Roman" w:hAnsi="Times New Roman" w:cs="Times New Roman"/>
          <w:bCs/>
          <w:noProof/>
          <w:sz w:val="24"/>
          <w:szCs w:val="28"/>
          <w:lang w:val="sq-AL"/>
        </w:rPr>
        <w:t>ë</w:t>
      </w:r>
      <w:r w:rsidR="00602070" w:rsidRPr="00FB61A5">
        <w:rPr>
          <w:rFonts w:ascii="Times New Roman" w:eastAsia="Times New Roman" w:hAnsi="Times New Roman" w:cs="Times New Roman"/>
          <w:bCs/>
          <w:noProof/>
          <w:sz w:val="24"/>
          <w:szCs w:val="28"/>
          <w:lang w:val="sq-AL"/>
        </w:rPr>
        <w:t>sohet</w:t>
      </w:r>
      <w:r w:rsidR="009A3C2E" w:rsidRPr="00FB61A5">
        <w:rPr>
          <w:rFonts w:ascii="Times New Roman" w:eastAsia="Times New Roman" w:hAnsi="Times New Roman" w:cs="Times New Roman"/>
          <w:bCs/>
          <w:noProof/>
          <w:sz w:val="24"/>
          <w:szCs w:val="28"/>
          <w:lang w:val="sq-AL"/>
        </w:rPr>
        <w:t xml:space="preserve"> menaxh</w:t>
      </w:r>
      <w:r w:rsidR="00602070" w:rsidRPr="00FB61A5">
        <w:rPr>
          <w:rFonts w:ascii="Times New Roman" w:eastAsia="Times New Roman" w:hAnsi="Times New Roman" w:cs="Times New Roman"/>
          <w:bCs/>
          <w:noProof/>
          <w:sz w:val="24"/>
          <w:szCs w:val="28"/>
          <w:lang w:val="sq-AL"/>
        </w:rPr>
        <w:t>imi i</w:t>
      </w:r>
      <w:r w:rsidR="009A3C2E" w:rsidRPr="00FB61A5">
        <w:rPr>
          <w:rFonts w:ascii="Times New Roman" w:eastAsia="Times New Roman" w:hAnsi="Times New Roman" w:cs="Times New Roman"/>
          <w:bCs/>
          <w:noProof/>
          <w:sz w:val="24"/>
          <w:szCs w:val="28"/>
          <w:lang w:val="sq-AL"/>
        </w:rPr>
        <w:t xml:space="preserve"> detyrime</w:t>
      </w:r>
      <w:r w:rsidR="00602070" w:rsidRPr="00FB61A5">
        <w:rPr>
          <w:rFonts w:ascii="Times New Roman" w:eastAsia="Times New Roman" w:hAnsi="Times New Roman" w:cs="Times New Roman"/>
          <w:bCs/>
          <w:noProof/>
          <w:sz w:val="24"/>
          <w:szCs w:val="28"/>
          <w:lang w:val="sq-AL"/>
        </w:rPr>
        <w:t>ve</w:t>
      </w:r>
      <w:r w:rsidR="009A3C2E" w:rsidRPr="00FB61A5">
        <w:rPr>
          <w:rFonts w:ascii="Times New Roman" w:eastAsia="Times New Roman" w:hAnsi="Times New Roman" w:cs="Times New Roman"/>
          <w:bCs/>
          <w:noProof/>
          <w:sz w:val="24"/>
          <w:szCs w:val="28"/>
          <w:lang w:val="sq-AL"/>
        </w:rPr>
        <w:t xml:space="preserve"> </w:t>
      </w:r>
      <w:r w:rsidR="00602070" w:rsidRPr="00FB61A5">
        <w:rPr>
          <w:rFonts w:ascii="Times New Roman" w:eastAsia="Times New Roman" w:hAnsi="Times New Roman" w:cs="Times New Roman"/>
          <w:bCs/>
          <w:noProof/>
          <w:sz w:val="24"/>
          <w:szCs w:val="28"/>
          <w:lang w:val="sq-AL"/>
        </w:rPr>
        <w:t>t</w:t>
      </w:r>
      <w:r w:rsidR="000D7062" w:rsidRPr="00FB61A5">
        <w:rPr>
          <w:rFonts w:ascii="Times New Roman" w:eastAsia="Times New Roman" w:hAnsi="Times New Roman" w:cs="Times New Roman"/>
          <w:bCs/>
          <w:noProof/>
          <w:sz w:val="24"/>
          <w:szCs w:val="28"/>
          <w:lang w:val="sq-AL"/>
        </w:rPr>
        <w:t>ë</w:t>
      </w:r>
      <w:r w:rsidR="009A3C2E" w:rsidRPr="00FB61A5">
        <w:rPr>
          <w:rFonts w:ascii="Times New Roman" w:eastAsia="Times New Roman" w:hAnsi="Times New Roman" w:cs="Times New Roman"/>
          <w:bCs/>
          <w:noProof/>
          <w:sz w:val="24"/>
          <w:szCs w:val="28"/>
          <w:lang w:val="sq-AL"/>
        </w:rPr>
        <w:t xml:space="preserve"> borxhit n</w:t>
      </w:r>
      <w:r w:rsidR="000D7062" w:rsidRPr="00FB61A5">
        <w:rPr>
          <w:rFonts w:ascii="Times New Roman" w:eastAsia="Times New Roman" w:hAnsi="Times New Roman" w:cs="Times New Roman"/>
          <w:bCs/>
          <w:noProof/>
          <w:sz w:val="24"/>
          <w:szCs w:val="28"/>
          <w:lang w:val="sq-AL"/>
        </w:rPr>
        <w:t>ë</w:t>
      </w:r>
      <w:r w:rsidR="009A3C2E" w:rsidRPr="00FB61A5">
        <w:rPr>
          <w:rFonts w:ascii="Times New Roman" w:eastAsia="Times New Roman" w:hAnsi="Times New Roman" w:cs="Times New Roman"/>
          <w:bCs/>
          <w:noProof/>
          <w:sz w:val="24"/>
          <w:szCs w:val="28"/>
          <w:lang w:val="sq-AL"/>
        </w:rPr>
        <w:t xml:space="preserve"> valut</w:t>
      </w:r>
      <w:r w:rsidR="000D7062" w:rsidRPr="00FB61A5">
        <w:rPr>
          <w:rFonts w:ascii="Times New Roman" w:eastAsia="Times New Roman" w:hAnsi="Times New Roman" w:cs="Times New Roman"/>
          <w:bCs/>
          <w:noProof/>
          <w:sz w:val="24"/>
          <w:szCs w:val="28"/>
          <w:lang w:val="sq-AL"/>
        </w:rPr>
        <w:t>ë</w:t>
      </w:r>
      <w:r w:rsidR="00A2287B" w:rsidRPr="00FB61A5">
        <w:rPr>
          <w:rFonts w:ascii="Times New Roman" w:eastAsia="Times New Roman" w:hAnsi="Times New Roman" w:cs="Times New Roman"/>
          <w:bCs/>
          <w:noProof/>
          <w:sz w:val="24"/>
          <w:szCs w:val="28"/>
          <w:lang w:val="sq-AL"/>
        </w:rPr>
        <w:t>.</w:t>
      </w:r>
      <w:r w:rsidR="00D71E07" w:rsidRPr="00FB61A5">
        <w:rPr>
          <w:rFonts w:ascii="Times New Roman" w:eastAsia="Times New Roman" w:hAnsi="Times New Roman" w:cs="Times New Roman"/>
          <w:bCs/>
          <w:noProof/>
          <w:sz w:val="24"/>
          <w:szCs w:val="28"/>
          <w:lang w:val="sq-AL"/>
        </w:rPr>
        <w:t xml:space="preserve"> Burimet kryesore t</w:t>
      </w:r>
      <w:r w:rsidR="000D7062" w:rsidRPr="00FB61A5">
        <w:rPr>
          <w:rFonts w:ascii="Times New Roman" w:eastAsia="Times New Roman" w:hAnsi="Times New Roman" w:cs="Times New Roman"/>
          <w:bCs/>
          <w:noProof/>
          <w:sz w:val="24"/>
          <w:szCs w:val="28"/>
          <w:lang w:val="sq-AL"/>
        </w:rPr>
        <w:t>ë</w:t>
      </w:r>
      <w:r w:rsidR="00D71E07" w:rsidRPr="00FB61A5">
        <w:rPr>
          <w:rFonts w:ascii="Times New Roman" w:eastAsia="Times New Roman" w:hAnsi="Times New Roman" w:cs="Times New Roman"/>
          <w:bCs/>
          <w:noProof/>
          <w:sz w:val="24"/>
          <w:szCs w:val="28"/>
          <w:lang w:val="sq-AL"/>
        </w:rPr>
        <w:t xml:space="preserve"> financimit t</w:t>
      </w:r>
      <w:r w:rsidR="000D7062" w:rsidRPr="00FB61A5">
        <w:rPr>
          <w:rFonts w:ascii="Times New Roman" w:eastAsia="Times New Roman" w:hAnsi="Times New Roman" w:cs="Times New Roman"/>
          <w:bCs/>
          <w:noProof/>
          <w:sz w:val="24"/>
          <w:szCs w:val="28"/>
          <w:lang w:val="sq-AL"/>
        </w:rPr>
        <w:t>ë</w:t>
      </w:r>
      <w:r w:rsidR="00D71E07" w:rsidRPr="00FB61A5">
        <w:rPr>
          <w:rFonts w:ascii="Times New Roman" w:eastAsia="Times New Roman" w:hAnsi="Times New Roman" w:cs="Times New Roman"/>
          <w:bCs/>
          <w:noProof/>
          <w:sz w:val="24"/>
          <w:szCs w:val="28"/>
          <w:lang w:val="sq-AL"/>
        </w:rPr>
        <w:t xml:space="preserve"> huaj planifikohe</w:t>
      </w:r>
      <w:r w:rsidR="007D60C0">
        <w:rPr>
          <w:rFonts w:ascii="Times New Roman" w:eastAsia="Times New Roman" w:hAnsi="Times New Roman" w:cs="Times New Roman"/>
          <w:bCs/>
          <w:noProof/>
          <w:sz w:val="24"/>
          <w:szCs w:val="28"/>
          <w:lang w:val="sq-AL"/>
        </w:rPr>
        <w:t>n</w:t>
      </w:r>
      <w:r w:rsidR="00D71E07" w:rsidRPr="00FB61A5">
        <w:rPr>
          <w:rFonts w:ascii="Times New Roman" w:eastAsia="Times New Roman" w:hAnsi="Times New Roman" w:cs="Times New Roman"/>
          <w:bCs/>
          <w:noProof/>
          <w:sz w:val="24"/>
          <w:szCs w:val="28"/>
          <w:lang w:val="sq-AL"/>
        </w:rPr>
        <w:t xml:space="preserve"> t</w:t>
      </w:r>
      <w:r w:rsidR="000D7062" w:rsidRPr="00FB61A5">
        <w:rPr>
          <w:rFonts w:ascii="Times New Roman" w:eastAsia="Times New Roman" w:hAnsi="Times New Roman" w:cs="Times New Roman"/>
          <w:bCs/>
          <w:noProof/>
          <w:sz w:val="24"/>
          <w:szCs w:val="28"/>
          <w:lang w:val="sq-AL"/>
        </w:rPr>
        <w:t>ë</w:t>
      </w:r>
      <w:r w:rsidR="00D71E07" w:rsidRPr="00FB61A5">
        <w:rPr>
          <w:rFonts w:ascii="Times New Roman" w:eastAsia="Times New Roman" w:hAnsi="Times New Roman" w:cs="Times New Roman"/>
          <w:bCs/>
          <w:noProof/>
          <w:sz w:val="24"/>
          <w:szCs w:val="28"/>
          <w:lang w:val="sq-AL"/>
        </w:rPr>
        <w:t xml:space="preserve"> jen</w:t>
      </w:r>
      <w:r w:rsidR="000D7062" w:rsidRPr="00FB61A5">
        <w:rPr>
          <w:rFonts w:ascii="Times New Roman" w:eastAsia="Times New Roman" w:hAnsi="Times New Roman" w:cs="Times New Roman"/>
          <w:bCs/>
          <w:noProof/>
          <w:sz w:val="24"/>
          <w:szCs w:val="28"/>
          <w:lang w:val="sq-AL"/>
        </w:rPr>
        <w:t>ë</w:t>
      </w:r>
      <w:r w:rsidR="00D71E07" w:rsidRPr="00FB61A5">
        <w:rPr>
          <w:rFonts w:ascii="Times New Roman" w:eastAsia="Times New Roman" w:hAnsi="Times New Roman" w:cs="Times New Roman"/>
          <w:bCs/>
          <w:noProof/>
          <w:sz w:val="24"/>
          <w:szCs w:val="28"/>
          <w:lang w:val="sq-AL"/>
        </w:rPr>
        <w:t xml:space="preserve"> burimet me natyr</w:t>
      </w:r>
      <w:r w:rsidR="000D7062" w:rsidRPr="00FB61A5">
        <w:rPr>
          <w:rFonts w:ascii="Times New Roman" w:eastAsia="Times New Roman" w:hAnsi="Times New Roman" w:cs="Times New Roman"/>
          <w:bCs/>
          <w:noProof/>
          <w:sz w:val="24"/>
          <w:szCs w:val="28"/>
          <w:lang w:val="sq-AL"/>
        </w:rPr>
        <w:t>ë</w:t>
      </w:r>
      <w:r w:rsidR="00D71E07" w:rsidRPr="00FB61A5">
        <w:rPr>
          <w:rFonts w:ascii="Times New Roman" w:eastAsia="Times New Roman" w:hAnsi="Times New Roman" w:cs="Times New Roman"/>
          <w:bCs/>
          <w:noProof/>
          <w:sz w:val="24"/>
          <w:szCs w:val="28"/>
          <w:lang w:val="sq-AL"/>
        </w:rPr>
        <w:t xml:space="preserve"> shum</w:t>
      </w:r>
      <w:r w:rsidR="000D7062" w:rsidRPr="00FB61A5">
        <w:rPr>
          <w:rFonts w:ascii="Times New Roman" w:eastAsia="Times New Roman" w:hAnsi="Times New Roman" w:cs="Times New Roman"/>
          <w:bCs/>
          <w:noProof/>
          <w:sz w:val="24"/>
          <w:szCs w:val="28"/>
          <w:lang w:val="sq-AL"/>
        </w:rPr>
        <w:t>ë</w:t>
      </w:r>
      <w:r w:rsidR="007D60C0">
        <w:rPr>
          <w:rFonts w:ascii="Times New Roman" w:eastAsia="Times New Roman" w:hAnsi="Times New Roman" w:cs="Times New Roman"/>
          <w:bCs/>
          <w:noProof/>
          <w:sz w:val="24"/>
          <w:szCs w:val="28"/>
          <w:lang w:val="sq-AL"/>
        </w:rPr>
        <w:t>pal</w:t>
      </w:r>
      <w:r w:rsidR="000D7062" w:rsidRPr="00FB61A5">
        <w:rPr>
          <w:rFonts w:ascii="Times New Roman" w:eastAsia="Times New Roman" w:hAnsi="Times New Roman" w:cs="Times New Roman"/>
          <w:bCs/>
          <w:noProof/>
          <w:sz w:val="24"/>
          <w:szCs w:val="28"/>
          <w:lang w:val="sq-AL"/>
        </w:rPr>
        <w:t>ë</w:t>
      </w:r>
      <w:r w:rsidR="00D71E07" w:rsidRPr="00FB61A5">
        <w:rPr>
          <w:rFonts w:ascii="Times New Roman" w:eastAsia="Times New Roman" w:hAnsi="Times New Roman" w:cs="Times New Roman"/>
          <w:bCs/>
          <w:noProof/>
          <w:sz w:val="24"/>
          <w:szCs w:val="28"/>
          <w:lang w:val="sq-AL"/>
        </w:rPr>
        <w:t>she, dypal</w:t>
      </w:r>
      <w:r w:rsidR="000D7062" w:rsidRPr="00FB61A5">
        <w:rPr>
          <w:rFonts w:ascii="Times New Roman" w:eastAsia="Times New Roman" w:hAnsi="Times New Roman" w:cs="Times New Roman"/>
          <w:bCs/>
          <w:noProof/>
          <w:sz w:val="24"/>
          <w:szCs w:val="28"/>
          <w:lang w:val="sq-AL"/>
        </w:rPr>
        <w:t>ë</w:t>
      </w:r>
      <w:r w:rsidR="00D71E07" w:rsidRPr="00FB61A5">
        <w:rPr>
          <w:rFonts w:ascii="Times New Roman" w:eastAsia="Times New Roman" w:hAnsi="Times New Roman" w:cs="Times New Roman"/>
          <w:bCs/>
          <w:noProof/>
          <w:sz w:val="24"/>
          <w:szCs w:val="28"/>
          <w:lang w:val="sq-AL"/>
        </w:rPr>
        <w:t>she dhe private</w:t>
      </w:r>
      <w:r w:rsidR="006F1242" w:rsidRPr="00FB61A5">
        <w:rPr>
          <w:rFonts w:ascii="Times New Roman" w:eastAsia="Times New Roman" w:hAnsi="Times New Roman" w:cs="Times New Roman"/>
          <w:bCs/>
          <w:noProof/>
          <w:sz w:val="24"/>
          <w:szCs w:val="28"/>
          <w:lang w:val="sq-AL"/>
        </w:rPr>
        <w:t>.</w:t>
      </w:r>
    </w:p>
    <w:p w14:paraId="71DF5E1E" w14:textId="77777777" w:rsidR="00A2287B" w:rsidRPr="00FB61A5" w:rsidRDefault="009A3C2E" w:rsidP="00FB61A5">
      <w:pPr>
        <w:pStyle w:val="ListParagraph"/>
        <w:tabs>
          <w:tab w:val="left" w:pos="2730"/>
        </w:tabs>
        <w:spacing w:line="276" w:lineRule="auto"/>
        <w:ind w:left="284" w:right="237"/>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 xml:space="preserve">Mesatarisht </w:t>
      </w:r>
      <w:r w:rsidR="00602070" w:rsidRPr="00FB61A5">
        <w:rPr>
          <w:rFonts w:ascii="Times New Roman" w:eastAsia="Times New Roman" w:hAnsi="Times New Roman" w:cs="Times New Roman"/>
          <w:bCs/>
          <w:noProof/>
          <w:sz w:val="24"/>
          <w:szCs w:val="28"/>
          <w:lang w:val="sq-AL"/>
        </w:rPr>
        <w:t>r</w:t>
      </w:r>
      <w:r w:rsidR="00A2287B" w:rsidRPr="00FB61A5">
        <w:rPr>
          <w:rFonts w:ascii="Times New Roman" w:eastAsia="Times New Roman" w:hAnsi="Times New Roman" w:cs="Times New Roman"/>
          <w:bCs/>
          <w:noProof/>
          <w:sz w:val="24"/>
          <w:szCs w:val="28"/>
          <w:lang w:val="sq-AL"/>
        </w:rPr>
        <w:t>reth</w:t>
      </w:r>
      <w:r w:rsidRPr="00FB61A5">
        <w:rPr>
          <w:rFonts w:ascii="Times New Roman" w:eastAsia="Times New Roman" w:hAnsi="Times New Roman" w:cs="Times New Roman"/>
          <w:bCs/>
          <w:noProof/>
          <w:sz w:val="24"/>
          <w:szCs w:val="28"/>
          <w:lang w:val="sq-AL"/>
        </w:rPr>
        <w:t xml:space="preserve"> 60% e financimit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huaj </w:t>
      </w:r>
      <w:r w:rsidR="00602070" w:rsidRPr="00FB61A5">
        <w:rPr>
          <w:rFonts w:ascii="Times New Roman" w:eastAsia="Times New Roman" w:hAnsi="Times New Roman" w:cs="Times New Roman"/>
          <w:bCs/>
          <w:noProof/>
          <w:sz w:val="24"/>
          <w:szCs w:val="28"/>
          <w:lang w:val="sq-AL"/>
        </w:rPr>
        <w:t>planifikohet t</w:t>
      </w:r>
      <w:r w:rsidR="000D7062" w:rsidRPr="00FB61A5">
        <w:rPr>
          <w:rFonts w:ascii="Times New Roman" w:eastAsia="Times New Roman" w:hAnsi="Times New Roman" w:cs="Times New Roman"/>
          <w:bCs/>
          <w:noProof/>
          <w:sz w:val="24"/>
          <w:szCs w:val="28"/>
          <w:lang w:val="sq-AL"/>
        </w:rPr>
        <w:t>ë</w:t>
      </w:r>
      <w:r w:rsidR="00602070" w:rsidRPr="00FB61A5">
        <w:rPr>
          <w:rFonts w:ascii="Times New Roman" w:eastAsia="Times New Roman" w:hAnsi="Times New Roman" w:cs="Times New Roman"/>
          <w:bCs/>
          <w:noProof/>
          <w:sz w:val="24"/>
          <w:szCs w:val="28"/>
          <w:lang w:val="sq-AL"/>
        </w:rPr>
        <w:t xml:space="preserve"> realizohet n</w:t>
      </w:r>
      <w:r w:rsidR="000D7062" w:rsidRPr="00FB61A5">
        <w:rPr>
          <w:rFonts w:ascii="Times New Roman" w:eastAsia="Times New Roman" w:hAnsi="Times New Roman" w:cs="Times New Roman"/>
          <w:bCs/>
          <w:noProof/>
          <w:sz w:val="24"/>
          <w:szCs w:val="28"/>
          <w:lang w:val="sq-AL"/>
        </w:rPr>
        <w:t>ë</w:t>
      </w:r>
      <w:r w:rsidR="00602070" w:rsidRPr="00FB61A5">
        <w:rPr>
          <w:rFonts w:ascii="Times New Roman" w:eastAsia="Times New Roman" w:hAnsi="Times New Roman" w:cs="Times New Roman"/>
          <w:bCs/>
          <w:noProof/>
          <w:sz w:val="24"/>
          <w:szCs w:val="28"/>
          <w:lang w:val="sq-AL"/>
        </w:rPr>
        <w:t>p</w:t>
      </w:r>
      <w:r w:rsidR="000D7062" w:rsidRPr="00FB61A5">
        <w:rPr>
          <w:rFonts w:ascii="Times New Roman" w:eastAsia="Times New Roman" w:hAnsi="Times New Roman" w:cs="Times New Roman"/>
          <w:bCs/>
          <w:noProof/>
          <w:sz w:val="24"/>
          <w:szCs w:val="28"/>
          <w:lang w:val="sq-AL"/>
        </w:rPr>
        <w:t>ë</w:t>
      </w:r>
      <w:r w:rsidR="00602070" w:rsidRPr="00FB61A5">
        <w:rPr>
          <w:rFonts w:ascii="Times New Roman" w:eastAsia="Times New Roman" w:hAnsi="Times New Roman" w:cs="Times New Roman"/>
          <w:bCs/>
          <w:noProof/>
          <w:sz w:val="24"/>
          <w:szCs w:val="28"/>
          <w:lang w:val="sq-AL"/>
        </w:rPr>
        <w:t xml:space="preserve">rmjet </w:t>
      </w:r>
      <w:r w:rsidR="00697702" w:rsidRPr="00FB61A5">
        <w:rPr>
          <w:rFonts w:ascii="Times New Roman" w:eastAsia="Times New Roman" w:hAnsi="Times New Roman" w:cs="Times New Roman"/>
          <w:bCs/>
          <w:noProof/>
          <w:sz w:val="24"/>
          <w:szCs w:val="28"/>
          <w:lang w:val="sq-AL"/>
        </w:rPr>
        <w:t>kredive nga burimet me natyr</w:t>
      </w:r>
      <w:r w:rsidR="000D7062" w:rsidRPr="00FB61A5">
        <w:rPr>
          <w:rFonts w:ascii="Times New Roman" w:eastAsia="Times New Roman" w:hAnsi="Times New Roman" w:cs="Times New Roman"/>
          <w:bCs/>
          <w:noProof/>
          <w:sz w:val="24"/>
          <w:szCs w:val="28"/>
          <w:lang w:val="sq-AL"/>
        </w:rPr>
        <w:t>ë</w:t>
      </w:r>
      <w:r w:rsidR="00697702" w:rsidRPr="00FB61A5">
        <w:rPr>
          <w:rFonts w:ascii="Times New Roman" w:eastAsia="Times New Roman" w:hAnsi="Times New Roman" w:cs="Times New Roman"/>
          <w:bCs/>
          <w:noProof/>
          <w:sz w:val="24"/>
          <w:szCs w:val="28"/>
          <w:lang w:val="sq-AL"/>
        </w:rPr>
        <w:t xml:space="preserve"> shum</w:t>
      </w:r>
      <w:r w:rsidR="000D7062" w:rsidRPr="00FB61A5">
        <w:rPr>
          <w:rFonts w:ascii="Times New Roman" w:eastAsia="Times New Roman" w:hAnsi="Times New Roman" w:cs="Times New Roman"/>
          <w:bCs/>
          <w:noProof/>
          <w:sz w:val="24"/>
          <w:szCs w:val="28"/>
          <w:lang w:val="sq-AL"/>
        </w:rPr>
        <w:t>ë</w:t>
      </w:r>
      <w:r w:rsidR="00697702" w:rsidRPr="00FB61A5">
        <w:rPr>
          <w:rFonts w:ascii="Times New Roman" w:eastAsia="Times New Roman" w:hAnsi="Times New Roman" w:cs="Times New Roman"/>
          <w:bCs/>
          <w:noProof/>
          <w:sz w:val="24"/>
          <w:szCs w:val="28"/>
          <w:lang w:val="sq-AL"/>
        </w:rPr>
        <w:t>pal</w:t>
      </w:r>
      <w:r w:rsidR="000D7062" w:rsidRPr="00FB61A5">
        <w:rPr>
          <w:rFonts w:ascii="Times New Roman" w:eastAsia="Times New Roman" w:hAnsi="Times New Roman" w:cs="Times New Roman"/>
          <w:bCs/>
          <w:noProof/>
          <w:sz w:val="24"/>
          <w:szCs w:val="28"/>
          <w:lang w:val="sq-AL"/>
        </w:rPr>
        <w:t>ë</w:t>
      </w:r>
      <w:r w:rsidR="00697702" w:rsidRPr="00FB61A5">
        <w:rPr>
          <w:rFonts w:ascii="Times New Roman" w:eastAsia="Times New Roman" w:hAnsi="Times New Roman" w:cs="Times New Roman"/>
          <w:bCs/>
          <w:noProof/>
          <w:sz w:val="24"/>
          <w:szCs w:val="28"/>
          <w:lang w:val="sq-AL"/>
        </w:rPr>
        <w:t>she dhe dypal</w:t>
      </w:r>
      <w:r w:rsidR="000D7062" w:rsidRPr="00FB61A5">
        <w:rPr>
          <w:rFonts w:ascii="Times New Roman" w:eastAsia="Times New Roman" w:hAnsi="Times New Roman" w:cs="Times New Roman"/>
          <w:bCs/>
          <w:noProof/>
          <w:sz w:val="24"/>
          <w:szCs w:val="28"/>
          <w:lang w:val="sq-AL"/>
        </w:rPr>
        <w:t>ë</w:t>
      </w:r>
      <w:r w:rsidR="00697702" w:rsidRPr="00FB61A5">
        <w:rPr>
          <w:rFonts w:ascii="Times New Roman" w:eastAsia="Times New Roman" w:hAnsi="Times New Roman" w:cs="Times New Roman"/>
          <w:bCs/>
          <w:noProof/>
          <w:sz w:val="24"/>
          <w:szCs w:val="28"/>
          <w:lang w:val="sq-AL"/>
        </w:rPr>
        <w:t>she. K</w:t>
      </w:r>
      <w:r w:rsidR="000D7062" w:rsidRPr="00FB61A5">
        <w:rPr>
          <w:rFonts w:ascii="Times New Roman" w:eastAsia="Times New Roman" w:hAnsi="Times New Roman" w:cs="Times New Roman"/>
          <w:bCs/>
          <w:noProof/>
          <w:sz w:val="24"/>
          <w:szCs w:val="28"/>
          <w:lang w:val="sq-AL"/>
        </w:rPr>
        <w:t>ë</w:t>
      </w:r>
      <w:r w:rsidR="00697702" w:rsidRPr="00FB61A5">
        <w:rPr>
          <w:rFonts w:ascii="Times New Roman" w:eastAsia="Times New Roman" w:hAnsi="Times New Roman" w:cs="Times New Roman"/>
          <w:bCs/>
          <w:noProof/>
          <w:sz w:val="24"/>
          <w:szCs w:val="28"/>
          <w:lang w:val="sq-AL"/>
        </w:rPr>
        <w:t>to kredi kryesisht do t</w:t>
      </w:r>
      <w:r w:rsidR="000D7062" w:rsidRPr="00FB61A5">
        <w:rPr>
          <w:rFonts w:ascii="Times New Roman" w:eastAsia="Times New Roman" w:hAnsi="Times New Roman" w:cs="Times New Roman"/>
          <w:bCs/>
          <w:noProof/>
          <w:sz w:val="24"/>
          <w:szCs w:val="28"/>
          <w:lang w:val="sq-AL"/>
        </w:rPr>
        <w:t>ë</w:t>
      </w:r>
      <w:r w:rsidR="00697702" w:rsidRPr="00FB61A5">
        <w:rPr>
          <w:rFonts w:ascii="Times New Roman" w:eastAsia="Times New Roman" w:hAnsi="Times New Roman" w:cs="Times New Roman"/>
          <w:bCs/>
          <w:noProof/>
          <w:sz w:val="24"/>
          <w:szCs w:val="28"/>
          <w:lang w:val="sq-AL"/>
        </w:rPr>
        <w:t xml:space="preserve"> financojn</w:t>
      </w:r>
      <w:r w:rsidR="000D7062" w:rsidRPr="00FB61A5">
        <w:rPr>
          <w:rFonts w:ascii="Times New Roman" w:eastAsia="Times New Roman" w:hAnsi="Times New Roman" w:cs="Times New Roman"/>
          <w:bCs/>
          <w:noProof/>
          <w:sz w:val="24"/>
          <w:szCs w:val="28"/>
          <w:lang w:val="sq-AL"/>
        </w:rPr>
        <w:t>ë</w:t>
      </w:r>
      <w:r w:rsidR="00697702" w:rsidRPr="00FB61A5">
        <w:rPr>
          <w:rFonts w:ascii="Times New Roman" w:eastAsia="Times New Roman" w:hAnsi="Times New Roman" w:cs="Times New Roman"/>
          <w:bCs/>
          <w:noProof/>
          <w:sz w:val="24"/>
          <w:szCs w:val="28"/>
          <w:lang w:val="sq-AL"/>
        </w:rPr>
        <w:t xml:space="preserve"> projek</w:t>
      </w:r>
      <w:r w:rsidR="007D60C0">
        <w:rPr>
          <w:rFonts w:ascii="Times New Roman" w:eastAsia="Times New Roman" w:hAnsi="Times New Roman" w:cs="Times New Roman"/>
          <w:bCs/>
          <w:noProof/>
          <w:sz w:val="24"/>
          <w:szCs w:val="28"/>
          <w:lang w:val="sq-AL"/>
        </w:rPr>
        <w:t>t</w:t>
      </w:r>
      <w:r w:rsidR="00697702" w:rsidRPr="00FB61A5">
        <w:rPr>
          <w:rFonts w:ascii="Times New Roman" w:eastAsia="Times New Roman" w:hAnsi="Times New Roman" w:cs="Times New Roman"/>
          <w:bCs/>
          <w:noProof/>
          <w:sz w:val="24"/>
          <w:szCs w:val="28"/>
          <w:lang w:val="sq-AL"/>
        </w:rPr>
        <w:t xml:space="preserve">et </w:t>
      </w:r>
      <w:r w:rsidR="000D6384" w:rsidRPr="00FB61A5">
        <w:rPr>
          <w:rFonts w:ascii="Times New Roman" w:eastAsia="Times New Roman" w:hAnsi="Times New Roman" w:cs="Times New Roman"/>
          <w:bCs/>
          <w:noProof/>
          <w:sz w:val="24"/>
          <w:szCs w:val="28"/>
          <w:lang w:val="sq-AL"/>
        </w:rPr>
        <w:t>me natyr</w:t>
      </w:r>
      <w:r w:rsidR="000D7062" w:rsidRPr="00FB61A5">
        <w:rPr>
          <w:rFonts w:ascii="Times New Roman" w:eastAsia="Times New Roman" w:hAnsi="Times New Roman" w:cs="Times New Roman"/>
          <w:bCs/>
          <w:noProof/>
          <w:sz w:val="24"/>
          <w:szCs w:val="28"/>
          <w:lang w:val="sq-AL"/>
        </w:rPr>
        <w:t>ë</w:t>
      </w:r>
      <w:r w:rsidR="000D6384" w:rsidRPr="00FB61A5">
        <w:rPr>
          <w:rFonts w:ascii="Times New Roman" w:eastAsia="Times New Roman" w:hAnsi="Times New Roman" w:cs="Times New Roman"/>
          <w:bCs/>
          <w:noProof/>
          <w:sz w:val="24"/>
          <w:szCs w:val="28"/>
          <w:lang w:val="sq-AL"/>
        </w:rPr>
        <w:t xml:space="preserve"> </w:t>
      </w:r>
      <w:r w:rsidR="00697702" w:rsidRPr="00FB61A5">
        <w:rPr>
          <w:rFonts w:ascii="Times New Roman" w:eastAsia="Times New Roman" w:hAnsi="Times New Roman" w:cs="Times New Roman"/>
          <w:bCs/>
          <w:noProof/>
          <w:sz w:val="24"/>
          <w:szCs w:val="28"/>
          <w:lang w:val="sq-AL"/>
        </w:rPr>
        <w:t xml:space="preserve">zhvillimore </w:t>
      </w:r>
      <w:r w:rsidR="000D6384" w:rsidRPr="00FB61A5">
        <w:rPr>
          <w:rFonts w:ascii="Times New Roman" w:eastAsia="Times New Roman" w:hAnsi="Times New Roman" w:cs="Times New Roman"/>
          <w:bCs/>
          <w:noProof/>
          <w:sz w:val="24"/>
          <w:szCs w:val="28"/>
          <w:lang w:val="sq-AL"/>
        </w:rPr>
        <w:t>dhe do t</w:t>
      </w:r>
      <w:r w:rsidR="000D7062" w:rsidRPr="00FB61A5">
        <w:rPr>
          <w:rFonts w:ascii="Times New Roman" w:eastAsia="Times New Roman" w:hAnsi="Times New Roman" w:cs="Times New Roman"/>
          <w:bCs/>
          <w:noProof/>
          <w:sz w:val="24"/>
          <w:szCs w:val="28"/>
          <w:lang w:val="sq-AL"/>
        </w:rPr>
        <w:t>ë</w:t>
      </w:r>
      <w:r w:rsidR="000D6384" w:rsidRPr="00FB61A5">
        <w:rPr>
          <w:rFonts w:ascii="Times New Roman" w:eastAsia="Times New Roman" w:hAnsi="Times New Roman" w:cs="Times New Roman"/>
          <w:bCs/>
          <w:noProof/>
          <w:sz w:val="24"/>
          <w:szCs w:val="28"/>
          <w:lang w:val="sq-AL"/>
        </w:rPr>
        <w:t xml:space="preserve"> mb</w:t>
      </w:r>
      <w:r w:rsidR="000D7062" w:rsidRPr="00FB61A5">
        <w:rPr>
          <w:rFonts w:ascii="Times New Roman" w:eastAsia="Times New Roman" w:hAnsi="Times New Roman" w:cs="Times New Roman"/>
          <w:bCs/>
          <w:noProof/>
          <w:sz w:val="24"/>
          <w:szCs w:val="28"/>
          <w:lang w:val="sq-AL"/>
        </w:rPr>
        <w:t>ë</w:t>
      </w:r>
      <w:r w:rsidR="000D6384" w:rsidRPr="00FB61A5">
        <w:rPr>
          <w:rFonts w:ascii="Times New Roman" w:eastAsia="Times New Roman" w:hAnsi="Times New Roman" w:cs="Times New Roman"/>
          <w:bCs/>
          <w:noProof/>
          <w:sz w:val="24"/>
          <w:szCs w:val="28"/>
          <w:lang w:val="sq-AL"/>
        </w:rPr>
        <w:t>shtesin buxhetin</w:t>
      </w:r>
      <w:r w:rsidR="001F1089" w:rsidRPr="00FB61A5">
        <w:rPr>
          <w:rFonts w:ascii="Times New Roman" w:eastAsia="Times New Roman" w:hAnsi="Times New Roman" w:cs="Times New Roman"/>
          <w:bCs/>
          <w:noProof/>
          <w:sz w:val="24"/>
          <w:szCs w:val="28"/>
          <w:lang w:val="sq-AL"/>
        </w:rPr>
        <w:t xml:space="preserve"> </w:t>
      </w:r>
      <w:r w:rsidR="000D6384" w:rsidRPr="00FB61A5">
        <w:rPr>
          <w:rFonts w:ascii="Times New Roman" w:eastAsia="Times New Roman" w:hAnsi="Times New Roman" w:cs="Times New Roman"/>
          <w:bCs/>
          <w:noProof/>
          <w:sz w:val="24"/>
          <w:szCs w:val="28"/>
          <w:lang w:val="sq-AL"/>
        </w:rPr>
        <w:t>p</w:t>
      </w:r>
      <w:r w:rsidR="000D7062" w:rsidRPr="00FB61A5">
        <w:rPr>
          <w:rFonts w:ascii="Times New Roman" w:eastAsia="Times New Roman" w:hAnsi="Times New Roman" w:cs="Times New Roman"/>
          <w:bCs/>
          <w:noProof/>
          <w:sz w:val="24"/>
          <w:szCs w:val="28"/>
          <w:lang w:val="sq-AL"/>
        </w:rPr>
        <w:t>ë</w:t>
      </w:r>
      <w:r w:rsidR="000D6384" w:rsidRPr="00FB61A5">
        <w:rPr>
          <w:rFonts w:ascii="Times New Roman" w:eastAsia="Times New Roman" w:hAnsi="Times New Roman" w:cs="Times New Roman"/>
          <w:bCs/>
          <w:noProof/>
          <w:sz w:val="24"/>
          <w:szCs w:val="28"/>
          <w:lang w:val="sq-AL"/>
        </w:rPr>
        <w:t>r reformat e nd</w:t>
      </w:r>
      <w:r w:rsidR="000D7062" w:rsidRPr="00FB61A5">
        <w:rPr>
          <w:rFonts w:ascii="Times New Roman" w:eastAsia="Times New Roman" w:hAnsi="Times New Roman" w:cs="Times New Roman"/>
          <w:bCs/>
          <w:noProof/>
          <w:sz w:val="24"/>
          <w:szCs w:val="28"/>
          <w:lang w:val="sq-AL"/>
        </w:rPr>
        <w:t>ë</w:t>
      </w:r>
      <w:r w:rsidR="000D6384" w:rsidRPr="00FB61A5">
        <w:rPr>
          <w:rFonts w:ascii="Times New Roman" w:eastAsia="Times New Roman" w:hAnsi="Times New Roman" w:cs="Times New Roman"/>
          <w:bCs/>
          <w:noProof/>
          <w:sz w:val="24"/>
          <w:szCs w:val="28"/>
          <w:lang w:val="sq-AL"/>
        </w:rPr>
        <w:t>rmarra nga qeveria.</w:t>
      </w:r>
    </w:p>
    <w:p w14:paraId="71DF5E1F" w14:textId="77777777" w:rsidR="00890903" w:rsidRDefault="00BA3C7E" w:rsidP="00F62D03">
      <w:pPr>
        <w:pStyle w:val="ListParagraph"/>
        <w:numPr>
          <w:ilvl w:val="0"/>
          <w:numId w:val="13"/>
        </w:numPr>
        <w:tabs>
          <w:tab w:val="left" w:pos="2730"/>
        </w:tabs>
        <w:spacing w:line="276" w:lineRule="auto"/>
        <w:ind w:left="284" w:right="237"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Rreth 40% e financimit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huaj planifikohet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realizohet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p</w:t>
      </w:r>
      <w:r w:rsidR="00A84971">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rmjet burimeve private, ku si instrument huaje </w:t>
      </w:r>
      <w:r w:rsidR="002E7EF6">
        <w:rPr>
          <w:rFonts w:ascii="Times New Roman" w:eastAsia="Times New Roman" w:hAnsi="Times New Roman" w:cs="Times New Roman"/>
          <w:bCs/>
          <w:noProof/>
          <w:sz w:val="24"/>
          <w:szCs w:val="28"/>
          <w:lang w:val="sq-AL"/>
        </w:rPr>
        <w:t>planifikohet</w:t>
      </w:r>
      <w:r w:rsidRPr="00FB61A5">
        <w:rPr>
          <w:rFonts w:ascii="Times New Roman" w:eastAsia="Times New Roman" w:hAnsi="Times New Roman" w:cs="Times New Roman"/>
          <w:bCs/>
          <w:noProof/>
          <w:sz w:val="24"/>
          <w:szCs w:val="28"/>
          <w:lang w:val="sq-AL"/>
        </w:rPr>
        <w:t xml:space="preserve">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rdoret Eurobond-i. Huamarrja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rmjet k</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tyre burimeve do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rdoret kryesisht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mund</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suar r</w:t>
      </w:r>
      <w:r w:rsidR="00A84971">
        <w:rPr>
          <w:rFonts w:ascii="Times New Roman" w:eastAsia="Times New Roman" w:hAnsi="Times New Roman" w:cs="Times New Roman"/>
          <w:bCs/>
          <w:noProof/>
          <w:sz w:val="24"/>
          <w:szCs w:val="28"/>
          <w:lang w:val="sq-AL"/>
        </w:rPr>
        <w:t>i</w:t>
      </w:r>
      <w:r w:rsidRPr="00FB61A5">
        <w:rPr>
          <w:rFonts w:ascii="Times New Roman" w:eastAsia="Times New Roman" w:hAnsi="Times New Roman" w:cs="Times New Roman"/>
          <w:bCs/>
          <w:noProof/>
          <w:sz w:val="24"/>
          <w:szCs w:val="28"/>
          <w:lang w:val="sq-AL"/>
        </w:rPr>
        <w:t>financimin e Eurobondit q</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maturohet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vitin 2020, si edhe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menaxhuar detyrimet e borxhit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valut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pakt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n deri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vitin 2021.</w:t>
      </w:r>
    </w:p>
    <w:p w14:paraId="71DF5E20" w14:textId="77777777" w:rsidR="007A4CD1" w:rsidRPr="00F62D03" w:rsidRDefault="007A4CD1" w:rsidP="00A84971">
      <w:pPr>
        <w:pStyle w:val="ListParagraph"/>
        <w:tabs>
          <w:tab w:val="left" w:pos="2730"/>
        </w:tabs>
        <w:spacing w:line="276" w:lineRule="auto"/>
        <w:ind w:left="284" w:right="237"/>
        <w:jc w:val="both"/>
        <w:rPr>
          <w:rFonts w:ascii="Times New Roman" w:eastAsia="Times New Roman" w:hAnsi="Times New Roman" w:cs="Times New Roman"/>
          <w:bCs/>
          <w:noProof/>
          <w:sz w:val="24"/>
          <w:szCs w:val="28"/>
          <w:lang w:val="sq-AL"/>
        </w:rPr>
      </w:pPr>
    </w:p>
    <w:p w14:paraId="71DF5E21" w14:textId="77777777" w:rsidR="00890903" w:rsidRPr="00FB61A5" w:rsidRDefault="00890903" w:rsidP="00890903">
      <w:pPr>
        <w:pStyle w:val="ListParagraph"/>
        <w:spacing w:after="0" w:line="240" w:lineRule="auto"/>
        <w:ind w:left="1080" w:right="237" w:hanging="513"/>
        <w:jc w:val="center"/>
        <w:rPr>
          <w:rFonts w:ascii="Cambria" w:eastAsia="Batang" w:hAnsi="Cambria"/>
          <w:i/>
          <w:noProof/>
          <w:color w:val="8E0000"/>
          <w:sz w:val="20"/>
          <w:szCs w:val="20"/>
          <w:lang w:val="sq-AL"/>
        </w:rPr>
      </w:pPr>
      <w:r w:rsidRPr="00FB61A5">
        <w:rPr>
          <w:rFonts w:ascii="Cambria" w:eastAsia="Batang" w:hAnsi="Cambria"/>
          <w:b/>
          <w:noProof/>
          <w:color w:val="8E0000"/>
          <w:sz w:val="20"/>
          <w:szCs w:val="20"/>
          <w:lang w:val="sq-AL"/>
        </w:rPr>
        <w:t xml:space="preserve">Paraqitje Grafike 2.1: </w:t>
      </w:r>
      <w:r w:rsidRPr="00FB61A5">
        <w:rPr>
          <w:rFonts w:ascii="Cambria" w:eastAsia="Batang" w:hAnsi="Cambria"/>
          <w:i/>
          <w:noProof/>
          <w:color w:val="8E0000"/>
          <w:sz w:val="20"/>
          <w:szCs w:val="20"/>
          <w:lang w:val="sq-AL"/>
        </w:rPr>
        <w:t>Huamarrja indikative n</w:t>
      </w:r>
      <w:r w:rsidR="000D7062" w:rsidRPr="00FB61A5">
        <w:rPr>
          <w:rFonts w:ascii="Cambria" w:eastAsia="Batang" w:hAnsi="Cambria"/>
          <w:i/>
          <w:noProof/>
          <w:color w:val="8E0000"/>
          <w:sz w:val="20"/>
          <w:szCs w:val="20"/>
          <w:lang w:val="sq-AL"/>
        </w:rPr>
        <w:t>ë</w:t>
      </w:r>
      <w:r w:rsidRPr="00FB61A5">
        <w:rPr>
          <w:rFonts w:ascii="Cambria" w:eastAsia="Batang" w:hAnsi="Cambria"/>
          <w:i/>
          <w:noProof/>
          <w:color w:val="8E0000"/>
          <w:sz w:val="20"/>
          <w:szCs w:val="20"/>
          <w:lang w:val="sq-AL"/>
        </w:rPr>
        <w:t xml:space="preserve"> periudh</w:t>
      </w:r>
      <w:r w:rsidR="000D7062" w:rsidRPr="00FB61A5">
        <w:rPr>
          <w:rFonts w:ascii="Cambria" w:eastAsia="Batang" w:hAnsi="Cambria"/>
          <w:i/>
          <w:noProof/>
          <w:color w:val="8E0000"/>
          <w:sz w:val="20"/>
          <w:szCs w:val="20"/>
          <w:lang w:val="sq-AL"/>
        </w:rPr>
        <w:t>ë</w:t>
      </w:r>
      <w:r w:rsidRPr="00FB61A5">
        <w:rPr>
          <w:rFonts w:ascii="Cambria" w:eastAsia="Batang" w:hAnsi="Cambria"/>
          <w:i/>
          <w:noProof/>
          <w:color w:val="8E0000"/>
          <w:sz w:val="20"/>
          <w:szCs w:val="20"/>
          <w:lang w:val="sq-AL"/>
        </w:rPr>
        <w:t>n afatmesme 2020-2022</w:t>
      </w:r>
    </w:p>
    <w:tbl>
      <w:tblPr>
        <w:tblW w:w="8515" w:type="dxa"/>
        <w:tblInd w:w="244" w:type="dxa"/>
        <w:tblLook w:val="04A0" w:firstRow="1" w:lastRow="0" w:firstColumn="1" w:lastColumn="0" w:noHBand="0" w:noVBand="1"/>
      </w:tblPr>
      <w:tblGrid>
        <w:gridCol w:w="3715"/>
        <w:gridCol w:w="4800"/>
      </w:tblGrid>
      <w:tr w:rsidR="00890903" w:rsidRPr="00FB61A5" w14:paraId="71DF5E24" w14:textId="77777777" w:rsidTr="00C45CCE">
        <w:trPr>
          <w:trHeight w:val="525"/>
        </w:trPr>
        <w:tc>
          <w:tcPr>
            <w:tcW w:w="3715" w:type="dxa"/>
            <w:tcBorders>
              <w:top w:val="single" w:sz="8" w:space="0" w:color="FFFFFF"/>
              <w:left w:val="single" w:sz="8" w:space="0" w:color="FFFFFF"/>
              <w:bottom w:val="single" w:sz="8" w:space="0" w:color="FFFFFF"/>
              <w:right w:val="single" w:sz="8" w:space="0" w:color="FFFFFF"/>
            </w:tcBorders>
            <w:shd w:val="clear" w:color="000000" w:fill="C00000"/>
            <w:noWrap/>
            <w:vAlign w:val="bottom"/>
            <w:hideMark/>
          </w:tcPr>
          <w:p w14:paraId="71DF5E22" w14:textId="77777777" w:rsidR="00890903" w:rsidRPr="00FB61A5" w:rsidRDefault="00890903" w:rsidP="00890903">
            <w:pPr>
              <w:spacing w:after="0" w:line="240" w:lineRule="auto"/>
              <w:rPr>
                <w:rFonts w:ascii="Cambria" w:eastAsia="Times New Roman" w:hAnsi="Cambria" w:cs="Times New Roman"/>
                <w:b/>
                <w:bCs/>
                <w:color w:val="FFFFFF"/>
                <w:sz w:val="20"/>
                <w:szCs w:val="20"/>
              </w:rPr>
            </w:pPr>
            <w:r w:rsidRPr="00FB61A5">
              <w:rPr>
                <w:rFonts w:ascii="Cambria" w:eastAsia="Times New Roman" w:hAnsi="Cambria" w:cs="Times New Roman"/>
                <w:b/>
                <w:bCs/>
                <w:color w:val="FFFFFF"/>
                <w:sz w:val="20"/>
                <w:szCs w:val="20"/>
              </w:rPr>
              <w:t> </w:t>
            </w:r>
          </w:p>
        </w:tc>
        <w:tc>
          <w:tcPr>
            <w:tcW w:w="4800" w:type="dxa"/>
            <w:tcBorders>
              <w:top w:val="single" w:sz="8" w:space="0" w:color="FFFFFF"/>
              <w:left w:val="nil"/>
              <w:bottom w:val="single" w:sz="8" w:space="0" w:color="FFFFFF"/>
              <w:right w:val="single" w:sz="8" w:space="0" w:color="FFFFFF"/>
            </w:tcBorders>
            <w:shd w:val="clear" w:color="000000" w:fill="C00000"/>
            <w:vAlign w:val="bottom"/>
            <w:hideMark/>
          </w:tcPr>
          <w:p w14:paraId="71DF5E23" w14:textId="77777777" w:rsidR="00890903" w:rsidRPr="00FB61A5" w:rsidRDefault="00890903" w:rsidP="00890903">
            <w:pPr>
              <w:spacing w:after="0" w:line="240" w:lineRule="auto"/>
              <w:jc w:val="center"/>
              <w:rPr>
                <w:rFonts w:ascii="Cambria" w:eastAsia="Times New Roman" w:hAnsi="Cambria" w:cs="Times New Roman"/>
                <w:b/>
                <w:bCs/>
                <w:color w:val="FFFFFF"/>
                <w:sz w:val="20"/>
                <w:szCs w:val="20"/>
              </w:rPr>
            </w:pPr>
            <w:proofErr w:type="spellStart"/>
            <w:r w:rsidRPr="00FB61A5">
              <w:rPr>
                <w:rFonts w:ascii="Cambria" w:eastAsia="Times New Roman" w:hAnsi="Cambria" w:cs="Times New Roman"/>
                <w:b/>
                <w:bCs/>
                <w:color w:val="FFFFFF"/>
                <w:sz w:val="20"/>
                <w:szCs w:val="20"/>
              </w:rPr>
              <w:t>Huamarrja</w:t>
            </w:r>
            <w:proofErr w:type="spellEnd"/>
            <w:r w:rsidRPr="00FB61A5">
              <w:rPr>
                <w:rFonts w:ascii="Cambria" w:eastAsia="Times New Roman" w:hAnsi="Cambria" w:cs="Times New Roman"/>
                <w:b/>
                <w:bCs/>
                <w:color w:val="FFFFFF"/>
                <w:sz w:val="20"/>
                <w:szCs w:val="20"/>
              </w:rPr>
              <w:t xml:space="preserve"> </w:t>
            </w:r>
            <w:proofErr w:type="spellStart"/>
            <w:r w:rsidRPr="00FB61A5">
              <w:rPr>
                <w:rFonts w:ascii="Cambria" w:eastAsia="Times New Roman" w:hAnsi="Cambria" w:cs="Times New Roman"/>
                <w:b/>
                <w:bCs/>
                <w:color w:val="FFFFFF"/>
                <w:sz w:val="20"/>
                <w:szCs w:val="20"/>
              </w:rPr>
              <w:t>Bruto</w:t>
            </w:r>
            <w:proofErr w:type="spellEnd"/>
            <w:r w:rsidRPr="00FB61A5">
              <w:rPr>
                <w:rFonts w:ascii="Cambria" w:eastAsia="Times New Roman" w:hAnsi="Cambria" w:cs="Times New Roman"/>
                <w:b/>
                <w:bCs/>
                <w:color w:val="FFFFFF"/>
                <w:sz w:val="20"/>
                <w:szCs w:val="20"/>
              </w:rPr>
              <w:t xml:space="preserve"> 2020-2022                                                                         (</w:t>
            </w:r>
            <w:proofErr w:type="spellStart"/>
            <w:r w:rsidRPr="00FB61A5">
              <w:rPr>
                <w:rFonts w:ascii="Cambria" w:eastAsia="Times New Roman" w:hAnsi="Cambria" w:cs="Times New Roman"/>
                <w:b/>
                <w:bCs/>
                <w:color w:val="FFFFFF"/>
                <w:sz w:val="20"/>
                <w:szCs w:val="20"/>
              </w:rPr>
              <w:t>në</w:t>
            </w:r>
            <w:proofErr w:type="spellEnd"/>
            <w:r w:rsidRPr="00FB61A5">
              <w:rPr>
                <w:rFonts w:ascii="Cambria" w:eastAsia="Times New Roman" w:hAnsi="Cambria" w:cs="Times New Roman"/>
                <w:b/>
                <w:bCs/>
                <w:color w:val="FFFFFF"/>
                <w:sz w:val="20"/>
                <w:szCs w:val="20"/>
              </w:rPr>
              <w:t xml:space="preserve"> % </w:t>
            </w:r>
            <w:proofErr w:type="spellStart"/>
            <w:r w:rsidRPr="00FB61A5">
              <w:rPr>
                <w:rFonts w:ascii="Cambria" w:eastAsia="Times New Roman" w:hAnsi="Cambria" w:cs="Times New Roman"/>
                <w:b/>
                <w:bCs/>
                <w:color w:val="FFFFFF"/>
                <w:sz w:val="20"/>
                <w:szCs w:val="20"/>
              </w:rPr>
              <w:t>të</w:t>
            </w:r>
            <w:proofErr w:type="spellEnd"/>
            <w:r w:rsidRPr="00FB61A5">
              <w:rPr>
                <w:rFonts w:ascii="Cambria" w:eastAsia="Times New Roman" w:hAnsi="Cambria" w:cs="Times New Roman"/>
                <w:b/>
                <w:bCs/>
                <w:color w:val="FFFFFF"/>
                <w:sz w:val="20"/>
                <w:szCs w:val="20"/>
              </w:rPr>
              <w:t xml:space="preserve"> </w:t>
            </w:r>
            <w:proofErr w:type="spellStart"/>
            <w:r w:rsidRPr="00FB61A5">
              <w:rPr>
                <w:rFonts w:ascii="Cambria" w:eastAsia="Times New Roman" w:hAnsi="Cambria" w:cs="Times New Roman"/>
                <w:b/>
                <w:bCs/>
                <w:color w:val="FFFFFF"/>
                <w:sz w:val="20"/>
                <w:szCs w:val="20"/>
              </w:rPr>
              <w:t>Totalit</w:t>
            </w:r>
            <w:proofErr w:type="spellEnd"/>
            <w:r w:rsidRPr="00FB61A5">
              <w:rPr>
                <w:rFonts w:ascii="Cambria" w:eastAsia="Times New Roman" w:hAnsi="Cambria" w:cs="Times New Roman"/>
                <w:b/>
                <w:bCs/>
                <w:color w:val="FFFFFF"/>
                <w:sz w:val="20"/>
                <w:szCs w:val="20"/>
              </w:rPr>
              <w:t xml:space="preserve"> </w:t>
            </w:r>
            <w:proofErr w:type="spellStart"/>
            <w:r w:rsidRPr="00FB61A5">
              <w:rPr>
                <w:rFonts w:ascii="Cambria" w:eastAsia="Times New Roman" w:hAnsi="Cambria" w:cs="Times New Roman"/>
                <w:b/>
                <w:bCs/>
                <w:color w:val="FFFFFF"/>
                <w:sz w:val="20"/>
                <w:szCs w:val="20"/>
              </w:rPr>
              <w:t>të</w:t>
            </w:r>
            <w:proofErr w:type="spellEnd"/>
            <w:r w:rsidRPr="00FB61A5">
              <w:rPr>
                <w:rFonts w:ascii="Cambria" w:eastAsia="Times New Roman" w:hAnsi="Cambria" w:cs="Times New Roman"/>
                <w:b/>
                <w:bCs/>
                <w:color w:val="FFFFFF"/>
                <w:sz w:val="20"/>
                <w:szCs w:val="20"/>
              </w:rPr>
              <w:t xml:space="preserve"> </w:t>
            </w:r>
            <w:proofErr w:type="spellStart"/>
            <w:r w:rsidRPr="00FB61A5">
              <w:rPr>
                <w:rFonts w:ascii="Cambria" w:eastAsia="Times New Roman" w:hAnsi="Cambria" w:cs="Times New Roman"/>
                <w:b/>
                <w:bCs/>
                <w:color w:val="FFFFFF"/>
                <w:sz w:val="20"/>
                <w:szCs w:val="20"/>
              </w:rPr>
              <w:t>Humarrjes</w:t>
            </w:r>
            <w:proofErr w:type="spellEnd"/>
            <w:r w:rsidRPr="00FB61A5">
              <w:rPr>
                <w:rFonts w:ascii="Cambria" w:eastAsia="Times New Roman" w:hAnsi="Cambria" w:cs="Times New Roman"/>
                <w:b/>
                <w:bCs/>
                <w:color w:val="FFFFFF"/>
                <w:sz w:val="20"/>
                <w:szCs w:val="20"/>
              </w:rPr>
              <w:t>)</w:t>
            </w:r>
          </w:p>
        </w:tc>
      </w:tr>
      <w:tr w:rsidR="00890903" w:rsidRPr="00FB61A5" w14:paraId="71DF5E27" w14:textId="77777777" w:rsidTr="00C45CCE">
        <w:trPr>
          <w:trHeight w:val="255"/>
        </w:trPr>
        <w:tc>
          <w:tcPr>
            <w:tcW w:w="3715" w:type="dxa"/>
            <w:tcBorders>
              <w:top w:val="nil"/>
              <w:left w:val="nil"/>
              <w:bottom w:val="nil"/>
              <w:right w:val="nil"/>
            </w:tcBorders>
            <w:shd w:val="clear" w:color="000000" w:fill="FFFFFF"/>
            <w:noWrap/>
            <w:vAlign w:val="bottom"/>
            <w:hideMark/>
          </w:tcPr>
          <w:p w14:paraId="71DF5E25" w14:textId="77777777" w:rsidR="00890903" w:rsidRPr="00FB61A5" w:rsidRDefault="00890903" w:rsidP="00890903">
            <w:pPr>
              <w:spacing w:after="0" w:line="240" w:lineRule="auto"/>
              <w:rPr>
                <w:rFonts w:ascii="Cambria" w:eastAsia="Times New Roman" w:hAnsi="Cambria" w:cs="Times New Roman"/>
                <w:b/>
                <w:bCs/>
                <w:color w:val="000000"/>
                <w:sz w:val="20"/>
                <w:szCs w:val="20"/>
              </w:rPr>
            </w:pPr>
            <w:proofErr w:type="spellStart"/>
            <w:r w:rsidRPr="00FB61A5">
              <w:rPr>
                <w:rFonts w:ascii="Cambria" w:eastAsia="Times New Roman" w:hAnsi="Cambria" w:cs="Times New Roman"/>
                <w:b/>
                <w:bCs/>
                <w:color w:val="000000"/>
                <w:sz w:val="20"/>
                <w:szCs w:val="20"/>
              </w:rPr>
              <w:t>Huamarrja</w:t>
            </w:r>
            <w:proofErr w:type="spellEnd"/>
            <w:r w:rsidRPr="00FB61A5">
              <w:rPr>
                <w:rFonts w:ascii="Cambria" w:eastAsia="Times New Roman" w:hAnsi="Cambria" w:cs="Times New Roman"/>
                <w:b/>
                <w:bCs/>
                <w:color w:val="000000"/>
                <w:sz w:val="20"/>
                <w:szCs w:val="20"/>
              </w:rPr>
              <w:t xml:space="preserve"> e </w:t>
            </w:r>
            <w:proofErr w:type="spellStart"/>
            <w:r w:rsidRPr="00FB61A5">
              <w:rPr>
                <w:rFonts w:ascii="Cambria" w:eastAsia="Times New Roman" w:hAnsi="Cambria" w:cs="Times New Roman"/>
                <w:b/>
                <w:bCs/>
                <w:color w:val="000000"/>
                <w:sz w:val="20"/>
                <w:szCs w:val="20"/>
              </w:rPr>
              <w:t>Brendshme</w:t>
            </w:r>
            <w:proofErr w:type="spellEnd"/>
          </w:p>
        </w:tc>
        <w:tc>
          <w:tcPr>
            <w:tcW w:w="4800" w:type="dxa"/>
            <w:tcBorders>
              <w:top w:val="nil"/>
              <w:left w:val="nil"/>
              <w:bottom w:val="nil"/>
              <w:right w:val="nil"/>
            </w:tcBorders>
            <w:shd w:val="clear" w:color="000000" w:fill="FFFFFF"/>
            <w:noWrap/>
            <w:vAlign w:val="bottom"/>
            <w:hideMark/>
          </w:tcPr>
          <w:p w14:paraId="71DF5E26" w14:textId="77777777" w:rsidR="00890903" w:rsidRPr="00FB61A5" w:rsidRDefault="00890903" w:rsidP="00890903">
            <w:pPr>
              <w:spacing w:after="0" w:line="240" w:lineRule="auto"/>
              <w:jc w:val="center"/>
              <w:rPr>
                <w:rFonts w:ascii="Cambria" w:eastAsia="Times New Roman" w:hAnsi="Cambria" w:cs="Times New Roman"/>
                <w:b/>
                <w:bCs/>
                <w:color w:val="000000"/>
                <w:sz w:val="20"/>
                <w:szCs w:val="20"/>
              </w:rPr>
            </w:pPr>
            <w:r w:rsidRPr="00FB61A5">
              <w:rPr>
                <w:rFonts w:ascii="Cambria" w:eastAsia="Times New Roman" w:hAnsi="Cambria" w:cs="Times New Roman"/>
                <w:b/>
                <w:bCs/>
                <w:color w:val="000000"/>
                <w:sz w:val="20"/>
                <w:szCs w:val="20"/>
              </w:rPr>
              <w:t>Min. 80%</w:t>
            </w:r>
          </w:p>
        </w:tc>
      </w:tr>
      <w:tr w:rsidR="00890903" w:rsidRPr="00FB61A5" w14:paraId="71DF5E2A" w14:textId="77777777" w:rsidTr="00C45CCE">
        <w:trPr>
          <w:trHeight w:val="255"/>
        </w:trPr>
        <w:tc>
          <w:tcPr>
            <w:tcW w:w="3715" w:type="dxa"/>
            <w:tcBorders>
              <w:top w:val="nil"/>
              <w:left w:val="nil"/>
              <w:bottom w:val="nil"/>
              <w:right w:val="nil"/>
            </w:tcBorders>
            <w:shd w:val="clear" w:color="000000" w:fill="FFFFFF"/>
            <w:noWrap/>
            <w:vAlign w:val="bottom"/>
            <w:hideMark/>
          </w:tcPr>
          <w:p w14:paraId="71DF5E28" w14:textId="77777777" w:rsidR="00890903" w:rsidRPr="00FB61A5" w:rsidRDefault="00890903" w:rsidP="00890903">
            <w:pPr>
              <w:spacing w:after="0" w:line="240" w:lineRule="auto"/>
              <w:rPr>
                <w:rFonts w:ascii="Cambria" w:eastAsia="Times New Roman" w:hAnsi="Cambria" w:cs="Times New Roman"/>
                <w:color w:val="000000"/>
                <w:sz w:val="20"/>
                <w:szCs w:val="20"/>
              </w:rPr>
            </w:pPr>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Tituj</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Shtetërorë</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Afatshkurtër</w:t>
            </w:r>
            <w:proofErr w:type="spellEnd"/>
          </w:p>
        </w:tc>
        <w:tc>
          <w:tcPr>
            <w:tcW w:w="4800" w:type="dxa"/>
            <w:tcBorders>
              <w:top w:val="nil"/>
              <w:left w:val="nil"/>
              <w:bottom w:val="nil"/>
              <w:right w:val="nil"/>
            </w:tcBorders>
            <w:shd w:val="clear" w:color="000000" w:fill="FFFFFF"/>
            <w:noWrap/>
            <w:vAlign w:val="bottom"/>
            <w:hideMark/>
          </w:tcPr>
          <w:p w14:paraId="71DF5E29" w14:textId="77777777" w:rsidR="00890903" w:rsidRPr="00FB61A5" w:rsidRDefault="00890903" w:rsidP="00890903">
            <w:pPr>
              <w:spacing w:after="0" w:line="240" w:lineRule="auto"/>
              <w:jc w:val="center"/>
              <w:rPr>
                <w:rFonts w:ascii="Cambria" w:eastAsia="Times New Roman" w:hAnsi="Cambria" w:cs="Times New Roman"/>
                <w:color w:val="000000"/>
                <w:sz w:val="20"/>
                <w:szCs w:val="20"/>
              </w:rPr>
            </w:pPr>
            <w:proofErr w:type="spellStart"/>
            <w:r w:rsidRPr="00FB61A5">
              <w:rPr>
                <w:rFonts w:ascii="Cambria" w:eastAsia="Times New Roman" w:hAnsi="Cambria" w:cs="Times New Roman"/>
                <w:color w:val="000000"/>
                <w:sz w:val="20"/>
                <w:szCs w:val="20"/>
              </w:rPr>
              <w:t>Rreth</w:t>
            </w:r>
            <w:proofErr w:type="spellEnd"/>
            <w:r w:rsidRPr="00FB61A5">
              <w:rPr>
                <w:rFonts w:ascii="Cambria" w:eastAsia="Times New Roman" w:hAnsi="Cambria" w:cs="Times New Roman"/>
                <w:color w:val="000000"/>
                <w:sz w:val="20"/>
                <w:szCs w:val="20"/>
              </w:rPr>
              <w:t xml:space="preserve"> 50%</w:t>
            </w:r>
          </w:p>
        </w:tc>
      </w:tr>
      <w:tr w:rsidR="00890903" w:rsidRPr="00FB61A5" w14:paraId="71DF5E2D" w14:textId="77777777" w:rsidTr="00C45CCE">
        <w:trPr>
          <w:trHeight w:val="270"/>
        </w:trPr>
        <w:tc>
          <w:tcPr>
            <w:tcW w:w="3715" w:type="dxa"/>
            <w:tcBorders>
              <w:top w:val="nil"/>
              <w:left w:val="nil"/>
              <w:right w:val="nil"/>
            </w:tcBorders>
            <w:shd w:val="clear" w:color="000000" w:fill="FFFFFF"/>
            <w:noWrap/>
            <w:vAlign w:val="bottom"/>
            <w:hideMark/>
          </w:tcPr>
          <w:p w14:paraId="71DF5E2B" w14:textId="77777777" w:rsidR="00890903" w:rsidRPr="00FB61A5" w:rsidRDefault="00890903" w:rsidP="00890903">
            <w:pPr>
              <w:spacing w:after="0" w:line="240" w:lineRule="auto"/>
              <w:rPr>
                <w:rFonts w:ascii="Cambria" w:eastAsia="Times New Roman" w:hAnsi="Cambria" w:cs="Times New Roman"/>
                <w:color w:val="000000"/>
                <w:sz w:val="20"/>
                <w:szCs w:val="20"/>
              </w:rPr>
            </w:pPr>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Tituj</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Shtetërorë</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Afatgjatë</w:t>
            </w:r>
            <w:proofErr w:type="spellEnd"/>
            <w:r w:rsidR="00C45CCE">
              <w:rPr>
                <w:rFonts w:ascii="Cambria" w:eastAsia="Times New Roman" w:hAnsi="Cambria" w:cs="Times New Roman"/>
                <w:color w:val="000000"/>
                <w:sz w:val="20"/>
                <w:szCs w:val="20"/>
              </w:rPr>
              <w:t xml:space="preserve"> </w:t>
            </w:r>
            <w:proofErr w:type="spellStart"/>
            <w:r w:rsidR="00C45CCE">
              <w:rPr>
                <w:rFonts w:ascii="Cambria" w:eastAsia="Times New Roman" w:hAnsi="Cambria" w:cs="Times New Roman"/>
                <w:color w:val="000000"/>
                <w:sz w:val="20"/>
                <w:szCs w:val="20"/>
              </w:rPr>
              <w:t>nga</w:t>
            </w:r>
            <w:proofErr w:type="spellEnd"/>
            <w:r w:rsidR="00C45CCE">
              <w:rPr>
                <w:rFonts w:ascii="Cambria" w:eastAsia="Times New Roman" w:hAnsi="Cambria" w:cs="Times New Roman"/>
                <w:color w:val="000000"/>
                <w:sz w:val="20"/>
                <w:szCs w:val="20"/>
              </w:rPr>
              <w:t xml:space="preserve"> </w:t>
            </w:r>
            <w:proofErr w:type="spellStart"/>
            <w:r w:rsidR="00C45CCE">
              <w:rPr>
                <w:rFonts w:ascii="Cambria" w:eastAsia="Times New Roman" w:hAnsi="Cambria" w:cs="Times New Roman"/>
                <w:color w:val="000000"/>
                <w:sz w:val="20"/>
                <w:szCs w:val="20"/>
              </w:rPr>
              <w:t>të</w:t>
            </w:r>
            <w:proofErr w:type="spellEnd"/>
            <w:r w:rsidR="00C45CCE">
              <w:rPr>
                <w:rFonts w:ascii="Cambria" w:eastAsia="Times New Roman" w:hAnsi="Cambria" w:cs="Times New Roman"/>
                <w:color w:val="000000"/>
                <w:sz w:val="20"/>
                <w:szCs w:val="20"/>
              </w:rPr>
              <w:t xml:space="preserve"> </w:t>
            </w:r>
            <w:proofErr w:type="spellStart"/>
            <w:r w:rsidR="00C45CCE">
              <w:rPr>
                <w:rFonts w:ascii="Cambria" w:eastAsia="Times New Roman" w:hAnsi="Cambria" w:cs="Times New Roman"/>
                <w:color w:val="000000"/>
                <w:sz w:val="20"/>
                <w:szCs w:val="20"/>
              </w:rPr>
              <w:t>cilët</w:t>
            </w:r>
            <w:proofErr w:type="spellEnd"/>
            <w:r w:rsidR="00C45CCE">
              <w:rPr>
                <w:rFonts w:ascii="Cambria" w:eastAsia="Times New Roman" w:hAnsi="Cambria" w:cs="Times New Roman"/>
                <w:color w:val="000000"/>
                <w:sz w:val="20"/>
                <w:szCs w:val="20"/>
              </w:rPr>
              <w:t>:</w:t>
            </w:r>
          </w:p>
        </w:tc>
        <w:tc>
          <w:tcPr>
            <w:tcW w:w="4800" w:type="dxa"/>
            <w:tcBorders>
              <w:top w:val="nil"/>
              <w:left w:val="nil"/>
              <w:right w:val="nil"/>
            </w:tcBorders>
            <w:shd w:val="clear" w:color="000000" w:fill="FFFFFF"/>
            <w:noWrap/>
            <w:vAlign w:val="bottom"/>
            <w:hideMark/>
          </w:tcPr>
          <w:p w14:paraId="71DF5E2C" w14:textId="77777777" w:rsidR="00890903" w:rsidRPr="00FB61A5" w:rsidRDefault="00890903" w:rsidP="00890903">
            <w:pPr>
              <w:spacing w:after="0" w:line="240" w:lineRule="auto"/>
              <w:jc w:val="center"/>
              <w:rPr>
                <w:rFonts w:ascii="Cambria" w:eastAsia="Times New Roman" w:hAnsi="Cambria" w:cs="Times New Roman"/>
                <w:color w:val="000000"/>
                <w:sz w:val="20"/>
                <w:szCs w:val="20"/>
              </w:rPr>
            </w:pPr>
            <w:proofErr w:type="spellStart"/>
            <w:r w:rsidRPr="00FB61A5">
              <w:rPr>
                <w:rFonts w:ascii="Cambria" w:eastAsia="Times New Roman" w:hAnsi="Cambria" w:cs="Times New Roman"/>
                <w:color w:val="000000"/>
                <w:sz w:val="20"/>
                <w:szCs w:val="20"/>
              </w:rPr>
              <w:t>Rreth</w:t>
            </w:r>
            <w:proofErr w:type="spellEnd"/>
            <w:r w:rsidRPr="00FB61A5">
              <w:rPr>
                <w:rFonts w:ascii="Cambria" w:eastAsia="Times New Roman" w:hAnsi="Cambria" w:cs="Times New Roman"/>
                <w:color w:val="000000"/>
                <w:sz w:val="20"/>
                <w:szCs w:val="20"/>
              </w:rPr>
              <w:t xml:space="preserve"> 30%</w:t>
            </w:r>
          </w:p>
        </w:tc>
      </w:tr>
      <w:tr w:rsidR="00C45CCE" w:rsidRPr="00FB61A5" w14:paraId="71DF5E30" w14:textId="77777777" w:rsidTr="00C45CCE">
        <w:trPr>
          <w:trHeight w:val="270"/>
        </w:trPr>
        <w:tc>
          <w:tcPr>
            <w:tcW w:w="3715" w:type="dxa"/>
            <w:tcBorders>
              <w:top w:val="nil"/>
              <w:left w:val="nil"/>
              <w:right w:val="nil"/>
            </w:tcBorders>
            <w:shd w:val="clear" w:color="000000" w:fill="FFFFFF"/>
            <w:noWrap/>
            <w:vAlign w:val="bottom"/>
          </w:tcPr>
          <w:p w14:paraId="71DF5E2E" w14:textId="77777777" w:rsidR="00C45CCE" w:rsidRPr="00C45CCE" w:rsidRDefault="00C45CCE" w:rsidP="00C45CCE">
            <w:pPr>
              <w:spacing w:after="0" w:line="240" w:lineRule="auto"/>
              <w:rPr>
                <w:rFonts w:ascii="Cambria" w:eastAsia="Times New Roman" w:hAnsi="Cambria" w:cs="Times New Roman"/>
                <w:i/>
                <w:color w:val="000000"/>
                <w:sz w:val="20"/>
                <w:szCs w:val="20"/>
              </w:rPr>
            </w:pPr>
            <w:r w:rsidRPr="00C45CCE">
              <w:rPr>
                <w:rFonts w:ascii="Cambria" w:eastAsia="Times New Roman" w:hAnsi="Cambria" w:cs="Times New Roman"/>
                <w:i/>
                <w:color w:val="000000"/>
                <w:sz w:val="20"/>
                <w:szCs w:val="20"/>
              </w:rPr>
              <w:t xml:space="preserve">        </w:t>
            </w:r>
            <w:proofErr w:type="spellStart"/>
            <w:r w:rsidRPr="00C45CCE">
              <w:rPr>
                <w:rFonts w:ascii="Cambria" w:eastAsia="Times New Roman" w:hAnsi="Cambria" w:cs="Times New Roman"/>
                <w:i/>
                <w:color w:val="000000"/>
                <w:sz w:val="20"/>
                <w:szCs w:val="20"/>
              </w:rPr>
              <w:t>Tituj</w:t>
            </w:r>
            <w:proofErr w:type="spellEnd"/>
            <w:r w:rsidRPr="00C45CCE">
              <w:rPr>
                <w:rFonts w:ascii="Cambria" w:eastAsia="Times New Roman" w:hAnsi="Cambria" w:cs="Times New Roman"/>
                <w:i/>
                <w:color w:val="000000"/>
                <w:sz w:val="20"/>
                <w:szCs w:val="20"/>
              </w:rPr>
              <w:t xml:space="preserve"> </w:t>
            </w:r>
            <w:proofErr w:type="spellStart"/>
            <w:r w:rsidRPr="00C45CCE">
              <w:rPr>
                <w:rFonts w:ascii="Cambria" w:eastAsia="Times New Roman" w:hAnsi="Cambria" w:cs="Times New Roman"/>
                <w:i/>
                <w:color w:val="000000"/>
                <w:sz w:val="20"/>
                <w:szCs w:val="20"/>
              </w:rPr>
              <w:t>në</w:t>
            </w:r>
            <w:proofErr w:type="spellEnd"/>
            <w:r w:rsidRPr="00C45CCE">
              <w:rPr>
                <w:rFonts w:ascii="Cambria" w:eastAsia="Times New Roman" w:hAnsi="Cambria" w:cs="Times New Roman"/>
                <w:i/>
                <w:color w:val="000000"/>
                <w:sz w:val="20"/>
                <w:szCs w:val="20"/>
              </w:rPr>
              <w:t xml:space="preserve"> </w:t>
            </w:r>
            <w:proofErr w:type="spellStart"/>
            <w:r w:rsidRPr="00C45CCE">
              <w:rPr>
                <w:rFonts w:ascii="Cambria" w:eastAsia="Times New Roman" w:hAnsi="Cambria" w:cs="Times New Roman"/>
                <w:i/>
                <w:color w:val="000000"/>
                <w:sz w:val="20"/>
                <w:szCs w:val="20"/>
              </w:rPr>
              <w:t>monedhë</w:t>
            </w:r>
            <w:proofErr w:type="spellEnd"/>
            <w:r w:rsidRPr="00C45CCE">
              <w:rPr>
                <w:rFonts w:ascii="Cambria" w:eastAsia="Times New Roman" w:hAnsi="Cambria" w:cs="Times New Roman"/>
                <w:i/>
                <w:color w:val="000000"/>
                <w:sz w:val="20"/>
                <w:szCs w:val="20"/>
              </w:rPr>
              <w:t xml:space="preserve"> </w:t>
            </w:r>
            <w:proofErr w:type="spellStart"/>
            <w:r w:rsidRPr="00C45CCE">
              <w:rPr>
                <w:rFonts w:ascii="Cambria" w:eastAsia="Times New Roman" w:hAnsi="Cambria" w:cs="Times New Roman"/>
                <w:i/>
                <w:color w:val="000000"/>
                <w:sz w:val="20"/>
                <w:szCs w:val="20"/>
              </w:rPr>
              <w:t>vendase</w:t>
            </w:r>
            <w:proofErr w:type="spellEnd"/>
          </w:p>
        </w:tc>
        <w:tc>
          <w:tcPr>
            <w:tcW w:w="4800" w:type="dxa"/>
            <w:tcBorders>
              <w:top w:val="nil"/>
              <w:left w:val="nil"/>
              <w:right w:val="nil"/>
            </w:tcBorders>
            <w:shd w:val="clear" w:color="000000" w:fill="FFFFFF"/>
            <w:noWrap/>
            <w:vAlign w:val="bottom"/>
          </w:tcPr>
          <w:p w14:paraId="71DF5E2F" w14:textId="77777777" w:rsidR="00C45CCE" w:rsidRPr="00C45CCE" w:rsidRDefault="00C45CCE" w:rsidP="00C45CCE">
            <w:pPr>
              <w:spacing w:after="0" w:line="240" w:lineRule="auto"/>
              <w:jc w:val="center"/>
              <w:rPr>
                <w:rFonts w:ascii="Cambria" w:eastAsia="Times New Roman" w:hAnsi="Cambria" w:cs="Times New Roman"/>
                <w:i/>
                <w:color w:val="000000"/>
                <w:sz w:val="20"/>
                <w:szCs w:val="20"/>
              </w:rPr>
            </w:pPr>
            <w:proofErr w:type="spellStart"/>
            <w:r w:rsidRPr="00C45CCE">
              <w:rPr>
                <w:rFonts w:ascii="Cambria" w:eastAsia="Times New Roman" w:hAnsi="Cambria" w:cs="Times New Roman"/>
                <w:i/>
                <w:color w:val="000000"/>
                <w:sz w:val="20"/>
                <w:szCs w:val="20"/>
              </w:rPr>
              <w:t>Rreth</w:t>
            </w:r>
            <w:proofErr w:type="spellEnd"/>
            <w:r w:rsidRPr="00C45CCE">
              <w:rPr>
                <w:rFonts w:ascii="Cambria" w:eastAsia="Times New Roman" w:hAnsi="Cambria" w:cs="Times New Roman"/>
                <w:i/>
                <w:color w:val="000000"/>
                <w:sz w:val="20"/>
                <w:szCs w:val="20"/>
              </w:rPr>
              <w:t xml:space="preserve"> 27%</w:t>
            </w:r>
          </w:p>
        </w:tc>
      </w:tr>
      <w:tr w:rsidR="00C45CCE" w:rsidRPr="00FB61A5" w14:paraId="71DF5E33" w14:textId="77777777" w:rsidTr="00C45CCE">
        <w:trPr>
          <w:trHeight w:val="270"/>
        </w:trPr>
        <w:tc>
          <w:tcPr>
            <w:tcW w:w="3715" w:type="dxa"/>
            <w:tcBorders>
              <w:left w:val="nil"/>
              <w:bottom w:val="single" w:sz="8" w:space="0" w:color="auto"/>
              <w:right w:val="nil"/>
            </w:tcBorders>
            <w:shd w:val="clear" w:color="000000" w:fill="FFFFFF"/>
            <w:noWrap/>
            <w:vAlign w:val="bottom"/>
          </w:tcPr>
          <w:p w14:paraId="71DF5E31" w14:textId="77777777" w:rsidR="00C45CCE" w:rsidRPr="00C45CCE" w:rsidRDefault="00C45CCE" w:rsidP="00C45CCE">
            <w:pPr>
              <w:spacing w:after="0" w:line="240" w:lineRule="auto"/>
              <w:rPr>
                <w:rFonts w:ascii="Cambria" w:eastAsia="Times New Roman" w:hAnsi="Cambria" w:cs="Times New Roman"/>
                <w:i/>
                <w:color w:val="000000"/>
                <w:sz w:val="20"/>
                <w:szCs w:val="20"/>
              </w:rPr>
            </w:pPr>
            <w:r w:rsidRPr="00C45CCE">
              <w:rPr>
                <w:rFonts w:ascii="Cambria" w:eastAsia="Times New Roman" w:hAnsi="Cambria" w:cs="Times New Roman"/>
                <w:i/>
                <w:color w:val="000000"/>
                <w:sz w:val="20"/>
                <w:szCs w:val="20"/>
              </w:rPr>
              <w:t xml:space="preserve">        </w:t>
            </w:r>
            <w:proofErr w:type="spellStart"/>
            <w:r w:rsidRPr="00C45CCE">
              <w:rPr>
                <w:rFonts w:ascii="Cambria" w:eastAsia="Times New Roman" w:hAnsi="Cambria" w:cs="Times New Roman"/>
                <w:i/>
                <w:color w:val="000000"/>
                <w:sz w:val="20"/>
                <w:szCs w:val="20"/>
              </w:rPr>
              <w:t>Tituj</w:t>
            </w:r>
            <w:proofErr w:type="spellEnd"/>
            <w:r w:rsidRPr="00C45CCE">
              <w:rPr>
                <w:rFonts w:ascii="Cambria" w:eastAsia="Times New Roman" w:hAnsi="Cambria" w:cs="Times New Roman"/>
                <w:i/>
                <w:color w:val="000000"/>
                <w:sz w:val="20"/>
                <w:szCs w:val="20"/>
              </w:rPr>
              <w:t xml:space="preserve"> </w:t>
            </w:r>
            <w:proofErr w:type="spellStart"/>
            <w:r w:rsidRPr="00C45CCE">
              <w:rPr>
                <w:rFonts w:ascii="Cambria" w:eastAsia="Times New Roman" w:hAnsi="Cambria" w:cs="Times New Roman"/>
                <w:i/>
                <w:color w:val="000000"/>
                <w:sz w:val="20"/>
                <w:szCs w:val="20"/>
              </w:rPr>
              <w:t>në</w:t>
            </w:r>
            <w:proofErr w:type="spellEnd"/>
            <w:r w:rsidRPr="00C45CCE">
              <w:rPr>
                <w:rFonts w:ascii="Cambria" w:eastAsia="Times New Roman" w:hAnsi="Cambria" w:cs="Times New Roman"/>
                <w:i/>
                <w:color w:val="000000"/>
                <w:sz w:val="20"/>
                <w:szCs w:val="20"/>
              </w:rPr>
              <w:t xml:space="preserve"> </w:t>
            </w:r>
            <w:proofErr w:type="spellStart"/>
            <w:r w:rsidRPr="00C45CCE">
              <w:rPr>
                <w:rFonts w:ascii="Cambria" w:eastAsia="Times New Roman" w:hAnsi="Cambria" w:cs="Times New Roman"/>
                <w:i/>
                <w:color w:val="000000"/>
                <w:sz w:val="20"/>
                <w:szCs w:val="20"/>
              </w:rPr>
              <w:t>valutë</w:t>
            </w:r>
            <w:proofErr w:type="spellEnd"/>
          </w:p>
        </w:tc>
        <w:tc>
          <w:tcPr>
            <w:tcW w:w="4800" w:type="dxa"/>
            <w:tcBorders>
              <w:left w:val="nil"/>
              <w:bottom w:val="single" w:sz="8" w:space="0" w:color="auto"/>
              <w:right w:val="nil"/>
            </w:tcBorders>
            <w:shd w:val="clear" w:color="000000" w:fill="FFFFFF"/>
            <w:noWrap/>
            <w:vAlign w:val="bottom"/>
          </w:tcPr>
          <w:p w14:paraId="71DF5E32" w14:textId="77777777" w:rsidR="00C45CCE" w:rsidRPr="00C45CCE" w:rsidRDefault="00C45CCE" w:rsidP="00890903">
            <w:pPr>
              <w:spacing w:after="0" w:line="240" w:lineRule="auto"/>
              <w:jc w:val="center"/>
              <w:rPr>
                <w:rFonts w:ascii="Cambria" w:eastAsia="Times New Roman" w:hAnsi="Cambria" w:cs="Times New Roman"/>
                <w:i/>
                <w:color w:val="000000"/>
                <w:sz w:val="20"/>
                <w:szCs w:val="20"/>
              </w:rPr>
            </w:pPr>
            <w:proofErr w:type="spellStart"/>
            <w:r w:rsidRPr="00C45CCE">
              <w:rPr>
                <w:rFonts w:ascii="Cambria" w:eastAsia="Times New Roman" w:hAnsi="Cambria" w:cs="Times New Roman"/>
                <w:i/>
                <w:color w:val="000000"/>
                <w:sz w:val="20"/>
                <w:szCs w:val="20"/>
              </w:rPr>
              <w:t>Rreth</w:t>
            </w:r>
            <w:proofErr w:type="spellEnd"/>
            <w:r w:rsidRPr="00C45CCE">
              <w:rPr>
                <w:rFonts w:ascii="Cambria" w:eastAsia="Times New Roman" w:hAnsi="Cambria" w:cs="Times New Roman"/>
                <w:i/>
                <w:color w:val="000000"/>
                <w:sz w:val="20"/>
                <w:szCs w:val="20"/>
              </w:rPr>
              <w:t xml:space="preserve"> 3%</w:t>
            </w:r>
          </w:p>
        </w:tc>
      </w:tr>
      <w:tr w:rsidR="00890903" w:rsidRPr="00FB61A5" w14:paraId="71DF5E36" w14:textId="77777777" w:rsidTr="00C45CCE">
        <w:trPr>
          <w:trHeight w:val="255"/>
        </w:trPr>
        <w:tc>
          <w:tcPr>
            <w:tcW w:w="3715" w:type="dxa"/>
            <w:tcBorders>
              <w:top w:val="single" w:sz="8" w:space="0" w:color="FFFFFF"/>
              <w:left w:val="nil"/>
              <w:bottom w:val="nil"/>
              <w:right w:val="nil"/>
            </w:tcBorders>
            <w:shd w:val="clear" w:color="000000" w:fill="FFFFFF"/>
            <w:noWrap/>
            <w:vAlign w:val="bottom"/>
            <w:hideMark/>
          </w:tcPr>
          <w:p w14:paraId="71DF5E34" w14:textId="77777777" w:rsidR="00890903" w:rsidRPr="00FB61A5" w:rsidRDefault="00890903" w:rsidP="00890903">
            <w:pPr>
              <w:spacing w:after="0" w:line="240" w:lineRule="auto"/>
              <w:rPr>
                <w:rFonts w:ascii="Cambria" w:eastAsia="Times New Roman" w:hAnsi="Cambria" w:cs="Times New Roman"/>
                <w:b/>
                <w:bCs/>
                <w:color w:val="000000"/>
                <w:sz w:val="20"/>
                <w:szCs w:val="20"/>
              </w:rPr>
            </w:pPr>
            <w:proofErr w:type="spellStart"/>
            <w:r w:rsidRPr="00FB61A5">
              <w:rPr>
                <w:rFonts w:ascii="Cambria" w:eastAsia="Times New Roman" w:hAnsi="Cambria" w:cs="Times New Roman"/>
                <w:b/>
                <w:bCs/>
                <w:color w:val="000000"/>
                <w:sz w:val="20"/>
                <w:szCs w:val="20"/>
              </w:rPr>
              <w:t>Huamarrja</w:t>
            </w:r>
            <w:proofErr w:type="spellEnd"/>
            <w:r w:rsidRPr="00FB61A5">
              <w:rPr>
                <w:rFonts w:ascii="Cambria" w:eastAsia="Times New Roman" w:hAnsi="Cambria" w:cs="Times New Roman"/>
                <w:b/>
                <w:bCs/>
                <w:color w:val="000000"/>
                <w:sz w:val="20"/>
                <w:szCs w:val="20"/>
              </w:rPr>
              <w:t xml:space="preserve"> e </w:t>
            </w:r>
            <w:proofErr w:type="spellStart"/>
            <w:r w:rsidRPr="00FB61A5">
              <w:rPr>
                <w:rFonts w:ascii="Cambria" w:eastAsia="Times New Roman" w:hAnsi="Cambria" w:cs="Times New Roman"/>
                <w:b/>
                <w:bCs/>
                <w:color w:val="000000"/>
                <w:sz w:val="20"/>
                <w:szCs w:val="20"/>
              </w:rPr>
              <w:t>Huaj</w:t>
            </w:r>
            <w:proofErr w:type="spellEnd"/>
          </w:p>
        </w:tc>
        <w:tc>
          <w:tcPr>
            <w:tcW w:w="4800" w:type="dxa"/>
            <w:tcBorders>
              <w:top w:val="single" w:sz="8" w:space="0" w:color="FFFFFF"/>
              <w:left w:val="nil"/>
              <w:bottom w:val="nil"/>
              <w:right w:val="nil"/>
            </w:tcBorders>
            <w:shd w:val="clear" w:color="000000" w:fill="FFFFFF"/>
            <w:noWrap/>
            <w:vAlign w:val="bottom"/>
            <w:hideMark/>
          </w:tcPr>
          <w:p w14:paraId="71DF5E35" w14:textId="77777777" w:rsidR="00890903" w:rsidRPr="00FB61A5" w:rsidRDefault="00890903" w:rsidP="00890903">
            <w:pPr>
              <w:spacing w:after="0" w:line="240" w:lineRule="auto"/>
              <w:jc w:val="center"/>
              <w:rPr>
                <w:rFonts w:ascii="Cambria" w:eastAsia="Times New Roman" w:hAnsi="Cambria" w:cs="Times New Roman"/>
                <w:b/>
                <w:bCs/>
                <w:color w:val="000000"/>
                <w:sz w:val="20"/>
                <w:szCs w:val="20"/>
              </w:rPr>
            </w:pPr>
            <w:r w:rsidRPr="00FB61A5">
              <w:rPr>
                <w:rFonts w:ascii="Cambria" w:eastAsia="Times New Roman" w:hAnsi="Cambria" w:cs="Times New Roman"/>
                <w:b/>
                <w:bCs/>
                <w:color w:val="000000"/>
                <w:sz w:val="20"/>
                <w:szCs w:val="20"/>
              </w:rPr>
              <w:t>Max. 20%</w:t>
            </w:r>
          </w:p>
        </w:tc>
      </w:tr>
      <w:tr w:rsidR="00890903" w:rsidRPr="00FB61A5" w14:paraId="71DF5E39" w14:textId="77777777" w:rsidTr="00C45CCE">
        <w:trPr>
          <w:trHeight w:val="255"/>
        </w:trPr>
        <w:tc>
          <w:tcPr>
            <w:tcW w:w="3715" w:type="dxa"/>
            <w:tcBorders>
              <w:top w:val="nil"/>
              <w:left w:val="nil"/>
              <w:bottom w:val="nil"/>
              <w:right w:val="nil"/>
            </w:tcBorders>
            <w:shd w:val="clear" w:color="000000" w:fill="FFFFFF"/>
            <w:noWrap/>
            <w:vAlign w:val="bottom"/>
            <w:hideMark/>
          </w:tcPr>
          <w:p w14:paraId="71DF5E37" w14:textId="77777777" w:rsidR="00890903" w:rsidRPr="00FB61A5" w:rsidRDefault="00890903" w:rsidP="00890903">
            <w:pPr>
              <w:spacing w:after="0" w:line="240" w:lineRule="auto"/>
              <w:rPr>
                <w:rFonts w:ascii="Cambria" w:eastAsia="Times New Roman" w:hAnsi="Cambria" w:cs="Times New Roman"/>
                <w:color w:val="000000"/>
                <w:sz w:val="20"/>
                <w:szCs w:val="20"/>
              </w:rPr>
            </w:pPr>
            <w:r w:rsidRPr="00FB61A5">
              <w:rPr>
                <w:rFonts w:ascii="Cambria" w:eastAsia="Times New Roman" w:hAnsi="Cambria" w:cs="Times New Roman"/>
                <w:color w:val="000000"/>
                <w:sz w:val="20"/>
                <w:szCs w:val="20"/>
              </w:rPr>
              <w:t xml:space="preserve">   -Hua </w:t>
            </w:r>
            <w:proofErr w:type="spellStart"/>
            <w:r w:rsidRPr="00FB61A5">
              <w:rPr>
                <w:rFonts w:ascii="Cambria" w:eastAsia="Times New Roman" w:hAnsi="Cambria" w:cs="Times New Roman"/>
                <w:color w:val="000000"/>
                <w:sz w:val="20"/>
                <w:szCs w:val="20"/>
              </w:rPr>
              <w:t>për</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Financim</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Projektesh</w:t>
            </w:r>
            <w:proofErr w:type="spellEnd"/>
          </w:p>
        </w:tc>
        <w:tc>
          <w:tcPr>
            <w:tcW w:w="4800" w:type="dxa"/>
            <w:tcBorders>
              <w:top w:val="nil"/>
              <w:left w:val="nil"/>
              <w:bottom w:val="nil"/>
              <w:right w:val="nil"/>
            </w:tcBorders>
            <w:shd w:val="clear" w:color="000000" w:fill="FFFFFF"/>
            <w:noWrap/>
            <w:vAlign w:val="bottom"/>
            <w:hideMark/>
          </w:tcPr>
          <w:p w14:paraId="71DF5E38" w14:textId="77777777" w:rsidR="00890903" w:rsidRPr="00FB61A5" w:rsidRDefault="00890903" w:rsidP="00C45CCE">
            <w:pPr>
              <w:spacing w:after="0" w:line="240" w:lineRule="auto"/>
              <w:jc w:val="center"/>
              <w:rPr>
                <w:rFonts w:ascii="Cambria" w:eastAsia="Times New Roman" w:hAnsi="Cambria" w:cs="Times New Roman"/>
                <w:color w:val="000000"/>
                <w:sz w:val="20"/>
                <w:szCs w:val="20"/>
              </w:rPr>
            </w:pPr>
            <w:proofErr w:type="spellStart"/>
            <w:r w:rsidRPr="00FB61A5">
              <w:rPr>
                <w:rFonts w:ascii="Cambria" w:eastAsia="Times New Roman" w:hAnsi="Cambria" w:cs="Times New Roman"/>
                <w:color w:val="000000"/>
                <w:sz w:val="20"/>
                <w:szCs w:val="20"/>
              </w:rPr>
              <w:t>Rreth</w:t>
            </w:r>
            <w:proofErr w:type="spellEnd"/>
            <w:r w:rsidRPr="00FB61A5">
              <w:rPr>
                <w:rFonts w:ascii="Cambria" w:eastAsia="Times New Roman" w:hAnsi="Cambria" w:cs="Times New Roman"/>
                <w:color w:val="000000"/>
                <w:sz w:val="20"/>
                <w:szCs w:val="20"/>
              </w:rPr>
              <w:t xml:space="preserve"> </w:t>
            </w:r>
            <w:r w:rsidR="00C45CCE">
              <w:rPr>
                <w:rFonts w:ascii="Cambria" w:eastAsia="Times New Roman" w:hAnsi="Cambria" w:cs="Times New Roman"/>
                <w:color w:val="000000"/>
                <w:sz w:val="20"/>
                <w:szCs w:val="20"/>
              </w:rPr>
              <w:t>8</w:t>
            </w:r>
            <w:r w:rsidRPr="00FB61A5">
              <w:rPr>
                <w:rFonts w:ascii="Cambria" w:eastAsia="Times New Roman" w:hAnsi="Cambria" w:cs="Times New Roman"/>
                <w:color w:val="000000"/>
                <w:sz w:val="20"/>
                <w:szCs w:val="20"/>
              </w:rPr>
              <w:t>%</w:t>
            </w:r>
          </w:p>
        </w:tc>
      </w:tr>
      <w:tr w:rsidR="00890903" w:rsidRPr="00FB61A5" w14:paraId="71DF5E3C" w14:textId="77777777" w:rsidTr="00C45CCE">
        <w:trPr>
          <w:trHeight w:val="255"/>
        </w:trPr>
        <w:tc>
          <w:tcPr>
            <w:tcW w:w="3715" w:type="dxa"/>
            <w:tcBorders>
              <w:top w:val="nil"/>
              <w:left w:val="nil"/>
              <w:bottom w:val="nil"/>
              <w:right w:val="nil"/>
            </w:tcBorders>
            <w:shd w:val="clear" w:color="000000" w:fill="FFFFFF"/>
            <w:noWrap/>
            <w:vAlign w:val="bottom"/>
            <w:hideMark/>
          </w:tcPr>
          <w:p w14:paraId="71DF5E3A" w14:textId="77777777" w:rsidR="00890903" w:rsidRPr="00FB61A5" w:rsidRDefault="00890903" w:rsidP="00890903">
            <w:pPr>
              <w:spacing w:after="0" w:line="240" w:lineRule="auto"/>
              <w:rPr>
                <w:rFonts w:ascii="Cambria" w:eastAsia="Times New Roman" w:hAnsi="Cambria" w:cs="Times New Roman"/>
                <w:color w:val="000000"/>
                <w:sz w:val="20"/>
                <w:szCs w:val="20"/>
              </w:rPr>
            </w:pPr>
            <w:r w:rsidRPr="00FB61A5">
              <w:rPr>
                <w:rFonts w:ascii="Cambria" w:eastAsia="Times New Roman" w:hAnsi="Cambria" w:cs="Times New Roman"/>
                <w:color w:val="000000"/>
                <w:sz w:val="20"/>
                <w:szCs w:val="20"/>
              </w:rPr>
              <w:t xml:space="preserve">   -Hua </w:t>
            </w:r>
            <w:proofErr w:type="spellStart"/>
            <w:r w:rsidRPr="00FB61A5">
              <w:rPr>
                <w:rFonts w:ascii="Cambria" w:eastAsia="Times New Roman" w:hAnsi="Cambria" w:cs="Times New Roman"/>
                <w:color w:val="000000"/>
                <w:sz w:val="20"/>
                <w:szCs w:val="20"/>
              </w:rPr>
              <w:t>për</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Mbështetje</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Buxhetore</w:t>
            </w:r>
            <w:proofErr w:type="spellEnd"/>
          </w:p>
        </w:tc>
        <w:tc>
          <w:tcPr>
            <w:tcW w:w="4800" w:type="dxa"/>
            <w:tcBorders>
              <w:top w:val="nil"/>
              <w:left w:val="nil"/>
              <w:bottom w:val="nil"/>
              <w:right w:val="nil"/>
            </w:tcBorders>
            <w:shd w:val="clear" w:color="000000" w:fill="FFFFFF"/>
            <w:noWrap/>
            <w:vAlign w:val="bottom"/>
            <w:hideMark/>
          </w:tcPr>
          <w:p w14:paraId="71DF5E3B" w14:textId="77777777" w:rsidR="00890903" w:rsidRPr="00FB61A5" w:rsidRDefault="00890903" w:rsidP="00C45CCE">
            <w:pPr>
              <w:spacing w:after="0" w:line="240" w:lineRule="auto"/>
              <w:jc w:val="center"/>
              <w:rPr>
                <w:rFonts w:ascii="Cambria" w:eastAsia="Times New Roman" w:hAnsi="Cambria" w:cs="Times New Roman"/>
                <w:color w:val="000000"/>
                <w:sz w:val="20"/>
                <w:szCs w:val="20"/>
              </w:rPr>
            </w:pPr>
            <w:proofErr w:type="spellStart"/>
            <w:r w:rsidRPr="00FB61A5">
              <w:rPr>
                <w:rFonts w:ascii="Cambria" w:eastAsia="Times New Roman" w:hAnsi="Cambria" w:cs="Times New Roman"/>
                <w:color w:val="000000"/>
                <w:sz w:val="20"/>
                <w:szCs w:val="20"/>
              </w:rPr>
              <w:t>Rreth</w:t>
            </w:r>
            <w:proofErr w:type="spellEnd"/>
            <w:r w:rsidRPr="00FB61A5">
              <w:rPr>
                <w:rFonts w:ascii="Cambria" w:eastAsia="Times New Roman" w:hAnsi="Cambria" w:cs="Times New Roman"/>
                <w:color w:val="000000"/>
                <w:sz w:val="20"/>
                <w:szCs w:val="20"/>
              </w:rPr>
              <w:t xml:space="preserve"> </w:t>
            </w:r>
            <w:r w:rsidR="00C45CCE">
              <w:rPr>
                <w:rFonts w:ascii="Cambria" w:eastAsia="Times New Roman" w:hAnsi="Cambria" w:cs="Times New Roman"/>
                <w:color w:val="000000"/>
                <w:sz w:val="20"/>
                <w:szCs w:val="20"/>
              </w:rPr>
              <w:t>4</w:t>
            </w:r>
            <w:r w:rsidRPr="00FB61A5">
              <w:rPr>
                <w:rFonts w:ascii="Cambria" w:eastAsia="Times New Roman" w:hAnsi="Cambria" w:cs="Times New Roman"/>
                <w:color w:val="000000"/>
                <w:sz w:val="20"/>
                <w:szCs w:val="20"/>
              </w:rPr>
              <w:t>%</w:t>
            </w:r>
          </w:p>
        </w:tc>
      </w:tr>
      <w:tr w:rsidR="00890903" w:rsidRPr="00FB61A5" w14:paraId="71DF5E3F" w14:textId="77777777" w:rsidTr="00C45CCE">
        <w:trPr>
          <w:trHeight w:val="255"/>
        </w:trPr>
        <w:tc>
          <w:tcPr>
            <w:tcW w:w="3715" w:type="dxa"/>
            <w:tcBorders>
              <w:top w:val="nil"/>
              <w:left w:val="nil"/>
              <w:bottom w:val="nil"/>
              <w:right w:val="nil"/>
            </w:tcBorders>
            <w:shd w:val="clear" w:color="000000" w:fill="FFFFFF"/>
            <w:noWrap/>
            <w:vAlign w:val="bottom"/>
            <w:hideMark/>
          </w:tcPr>
          <w:p w14:paraId="71DF5E3D" w14:textId="77777777" w:rsidR="00890903" w:rsidRPr="00FB61A5" w:rsidRDefault="00890903" w:rsidP="00890903">
            <w:pPr>
              <w:spacing w:after="0" w:line="240" w:lineRule="auto"/>
              <w:rPr>
                <w:rFonts w:ascii="Cambria" w:eastAsia="Times New Roman" w:hAnsi="Cambria" w:cs="Times New Roman"/>
                <w:color w:val="000000"/>
                <w:sz w:val="20"/>
                <w:szCs w:val="20"/>
              </w:rPr>
            </w:pPr>
            <w:r w:rsidRPr="00FB61A5">
              <w:rPr>
                <w:rFonts w:ascii="Cambria" w:eastAsia="Times New Roman" w:hAnsi="Cambria" w:cs="Times New Roman"/>
                <w:color w:val="000000"/>
                <w:sz w:val="20"/>
                <w:szCs w:val="20"/>
              </w:rPr>
              <w:t xml:space="preserve">   -Eurobond</w:t>
            </w:r>
          </w:p>
        </w:tc>
        <w:tc>
          <w:tcPr>
            <w:tcW w:w="4800" w:type="dxa"/>
            <w:tcBorders>
              <w:top w:val="nil"/>
              <w:left w:val="nil"/>
              <w:bottom w:val="nil"/>
              <w:right w:val="nil"/>
            </w:tcBorders>
            <w:shd w:val="clear" w:color="000000" w:fill="FFFFFF"/>
            <w:noWrap/>
            <w:vAlign w:val="bottom"/>
            <w:hideMark/>
          </w:tcPr>
          <w:p w14:paraId="71DF5E3E" w14:textId="77777777" w:rsidR="00890903" w:rsidRPr="00FB61A5" w:rsidRDefault="00890903" w:rsidP="00C45CCE">
            <w:pPr>
              <w:spacing w:after="0" w:line="240" w:lineRule="auto"/>
              <w:jc w:val="center"/>
              <w:rPr>
                <w:rFonts w:ascii="Cambria" w:eastAsia="Times New Roman" w:hAnsi="Cambria" w:cs="Times New Roman"/>
                <w:color w:val="000000"/>
                <w:sz w:val="20"/>
                <w:szCs w:val="20"/>
              </w:rPr>
            </w:pPr>
            <w:proofErr w:type="spellStart"/>
            <w:r w:rsidRPr="00FB61A5">
              <w:rPr>
                <w:rFonts w:ascii="Cambria" w:eastAsia="Times New Roman" w:hAnsi="Cambria" w:cs="Times New Roman"/>
                <w:color w:val="000000"/>
                <w:sz w:val="20"/>
                <w:szCs w:val="20"/>
              </w:rPr>
              <w:t>Rreth</w:t>
            </w:r>
            <w:proofErr w:type="spellEnd"/>
            <w:r w:rsidRPr="00FB61A5">
              <w:rPr>
                <w:rFonts w:ascii="Cambria" w:eastAsia="Times New Roman" w:hAnsi="Cambria" w:cs="Times New Roman"/>
                <w:color w:val="000000"/>
                <w:sz w:val="20"/>
                <w:szCs w:val="20"/>
              </w:rPr>
              <w:t xml:space="preserve"> </w:t>
            </w:r>
            <w:r w:rsidR="00C45CCE">
              <w:rPr>
                <w:rFonts w:ascii="Cambria" w:eastAsia="Times New Roman" w:hAnsi="Cambria" w:cs="Times New Roman"/>
                <w:color w:val="000000"/>
                <w:sz w:val="20"/>
                <w:szCs w:val="20"/>
              </w:rPr>
              <w:t>8</w:t>
            </w:r>
            <w:r w:rsidRPr="00FB61A5">
              <w:rPr>
                <w:rFonts w:ascii="Cambria" w:eastAsia="Times New Roman" w:hAnsi="Cambria" w:cs="Times New Roman"/>
                <w:color w:val="000000"/>
                <w:sz w:val="20"/>
                <w:szCs w:val="20"/>
              </w:rPr>
              <w:t>%</w:t>
            </w:r>
          </w:p>
        </w:tc>
      </w:tr>
      <w:tr w:rsidR="00890903" w:rsidRPr="00FB61A5" w14:paraId="71DF5E42" w14:textId="77777777" w:rsidTr="00C45CCE">
        <w:trPr>
          <w:trHeight w:val="270"/>
        </w:trPr>
        <w:tc>
          <w:tcPr>
            <w:tcW w:w="3715" w:type="dxa"/>
            <w:tcBorders>
              <w:top w:val="nil"/>
              <w:left w:val="nil"/>
              <w:bottom w:val="single" w:sz="8" w:space="0" w:color="auto"/>
              <w:right w:val="nil"/>
            </w:tcBorders>
            <w:shd w:val="clear" w:color="000000" w:fill="FFFFFF"/>
            <w:noWrap/>
            <w:vAlign w:val="bottom"/>
            <w:hideMark/>
          </w:tcPr>
          <w:p w14:paraId="71DF5E40" w14:textId="77777777" w:rsidR="00890903" w:rsidRPr="00FB61A5" w:rsidRDefault="00890903" w:rsidP="00890903">
            <w:pPr>
              <w:spacing w:after="0" w:line="240" w:lineRule="auto"/>
              <w:rPr>
                <w:rFonts w:ascii="Cambria" w:eastAsia="Times New Roman" w:hAnsi="Cambria" w:cs="Times New Roman"/>
                <w:color w:val="000000"/>
                <w:sz w:val="20"/>
                <w:szCs w:val="20"/>
              </w:rPr>
            </w:pPr>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Instrumente</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të</w:t>
            </w:r>
            <w:proofErr w:type="spellEnd"/>
            <w:r w:rsidRPr="00FB61A5">
              <w:rPr>
                <w:rFonts w:ascii="Cambria" w:eastAsia="Times New Roman" w:hAnsi="Cambria" w:cs="Times New Roman"/>
                <w:color w:val="000000"/>
                <w:sz w:val="20"/>
                <w:szCs w:val="20"/>
              </w:rPr>
              <w:t xml:space="preserve"> </w:t>
            </w:r>
            <w:proofErr w:type="spellStart"/>
            <w:r w:rsidRPr="00FB61A5">
              <w:rPr>
                <w:rFonts w:ascii="Cambria" w:eastAsia="Times New Roman" w:hAnsi="Cambria" w:cs="Times New Roman"/>
                <w:color w:val="000000"/>
                <w:sz w:val="20"/>
                <w:szCs w:val="20"/>
              </w:rPr>
              <w:t>Tjera</w:t>
            </w:r>
            <w:proofErr w:type="spellEnd"/>
          </w:p>
        </w:tc>
        <w:tc>
          <w:tcPr>
            <w:tcW w:w="4800" w:type="dxa"/>
            <w:tcBorders>
              <w:top w:val="nil"/>
              <w:left w:val="nil"/>
              <w:bottom w:val="single" w:sz="8" w:space="0" w:color="auto"/>
              <w:right w:val="nil"/>
            </w:tcBorders>
            <w:shd w:val="clear" w:color="000000" w:fill="FFFFFF"/>
            <w:noWrap/>
            <w:vAlign w:val="bottom"/>
            <w:hideMark/>
          </w:tcPr>
          <w:p w14:paraId="71DF5E41" w14:textId="77777777" w:rsidR="00890903" w:rsidRPr="00FB61A5" w:rsidRDefault="00C45CCE" w:rsidP="00890903">
            <w:pPr>
              <w:spacing w:after="0" w:line="240" w:lineRule="auto"/>
              <w:jc w:val="center"/>
              <w:rPr>
                <w:rFonts w:ascii="Cambria" w:eastAsia="Times New Roman" w:hAnsi="Cambria" w:cs="Times New Roman"/>
                <w:color w:val="000000"/>
                <w:sz w:val="20"/>
                <w:szCs w:val="20"/>
              </w:rPr>
            </w:pPr>
            <w:r>
              <w:rPr>
                <w:rFonts w:ascii="Cambria" w:eastAsia="Times New Roman" w:hAnsi="Cambria" w:cs="Times New Roman"/>
                <w:color w:val="000000"/>
                <w:sz w:val="20"/>
                <w:szCs w:val="20"/>
              </w:rPr>
              <w:t>-</w:t>
            </w:r>
          </w:p>
        </w:tc>
      </w:tr>
    </w:tbl>
    <w:p w14:paraId="71DF5E43" w14:textId="77777777" w:rsidR="00FB61A5" w:rsidRPr="00E5251C" w:rsidRDefault="00890903" w:rsidP="00F62D03">
      <w:pPr>
        <w:tabs>
          <w:tab w:val="left" w:pos="2730"/>
        </w:tabs>
        <w:spacing w:after="0" w:line="276" w:lineRule="auto"/>
        <w:ind w:left="284" w:right="237"/>
        <w:jc w:val="center"/>
        <w:rPr>
          <w:rFonts w:ascii="Cambria" w:eastAsia="Calibri" w:hAnsi="Cambria" w:cs="Times New Roman"/>
          <w:i/>
          <w:noProof/>
          <w:color w:val="8E0000"/>
          <w:sz w:val="20"/>
          <w:szCs w:val="20"/>
          <w:lang w:val="sq-AL"/>
        </w:rPr>
      </w:pPr>
      <w:r w:rsidRPr="00FB61A5">
        <w:rPr>
          <w:rFonts w:ascii="Cambria" w:eastAsia="Calibri" w:hAnsi="Cambria" w:cs="Times New Roman"/>
          <w:b/>
          <w:noProof/>
          <w:color w:val="8E0000"/>
          <w:sz w:val="20"/>
          <w:szCs w:val="20"/>
          <w:lang w:val="sq-AL"/>
        </w:rPr>
        <w:t xml:space="preserve">Burimi: </w:t>
      </w:r>
      <w:r w:rsidRPr="00FB61A5">
        <w:rPr>
          <w:rFonts w:ascii="Cambria" w:eastAsia="Calibri" w:hAnsi="Cambria" w:cs="Times New Roman"/>
          <w:i/>
          <w:noProof/>
          <w:color w:val="8E0000"/>
          <w:sz w:val="20"/>
          <w:szCs w:val="20"/>
          <w:lang w:val="sq-AL"/>
        </w:rPr>
        <w:t>Ministria e Financave dhe Ekonomisë (2019)</w:t>
      </w:r>
    </w:p>
    <w:p w14:paraId="71DF5E44" w14:textId="77777777" w:rsidR="009053CD" w:rsidRPr="004468FD" w:rsidRDefault="00E9202A" w:rsidP="00FB61A5">
      <w:pPr>
        <w:tabs>
          <w:tab w:val="left" w:pos="2730"/>
        </w:tabs>
        <w:spacing w:after="0" w:line="276" w:lineRule="auto"/>
        <w:ind w:right="238"/>
        <w:rPr>
          <w:rFonts w:ascii="Times New Roman" w:eastAsia="Times New Roman" w:hAnsi="Times New Roman" w:cs="Times New Roman"/>
          <w:bCs/>
          <w:noProof/>
          <w:sz w:val="24"/>
          <w:szCs w:val="28"/>
          <w:u w:val="single"/>
          <w:lang w:val="sq-AL"/>
        </w:rPr>
      </w:pPr>
      <w:r w:rsidRPr="004468FD">
        <w:rPr>
          <w:rFonts w:ascii="Times New Roman" w:eastAsia="Times New Roman" w:hAnsi="Times New Roman" w:cs="Times New Roman"/>
          <w:bCs/>
          <w:noProof/>
          <w:sz w:val="24"/>
          <w:szCs w:val="28"/>
          <w:u w:val="single"/>
          <w:lang w:val="sq-AL"/>
        </w:rPr>
        <w:lastRenderedPageBreak/>
        <w:t>Cfarë pritet t</w:t>
      </w:r>
      <w:r w:rsidR="000D7062" w:rsidRPr="004468FD">
        <w:rPr>
          <w:rFonts w:ascii="Times New Roman" w:eastAsia="Times New Roman" w:hAnsi="Times New Roman" w:cs="Times New Roman"/>
          <w:bCs/>
          <w:noProof/>
          <w:sz w:val="24"/>
          <w:szCs w:val="28"/>
          <w:u w:val="single"/>
          <w:lang w:val="sq-AL"/>
        </w:rPr>
        <w:t>ë</w:t>
      </w:r>
      <w:r w:rsidRPr="004468FD">
        <w:rPr>
          <w:rFonts w:ascii="Times New Roman" w:eastAsia="Times New Roman" w:hAnsi="Times New Roman" w:cs="Times New Roman"/>
          <w:bCs/>
          <w:noProof/>
          <w:sz w:val="24"/>
          <w:szCs w:val="28"/>
          <w:u w:val="single"/>
          <w:lang w:val="sq-AL"/>
        </w:rPr>
        <w:t xml:space="preserve"> p</w:t>
      </w:r>
      <w:r w:rsidR="000D7062" w:rsidRPr="004468FD">
        <w:rPr>
          <w:rFonts w:ascii="Times New Roman" w:eastAsia="Times New Roman" w:hAnsi="Times New Roman" w:cs="Times New Roman"/>
          <w:bCs/>
          <w:noProof/>
          <w:sz w:val="24"/>
          <w:szCs w:val="28"/>
          <w:u w:val="single"/>
          <w:lang w:val="sq-AL"/>
        </w:rPr>
        <w:t>ë</w:t>
      </w:r>
      <w:r w:rsidRPr="004468FD">
        <w:rPr>
          <w:rFonts w:ascii="Times New Roman" w:eastAsia="Times New Roman" w:hAnsi="Times New Roman" w:cs="Times New Roman"/>
          <w:bCs/>
          <w:noProof/>
          <w:sz w:val="24"/>
          <w:szCs w:val="28"/>
          <w:u w:val="single"/>
          <w:lang w:val="sq-AL"/>
        </w:rPr>
        <w:t>rmbush</w:t>
      </w:r>
      <w:r w:rsidR="000D7062" w:rsidRPr="004468FD">
        <w:rPr>
          <w:rFonts w:ascii="Times New Roman" w:eastAsia="Times New Roman" w:hAnsi="Times New Roman" w:cs="Times New Roman"/>
          <w:bCs/>
          <w:noProof/>
          <w:sz w:val="24"/>
          <w:szCs w:val="28"/>
          <w:u w:val="single"/>
          <w:lang w:val="sq-AL"/>
        </w:rPr>
        <w:t>ë</w:t>
      </w:r>
      <w:r w:rsidRPr="004468FD">
        <w:rPr>
          <w:rFonts w:ascii="Times New Roman" w:eastAsia="Times New Roman" w:hAnsi="Times New Roman" w:cs="Times New Roman"/>
          <w:bCs/>
          <w:noProof/>
          <w:sz w:val="24"/>
          <w:szCs w:val="28"/>
          <w:u w:val="single"/>
          <w:lang w:val="sq-AL"/>
        </w:rPr>
        <w:t xml:space="preserve"> strategjia</w:t>
      </w:r>
    </w:p>
    <w:p w14:paraId="71DF5E45" w14:textId="77777777" w:rsidR="009053CD" w:rsidRDefault="009053CD" w:rsidP="009053CD">
      <w:pPr>
        <w:tabs>
          <w:tab w:val="left" w:pos="2730"/>
        </w:tabs>
        <w:spacing w:after="0" w:line="276" w:lineRule="auto"/>
        <w:ind w:left="284" w:right="238"/>
        <w:rPr>
          <w:rFonts w:ascii="Cambria" w:eastAsia="Times New Roman" w:hAnsi="Cambria" w:cs="Times New Roman"/>
          <w:bCs/>
          <w:noProof/>
          <w:sz w:val="16"/>
          <w:szCs w:val="28"/>
          <w:u w:val="single"/>
          <w:lang w:val="sq-AL"/>
        </w:rPr>
      </w:pPr>
    </w:p>
    <w:p w14:paraId="71DF5E46" w14:textId="77777777" w:rsidR="00E9202A" w:rsidRDefault="00E9202A" w:rsidP="00FB61A5">
      <w:pPr>
        <w:tabs>
          <w:tab w:val="left" w:pos="2730"/>
          <w:tab w:val="left" w:pos="8789"/>
        </w:tabs>
        <w:spacing w:after="0" w:line="276" w:lineRule="auto"/>
        <w:ind w:right="238"/>
        <w:jc w:val="both"/>
        <w:rPr>
          <w:rFonts w:ascii="Times New Roman" w:eastAsia="Times New Roman" w:hAnsi="Times New Roman" w:cs="Times New Roman"/>
          <w:bCs/>
          <w:noProof/>
          <w:sz w:val="24"/>
          <w:szCs w:val="28"/>
          <w:lang w:val="sq-AL"/>
        </w:rPr>
      </w:pPr>
      <w:r>
        <w:rPr>
          <w:rFonts w:ascii="Times New Roman" w:eastAsia="Times New Roman" w:hAnsi="Times New Roman" w:cs="Times New Roman"/>
          <w:bCs/>
          <w:noProof/>
          <w:sz w:val="24"/>
          <w:szCs w:val="28"/>
          <w:lang w:val="sq-AL"/>
        </w:rPr>
        <w:t xml:space="preserve">Implementimi i </w:t>
      </w:r>
      <w:r w:rsidRPr="00E9202A">
        <w:rPr>
          <w:rFonts w:ascii="Times New Roman" w:eastAsia="Times New Roman" w:hAnsi="Times New Roman" w:cs="Times New Roman"/>
          <w:bCs/>
          <w:i/>
          <w:noProof/>
          <w:sz w:val="24"/>
          <w:szCs w:val="28"/>
          <w:lang w:val="sq-AL"/>
        </w:rPr>
        <w:t>Strategjis</w:t>
      </w:r>
      <w:r w:rsidR="000D7062">
        <w:rPr>
          <w:rFonts w:ascii="Times New Roman" w:eastAsia="Times New Roman" w:hAnsi="Times New Roman" w:cs="Times New Roman"/>
          <w:bCs/>
          <w:i/>
          <w:noProof/>
          <w:sz w:val="24"/>
          <w:szCs w:val="28"/>
          <w:lang w:val="sq-AL"/>
        </w:rPr>
        <w:t>ë</w:t>
      </w:r>
      <w:r w:rsidRPr="00E9202A">
        <w:rPr>
          <w:rFonts w:ascii="Times New Roman" w:eastAsia="Times New Roman" w:hAnsi="Times New Roman" w:cs="Times New Roman"/>
          <w:bCs/>
          <w:i/>
          <w:noProof/>
          <w:sz w:val="24"/>
          <w:szCs w:val="28"/>
          <w:lang w:val="sq-AL"/>
        </w:rPr>
        <w:t xml:space="preserve"> 1</w:t>
      </w:r>
      <w:r>
        <w:rPr>
          <w:rFonts w:ascii="Times New Roman" w:eastAsia="Times New Roman" w:hAnsi="Times New Roman" w:cs="Times New Roman"/>
          <w:bCs/>
          <w:noProof/>
          <w:sz w:val="24"/>
          <w:szCs w:val="28"/>
          <w:lang w:val="sq-AL"/>
        </w:rPr>
        <w:t xml:space="preserve"> n</w:t>
      </w:r>
      <w:r w:rsidR="000D7062">
        <w:rPr>
          <w:rFonts w:ascii="Times New Roman" w:eastAsia="Times New Roman" w:hAnsi="Times New Roman" w:cs="Times New Roman"/>
          <w:bCs/>
          <w:noProof/>
          <w:sz w:val="24"/>
          <w:szCs w:val="28"/>
          <w:lang w:val="sq-AL"/>
        </w:rPr>
        <w:t>ë</w:t>
      </w:r>
      <w:r>
        <w:rPr>
          <w:rFonts w:ascii="Times New Roman" w:eastAsia="Times New Roman" w:hAnsi="Times New Roman" w:cs="Times New Roman"/>
          <w:bCs/>
          <w:noProof/>
          <w:sz w:val="24"/>
          <w:szCs w:val="28"/>
          <w:lang w:val="sq-AL"/>
        </w:rPr>
        <w:t xml:space="preserve"> linj</w:t>
      </w:r>
      <w:r w:rsidR="000D7062">
        <w:rPr>
          <w:rFonts w:ascii="Times New Roman" w:eastAsia="Times New Roman" w:hAnsi="Times New Roman" w:cs="Times New Roman"/>
          <w:bCs/>
          <w:noProof/>
          <w:sz w:val="24"/>
          <w:szCs w:val="28"/>
          <w:lang w:val="sq-AL"/>
        </w:rPr>
        <w:t>ë</w:t>
      </w:r>
      <w:r>
        <w:rPr>
          <w:rFonts w:ascii="Times New Roman" w:eastAsia="Times New Roman" w:hAnsi="Times New Roman" w:cs="Times New Roman"/>
          <w:bCs/>
          <w:noProof/>
          <w:sz w:val="24"/>
          <w:szCs w:val="28"/>
          <w:lang w:val="sq-AL"/>
        </w:rPr>
        <w:t xml:space="preserve"> me indikacionet e m</w:t>
      </w:r>
      <w:r w:rsidR="000D7062">
        <w:rPr>
          <w:rFonts w:ascii="Times New Roman" w:eastAsia="Times New Roman" w:hAnsi="Times New Roman" w:cs="Times New Roman"/>
          <w:bCs/>
          <w:noProof/>
          <w:sz w:val="24"/>
          <w:szCs w:val="28"/>
          <w:lang w:val="sq-AL"/>
        </w:rPr>
        <w:t>ë</w:t>
      </w:r>
      <w:r>
        <w:rPr>
          <w:rFonts w:ascii="Times New Roman" w:eastAsia="Times New Roman" w:hAnsi="Times New Roman" w:cs="Times New Roman"/>
          <w:bCs/>
          <w:noProof/>
          <w:sz w:val="24"/>
          <w:szCs w:val="28"/>
          <w:lang w:val="sq-AL"/>
        </w:rPr>
        <w:t>sip</w:t>
      </w:r>
      <w:r w:rsidR="000D7062">
        <w:rPr>
          <w:rFonts w:ascii="Times New Roman" w:eastAsia="Times New Roman" w:hAnsi="Times New Roman" w:cs="Times New Roman"/>
          <w:bCs/>
          <w:noProof/>
          <w:sz w:val="24"/>
          <w:szCs w:val="28"/>
          <w:lang w:val="sq-AL"/>
        </w:rPr>
        <w:t>ë</w:t>
      </w:r>
      <w:r>
        <w:rPr>
          <w:rFonts w:ascii="Times New Roman" w:eastAsia="Times New Roman" w:hAnsi="Times New Roman" w:cs="Times New Roman"/>
          <w:bCs/>
          <w:noProof/>
          <w:sz w:val="24"/>
          <w:szCs w:val="28"/>
          <w:lang w:val="sq-AL"/>
        </w:rPr>
        <w:t>rme do t</w:t>
      </w:r>
      <w:r w:rsidR="000D7062">
        <w:rPr>
          <w:rFonts w:ascii="Times New Roman" w:eastAsia="Times New Roman" w:hAnsi="Times New Roman" w:cs="Times New Roman"/>
          <w:bCs/>
          <w:noProof/>
          <w:sz w:val="24"/>
          <w:szCs w:val="28"/>
          <w:lang w:val="sq-AL"/>
        </w:rPr>
        <w:t>ë</w:t>
      </w:r>
      <w:r>
        <w:rPr>
          <w:rFonts w:ascii="Times New Roman" w:eastAsia="Times New Roman" w:hAnsi="Times New Roman" w:cs="Times New Roman"/>
          <w:bCs/>
          <w:noProof/>
          <w:sz w:val="24"/>
          <w:szCs w:val="28"/>
          <w:lang w:val="sq-AL"/>
        </w:rPr>
        <w:t xml:space="preserve"> rezultonte n</w:t>
      </w:r>
      <w:r w:rsidR="000D7062">
        <w:rPr>
          <w:rFonts w:ascii="Times New Roman" w:eastAsia="Times New Roman" w:hAnsi="Times New Roman" w:cs="Times New Roman"/>
          <w:bCs/>
          <w:noProof/>
          <w:sz w:val="24"/>
          <w:szCs w:val="28"/>
          <w:lang w:val="sq-AL"/>
        </w:rPr>
        <w:t>ë</w:t>
      </w:r>
      <w:r>
        <w:rPr>
          <w:rFonts w:ascii="Times New Roman" w:eastAsia="Times New Roman" w:hAnsi="Times New Roman" w:cs="Times New Roman"/>
          <w:bCs/>
          <w:noProof/>
          <w:sz w:val="24"/>
          <w:szCs w:val="28"/>
          <w:lang w:val="sq-AL"/>
        </w:rPr>
        <w:t xml:space="preserve">: </w:t>
      </w:r>
    </w:p>
    <w:p w14:paraId="71DF5E47" w14:textId="77777777" w:rsidR="00E9202A" w:rsidRDefault="00E9202A" w:rsidP="009053CD">
      <w:pPr>
        <w:tabs>
          <w:tab w:val="left" w:pos="2730"/>
        </w:tabs>
        <w:spacing w:after="0" w:line="276" w:lineRule="auto"/>
        <w:ind w:left="284" w:right="238"/>
        <w:rPr>
          <w:rFonts w:ascii="Times New Roman" w:eastAsia="Times New Roman" w:hAnsi="Times New Roman" w:cs="Times New Roman"/>
          <w:bCs/>
          <w:noProof/>
          <w:sz w:val="16"/>
          <w:szCs w:val="28"/>
          <w:lang w:val="sq-AL"/>
        </w:rPr>
      </w:pPr>
    </w:p>
    <w:p w14:paraId="71DF5E48" w14:textId="77777777" w:rsidR="00AD09E8" w:rsidRPr="00FB61A5" w:rsidRDefault="00AD09E8" w:rsidP="00FB61A5">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rmbushjen e nevojave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 financim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qeveris</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qendrore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rputhje me projeksionet e draft Kuadrit Makroekonomik dhe Fiskal 2021-2023 </w:t>
      </w:r>
      <w:r w:rsidRPr="00FB61A5">
        <w:rPr>
          <w:rFonts w:ascii="Times New Roman" w:eastAsia="Times New Roman" w:hAnsi="Times New Roman" w:cs="Times New Roman"/>
          <w:bCs/>
          <w:iCs/>
          <w:noProof/>
          <w:sz w:val="24"/>
          <w:szCs w:val="24"/>
          <w:lang w:val="sq-AL"/>
        </w:rPr>
        <w:t xml:space="preserve">(Kreu II, Nënkapitulli </w:t>
      </w:r>
      <w:r w:rsidR="00262726" w:rsidRPr="00FB61A5">
        <w:rPr>
          <w:rFonts w:ascii="Times New Roman" w:eastAsia="Times New Roman" w:hAnsi="Times New Roman" w:cs="Times New Roman"/>
          <w:bCs/>
          <w:iCs/>
          <w:noProof/>
          <w:sz w:val="24"/>
          <w:szCs w:val="24"/>
          <w:lang w:val="sq-AL"/>
        </w:rPr>
        <w:t>1</w:t>
      </w:r>
      <w:r w:rsidRPr="00FB61A5">
        <w:rPr>
          <w:rFonts w:ascii="Times New Roman" w:eastAsia="Times New Roman" w:hAnsi="Times New Roman" w:cs="Times New Roman"/>
          <w:bCs/>
          <w:iCs/>
          <w:noProof/>
          <w:sz w:val="24"/>
          <w:szCs w:val="24"/>
          <w:lang w:val="sq-AL"/>
        </w:rPr>
        <w:t>.1)</w:t>
      </w:r>
      <w:r w:rsidRPr="00FB61A5">
        <w:rPr>
          <w:rFonts w:ascii="Times New Roman" w:eastAsia="Times New Roman" w:hAnsi="Times New Roman" w:cs="Times New Roman"/>
          <w:bCs/>
          <w:noProof/>
          <w:sz w:val="24"/>
          <w:szCs w:val="28"/>
          <w:lang w:val="sq-AL"/>
        </w:rPr>
        <w:t xml:space="preserve">; </w:t>
      </w:r>
    </w:p>
    <w:p w14:paraId="71DF5E49" w14:textId="77777777" w:rsidR="009053CD" w:rsidRPr="00FB61A5" w:rsidRDefault="009053CD" w:rsidP="00FB61A5">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Redukt</w:t>
      </w:r>
      <w:r w:rsidR="00E9202A" w:rsidRPr="00FB61A5">
        <w:rPr>
          <w:rFonts w:ascii="Times New Roman" w:eastAsia="Times New Roman" w:hAnsi="Times New Roman" w:cs="Times New Roman"/>
          <w:bCs/>
          <w:noProof/>
          <w:sz w:val="24"/>
          <w:szCs w:val="28"/>
          <w:lang w:val="sq-AL"/>
        </w:rPr>
        <w:t>im</w:t>
      </w:r>
      <w:r w:rsidR="00262726" w:rsidRPr="00FB61A5">
        <w:rPr>
          <w:rFonts w:ascii="Times New Roman" w:eastAsia="Times New Roman" w:hAnsi="Times New Roman" w:cs="Times New Roman"/>
          <w:bCs/>
          <w:noProof/>
          <w:sz w:val="24"/>
          <w:szCs w:val="28"/>
          <w:lang w:val="sq-AL"/>
        </w:rPr>
        <w:t>in</w:t>
      </w:r>
      <w:r w:rsidR="00E9202A" w:rsidRPr="00FB61A5">
        <w:rPr>
          <w:rFonts w:ascii="Times New Roman" w:eastAsia="Times New Roman" w:hAnsi="Times New Roman" w:cs="Times New Roman"/>
          <w:bCs/>
          <w:noProof/>
          <w:sz w:val="24"/>
          <w:szCs w:val="28"/>
          <w:lang w:val="sq-AL"/>
        </w:rPr>
        <w:t xml:space="preserve"> </w:t>
      </w:r>
      <w:r w:rsidR="00262726" w:rsidRPr="00FB61A5">
        <w:rPr>
          <w:rFonts w:ascii="Times New Roman" w:eastAsia="Times New Roman" w:hAnsi="Times New Roman" w:cs="Times New Roman"/>
          <w:bCs/>
          <w:noProof/>
          <w:sz w:val="24"/>
          <w:szCs w:val="28"/>
          <w:lang w:val="sq-AL"/>
        </w:rPr>
        <w:t>e</w:t>
      </w:r>
      <w:r w:rsidRPr="00FB61A5">
        <w:rPr>
          <w:rFonts w:ascii="Times New Roman" w:eastAsia="Times New Roman" w:hAnsi="Times New Roman" w:cs="Times New Roman"/>
          <w:bCs/>
          <w:noProof/>
          <w:sz w:val="24"/>
          <w:szCs w:val="28"/>
          <w:lang w:val="sq-AL"/>
        </w:rPr>
        <w:t xml:space="preserve"> risku</w:t>
      </w:r>
      <w:r w:rsidR="00E9202A" w:rsidRPr="00FB61A5">
        <w:rPr>
          <w:rFonts w:ascii="Times New Roman" w:eastAsia="Times New Roman" w:hAnsi="Times New Roman" w:cs="Times New Roman"/>
          <w:bCs/>
          <w:noProof/>
          <w:sz w:val="24"/>
          <w:szCs w:val="28"/>
          <w:lang w:val="sq-AL"/>
        </w:rPr>
        <w:t>t</w:t>
      </w:r>
      <w:r w:rsidRPr="00FB61A5">
        <w:rPr>
          <w:rFonts w:ascii="Times New Roman" w:eastAsia="Times New Roman" w:hAnsi="Times New Roman" w:cs="Times New Roman"/>
          <w:bCs/>
          <w:noProof/>
          <w:sz w:val="24"/>
          <w:szCs w:val="28"/>
          <w:lang w:val="sq-AL"/>
        </w:rPr>
        <w:t xml:space="preserve"> </w:t>
      </w:r>
      <w:r w:rsidR="00E9202A" w:rsidRPr="00FB61A5">
        <w:rPr>
          <w:rFonts w:ascii="Times New Roman" w:eastAsia="Times New Roman" w:hAnsi="Times New Roman" w:cs="Times New Roman"/>
          <w:bCs/>
          <w:noProof/>
          <w:sz w:val="24"/>
          <w:szCs w:val="28"/>
          <w:lang w:val="sq-AL"/>
        </w:rPr>
        <w:t>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rifinancimit dhe risku</w:t>
      </w:r>
      <w:r w:rsidR="00E9202A" w:rsidRPr="00FB61A5">
        <w:rPr>
          <w:rFonts w:ascii="Times New Roman" w:eastAsia="Times New Roman" w:hAnsi="Times New Roman" w:cs="Times New Roman"/>
          <w:bCs/>
          <w:noProof/>
          <w:sz w:val="24"/>
          <w:szCs w:val="28"/>
          <w:lang w:val="sq-AL"/>
        </w:rPr>
        <w:t>t</w:t>
      </w:r>
      <w:r w:rsidRPr="00FB61A5">
        <w:rPr>
          <w:rFonts w:ascii="Times New Roman" w:eastAsia="Times New Roman" w:hAnsi="Times New Roman" w:cs="Times New Roman"/>
          <w:bCs/>
          <w:noProof/>
          <w:sz w:val="24"/>
          <w:szCs w:val="28"/>
          <w:lang w:val="sq-AL"/>
        </w:rPr>
        <w:t xml:space="preserve"> </w:t>
      </w:r>
      <w:r w:rsidR="00E9202A" w:rsidRPr="00FB61A5">
        <w:rPr>
          <w:rFonts w:ascii="Times New Roman" w:eastAsia="Times New Roman" w:hAnsi="Times New Roman" w:cs="Times New Roman"/>
          <w:bCs/>
          <w:noProof/>
          <w:sz w:val="24"/>
          <w:szCs w:val="28"/>
          <w:lang w:val="sq-AL"/>
        </w:rPr>
        <w:t>t</w:t>
      </w:r>
      <w:r w:rsidR="000D7062" w:rsidRPr="00FB61A5">
        <w:rPr>
          <w:rFonts w:ascii="Times New Roman" w:eastAsia="Times New Roman" w:hAnsi="Times New Roman" w:cs="Times New Roman"/>
          <w:bCs/>
          <w:noProof/>
          <w:sz w:val="24"/>
          <w:szCs w:val="28"/>
          <w:lang w:val="sq-AL"/>
        </w:rPr>
        <w:t>ë</w:t>
      </w:r>
      <w:r w:rsidR="00E9202A" w:rsidRPr="00FB61A5">
        <w:rPr>
          <w:rFonts w:ascii="Times New Roman" w:eastAsia="Times New Roman" w:hAnsi="Times New Roman" w:cs="Times New Roman"/>
          <w:bCs/>
          <w:noProof/>
          <w:sz w:val="24"/>
          <w:szCs w:val="28"/>
          <w:lang w:val="sq-AL"/>
        </w:rPr>
        <w:t xml:space="preserve"> </w:t>
      </w:r>
      <w:r w:rsidR="00262726" w:rsidRPr="00FB61A5">
        <w:rPr>
          <w:rFonts w:ascii="Times New Roman" w:eastAsia="Times New Roman" w:hAnsi="Times New Roman" w:cs="Times New Roman"/>
          <w:bCs/>
          <w:noProof/>
          <w:sz w:val="24"/>
          <w:szCs w:val="28"/>
          <w:lang w:val="sq-AL"/>
        </w:rPr>
        <w:t>normave</w:t>
      </w:r>
      <w:r w:rsidR="00E9202A" w:rsidRPr="00FB61A5">
        <w:rPr>
          <w:rFonts w:ascii="Times New Roman" w:eastAsia="Times New Roman" w:hAnsi="Times New Roman" w:cs="Times New Roman"/>
          <w:bCs/>
          <w:noProof/>
          <w:sz w:val="24"/>
          <w:szCs w:val="28"/>
          <w:lang w:val="sq-AL"/>
        </w:rPr>
        <w:t xml:space="preserve"> t</w:t>
      </w:r>
      <w:r w:rsidR="000D7062" w:rsidRPr="00FB61A5">
        <w:rPr>
          <w:rFonts w:ascii="Times New Roman" w:eastAsia="Times New Roman" w:hAnsi="Times New Roman" w:cs="Times New Roman"/>
          <w:bCs/>
          <w:noProof/>
          <w:sz w:val="24"/>
          <w:szCs w:val="28"/>
          <w:lang w:val="sq-AL"/>
        </w:rPr>
        <w:t>ë</w:t>
      </w:r>
      <w:r w:rsidR="00E9202A" w:rsidRPr="00FB61A5">
        <w:rPr>
          <w:rFonts w:ascii="Times New Roman" w:eastAsia="Times New Roman" w:hAnsi="Times New Roman" w:cs="Times New Roman"/>
          <w:bCs/>
          <w:noProof/>
          <w:sz w:val="24"/>
          <w:szCs w:val="28"/>
          <w:lang w:val="sq-AL"/>
        </w:rPr>
        <w:t xml:space="preserve"> </w:t>
      </w:r>
      <w:r w:rsidR="00262726" w:rsidRPr="00FB61A5">
        <w:rPr>
          <w:rFonts w:ascii="Times New Roman" w:eastAsia="Times New Roman" w:hAnsi="Times New Roman" w:cs="Times New Roman"/>
          <w:bCs/>
          <w:noProof/>
          <w:sz w:val="24"/>
          <w:szCs w:val="28"/>
          <w:lang w:val="sq-AL"/>
        </w:rPr>
        <w:t>interesit t</w:t>
      </w:r>
      <w:r w:rsidR="000D7062" w:rsidRPr="00FB61A5">
        <w:rPr>
          <w:rFonts w:ascii="Times New Roman" w:eastAsia="Times New Roman" w:hAnsi="Times New Roman" w:cs="Times New Roman"/>
          <w:bCs/>
          <w:noProof/>
          <w:sz w:val="24"/>
          <w:szCs w:val="28"/>
          <w:lang w:val="sq-AL"/>
        </w:rPr>
        <w:t>ë</w:t>
      </w:r>
      <w:r w:rsidR="00262726" w:rsidRPr="00FB61A5">
        <w:rPr>
          <w:rFonts w:ascii="Times New Roman" w:eastAsia="Times New Roman" w:hAnsi="Times New Roman" w:cs="Times New Roman"/>
          <w:bCs/>
          <w:noProof/>
          <w:sz w:val="24"/>
          <w:szCs w:val="28"/>
          <w:lang w:val="sq-AL"/>
        </w:rPr>
        <w:t xml:space="preserve"> </w:t>
      </w:r>
      <w:r w:rsidR="00E9202A" w:rsidRPr="00FB61A5">
        <w:rPr>
          <w:rFonts w:ascii="Times New Roman" w:eastAsia="Times New Roman" w:hAnsi="Times New Roman" w:cs="Times New Roman"/>
          <w:bCs/>
          <w:noProof/>
          <w:sz w:val="24"/>
          <w:szCs w:val="28"/>
          <w:lang w:val="sq-AL"/>
        </w:rPr>
        <w:t>borxhit t</w:t>
      </w:r>
      <w:r w:rsidR="000D7062" w:rsidRPr="00FB61A5">
        <w:rPr>
          <w:rFonts w:ascii="Times New Roman" w:eastAsia="Times New Roman" w:hAnsi="Times New Roman" w:cs="Times New Roman"/>
          <w:bCs/>
          <w:noProof/>
          <w:sz w:val="24"/>
          <w:szCs w:val="28"/>
          <w:lang w:val="sq-AL"/>
        </w:rPr>
        <w:t>ë</w:t>
      </w:r>
      <w:r w:rsidR="00E9202A" w:rsidRPr="00FB61A5">
        <w:rPr>
          <w:rFonts w:ascii="Times New Roman" w:eastAsia="Times New Roman" w:hAnsi="Times New Roman" w:cs="Times New Roman"/>
          <w:bCs/>
          <w:noProof/>
          <w:sz w:val="24"/>
          <w:szCs w:val="28"/>
          <w:lang w:val="sq-AL"/>
        </w:rPr>
        <w:t xml:space="preserve"> brendsh</w:t>
      </w:r>
      <w:r w:rsidR="000D7062" w:rsidRPr="00FB61A5">
        <w:rPr>
          <w:rFonts w:ascii="Times New Roman" w:eastAsia="Times New Roman" w:hAnsi="Times New Roman" w:cs="Times New Roman"/>
          <w:bCs/>
          <w:noProof/>
          <w:sz w:val="24"/>
          <w:szCs w:val="28"/>
          <w:lang w:val="sq-AL"/>
        </w:rPr>
        <w:t>ë</w:t>
      </w:r>
      <w:r w:rsidR="00E9202A" w:rsidRPr="00FB61A5">
        <w:rPr>
          <w:rFonts w:ascii="Times New Roman" w:eastAsia="Times New Roman" w:hAnsi="Times New Roman" w:cs="Times New Roman"/>
          <w:bCs/>
          <w:noProof/>
          <w:sz w:val="24"/>
          <w:szCs w:val="28"/>
          <w:lang w:val="sq-AL"/>
        </w:rPr>
        <w:t>m</w:t>
      </w:r>
      <w:r w:rsidRPr="00FB61A5">
        <w:rPr>
          <w:rFonts w:ascii="Times New Roman" w:eastAsia="Times New Roman" w:hAnsi="Times New Roman" w:cs="Times New Roman"/>
          <w:bCs/>
          <w:noProof/>
          <w:sz w:val="24"/>
          <w:szCs w:val="28"/>
          <w:lang w:val="sq-AL"/>
        </w:rPr>
        <w:t xml:space="preserve"> </w:t>
      </w:r>
      <w:r w:rsidR="00AE0860" w:rsidRPr="00FB61A5">
        <w:rPr>
          <w:rFonts w:ascii="Times New Roman" w:eastAsia="Times New Roman" w:hAnsi="Times New Roman" w:cs="Times New Roman"/>
          <w:bCs/>
          <w:noProof/>
          <w:sz w:val="24"/>
          <w:szCs w:val="28"/>
          <w:lang w:val="sq-AL"/>
        </w:rPr>
        <w:t>shtet</w:t>
      </w:r>
      <w:r w:rsidR="000D7062" w:rsidRPr="00FB61A5">
        <w:rPr>
          <w:rFonts w:ascii="Times New Roman" w:eastAsia="Times New Roman" w:hAnsi="Times New Roman" w:cs="Times New Roman"/>
          <w:bCs/>
          <w:noProof/>
          <w:sz w:val="24"/>
          <w:szCs w:val="28"/>
          <w:lang w:val="sq-AL"/>
        </w:rPr>
        <w:t>ë</w:t>
      </w:r>
      <w:r w:rsidR="00AE0860" w:rsidRPr="00FB61A5">
        <w:rPr>
          <w:rFonts w:ascii="Times New Roman" w:eastAsia="Times New Roman" w:hAnsi="Times New Roman" w:cs="Times New Roman"/>
          <w:bCs/>
          <w:noProof/>
          <w:sz w:val="24"/>
          <w:szCs w:val="28"/>
          <w:lang w:val="sq-AL"/>
        </w:rPr>
        <w:t xml:space="preserve">ror </w:t>
      </w:r>
      <w:r w:rsidRPr="00FB61A5">
        <w:rPr>
          <w:rFonts w:ascii="Times New Roman" w:eastAsia="Times New Roman" w:hAnsi="Times New Roman" w:cs="Times New Roman"/>
          <w:bCs/>
          <w:noProof/>
          <w:sz w:val="24"/>
          <w:szCs w:val="28"/>
          <w:lang w:val="sq-AL"/>
        </w:rPr>
        <w:t>në përputhje me objektivat strategjikë</w:t>
      </w:r>
      <w:r w:rsidR="00E9202A" w:rsidRPr="00FB61A5">
        <w:rPr>
          <w:rFonts w:ascii="Times New Roman" w:eastAsia="Times New Roman" w:hAnsi="Times New Roman" w:cs="Times New Roman"/>
          <w:bCs/>
          <w:noProof/>
          <w:sz w:val="24"/>
          <w:szCs w:val="28"/>
          <w:lang w:val="sq-AL"/>
        </w:rPr>
        <w:t xml:space="preserve"> </w:t>
      </w:r>
      <w:r w:rsidR="00E9202A" w:rsidRPr="00FB61A5">
        <w:rPr>
          <w:rFonts w:ascii="Times New Roman" w:eastAsia="Times New Roman" w:hAnsi="Times New Roman" w:cs="Times New Roman"/>
          <w:bCs/>
          <w:iCs/>
          <w:noProof/>
          <w:sz w:val="24"/>
          <w:szCs w:val="24"/>
          <w:lang w:val="sq-AL"/>
        </w:rPr>
        <w:t>(Kreu II, Nënkapitulli 2.1)</w:t>
      </w:r>
      <w:r w:rsidRPr="00FB61A5">
        <w:rPr>
          <w:rFonts w:ascii="Times New Roman" w:eastAsia="Times New Roman" w:hAnsi="Times New Roman" w:cs="Times New Roman"/>
          <w:bCs/>
          <w:noProof/>
          <w:sz w:val="24"/>
          <w:szCs w:val="28"/>
          <w:lang w:val="sq-AL"/>
        </w:rPr>
        <w:t xml:space="preserve">; </w:t>
      </w:r>
    </w:p>
    <w:p w14:paraId="71DF5E4A" w14:textId="77777777" w:rsidR="00AE0860" w:rsidRPr="00FB61A5" w:rsidRDefault="00AE0860" w:rsidP="00FB61A5">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Mbajtjen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n kontroll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riskut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kursit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k</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mbimit 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rputhje me objektivin strategjik </w:t>
      </w:r>
      <w:r w:rsidR="008456B5" w:rsidRPr="00FB61A5">
        <w:rPr>
          <w:rFonts w:ascii="Times New Roman" w:eastAsia="Times New Roman" w:hAnsi="Times New Roman" w:cs="Times New Roman"/>
          <w:bCs/>
          <w:noProof/>
          <w:sz w:val="24"/>
          <w:szCs w:val="28"/>
          <w:lang w:val="sq-AL"/>
        </w:rPr>
        <w:t>p</w:t>
      </w:r>
      <w:r w:rsidR="00982338" w:rsidRPr="00FB61A5">
        <w:rPr>
          <w:rFonts w:ascii="Times New Roman" w:eastAsia="Times New Roman" w:hAnsi="Times New Roman" w:cs="Times New Roman"/>
          <w:bCs/>
          <w:noProof/>
          <w:sz w:val="24"/>
          <w:szCs w:val="28"/>
          <w:lang w:val="sq-AL"/>
        </w:rPr>
        <w:t>ë</w:t>
      </w:r>
      <w:r w:rsidR="008456B5" w:rsidRPr="00FB61A5">
        <w:rPr>
          <w:rFonts w:ascii="Times New Roman" w:eastAsia="Times New Roman" w:hAnsi="Times New Roman" w:cs="Times New Roman"/>
          <w:bCs/>
          <w:noProof/>
          <w:sz w:val="24"/>
          <w:szCs w:val="28"/>
          <w:lang w:val="sq-AL"/>
        </w:rPr>
        <w:t>r t</w:t>
      </w:r>
      <w:r w:rsidR="00982338" w:rsidRPr="00FB61A5">
        <w:rPr>
          <w:rFonts w:ascii="Times New Roman" w:eastAsia="Times New Roman" w:hAnsi="Times New Roman" w:cs="Times New Roman"/>
          <w:bCs/>
          <w:noProof/>
          <w:sz w:val="24"/>
          <w:szCs w:val="28"/>
          <w:lang w:val="sq-AL"/>
        </w:rPr>
        <w:t>ë</w:t>
      </w:r>
      <w:r w:rsidR="004468FD">
        <w:rPr>
          <w:rFonts w:ascii="Times New Roman" w:eastAsia="Times New Roman" w:hAnsi="Times New Roman" w:cs="Times New Roman"/>
          <w:bCs/>
          <w:noProof/>
          <w:sz w:val="24"/>
          <w:szCs w:val="28"/>
          <w:lang w:val="sq-AL"/>
        </w:rPr>
        <w:t xml:space="preserve"> r</w:t>
      </w:r>
      <w:r w:rsidR="008456B5" w:rsidRPr="00FB61A5">
        <w:rPr>
          <w:rFonts w:ascii="Times New Roman" w:eastAsia="Times New Roman" w:hAnsi="Times New Roman" w:cs="Times New Roman"/>
          <w:bCs/>
          <w:noProof/>
          <w:sz w:val="24"/>
          <w:szCs w:val="28"/>
          <w:lang w:val="sq-AL"/>
        </w:rPr>
        <w:t>uajtur nivelin e borxhit n</w:t>
      </w:r>
      <w:r w:rsidR="00982338" w:rsidRPr="00FB61A5">
        <w:rPr>
          <w:rFonts w:ascii="Times New Roman" w:eastAsia="Times New Roman" w:hAnsi="Times New Roman" w:cs="Times New Roman"/>
          <w:bCs/>
          <w:noProof/>
          <w:sz w:val="24"/>
          <w:szCs w:val="28"/>
          <w:lang w:val="sq-AL"/>
        </w:rPr>
        <w:t>ë</w:t>
      </w:r>
      <w:r w:rsidR="008456B5" w:rsidRPr="00FB61A5">
        <w:rPr>
          <w:rFonts w:ascii="Times New Roman" w:eastAsia="Times New Roman" w:hAnsi="Times New Roman" w:cs="Times New Roman"/>
          <w:bCs/>
          <w:noProof/>
          <w:sz w:val="24"/>
          <w:szCs w:val="28"/>
          <w:lang w:val="sq-AL"/>
        </w:rPr>
        <w:t xml:space="preserve"> valut</w:t>
      </w:r>
      <w:r w:rsidR="00982338" w:rsidRPr="00FB61A5">
        <w:rPr>
          <w:rFonts w:ascii="Times New Roman" w:eastAsia="Times New Roman" w:hAnsi="Times New Roman" w:cs="Times New Roman"/>
          <w:bCs/>
          <w:noProof/>
          <w:sz w:val="24"/>
          <w:szCs w:val="28"/>
          <w:lang w:val="sq-AL"/>
        </w:rPr>
        <w:t>ë</w:t>
      </w:r>
      <w:r w:rsidR="008456B5" w:rsidRPr="00FB61A5">
        <w:rPr>
          <w:rFonts w:ascii="Times New Roman" w:eastAsia="Times New Roman" w:hAnsi="Times New Roman" w:cs="Times New Roman"/>
          <w:bCs/>
          <w:noProof/>
          <w:sz w:val="24"/>
          <w:szCs w:val="28"/>
          <w:lang w:val="sq-AL"/>
        </w:rPr>
        <w:t xml:space="preserve"> brenda kufijve indikativ </w:t>
      </w:r>
      <w:r w:rsidRPr="00FB61A5">
        <w:rPr>
          <w:rFonts w:ascii="Times New Roman" w:eastAsia="Times New Roman" w:hAnsi="Times New Roman" w:cs="Times New Roman"/>
          <w:bCs/>
          <w:noProof/>
          <w:sz w:val="24"/>
          <w:szCs w:val="28"/>
          <w:lang w:val="sq-AL"/>
        </w:rPr>
        <w:t>(</w:t>
      </w:r>
      <w:r w:rsidRPr="00FB61A5">
        <w:rPr>
          <w:rFonts w:ascii="Times New Roman" w:eastAsia="Times New Roman" w:hAnsi="Times New Roman" w:cs="Times New Roman"/>
          <w:bCs/>
          <w:iCs/>
          <w:noProof/>
          <w:sz w:val="24"/>
          <w:szCs w:val="24"/>
          <w:lang w:val="sq-AL"/>
        </w:rPr>
        <w:t>Kreu II, Nënkapitulli</w:t>
      </w:r>
      <w:r w:rsidRPr="00FB61A5">
        <w:rPr>
          <w:rFonts w:ascii="Times New Roman" w:eastAsia="Times New Roman" w:hAnsi="Times New Roman" w:cs="Times New Roman"/>
          <w:bCs/>
          <w:i/>
          <w:iCs/>
          <w:noProof/>
          <w:sz w:val="24"/>
          <w:szCs w:val="24"/>
          <w:lang w:val="sq-AL"/>
        </w:rPr>
        <w:t xml:space="preserve"> </w:t>
      </w:r>
      <w:r w:rsidRPr="00FB61A5">
        <w:rPr>
          <w:rFonts w:ascii="Times New Roman" w:eastAsia="Times New Roman" w:hAnsi="Times New Roman" w:cs="Times New Roman"/>
          <w:bCs/>
          <w:iCs/>
          <w:noProof/>
          <w:sz w:val="24"/>
          <w:szCs w:val="24"/>
          <w:lang w:val="sq-AL"/>
        </w:rPr>
        <w:t>2.1);</w:t>
      </w:r>
    </w:p>
    <w:p w14:paraId="71DF5E4B" w14:textId="77777777" w:rsidR="00262726" w:rsidRPr="00FB61A5" w:rsidRDefault="00262726" w:rsidP="00FB61A5">
      <w:pPr>
        <w:numPr>
          <w:ilvl w:val="0"/>
          <w:numId w:val="15"/>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Sigurimin e burimeve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nevojshme në valutë për të sh</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rbyer detyrimet e borxhit të huaj;</w:t>
      </w:r>
    </w:p>
    <w:p w14:paraId="71DF5E4C" w14:textId="77777777" w:rsidR="009053CD" w:rsidRPr="00FB61A5" w:rsidRDefault="00C4393C" w:rsidP="00FB61A5">
      <w:pPr>
        <w:numPr>
          <w:ilvl w:val="0"/>
          <w:numId w:val="15"/>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Raport kosto/risk relativisht m</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favorsh</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m </w:t>
      </w:r>
      <w:r w:rsidR="009053CD" w:rsidRPr="00FB61A5">
        <w:rPr>
          <w:rFonts w:ascii="Times New Roman" w:eastAsia="Times New Roman" w:hAnsi="Times New Roman" w:cs="Times New Roman"/>
          <w:bCs/>
          <w:noProof/>
          <w:sz w:val="24"/>
          <w:szCs w:val="28"/>
          <w:lang w:val="sq-AL"/>
        </w:rPr>
        <w:t xml:space="preserve">krahasuar me strategjitë e tjera alternative, për shkak të </w:t>
      </w:r>
      <w:r w:rsidR="000D7062" w:rsidRPr="00FB61A5">
        <w:rPr>
          <w:rFonts w:ascii="Times New Roman" w:eastAsia="Times New Roman" w:hAnsi="Times New Roman" w:cs="Times New Roman"/>
          <w:bCs/>
          <w:noProof/>
          <w:sz w:val="24"/>
          <w:szCs w:val="28"/>
          <w:lang w:val="sq-AL"/>
        </w:rPr>
        <w:t>mirë-</w:t>
      </w:r>
      <w:r w:rsidR="009053CD" w:rsidRPr="00FB61A5">
        <w:rPr>
          <w:rFonts w:ascii="Times New Roman" w:eastAsia="Times New Roman" w:hAnsi="Times New Roman" w:cs="Times New Roman"/>
          <w:bCs/>
          <w:noProof/>
          <w:sz w:val="24"/>
          <w:szCs w:val="28"/>
          <w:lang w:val="sq-AL"/>
        </w:rPr>
        <w:t>diversifikimit të burimeve të financimit;</w:t>
      </w:r>
    </w:p>
    <w:p w14:paraId="71DF5E4D" w14:textId="77777777" w:rsidR="00C4393C" w:rsidRPr="00FB61A5" w:rsidRDefault="00C4393C" w:rsidP="00FB61A5">
      <w:pPr>
        <w:numPr>
          <w:ilvl w:val="0"/>
          <w:numId w:val="15"/>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Mbajtjen e nivelit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humarrjes s</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brendshme brenda kapaciteteve q</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disponon tregu i brendsh</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m, duke i dh</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n</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hap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sir</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kreditimit t</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sektorit privat.</w:t>
      </w:r>
    </w:p>
    <w:p w14:paraId="71DF5E4E" w14:textId="77777777" w:rsidR="009053CD" w:rsidRPr="00FB61A5" w:rsidRDefault="00C4393C" w:rsidP="00FB61A5">
      <w:pPr>
        <w:numPr>
          <w:ilvl w:val="0"/>
          <w:numId w:val="15"/>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Krijimin e</w:t>
      </w:r>
      <w:r w:rsidR="009053CD" w:rsidRPr="00FB61A5">
        <w:rPr>
          <w:rFonts w:ascii="Times New Roman" w:eastAsia="Times New Roman" w:hAnsi="Times New Roman" w:cs="Times New Roman"/>
          <w:bCs/>
          <w:noProof/>
          <w:sz w:val="24"/>
          <w:szCs w:val="28"/>
          <w:lang w:val="sq-AL"/>
        </w:rPr>
        <w:t xml:space="preserve"> hapësir</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w:t>
      </w:r>
      <w:r w:rsidR="009053CD" w:rsidRPr="00FB61A5">
        <w:rPr>
          <w:rFonts w:ascii="Times New Roman" w:eastAsia="Times New Roman" w:hAnsi="Times New Roman" w:cs="Times New Roman"/>
          <w:bCs/>
          <w:noProof/>
          <w:sz w:val="24"/>
          <w:szCs w:val="28"/>
          <w:lang w:val="sq-AL"/>
        </w:rPr>
        <w:t xml:space="preserve"> </w:t>
      </w:r>
      <w:r w:rsidRPr="00FB61A5">
        <w:rPr>
          <w:rFonts w:ascii="Times New Roman" w:eastAsia="Times New Roman" w:hAnsi="Times New Roman" w:cs="Times New Roman"/>
          <w:bCs/>
          <w:noProof/>
          <w:sz w:val="24"/>
          <w:szCs w:val="28"/>
          <w:lang w:val="sq-AL"/>
        </w:rPr>
        <w:t>s</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nevojshme p</w:t>
      </w:r>
      <w:r w:rsidR="000D7062"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r</w:t>
      </w:r>
      <w:r w:rsidR="009053CD" w:rsidRPr="00FB61A5">
        <w:rPr>
          <w:rFonts w:ascii="Times New Roman" w:eastAsia="Times New Roman" w:hAnsi="Times New Roman" w:cs="Times New Roman"/>
          <w:bCs/>
          <w:noProof/>
          <w:sz w:val="24"/>
          <w:szCs w:val="28"/>
          <w:lang w:val="sq-AL"/>
        </w:rPr>
        <w:t xml:space="preserve"> zhvillimin e mëtejshëm të tregut primar të titujve shtetërorë,.</w:t>
      </w:r>
    </w:p>
    <w:p w14:paraId="71DF5E4F" w14:textId="77777777" w:rsidR="009053CD" w:rsidRPr="00FB61A5" w:rsidRDefault="009053CD" w:rsidP="009053CD">
      <w:pPr>
        <w:tabs>
          <w:tab w:val="left" w:pos="2730"/>
        </w:tabs>
        <w:spacing w:after="0" w:line="276" w:lineRule="auto"/>
        <w:ind w:left="760" w:right="238"/>
        <w:jc w:val="both"/>
        <w:rPr>
          <w:rFonts w:ascii="Times New Roman" w:eastAsia="Times New Roman" w:hAnsi="Times New Roman" w:cs="Times New Roman"/>
          <w:bCs/>
          <w:noProof/>
          <w:sz w:val="16"/>
          <w:szCs w:val="28"/>
          <w:lang w:val="sq-AL"/>
        </w:rPr>
      </w:pPr>
    </w:p>
    <w:p w14:paraId="71DF5E50" w14:textId="77777777" w:rsidR="009053CD" w:rsidRPr="00FB61A5" w:rsidRDefault="00A70DBF" w:rsidP="00FB61A5">
      <w:pPr>
        <w:tabs>
          <w:tab w:val="left" w:pos="2730"/>
        </w:tabs>
        <w:spacing w:after="0" w:line="276" w:lineRule="auto"/>
        <w:ind w:right="238"/>
        <w:rPr>
          <w:rFonts w:ascii="Cambria" w:eastAsia="Times New Roman" w:hAnsi="Cambria" w:cs="Times New Roman"/>
          <w:bCs/>
          <w:noProof/>
          <w:sz w:val="24"/>
          <w:szCs w:val="28"/>
          <w:u w:val="single"/>
          <w:lang w:val="sq-AL"/>
        </w:rPr>
      </w:pPr>
      <w:r w:rsidRPr="00FB61A5">
        <w:rPr>
          <w:rFonts w:ascii="Cambria" w:eastAsia="Times New Roman" w:hAnsi="Cambria" w:cs="Times New Roman"/>
          <w:bCs/>
          <w:noProof/>
          <w:sz w:val="24"/>
          <w:szCs w:val="28"/>
          <w:u w:val="single"/>
          <w:lang w:val="sq-AL"/>
        </w:rPr>
        <w:t>Risqet</w:t>
      </w:r>
    </w:p>
    <w:p w14:paraId="71DF5E51" w14:textId="77777777" w:rsidR="009053CD" w:rsidRPr="00FB61A5" w:rsidRDefault="009053CD" w:rsidP="009053CD">
      <w:pPr>
        <w:tabs>
          <w:tab w:val="left" w:pos="2730"/>
        </w:tabs>
        <w:spacing w:after="0" w:line="276" w:lineRule="auto"/>
        <w:ind w:left="284" w:right="238"/>
        <w:rPr>
          <w:rFonts w:ascii="Cambria" w:eastAsia="Times New Roman" w:hAnsi="Cambria" w:cs="Times New Roman"/>
          <w:bCs/>
          <w:noProof/>
          <w:sz w:val="16"/>
          <w:szCs w:val="28"/>
          <w:u w:val="single"/>
          <w:lang w:val="sq-AL"/>
        </w:rPr>
      </w:pPr>
    </w:p>
    <w:p w14:paraId="71DF5E52" w14:textId="77777777" w:rsidR="009053CD" w:rsidRPr="00FB61A5" w:rsidRDefault="008456B5" w:rsidP="00FB61A5">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FB61A5">
        <w:rPr>
          <w:rFonts w:ascii="Times New Roman" w:eastAsia="Times New Roman" w:hAnsi="Times New Roman" w:cs="Times New Roman"/>
          <w:bCs/>
          <w:noProof/>
          <w:sz w:val="24"/>
          <w:szCs w:val="28"/>
          <w:lang w:val="sq-AL"/>
        </w:rPr>
        <w:t xml:space="preserve">Kjo strategji </w:t>
      </w:r>
      <w:r w:rsidR="00982338"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sht</w:t>
      </w:r>
      <w:r w:rsidR="00982338"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e</w:t>
      </w:r>
      <w:r w:rsidR="009053CD" w:rsidRPr="00FB61A5">
        <w:rPr>
          <w:rFonts w:ascii="Times New Roman" w:eastAsia="Times New Roman" w:hAnsi="Times New Roman" w:cs="Times New Roman"/>
          <w:bCs/>
          <w:noProof/>
          <w:sz w:val="24"/>
          <w:szCs w:val="28"/>
          <w:lang w:val="sq-AL"/>
        </w:rPr>
        <w:t xml:space="preserve"> ekspoz</w:t>
      </w:r>
      <w:r w:rsidRPr="00FB61A5">
        <w:rPr>
          <w:rFonts w:ascii="Times New Roman" w:eastAsia="Times New Roman" w:hAnsi="Times New Roman" w:cs="Times New Roman"/>
          <w:bCs/>
          <w:noProof/>
          <w:sz w:val="24"/>
          <w:szCs w:val="28"/>
          <w:lang w:val="sq-AL"/>
        </w:rPr>
        <w:t>uar</w:t>
      </w:r>
      <w:r w:rsidR="009053CD" w:rsidRPr="00FB61A5">
        <w:rPr>
          <w:rFonts w:ascii="Times New Roman" w:eastAsia="Times New Roman" w:hAnsi="Times New Roman" w:cs="Times New Roman"/>
          <w:bCs/>
          <w:noProof/>
          <w:sz w:val="24"/>
          <w:szCs w:val="28"/>
          <w:lang w:val="sq-AL"/>
        </w:rPr>
        <w:t xml:space="preserve"> ndaj risqeve sistemike të tregjeve ndërkombëtare</w:t>
      </w:r>
      <w:r w:rsidRPr="00FB61A5">
        <w:rPr>
          <w:rFonts w:ascii="Times New Roman" w:eastAsia="Times New Roman" w:hAnsi="Times New Roman" w:cs="Times New Roman"/>
          <w:bCs/>
          <w:noProof/>
          <w:sz w:val="24"/>
          <w:szCs w:val="28"/>
          <w:lang w:val="sq-AL"/>
        </w:rPr>
        <w:t>, materializimi i t</w:t>
      </w:r>
      <w:r w:rsidR="00982338"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cilave do t</w:t>
      </w:r>
      <w:r w:rsidR="00982338"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w:t>
      </w:r>
      <w:r w:rsidR="00A40569" w:rsidRPr="00FB61A5">
        <w:rPr>
          <w:rFonts w:ascii="Times New Roman" w:eastAsia="Times New Roman" w:hAnsi="Times New Roman" w:cs="Times New Roman"/>
          <w:bCs/>
          <w:noProof/>
          <w:sz w:val="24"/>
          <w:szCs w:val="28"/>
          <w:lang w:val="sq-AL"/>
        </w:rPr>
        <w:t>shoq</w:t>
      </w:r>
      <w:r w:rsidR="00982338" w:rsidRPr="00FB61A5">
        <w:rPr>
          <w:rFonts w:ascii="Times New Roman" w:eastAsia="Times New Roman" w:hAnsi="Times New Roman" w:cs="Times New Roman"/>
          <w:bCs/>
          <w:noProof/>
          <w:sz w:val="24"/>
          <w:szCs w:val="28"/>
          <w:lang w:val="sq-AL"/>
        </w:rPr>
        <w:t>ë</w:t>
      </w:r>
      <w:r w:rsidR="00A40569" w:rsidRPr="00FB61A5">
        <w:rPr>
          <w:rFonts w:ascii="Times New Roman" w:eastAsia="Times New Roman" w:hAnsi="Times New Roman" w:cs="Times New Roman"/>
          <w:bCs/>
          <w:noProof/>
          <w:sz w:val="24"/>
          <w:szCs w:val="28"/>
          <w:lang w:val="sq-AL"/>
        </w:rPr>
        <w:t xml:space="preserve">rohej me </w:t>
      </w:r>
      <w:r w:rsidRPr="00FB61A5">
        <w:rPr>
          <w:rFonts w:ascii="Times New Roman" w:eastAsia="Times New Roman" w:hAnsi="Times New Roman" w:cs="Times New Roman"/>
          <w:bCs/>
          <w:noProof/>
          <w:sz w:val="24"/>
          <w:szCs w:val="28"/>
          <w:lang w:val="sq-AL"/>
        </w:rPr>
        <w:t>rri</w:t>
      </w:r>
      <w:r w:rsidR="00A40569" w:rsidRPr="00FB61A5">
        <w:rPr>
          <w:rFonts w:ascii="Times New Roman" w:eastAsia="Times New Roman" w:hAnsi="Times New Roman" w:cs="Times New Roman"/>
          <w:bCs/>
          <w:noProof/>
          <w:sz w:val="24"/>
          <w:szCs w:val="28"/>
          <w:lang w:val="sq-AL"/>
        </w:rPr>
        <w:t>tj</w:t>
      </w:r>
      <w:r w:rsidRPr="00FB61A5">
        <w:rPr>
          <w:rFonts w:ascii="Times New Roman" w:eastAsia="Times New Roman" w:hAnsi="Times New Roman" w:cs="Times New Roman"/>
          <w:bCs/>
          <w:noProof/>
          <w:sz w:val="24"/>
          <w:szCs w:val="28"/>
          <w:lang w:val="sq-AL"/>
        </w:rPr>
        <w:t>e</w:t>
      </w:r>
      <w:r w:rsidR="00A40569" w:rsidRPr="00FB61A5">
        <w:rPr>
          <w:rFonts w:ascii="Times New Roman" w:eastAsia="Times New Roman" w:hAnsi="Times New Roman" w:cs="Times New Roman"/>
          <w:bCs/>
          <w:noProof/>
          <w:sz w:val="24"/>
          <w:szCs w:val="28"/>
          <w:lang w:val="sq-AL"/>
        </w:rPr>
        <w:t xml:space="preserve"> t</w:t>
      </w:r>
      <w:r w:rsidR="00982338"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kosto</w:t>
      </w:r>
      <w:r w:rsidR="00A40569" w:rsidRPr="00FB61A5">
        <w:rPr>
          <w:rFonts w:ascii="Times New Roman" w:eastAsia="Times New Roman" w:hAnsi="Times New Roman" w:cs="Times New Roman"/>
          <w:bCs/>
          <w:noProof/>
          <w:sz w:val="24"/>
          <w:szCs w:val="28"/>
          <w:lang w:val="sq-AL"/>
        </w:rPr>
        <w:t>ve</w:t>
      </w:r>
      <w:r w:rsidRPr="00FB61A5">
        <w:rPr>
          <w:rFonts w:ascii="Times New Roman" w:eastAsia="Times New Roman" w:hAnsi="Times New Roman" w:cs="Times New Roman"/>
          <w:bCs/>
          <w:noProof/>
          <w:sz w:val="24"/>
          <w:szCs w:val="28"/>
          <w:lang w:val="sq-AL"/>
        </w:rPr>
        <w:t xml:space="preserve"> </w:t>
      </w:r>
      <w:r w:rsidR="00A40569" w:rsidRPr="00FB61A5">
        <w:rPr>
          <w:rFonts w:ascii="Times New Roman" w:eastAsia="Times New Roman" w:hAnsi="Times New Roman" w:cs="Times New Roman"/>
          <w:bCs/>
          <w:noProof/>
          <w:sz w:val="24"/>
          <w:szCs w:val="28"/>
          <w:lang w:val="sq-AL"/>
        </w:rPr>
        <w:t>t</w:t>
      </w:r>
      <w:r w:rsidR="00982338" w:rsidRPr="00FB61A5">
        <w:rPr>
          <w:rFonts w:ascii="Times New Roman" w:eastAsia="Times New Roman" w:hAnsi="Times New Roman" w:cs="Times New Roman"/>
          <w:bCs/>
          <w:noProof/>
          <w:sz w:val="24"/>
          <w:szCs w:val="28"/>
          <w:lang w:val="sq-AL"/>
        </w:rPr>
        <w:t>ë</w:t>
      </w:r>
      <w:r w:rsidRPr="00FB61A5">
        <w:rPr>
          <w:rFonts w:ascii="Times New Roman" w:eastAsia="Times New Roman" w:hAnsi="Times New Roman" w:cs="Times New Roman"/>
          <w:bCs/>
          <w:noProof/>
          <w:sz w:val="24"/>
          <w:szCs w:val="28"/>
          <w:lang w:val="sq-AL"/>
        </w:rPr>
        <w:t xml:space="preserve"> </w:t>
      </w:r>
      <w:r w:rsidR="00A40569" w:rsidRPr="00FB61A5">
        <w:rPr>
          <w:rFonts w:ascii="Times New Roman" w:eastAsia="Times New Roman" w:hAnsi="Times New Roman" w:cs="Times New Roman"/>
          <w:bCs/>
          <w:noProof/>
          <w:sz w:val="24"/>
          <w:szCs w:val="28"/>
          <w:lang w:val="sq-AL"/>
        </w:rPr>
        <w:t>hu</w:t>
      </w:r>
      <w:r w:rsidR="00DA0225">
        <w:rPr>
          <w:rFonts w:ascii="Times New Roman" w:eastAsia="Times New Roman" w:hAnsi="Times New Roman" w:cs="Times New Roman"/>
          <w:bCs/>
          <w:noProof/>
          <w:sz w:val="24"/>
          <w:szCs w:val="28"/>
          <w:lang w:val="sq-AL"/>
        </w:rPr>
        <w:t>a</w:t>
      </w:r>
      <w:r w:rsidR="00A40569" w:rsidRPr="00FB61A5">
        <w:rPr>
          <w:rFonts w:ascii="Times New Roman" w:eastAsia="Times New Roman" w:hAnsi="Times New Roman" w:cs="Times New Roman"/>
          <w:bCs/>
          <w:noProof/>
          <w:sz w:val="24"/>
          <w:szCs w:val="28"/>
          <w:lang w:val="sq-AL"/>
        </w:rPr>
        <w:t>marrjes</w:t>
      </w:r>
      <w:r w:rsidR="009053CD" w:rsidRPr="00FB61A5">
        <w:rPr>
          <w:rFonts w:ascii="Times New Roman" w:eastAsia="Times New Roman" w:hAnsi="Times New Roman" w:cs="Times New Roman"/>
          <w:bCs/>
          <w:noProof/>
          <w:sz w:val="24"/>
          <w:szCs w:val="28"/>
          <w:lang w:val="sq-AL"/>
        </w:rPr>
        <w:t>;</w:t>
      </w:r>
    </w:p>
    <w:p w14:paraId="71DF5E53" w14:textId="77777777" w:rsidR="009053CD" w:rsidRPr="000F5C13" w:rsidRDefault="009053CD" w:rsidP="009053CD">
      <w:pPr>
        <w:tabs>
          <w:tab w:val="left" w:pos="2730"/>
          <w:tab w:val="left" w:pos="8789"/>
        </w:tabs>
        <w:spacing w:after="0" w:line="276" w:lineRule="auto"/>
        <w:ind w:left="760" w:right="238"/>
        <w:jc w:val="both"/>
        <w:rPr>
          <w:rFonts w:ascii="Times New Roman" w:eastAsia="Times New Roman" w:hAnsi="Times New Roman" w:cs="Times New Roman"/>
          <w:bCs/>
          <w:noProof/>
          <w:sz w:val="20"/>
          <w:szCs w:val="28"/>
          <w:lang w:val="sq-AL"/>
        </w:rPr>
      </w:pPr>
    </w:p>
    <w:p w14:paraId="71DF5E54" w14:textId="77777777" w:rsidR="009053CD" w:rsidRPr="000F5C13" w:rsidRDefault="009053CD" w:rsidP="00FB61A5">
      <w:pPr>
        <w:pStyle w:val="ListParagraph"/>
        <w:numPr>
          <w:ilvl w:val="1"/>
          <w:numId w:val="22"/>
        </w:numPr>
        <w:tabs>
          <w:tab w:val="left" w:pos="2730"/>
        </w:tabs>
        <w:spacing w:line="276" w:lineRule="auto"/>
        <w:ind w:left="709" w:right="237" w:hanging="709"/>
        <w:jc w:val="both"/>
        <w:rPr>
          <w:rFonts w:ascii="Cambria" w:eastAsia="Times New Roman" w:hAnsi="Cambria" w:cs="Times New Roman"/>
          <w:b/>
          <w:bCs/>
          <w:noProof/>
          <w:sz w:val="24"/>
          <w:szCs w:val="28"/>
          <w:lang w:val="sq-AL"/>
        </w:rPr>
      </w:pPr>
      <w:r w:rsidRPr="000F5C13">
        <w:rPr>
          <w:rFonts w:ascii="Cambria" w:eastAsia="Times New Roman" w:hAnsi="Cambria" w:cs="Times New Roman"/>
          <w:b/>
          <w:bCs/>
          <w:noProof/>
          <w:sz w:val="24"/>
          <w:szCs w:val="28"/>
          <w:lang w:val="sq-AL"/>
        </w:rPr>
        <w:t xml:space="preserve">Strategjia 2 </w:t>
      </w:r>
      <w:r w:rsidRPr="00EB4D16">
        <w:rPr>
          <w:rFonts w:ascii="Cambria" w:eastAsia="Times New Roman" w:hAnsi="Cambria" w:cs="Times New Roman"/>
          <w:b/>
          <w:bCs/>
          <w:i/>
          <w:noProof/>
          <w:sz w:val="24"/>
          <w:szCs w:val="28"/>
          <w:lang w:val="sq-AL"/>
        </w:rPr>
        <w:t>(Alternative)</w:t>
      </w:r>
    </w:p>
    <w:p w14:paraId="71DF5E55" w14:textId="77777777" w:rsidR="009053CD" w:rsidRPr="000F5C13" w:rsidRDefault="009053CD" w:rsidP="00FB61A5">
      <w:pPr>
        <w:tabs>
          <w:tab w:val="left" w:pos="2730"/>
        </w:tabs>
        <w:spacing w:after="0" w:line="276" w:lineRule="auto"/>
        <w:ind w:right="238"/>
        <w:rPr>
          <w:rFonts w:ascii="Times New Roman" w:eastAsia="Times New Roman" w:hAnsi="Times New Roman" w:cs="Times New Roman"/>
          <w:bCs/>
          <w:noProof/>
          <w:sz w:val="24"/>
          <w:szCs w:val="28"/>
          <w:u w:val="single"/>
          <w:lang w:val="sq-AL"/>
        </w:rPr>
      </w:pPr>
      <w:r w:rsidRPr="000F5C13">
        <w:rPr>
          <w:rFonts w:ascii="Times New Roman" w:eastAsia="Times New Roman" w:hAnsi="Times New Roman" w:cs="Times New Roman"/>
          <w:bCs/>
          <w:noProof/>
          <w:sz w:val="24"/>
          <w:szCs w:val="28"/>
          <w:u w:val="single"/>
          <w:lang w:val="sq-AL"/>
        </w:rPr>
        <w:t>Supozimet bazë</w:t>
      </w:r>
    </w:p>
    <w:p w14:paraId="71DF5E56" w14:textId="77777777" w:rsidR="009053CD" w:rsidRPr="000F5C13" w:rsidRDefault="009053CD" w:rsidP="009053CD">
      <w:pPr>
        <w:tabs>
          <w:tab w:val="left" w:pos="2730"/>
        </w:tabs>
        <w:spacing w:after="0" w:line="276" w:lineRule="auto"/>
        <w:ind w:left="284" w:right="238"/>
        <w:rPr>
          <w:rFonts w:ascii="Times New Roman" w:eastAsia="Times New Roman" w:hAnsi="Times New Roman" w:cs="Times New Roman"/>
          <w:bCs/>
          <w:noProof/>
          <w:sz w:val="20"/>
          <w:szCs w:val="28"/>
          <w:u w:val="single"/>
          <w:lang w:val="sq-AL"/>
        </w:rPr>
      </w:pPr>
    </w:p>
    <w:p w14:paraId="71DF5E57" w14:textId="77777777" w:rsidR="009053CD" w:rsidRPr="000F5C13" w:rsidRDefault="009053CD" w:rsidP="00FB61A5">
      <w:pPr>
        <w:tabs>
          <w:tab w:val="left" w:pos="2730"/>
        </w:tabs>
        <w:spacing w:line="276" w:lineRule="auto"/>
        <w:ind w:right="237"/>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Kjo strategji supozon materializimin e risqeve sistemike të tregjeve ndërkombëtare të kapitalit, duke kufizuar</w:t>
      </w:r>
      <w:r w:rsidR="0064565F">
        <w:rPr>
          <w:rFonts w:ascii="Times New Roman" w:eastAsia="Times New Roman" w:hAnsi="Times New Roman" w:cs="Times New Roman"/>
          <w:bCs/>
          <w:noProof/>
          <w:sz w:val="24"/>
          <w:szCs w:val="28"/>
          <w:lang w:val="sq-AL"/>
        </w:rPr>
        <w:t xml:space="preserve"> </w:t>
      </w:r>
      <w:r w:rsidR="00C77271">
        <w:rPr>
          <w:rFonts w:ascii="Times New Roman" w:eastAsia="Times New Roman" w:hAnsi="Times New Roman" w:cs="Times New Roman"/>
          <w:bCs/>
          <w:noProof/>
          <w:sz w:val="24"/>
          <w:szCs w:val="28"/>
          <w:lang w:val="sq-AL"/>
        </w:rPr>
        <w:t>dhe</w:t>
      </w:r>
      <w:r w:rsidR="0064565F">
        <w:rPr>
          <w:rFonts w:ascii="Times New Roman" w:eastAsia="Times New Roman" w:hAnsi="Times New Roman" w:cs="Times New Roman"/>
          <w:bCs/>
          <w:noProof/>
          <w:sz w:val="24"/>
          <w:szCs w:val="28"/>
          <w:lang w:val="sq-AL"/>
        </w:rPr>
        <w:t xml:space="preserve"> shtrenjtuar</w:t>
      </w:r>
      <w:r w:rsidRPr="000F5C13">
        <w:rPr>
          <w:rFonts w:ascii="Times New Roman" w:eastAsia="Times New Roman" w:hAnsi="Times New Roman" w:cs="Times New Roman"/>
          <w:bCs/>
          <w:noProof/>
          <w:sz w:val="24"/>
          <w:szCs w:val="28"/>
          <w:lang w:val="sq-AL"/>
        </w:rPr>
        <w:t xml:space="preserve"> sigurimin e financimit në</w:t>
      </w:r>
      <w:r w:rsidR="0064565F">
        <w:rPr>
          <w:rFonts w:ascii="Times New Roman" w:eastAsia="Times New Roman" w:hAnsi="Times New Roman" w:cs="Times New Roman"/>
          <w:bCs/>
          <w:noProof/>
          <w:sz w:val="24"/>
          <w:szCs w:val="28"/>
          <w:lang w:val="sq-AL"/>
        </w:rPr>
        <w:t>p</w:t>
      </w:r>
      <w:r w:rsidR="00982338">
        <w:rPr>
          <w:rFonts w:ascii="Times New Roman" w:eastAsia="Times New Roman" w:hAnsi="Times New Roman" w:cs="Times New Roman"/>
          <w:bCs/>
          <w:noProof/>
          <w:sz w:val="24"/>
          <w:szCs w:val="28"/>
          <w:lang w:val="sq-AL"/>
        </w:rPr>
        <w:t>ë</w:t>
      </w:r>
      <w:r w:rsidR="0064565F">
        <w:rPr>
          <w:rFonts w:ascii="Times New Roman" w:eastAsia="Times New Roman" w:hAnsi="Times New Roman" w:cs="Times New Roman"/>
          <w:bCs/>
          <w:noProof/>
          <w:sz w:val="24"/>
          <w:szCs w:val="28"/>
          <w:lang w:val="sq-AL"/>
        </w:rPr>
        <w:t xml:space="preserve">rmjet burimeve </w:t>
      </w:r>
      <w:r w:rsidR="00C77271">
        <w:rPr>
          <w:rFonts w:ascii="Times New Roman" w:eastAsia="Times New Roman" w:hAnsi="Times New Roman" w:cs="Times New Roman"/>
          <w:bCs/>
          <w:noProof/>
          <w:sz w:val="24"/>
          <w:szCs w:val="28"/>
          <w:lang w:val="sq-AL"/>
        </w:rPr>
        <w:t>t</w:t>
      </w:r>
      <w:r w:rsidR="00982338">
        <w:rPr>
          <w:rFonts w:ascii="Times New Roman" w:eastAsia="Times New Roman" w:hAnsi="Times New Roman" w:cs="Times New Roman"/>
          <w:bCs/>
          <w:noProof/>
          <w:sz w:val="24"/>
          <w:szCs w:val="28"/>
          <w:lang w:val="sq-AL"/>
        </w:rPr>
        <w:t>ë</w:t>
      </w:r>
      <w:r w:rsidR="00C77271">
        <w:rPr>
          <w:rFonts w:ascii="Times New Roman" w:eastAsia="Times New Roman" w:hAnsi="Times New Roman" w:cs="Times New Roman"/>
          <w:bCs/>
          <w:noProof/>
          <w:sz w:val="24"/>
          <w:szCs w:val="28"/>
          <w:lang w:val="sq-AL"/>
        </w:rPr>
        <w:t xml:space="preserve"> huaja</w:t>
      </w:r>
      <w:r w:rsidRPr="000F5C13">
        <w:rPr>
          <w:rFonts w:ascii="Times New Roman" w:eastAsia="Times New Roman" w:hAnsi="Times New Roman" w:cs="Times New Roman"/>
          <w:bCs/>
          <w:noProof/>
          <w:sz w:val="24"/>
          <w:szCs w:val="28"/>
          <w:lang w:val="sq-AL"/>
        </w:rPr>
        <w:t>. Në këto kushte, financimi në periudhën 2020-202</w:t>
      </w:r>
      <w:r w:rsidR="0064565F">
        <w:rPr>
          <w:rFonts w:ascii="Times New Roman" w:eastAsia="Times New Roman" w:hAnsi="Times New Roman" w:cs="Times New Roman"/>
          <w:bCs/>
          <w:noProof/>
          <w:sz w:val="24"/>
          <w:szCs w:val="28"/>
          <w:lang w:val="sq-AL"/>
        </w:rPr>
        <w:t xml:space="preserve">2 </w:t>
      </w:r>
      <w:r w:rsidRPr="000F5C13">
        <w:rPr>
          <w:rFonts w:ascii="Times New Roman" w:eastAsia="Times New Roman" w:hAnsi="Times New Roman" w:cs="Times New Roman"/>
          <w:bCs/>
          <w:noProof/>
          <w:sz w:val="24"/>
          <w:szCs w:val="28"/>
          <w:lang w:val="sq-AL"/>
        </w:rPr>
        <w:t xml:space="preserve">në dallim nga </w:t>
      </w:r>
      <w:r w:rsidRPr="0065521D">
        <w:rPr>
          <w:rFonts w:ascii="Times New Roman" w:eastAsia="Times New Roman" w:hAnsi="Times New Roman" w:cs="Times New Roman"/>
          <w:bCs/>
          <w:i/>
          <w:noProof/>
          <w:sz w:val="24"/>
          <w:szCs w:val="28"/>
          <w:lang w:val="sq-AL"/>
        </w:rPr>
        <w:t>Strategjia 1 (bazë)</w:t>
      </w:r>
      <w:r w:rsidRPr="000F5C13">
        <w:rPr>
          <w:rFonts w:ascii="Times New Roman" w:eastAsia="Times New Roman" w:hAnsi="Times New Roman" w:cs="Times New Roman"/>
          <w:bCs/>
          <w:noProof/>
          <w:sz w:val="24"/>
          <w:szCs w:val="28"/>
          <w:lang w:val="sq-AL"/>
        </w:rPr>
        <w:t xml:space="preserve"> do të mbështetej </w:t>
      </w:r>
      <w:r w:rsidR="0064565F">
        <w:rPr>
          <w:rFonts w:ascii="Times New Roman" w:eastAsia="Times New Roman" w:hAnsi="Times New Roman" w:cs="Times New Roman"/>
          <w:bCs/>
          <w:noProof/>
          <w:sz w:val="24"/>
          <w:szCs w:val="28"/>
          <w:lang w:val="sq-AL"/>
        </w:rPr>
        <w:t>m</w:t>
      </w:r>
      <w:r w:rsidR="00982338">
        <w:rPr>
          <w:rFonts w:ascii="Times New Roman" w:eastAsia="Times New Roman" w:hAnsi="Times New Roman" w:cs="Times New Roman"/>
          <w:bCs/>
          <w:noProof/>
          <w:sz w:val="24"/>
          <w:szCs w:val="28"/>
          <w:lang w:val="sq-AL"/>
        </w:rPr>
        <w:t>ë</w:t>
      </w:r>
      <w:r w:rsidR="0064565F">
        <w:rPr>
          <w:rFonts w:ascii="Times New Roman" w:eastAsia="Times New Roman" w:hAnsi="Times New Roman" w:cs="Times New Roman"/>
          <w:bCs/>
          <w:noProof/>
          <w:sz w:val="24"/>
          <w:szCs w:val="28"/>
          <w:lang w:val="sq-AL"/>
        </w:rPr>
        <w:t xml:space="preserve"> shum</w:t>
      </w:r>
      <w:r w:rsidR="00982338">
        <w:rPr>
          <w:rFonts w:ascii="Times New Roman" w:eastAsia="Times New Roman" w:hAnsi="Times New Roman" w:cs="Times New Roman"/>
          <w:bCs/>
          <w:noProof/>
          <w:sz w:val="24"/>
          <w:szCs w:val="28"/>
          <w:lang w:val="sq-AL"/>
        </w:rPr>
        <w:t>ë</w:t>
      </w:r>
      <w:r w:rsidR="0064565F">
        <w:rPr>
          <w:rFonts w:ascii="Times New Roman" w:eastAsia="Times New Roman" w:hAnsi="Times New Roman" w:cs="Times New Roman"/>
          <w:bCs/>
          <w:noProof/>
          <w:sz w:val="24"/>
          <w:szCs w:val="28"/>
          <w:lang w:val="sq-AL"/>
        </w:rPr>
        <w:t xml:space="preserve"> </w:t>
      </w:r>
      <w:r w:rsidRPr="000F5C13">
        <w:rPr>
          <w:rFonts w:ascii="Times New Roman" w:eastAsia="Times New Roman" w:hAnsi="Times New Roman" w:cs="Times New Roman"/>
          <w:bCs/>
          <w:noProof/>
          <w:sz w:val="24"/>
          <w:szCs w:val="28"/>
          <w:lang w:val="sq-AL"/>
        </w:rPr>
        <w:t xml:space="preserve">në burimet e brendshme </w:t>
      </w:r>
      <w:r w:rsidRPr="00FB61A5">
        <w:rPr>
          <w:rFonts w:ascii="Times New Roman" w:eastAsia="Times New Roman" w:hAnsi="Times New Roman" w:cs="Times New Roman"/>
          <w:bCs/>
          <w:noProof/>
          <w:sz w:val="24"/>
          <w:szCs w:val="28"/>
          <w:lang w:val="sq-AL"/>
        </w:rPr>
        <w:t>(dhe/ose në ndonjë burim alternativ të akorduar nga institucionet ndërkombëtare financiare),</w:t>
      </w:r>
      <w:r w:rsidRPr="000F5C13">
        <w:rPr>
          <w:rFonts w:ascii="Times New Roman" w:eastAsia="Times New Roman" w:hAnsi="Times New Roman" w:cs="Times New Roman"/>
          <w:bCs/>
          <w:noProof/>
          <w:sz w:val="24"/>
          <w:szCs w:val="28"/>
          <w:lang w:val="sq-AL"/>
        </w:rPr>
        <w:t xml:space="preserve"> duke tejkaluar ndjeshëm kapacitetet e tregut të brendshëm.</w:t>
      </w:r>
    </w:p>
    <w:p w14:paraId="71DF5E58" w14:textId="77777777" w:rsidR="009053CD" w:rsidRPr="000F5C13" w:rsidRDefault="009053CD" w:rsidP="00FB61A5">
      <w:pPr>
        <w:tabs>
          <w:tab w:val="left" w:pos="2730"/>
        </w:tabs>
        <w:spacing w:after="0" w:line="276" w:lineRule="auto"/>
        <w:ind w:right="238"/>
        <w:rPr>
          <w:rFonts w:ascii="Times New Roman" w:eastAsia="Times New Roman" w:hAnsi="Times New Roman" w:cs="Times New Roman"/>
          <w:bCs/>
          <w:noProof/>
          <w:sz w:val="24"/>
          <w:szCs w:val="28"/>
          <w:u w:val="single"/>
          <w:lang w:val="sq-AL"/>
        </w:rPr>
      </w:pPr>
      <w:r w:rsidRPr="000F5C13">
        <w:rPr>
          <w:rFonts w:ascii="Times New Roman" w:eastAsia="Times New Roman" w:hAnsi="Times New Roman" w:cs="Times New Roman"/>
          <w:bCs/>
          <w:noProof/>
          <w:sz w:val="24"/>
          <w:szCs w:val="28"/>
          <w:u w:val="single"/>
          <w:lang w:val="sq-AL"/>
        </w:rPr>
        <w:t>Financimi</w:t>
      </w:r>
    </w:p>
    <w:p w14:paraId="71DF5E59" w14:textId="77777777" w:rsidR="009053CD" w:rsidRPr="000F5C13" w:rsidRDefault="009053CD" w:rsidP="009053CD">
      <w:pPr>
        <w:tabs>
          <w:tab w:val="left" w:pos="2730"/>
        </w:tabs>
        <w:spacing w:after="0" w:line="276" w:lineRule="auto"/>
        <w:ind w:left="284" w:right="238"/>
        <w:rPr>
          <w:rFonts w:ascii="Times New Roman" w:eastAsia="Times New Roman" w:hAnsi="Times New Roman" w:cs="Times New Roman"/>
          <w:bCs/>
          <w:noProof/>
          <w:sz w:val="16"/>
          <w:szCs w:val="28"/>
          <w:u w:val="single"/>
          <w:lang w:val="sq-AL"/>
        </w:rPr>
      </w:pPr>
    </w:p>
    <w:p w14:paraId="71DF5E5A" w14:textId="77777777" w:rsidR="009053CD" w:rsidRPr="000F5C13" w:rsidRDefault="009053CD" w:rsidP="00FB61A5">
      <w:pPr>
        <w:pStyle w:val="ListParagraph"/>
        <w:numPr>
          <w:ilvl w:val="0"/>
          <w:numId w:val="13"/>
        </w:numPr>
        <w:tabs>
          <w:tab w:val="left" w:pos="2730"/>
        </w:tabs>
        <w:spacing w:line="276" w:lineRule="auto"/>
        <w:ind w:left="284" w:right="237"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Financimi nëpërmjet burimeve të br</w:t>
      </w:r>
      <w:r w:rsidR="0065521D">
        <w:rPr>
          <w:rFonts w:ascii="Times New Roman" w:eastAsia="Times New Roman" w:hAnsi="Times New Roman" w:cs="Times New Roman"/>
          <w:bCs/>
          <w:noProof/>
          <w:sz w:val="24"/>
          <w:szCs w:val="28"/>
          <w:lang w:val="sq-AL"/>
        </w:rPr>
        <w:t>endshme do të mundësojë rifinan</w:t>
      </w:r>
      <w:r w:rsidRPr="000F5C13">
        <w:rPr>
          <w:rFonts w:ascii="Times New Roman" w:eastAsia="Times New Roman" w:hAnsi="Times New Roman" w:cs="Times New Roman"/>
          <w:bCs/>
          <w:noProof/>
          <w:sz w:val="24"/>
          <w:szCs w:val="28"/>
          <w:lang w:val="sq-AL"/>
        </w:rPr>
        <w:t>c</w:t>
      </w:r>
      <w:r w:rsidR="0065521D">
        <w:rPr>
          <w:rFonts w:ascii="Times New Roman" w:eastAsia="Times New Roman" w:hAnsi="Times New Roman" w:cs="Times New Roman"/>
          <w:bCs/>
          <w:noProof/>
          <w:sz w:val="24"/>
          <w:szCs w:val="28"/>
          <w:lang w:val="sq-AL"/>
        </w:rPr>
        <w:t>i</w:t>
      </w:r>
      <w:r w:rsidRPr="000F5C13">
        <w:rPr>
          <w:rFonts w:ascii="Times New Roman" w:eastAsia="Times New Roman" w:hAnsi="Times New Roman" w:cs="Times New Roman"/>
          <w:bCs/>
          <w:noProof/>
          <w:sz w:val="24"/>
          <w:szCs w:val="28"/>
          <w:lang w:val="sq-AL"/>
        </w:rPr>
        <w:t>min e titujve ekzistues që maturohen dhe do të financojë për periudhën 2020-202</w:t>
      </w:r>
      <w:r w:rsidR="00CB6956">
        <w:rPr>
          <w:rFonts w:ascii="Times New Roman" w:eastAsia="Times New Roman" w:hAnsi="Times New Roman" w:cs="Times New Roman"/>
          <w:bCs/>
          <w:noProof/>
          <w:sz w:val="24"/>
          <w:szCs w:val="28"/>
          <w:lang w:val="sq-AL"/>
        </w:rPr>
        <w:t>2</w:t>
      </w:r>
      <w:r w:rsidRPr="000F5C13">
        <w:rPr>
          <w:rFonts w:ascii="Times New Roman" w:eastAsia="Times New Roman" w:hAnsi="Times New Roman" w:cs="Times New Roman"/>
          <w:bCs/>
          <w:noProof/>
          <w:sz w:val="24"/>
          <w:szCs w:val="28"/>
          <w:lang w:val="sq-AL"/>
        </w:rPr>
        <w:t xml:space="preserve"> në terma neto </w:t>
      </w:r>
      <w:r>
        <w:rPr>
          <w:rFonts w:ascii="Times New Roman" w:eastAsia="Times New Roman" w:hAnsi="Times New Roman" w:cs="Times New Roman"/>
          <w:bCs/>
          <w:noProof/>
          <w:sz w:val="24"/>
          <w:szCs w:val="28"/>
          <w:lang w:val="sq-AL"/>
        </w:rPr>
        <w:t xml:space="preserve">rreth </w:t>
      </w:r>
      <w:r w:rsidR="00CB6956">
        <w:rPr>
          <w:rFonts w:ascii="Times New Roman" w:eastAsia="Times New Roman" w:hAnsi="Times New Roman" w:cs="Times New Roman"/>
          <w:bCs/>
          <w:noProof/>
          <w:sz w:val="24"/>
          <w:szCs w:val="28"/>
          <w:lang w:val="sq-AL"/>
        </w:rPr>
        <w:t>10</w:t>
      </w:r>
      <w:r>
        <w:rPr>
          <w:rFonts w:ascii="Times New Roman" w:eastAsia="Times New Roman" w:hAnsi="Times New Roman" w:cs="Times New Roman"/>
          <w:bCs/>
          <w:noProof/>
          <w:sz w:val="24"/>
          <w:szCs w:val="28"/>
          <w:lang w:val="sq-AL"/>
        </w:rPr>
        <w:t>-</w:t>
      </w:r>
      <w:r w:rsidR="00CB6956">
        <w:rPr>
          <w:rFonts w:ascii="Times New Roman" w:eastAsia="Times New Roman" w:hAnsi="Times New Roman" w:cs="Times New Roman"/>
          <w:bCs/>
          <w:noProof/>
          <w:sz w:val="24"/>
          <w:szCs w:val="28"/>
          <w:lang w:val="sq-AL"/>
        </w:rPr>
        <w:t>1</w:t>
      </w:r>
      <w:r w:rsidRPr="000F5C13">
        <w:rPr>
          <w:rFonts w:ascii="Times New Roman" w:eastAsia="Times New Roman" w:hAnsi="Times New Roman" w:cs="Times New Roman"/>
          <w:bCs/>
          <w:noProof/>
          <w:sz w:val="24"/>
          <w:szCs w:val="28"/>
          <w:lang w:val="sq-AL"/>
        </w:rPr>
        <w:t>5 miliard Lekë mbi kapacitetin optimal të tregut.</w:t>
      </w:r>
    </w:p>
    <w:p w14:paraId="71DF5E5B" w14:textId="77777777" w:rsidR="009053CD" w:rsidRPr="000F5C13" w:rsidRDefault="009053CD" w:rsidP="009053CD">
      <w:pPr>
        <w:pStyle w:val="ListParagraph"/>
        <w:tabs>
          <w:tab w:val="left" w:pos="2730"/>
        </w:tabs>
        <w:spacing w:line="276" w:lineRule="auto"/>
        <w:ind w:left="567" w:right="237"/>
        <w:jc w:val="both"/>
        <w:rPr>
          <w:rFonts w:ascii="Times New Roman" w:eastAsia="Times New Roman" w:hAnsi="Times New Roman" w:cs="Times New Roman"/>
          <w:bCs/>
          <w:noProof/>
          <w:sz w:val="16"/>
          <w:szCs w:val="28"/>
          <w:lang w:val="sq-AL"/>
        </w:rPr>
      </w:pPr>
    </w:p>
    <w:p w14:paraId="71DF5E5C" w14:textId="77777777" w:rsidR="00744649" w:rsidRPr="0065521D" w:rsidRDefault="009053CD" w:rsidP="0065521D">
      <w:pPr>
        <w:pStyle w:val="ListParagraph"/>
        <w:numPr>
          <w:ilvl w:val="0"/>
          <w:numId w:val="13"/>
        </w:numPr>
        <w:tabs>
          <w:tab w:val="left" w:pos="2730"/>
        </w:tabs>
        <w:spacing w:line="276" w:lineRule="auto"/>
        <w:ind w:left="284" w:right="237"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Financimi i huaj do të mbështet</w:t>
      </w:r>
      <w:r>
        <w:rPr>
          <w:rFonts w:ascii="Times New Roman" w:eastAsia="Times New Roman" w:hAnsi="Times New Roman" w:cs="Times New Roman"/>
          <w:bCs/>
          <w:noProof/>
          <w:sz w:val="24"/>
          <w:szCs w:val="28"/>
          <w:lang w:val="sq-AL"/>
        </w:rPr>
        <w:t>et</w:t>
      </w:r>
      <w:r w:rsidRPr="000F5C13">
        <w:rPr>
          <w:rFonts w:ascii="Times New Roman" w:eastAsia="Times New Roman" w:hAnsi="Times New Roman" w:cs="Times New Roman"/>
          <w:bCs/>
          <w:noProof/>
          <w:sz w:val="24"/>
          <w:szCs w:val="28"/>
          <w:lang w:val="sq-AL"/>
        </w:rPr>
        <w:t xml:space="preserve"> tek bur</w:t>
      </w:r>
      <w:r w:rsidR="00F62D03">
        <w:rPr>
          <w:rFonts w:ascii="Times New Roman" w:eastAsia="Times New Roman" w:hAnsi="Times New Roman" w:cs="Times New Roman"/>
          <w:bCs/>
          <w:noProof/>
          <w:sz w:val="24"/>
          <w:szCs w:val="28"/>
          <w:lang w:val="sq-AL"/>
        </w:rPr>
        <w:t xml:space="preserve">imet shumëpalëshe dhe dypalëshe </w:t>
      </w:r>
      <w:r w:rsidRPr="000F5C13">
        <w:rPr>
          <w:rFonts w:ascii="Times New Roman" w:eastAsia="Times New Roman" w:hAnsi="Times New Roman" w:cs="Times New Roman"/>
          <w:bCs/>
          <w:noProof/>
          <w:sz w:val="24"/>
          <w:szCs w:val="28"/>
          <w:lang w:val="sq-AL"/>
        </w:rPr>
        <w:t>të planifikuara, të cilat do të financojnë projektet dhe mbështesin reformat e qeverisë.</w:t>
      </w:r>
    </w:p>
    <w:p w14:paraId="71DF5E5D" w14:textId="77777777" w:rsidR="009053CD" w:rsidRPr="001E6274" w:rsidRDefault="009053CD" w:rsidP="00FB61A5">
      <w:pPr>
        <w:tabs>
          <w:tab w:val="left" w:pos="2730"/>
        </w:tabs>
        <w:spacing w:after="0" w:line="276" w:lineRule="auto"/>
        <w:ind w:left="284" w:right="238" w:hanging="284"/>
        <w:rPr>
          <w:rFonts w:ascii="Times New Roman" w:eastAsia="Times New Roman" w:hAnsi="Times New Roman" w:cs="Times New Roman"/>
          <w:bCs/>
          <w:noProof/>
          <w:sz w:val="24"/>
          <w:szCs w:val="28"/>
          <w:u w:val="single"/>
          <w:lang w:val="sq-AL"/>
        </w:rPr>
      </w:pPr>
      <w:r w:rsidRPr="001E6274">
        <w:rPr>
          <w:rFonts w:ascii="Times New Roman" w:eastAsia="Times New Roman" w:hAnsi="Times New Roman" w:cs="Times New Roman"/>
          <w:bCs/>
          <w:noProof/>
          <w:sz w:val="24"/>
          <w:szCs w:val="28"/>
          <w:u w:val="single"/>
          <w:lang w:val="sq-AL"/>
        </w:rPr>
        <w:t>Avantazhet</w:t>
      </w:r>
    </w:p>
    <w:p w14:paraId="71DF5E5E" w14:textId="77777777" w:rsidR="009053CD" w:rsidRPr="000F5C13" w:rsidRDefault="009053CD" w:rsidP="00FB61A5">
      <w:pPr>
        <w:tabs>
          <w:tab w:val="left" w:pos="2730"/>
        </w:tabs>
        <w:spacing w:after="0" w:line="276" w:lineRule="auto"/>
        <w:ind w:left="284" w:right="238" w:hanging="284"/>
        <w:rPr>
          <w:rFonts w:ascii="Cambria" w:eastAsia="Times New Roman" w:hAnsi="Cambria" w:cs="Times New Roman"/>
          <w:bCs/>
          <w:noProof/>
          <w:sz w:val="16"/>
          <w:szCs w:val="28"/>
          <w:u w:val="single"/>
          <w:lang w:val="sq-AL"/>
        </w:rPr>
      </w:pPr>
    </w:p>
    <w:p w14:paraId="71DF5E5F" w14:textId="77777777" w:rsidR="009053CD" w:rsidRPr="0065521D" w:rsidRDefault="009053CD" w:rsidP="0065521D">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 xml:space="preserve">Ka një ekspozim më të ulët ndaj riskut të kursit të këmbimit krahasuar me </w:t>
      </w:r>
      <w:r w:rsidRPr="00B24465">
        <w:rPr>
          <w:rFonts w:ascii="Times New Roman" w:eastAsia="Times New Roman" w:hAnsi="Times New Roman" w:cs="Times New Roman"/>
          <w:bCs/>
          <w:i/>
          <w:noProof/>
          <w:sz w:val="24"/>
          <w:szCs w:val="28"/>
          <w:lang w:val="sq-AL"/>
        </w:rPr>
        <w:t>Strategjinë 1</w:t>
      </w:r>
      <w:r w:rsidRPr="000F5C13">
        <w:rPr>
          <w:rFonts w:ascii="Times New Roman" w:eastAsia="Times New Roman" w:hAnsi="Times New Roman" w:cs="Times New Roman"/>
          <w:bCs/>
          <w:noProof/>
          <w:sz w:val="24"/>
          <w:szCs w:val="28"/>
          <w:lang w:val="sq-AL"/>
        </w:rPr>
        <w:t xml:space="preserve"> </w:t>
      </w:r>
      <w:r w:rsidRPr="00013CEE">
        <w:rPr>
          <w:rFonts w:ascii="Times New Roman" w:eastAsia="Times New Roman" w:hAnsi="Times New Roman" w:cs="Times New Roman"/>
          <w:bCs/>
          <w:i/>
          <w:noProof/>
          <w:sz w:val="24"/>
          <w:szCs w:val="28"/>
          <w:lang w:val="sq-AL"/>
        </w:rPr>
        <w:t>(bazë).</w:t>
      </w:r>
    </w:p>
    <w:p w14:paraId="71DF5E60" w14:textId="77777777" w:rsidR="009053CD" w:rsidRPr="001E6274" w:rsidRDefault="00CB6956" w:rsidP="00FB61A5">
      <w:pPr>
        <w:tabs>
          <w:tab w:val="left" w:pos="2730"/>
        </w:tabs>
        <w:spacing w:after="0" w:line="276" w:lineRule="auto"/>
        <w:ind w:left="284" w:right="238" w:hanging="284"/>
        <w:rPr>
          <w:rFonts w:ascii="Times New Roman" w:eastAsia="Times New Roman" w:hAnsi="Times New Roman" w:cs="Times New Roman"/>
          <w:bCs/>
          <w:noProof/>
          <w:sz w:val="24"/>
          <w:szCs w:val="28"/>
          <w:u w:val="single"/>
          <w:lang w:val="sq-AL"/>
        </w:rPr>
      </w:pPr>
      <w:r w:rsidRPr="001E6274">
        <w:rPr>
          <w:rFonts w:ascii="Times New Roman" w:eastAsia="Times New Roman" w:hAnsi="Times New Roman" w:cs="Times New Roman"/>
          <w:bCs/>
          <w:noProof/>
          <w:sz w:val="24"/>
          <w:szCs w:val="28"/>
          <w:u w:val="single"/>
          <w:lang w:val="sq-AL"/>
        </w:rPr>
        <w:lastRenderedPageBreak/>
        <w:t>Risqet</w:t>
      </w:r>
    </w:p>
    <w:p w14:paraId="71DF5E61" w14:textId="77777777" w:rsidR="009053CD" w:rsidRPr="000F5C13" w:rsidRDefault="009053CD" w:rsidP="009053CD">
      <w:pPr>
        <w:tabs>
          <w:tab w:val="left" w:pos="2730"/>
        </w:tabs>
        <w:spacing w:after="0" w:line="276" w:lineRule="auto"/>
        <w:ind w:left="284" w:right="238"/>
        <w:rPr>
          <w:rFonts w:ascii="Cambria" w:eastAsia="Times New Roman" w:hAnsi="Cambria" w:cs="Times New Roman"/>
          <w:bCs/>
          <w:noProof/>
          <w:sz w:val="16"/>
          <w:szCs w:val="28"/>
          <w:u w:val="single"/>
          <w:lang w:val="sq-AL"/>
        </w:rPr>
      </w:pPr>
    </w:p>
    <w:p w14:paraId="71DF5E62" w14:textId="77777777" w:rsidR="009053CD" w:rsidRPr="000F5C13" w:rsidRDefault="009053CD"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 xml:space="preserve">Rrit ndjeshëm ekspozimin ndaj riskut të rifinancimit, riskut të likuiditetit, riskut të normave të interesit, si edhe risqeve sistemike të tregut të brendshëm, duke </w:t>
      </w:r>
      <w:r>
        <w:rPr>
          <w:rFonts w:ascii="Times New Roman" w:eastAsia="Times New Roman" w:hAnsi="Times New Roman" w:cs="Times New Roman"/>
          <w:bCs/>
          <w:noProof/>
          <w:sz w:val="24"/>
          <w:szCs w:val="28"/>
          <w:lang w:val="sq-AL"/>
        </w:rPr>
        <w:t>ndikuar</w:t>
      </w:r>
      <w:r w:rsidRPr="000F5C13">
        <w:rPr>
          <w:rFonts w:ascii="Times New Roman" w:eastAsia="Times New Roman" w:hAnsi="Times New Roman" w:cs="Times New Roman"/>
          <w:bCs/>
          <w:noProof/>
          <w:sz w:val="24"/>
          <w:szCs w:val="28"/>
          <w:lang w:val="sq-AL"/>
        </w:rPr>
        <w:t xml:space="preserve"> </w:t>
      </w:r>
      <w:r>
        <w:rPr>
          <w:rFonts w:ascii="Times New Roman" w:eastAsia="Times New Roman" w:hAnsi="Times New Roman" w:cs="Times New Roman"/>
          <w:bCs/>
          <w:noProof/>
          <w:sz w:val="24"/>
          <w:szCs w:val="28"/>
          <w:lang w:val="sq-AL"/>
        </w:rPr>
        <w:t>negativisht në</w:t>
      </w:r>
      <w:r w:rsidRPr="000F5C13">
        <w:rPr>
          <w:rFonts w:ascii="Times New Roman" w:eastAsia="Times New Roman" w:hAnsi="Times New Roman" w:cs="Times New Roman"/>
          <w:bCs/>
          <w:noProof/>
          <w:sz w:val="24"/>
          <w:szCs w:val="28"/>
          <w:lang w:val="sq-AL"/>
        </w:rPr>
        <w:t xml:space="preserve"> realizimin e objektivave strategjikë për përmirësimin e strukturës së borxhit të brendshëm</w:t>
      </w:r>
      <w:r>
        <w:rPr>
          <w:rFonts w:ascii="Times New Roman" w:eastAsia="Times New Roman" w:hAnsi="Times New Roman" w:cs="Times New Roman"/>
          <w:bCs/>
          <w:noProof/>
          <w:sz w:val="24"/>
          <w:szCs w:val="28"/>
          <w:lang w:val="sq-AL"/>
        </w:rPr>
        <w:t>.</w:t>
      </w:r>
    </w:p>
    <w:p w14:paraId="71DF5E63" w14:textId="77777777" w:rsidR="009053CD" w:rsidRDefault="009053CD"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Niveli i lartë i huamarrjes në tregun e brendshëm do të ushtrojë presion rritës mbi normat e interesit të titujve sht</w:t>
      </w:r>
      <w:r w:rsidR="006E2DC9">
        <w:rPr>
          <w:rFonts w:ascii="Times New Roman" w:eastAsia="Times New Roman" w:hAnsi="Times New Roman" w:cs="Times New Roman"/>
          <w:bCs/>
          <w:noProof/>
          <w:sz w:val="24"/>
          <w:szCs w:val="28"/>
          <w:lang w:val="sq-AL"/>
        </w:rPr>
        <w:t>e</w:t>
      </w:r>
      <w:r w:rsidRPr="000F5C13">
        <w:rPr>
          <w:rFonts w:ascii="Times New Roman" w:eastAsia="Times New Roman" w:hAnsi="Times New Roman" w:cs="Times New Roman"/>
          <w:bCs/>
          <w:noProof/>
          <w:sz w:val="24"/>
          <w:szCs w:val="28"/>
          <w:lang w:val="sq-AL"/>
        </w:rPr>
        <w:t>tërorë</w:t>
      </w:r>
      <w:r w:rsidR="00B24465">
        <w:rPr>
          <w:rFonts w:ascii="Times New Roman" w:eastAsia="Times New Roman" w:hAnsi="Times New Roman" w:cs="Times New Roman"/>
          <w:bCs/>
          <w:noProof/>
          <w:sz w:val="24"/>
          <w:szCs w:val="28"/>
          <w:lang w:val="sq-AL"/>
        </w:rPr>
        <w:t>.</w:t>
      </w:r>
      <w:r w:rsidRPr="000F5C13">
        <w:rPr>
          <w:rFonts w:ascii="Times New Roman" w:eastAsia="Times New Roman" w:hAnsi="Times New Roman" w:cs="Times New Roman"/>
          <w:bCs/>
          <w:noProof/>
          <w:sz w:val="24"/>
          <w:szCs w:val="28"/>
          <w:lang w:val="sq-AL"/>
        </w:rPr>
        <w:t xml:space="preserve"> </w:t>
      </w:r>
      <w:r w:rsidR="00B24465">
        <w:rPr>
          <w:rFonts w:ascii="Times New Roman" w:eastAsia="Times New Roman" w:hAnsi="Times New Roman" w:cs="Times New Roman"/>
          <w:bCs/>
          <w:noProof/>
          <w:sz w:val="24"/>
          <w:szCs w:val="28"/>
          <w:lang w:val="sq-AL"/>
        </w:rPr>
        <w:t>K</w:t>
      </w:r>
      <w:r w:rsidRPr="000F5C13">
        <w:rPr>
          <w:rFonts w:ascii="Times New Roman" w:eastAsia="Times New Roman" w:hAnsi="Times New Roman" w:cs="Times New Roman"/>
          <w:bCs/>
          <w:noProof/>
          <w:sz w:val="24"/>
          <w:szCs w:val="28"/>
          <w:lang w:val="sq-AL"/>
        </w:rPr>
        <w:t xml:space="preserve">ostot e borxhit </w:t>
      </w:r>
      <w:r w:rsidR="00B24465">
        <w:rPr>
          <w:rFonts w:ascii="Times New Roman" w:eastAsia="Times New Roman" w:hAnsi="Times New Roman" w:cs="Times New Roman"/>
          <w:bCs/>
          <w:noProof/>
          <w:sz w:val="24"/>
          <w:szCs w:val="28"/>
          <w:lang w:val="sq-AL"/>
        </w:rPr>
        <w:t xml:space="preserve">tentojnë të jenë </w:t>
      </w:r>
      <w:r w:rsidRPr="000F5C13">
        <w:rPr>
          <w:rFonts w:ascii="Times New Roman" w:eastAsia="Times New Roman" w:hAnsi="Times New Roman" w:cs="Times New Roman"/>
          <w:bCs/>
          <w:noProof/>
          <w:sz w:val="24"/>
          <w:szCs w:val="28"/>
          <w:lang w:val="sq-AL"/>
        </w:rPr>
        <w:t>në nivele të krahasueshme</w:t>
      </w:r>
      <w:r w:rsidRPr="000F5C13">
        <w:rPr>
          <w:rStyle w:val="FootnoteReference"/>
          <w:rFonts w:ascii="Times New Roman" w:eastAsia="Times New Roman" w:hAnsi="Times New Roman" w:cs="Times New Roman"/>
          <w:bCs/>
          <w:noProof/>
          <w:sz w:val="24"/>
          <w:szCs w:val="28"/>
          <w:lang w:val="sq-AL"/>
        </w:rPr>
        <w:footnoteReference w:id="16"/>
      </w:r>
      <w:r w:rsidRPr="000F5C13">
        <w:rPr>
          <w:rFonts w:ascii="Times New Roman" w:eastAsia="Times New Roman" w:hAnsi="Times New Roman" w:cs="Times New Roman"/>
          <w:bCs/>
          <w:noProof/>
          <w:sz w:val="24"/>
          <w:szCs w:val="28"/>
          <w:lang w:val="sq-AL"/>
        </w:rPr>
        <w:t xml:space="preserve"> me </w:t>
      </w:r>
      <w:r w:rsidRPr="00B24465">
        <w:rPr>
          <w:rFonts w:ascii="Times New Roman" w:eastAsia="Times New Roman" w:hAnsi="Times New Roman" w:cs="Times New Roman"/>
          <w:bCs/>
          <w:i/>
          <w:noProof/>
          <w:sz w:val="24"/>
          <w:szCs w:val="28"/>
          <w:lang w:val="sq-AL"/>
        </w:rPr>
        <w:t>Strategjinë 1</w:t>
      </w:r>
      <w:r w:rsidRPr="000F5C13">
        <w:rPr>
          <w:rFonts w:ascii="Times New Roman" w:eastAsia="Times New Roman" w:hAnsi="Times New Roman" w:cs="Times New Roman"/>
          <w:bCs/>
          <w:noProof/>
          <w:sz w:val="24"/>
          <w:szCs w:val="28"/>
          <w:lang w:val="sq-AL"/>
        </w:rPr>
        <w:t xml:space="preserve"> </w:t>
      </w:r>
      <w:r w:rsidRPr="00A03CE9">
        <w:rPr>
          <w:rFonts w:ascii="Times New Roman" w:eastAsia="Times New Roman" w:hAnsi="Times New Roman" w:cs="Times New Roman"/>
          <w:bCs/>
          <w:i/>
          <w:noProof/>
          <w:sz w:val="24"/>
          <w:szCs w:val="28"/>
          <w:lang w:val="sq-AL"/>
        </w:rPr>
        <w:t>(bazë)</w:t>
      </w:r>
      <w:r w:rsidRPr="000F5C13">
        <w:rPr>
          <w:rFonts w:ascii="Times New Roman" w:eastAsia="Times New Roman" w:hAnsi="Times New Roman" w:cs="Times New Roman"/>
          <w:bCs/>
          <w:noProof/>
          <w:sz w:val="24"/>
          <w:szCs w:val="28"/>
          <w:lang w:val="sq-AL"/>
        </w:rPr>
        <w:t xml:space="preserve"> në periudhën afat</w:t>
      </w:r>
      <w:r w:rsidR="00CB6956">
        <w:rPr>
          <w:rFonts w:ascii="Times New Roman" w:eastAsia="Times New Roman" w:hAnsi="Times New Roman" w:cs="Times New Roman"/>
          <w:bCs/>
          <w:noProof/>
          <w:sz w:val="24"/>
          <w:szCs w:val="28"/>
          <w:lang w:val="sq-AL"/>
        </w:rPr>
        <w:t>shkurt</w:t>
      </w:r>
      <w:r w:rsidR="00982338">
        <w:rPr>
          <w:rFonts w:ascii="Times New Roman" w:eastAsia="Times New Roman" w:hAnsi="Times New Roman" w:cs="Times New Roman"/>
          <w:bCs/>
          <w:noProof/>
          <w:sz w:val="24"/>
          <w:szCs w:val="28"/>
          <w:lang w:val="sq-AL"/>
        </w:rPr>
        <w:t>ë</w:t>
      </w:r>
      <w:r w:rsidR="00CB6956">
        <w:rPr>
          <w:rFonts w:ascii="Times New Roman" w:eastAsia="Times New Roman" w:hAnsi="Times New Roman" w:cs="Times New Roman"/>
          <w:bCs/>
          <w:noProof/>
          <w:sz w:val="24"/>
          <w:szCs w:val="28"/>
          <w:lang w:val="sq-AL"/>
        </w:rPr>
        <w:t>r</w:t>
      </w:r>
      <w:r w:rsidR="00B24465">
        <w:rPr>
          <w:rFonts w:ascii="Times New Roman" w:eastAsia="Times New Roman" w:hAnsi="Times New Roman" w:cs="Times New Roman"/>
          <w:bCs/>
          <w:noProof/>
          <w:sz w:val="24"/>
          <w:szCs w:val="28"/>
          <w:lang w:val="sq-AL"/>
        </w:rPr>
        <w:t>,</w:t>
      </w:r>
      <w:r w:rsidRPr="000F5C13">
        <w:rPr>
          <w:rFonts w:ascii="Times New Roman" w:eastAsia="Times New Roman" w:hAnsi="Times New Roman" w:cs="Times New Roman"/>
          <w:bCs/>
          <w:noProof/>
          <w:sz w:val="24"/>
          <w:szCs w:val="28"/>
          <w:lang w:val="sq-AL"/>
        </w:rPr>
        <w:t xml:space="preserve"> </w:t>
      </w:r>
      <w:r w:rsidR="00B24465">
        <w:rPr>
          <w:rFonts w:ascii="Times New Roman" w:eastAsia="Times New Roman" w:hAnsi="Times New Roman" w:cs="Times New Roman"/>
          <w:bCs/>
          <w:noProof/>
          <w:sz w:val="24"/>
          <w:szCs w:val="28"/>
          <w:lang w:val="sq-AL"/>
        </w:rPr>
        <w:t>n</w:t>
      </w:r>
      <w:r w:rsidRPr="000F5C13">
        <w:rPr>
          <w:rFonts w:ascii="Times New Roman" w:eastAsia="Times New Roman" w:hAnsi="Times New Roman" w:cs="Times New Roman"/>
          <w:bCs/>
          <w:noProof/>
          <w:sz w:val="24"/>
          <w:szCs w:val="28"/>
          <w:lang w:val="sq-AL"/>
        </w:rPr>
        <w:t>dërkohë në periudhën afat</w:t>
      </w:r>
      <w:r w:rsidR="00CB6956">
        <w:rPr>
          <w:rFonts w:ascii="Times New Roman" w:eastAsia="Times New Roman" w:hAnsi="Times New Roman" w:cs="Times New Roman"/>
          <w:bCs/>
          <w:noProof/>
          <w:sz w:val="24"/>
          <w:szCs w:val="28"/>
          <w:lang w:val="sq-AL"/>
        </w:rPr>
        <w:t>mesme</w:t>
      </w:r>
      <w:r w:rsidRPr="000F5C13">
        <w:rPr>
          <w:rFonts w:ascii="Times New Roman" w:eastAsia="Times New Roman" w:hAnsi="Times New Roman" w:cs="Times New Roman"/>
          <w:bCs/>
          <w:noProof/>
          <w:sz w:val="24"/>
          <w:szCs w:val="28"/>
          <w:lang w:val="sq-AL"/>
        </w:rPr>
        <w:t xml:space="preserve"> kjo strategji tenton të bëhet më e </w:t>
      </w:r>
      <w:r w:rsidR="00B24465">
        <w:rPr>
          <w:rFonts w:ascii="Times New Roman" w:eastAsia="Times New Roman" w:hAnsi="Times New Roman" w:cs="Times New Roman"/>
          <w:bCs/>
          <w:noProof/>
          <w:sz w:val="24"/>
          <w:szCs w:val="28"/>
          <w:lang w:val="sq-AL"/>
        </w:rPr>
        <w:t>kushtueshme</w:t>
      </w:r>
      <w:r w:rsidRPr="000F5C13">
        <w:rPr>
          <w:rFonts w:ascii="Times New Roman" w:eastAsia="Times New Roman" w:hAnsi="Times New Roman" w:cs="Times New Roman"/>
          <w:bCs/>
          <w:noProof/>
          <w:sz w:val="24"/>
          <w:szCs w:val="28"/>
          <w:lang w:val="sq-AL"/>
        </w:rPr>
        <w:t xml:space="preserve"> </w:t>
      </w:r>
      <w:r>
        <w:rPr>
          <w:rFonts w:ascii="Times New Roman" w:eastAsia="Times New Roman" w:hAnsi="Times New Roman" w:cs="Times New Roman"/>
          <w:bCs/>
          <w:noProof/>
          <w:sz w:val="24"/>
          <w:szCs w:val="28"/>
          <w:lang w:val="sq-AL"/>
        </w:rPr>
        <w:t xml:space="preserve">për shkak </w:t>
      </w:r>
      <w:r w:rsidR="003F4D2D">
        <w:rPr>
          <w:rFonts w:ascii="Times New Roman" w:eastAsia="Times New Roman" w:hAnsi="Times New Roman" w:cs="Times New Roman"/>
          <w:bCs/>
          <w:noProof/>
          <w:sz w:val="24"/>
          <w:szCs w:val="28"/>
          <w:lang w:val="sq-AL"/>
        </w:rPr>
        <w:t xml:space="preserve">të </w:t>
      </w:r>
      <w:r>
        <w:rPr>
          <w:rFonts w:ascii="Times New Roman" w:eastAsia="Times New Roman" w:hAnsi="Times New Roman" w:cs="Times New Roman"/>
          <w:bCs/>
          <w:noProof/>
          <w:sz w:val="24"/>
          <w:szCs w:val="28"/>
          <w:lang w:val="sq-AL"/>
        </w:rPr>
        <w:t>primeve që</w:t>
      </w:r>
      <w:r w:rsidRPr="000F5C13">
        <w:rPr>
          <w:rFonts w:ascii="Times New Roman" w:eastAsia="Times New Roman" w:hAnsi="Times New Roman" w:cs="Times New Roman"/>
          <w:bCs/>
          <w:noProof/>
          <w:sz w:val="24"/>
          <w:szCs w:val="28"/>
          <w:lang w:val="sq-AL"/>
        </w:rPr>
        <w:t xml:space="preserve"> </w:t>
      </w:r>
      <w:r>
        <w:rPr>
          <w:rFonts w:ascii="Times New Roman" w:eastAsia="Times New Roman" w:hAnsi="Times New Roman" w:cs="Times New Roman"/>
          <w:bCs/>
          <w:noProof/>
          <w:sz w:val="24"/>
          <w:szCs w:val="28"/>
          <w:lang w:val="sq-AL"/>
        </w:rPr>
        <w:t>burojnë nga niveli në rritje i</w:t>
      </w:r>
      <w:r w:rsidRPr="000F5C13">
        <w:rPr>
          <w:rFonts w:ascii="Times New Roman" w:eastAsia="Times New Roman" w:hAnsi="Times New Roman" w:cs="Times New Roman"/>
          <w:bCs/>
          <w:noProof/>
          <w:sz w:val="24"/>
          <w:szCs w:val="28"/>
          <w:lang w:val="sq-AL"/>
        </w:rPr>
        <w:t xml:space="preserve"> risqeve në portofoli</w:t>
      </w:r>
      <w:r>
        <w:rPr>
          <w:rFonts w:ascii="Times New Roman" w:eastAsia="Times New Roman" w:hAnsi="Times New Roman" w:cs="Times New Roman"/>
          <w:bCs/>
          <w:noProof/>
          <w:sz w:val="24"/>
          <w:szCs w:val="28"/>
          <w:lang w:val="sq-AL"/>
        </w:rPr>
        <w:t>n</w:t>
      </w:r>
      <w:r w:rsidRPr="000F5C13">
        <w:rPr>
          <w:rFonts w:ascii="Times New Roman" w:eastAsia="Times New Roman" w:hAnsi="Times New Roman" w:cs="Times New Roman"/>
          <w:bCs/>
          <w:noProof/>
          <w:sz w:val="24"/>
          <w:szCs w:val="28"/>
          <w:lang w:val="sq-AL"/>
        </w:rPr>
        <w:t xml:space="preserve"> </w:t>
      </w:r>
      <w:r>
        <w:rPr>
          <w:rFonts w:ascii="Times New Roman" w:eastAsia="Times New Roman" w:hAnsi="Times New Roman" w:cs="Times New Roman"/>
          <w:bCs/>
          <w:noProof/>
          <w:sz w:val="24"/>
          <w:szCs w:val="28"/>
          <w:lang w:val="sq-AL"/>
        </w:rPr>
        <w:t>e</w:t>
      </w:r>
      <w:r w:rsidRPr="000F5C13">
        <w:rPr>
          <w:rFonts w:ascii="Times New Roman" w:eastAsia="Times New Roman" w:hAnsi="Times New Roman" w:cs="Times New Roman"/>
          <w:bCs/>
          <w:noProof/>
          <w:sz w:val="24"/>
          <w:szCs w:val="28"/>
          <w:lang w:val="sq-AL"/>
        </w:rPr>
        <w:t xml:space="preserve"> borxhit të brendshëm</w:t>
      </w:r>
      <w:r>
        <w:rPr>
          <w:rFonts w:ascii="Times New Roman" w:eastAsia="Times New Roman" w:hAnsi="Times New Roman" w:cs="Times New Roman"/>
          <w:bCs/>
          <w:noProof/>
          <w:sz w:val="24"/>
          <w:szCs w:val="28"/>
          <w:lang w:val="sq-AL"/>
        </w:rPr>
        <w:t>.</w:t>
      </w:r>
    </w:p>
    <w:p w14:paraId="71DF5E64" w14:textId="77777777" w:rsidR="00CB6956" w:rsidRPr="00CB6956" w:rsidRDefault="00CB6956"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CB6956">
        <w:rPr>
          <w:rFonts w:ascii="Times New Roman" w:eastAsia="Times New Roman" w:hAnsi="Times New Roman" w:cs="Times New Roman"/>
          <w:bCs/>
          <w:noProof/>
          <w:sz w:val="24"/>
          <w:szCs w:val="28"/>
          <w:lang w:val="sq-AL"/>
        </w:rPr>
        <w:t>Nuk krijon burime të mjaftueshme në valutë për të shërbyer detyrimet e borxhit të huaj.</w:t>
      </w:r>
    </w:p>
    <w:p w14:paraId="71DF5E65" w14:textId="77777777" w:rsidR="00CB6956" w:rsidRPr="00E94643" w:rsidRDefault="00CB6956"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E94643">
        <w:rPr>
          <w:rFonts w:ascii="Times New Roman" w:eastAsia="Times New Roman" w:hAnsi="Times New Roman" w:cs="Times New Roman"/>
          <w:bCs/>
          <w:noProof/>
          <w:sz w:val="24"/>
          <w:szCs w:val="28"/>
          <w:lang w:val="sq-AL"/>
        </w:rPr>
        <w:t>Rrit nd</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rhyrjen e shtetit n</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tregun e k</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mbimit valutor, duke q</w:t>
      </w:r>
      <w:r w:rsidR="000F361F">
        <w:rPr>
          <w:rFonts w:ascii="Times New Roman" w:eastAsia="Times New Roman" w:hAnsi="Times New Roman" w:cs="Times New Roman"/>
          <w:bCs/>
          <w:noProof/>
          <w:sz w:val="24"/>
          <w:szCs w:val="28"/>
          <w:lang w:val="sq-AL"/>
        </w:rPr>
        <w:t>e</w:t>
      </w:r>
      <w:r w:rsidRPr="00E94643">
        <w:rPr>
          <w:rFonts w:ascii="Times New Roman" w:eastAsia="Times New Roman" w:hAnsi="Times New Roman" w:cs="Times New Roman"/>
          <w:bCs/>
          <w:noProof/>
          <w:sz w:val="24"/>
          <w:szCs w:val="28"/>
          <w:lang w:val="sq-AL"/>
        </w:rPr>
        <w:t>n</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se t</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hyrat n</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valut</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n</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p</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rmjet huamarrjes s</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huaj jan</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t</w:t>
      </w:r>
      <w:r w:rsidR="00982338">
        <w:rPr>
          <w:rFonts w:ascii="Times New Roman" w:eastAsia="Times New Roman" w:hAnsi="Times New Roman" w:cs="Times New Roman"/>
          <w:bCs/>
          <w:noProof/>
          <w:sz w:val="24"/>
          <w:szCs w:val="28"/>
          <w:lang w:val="sq-AL"/>
        </w:rPr>
        <w:t>ë</w:t>
      </w:r>
      <w:r w:rsidRPr="00E94643">
        <w:rPr>
          <w:rFonts w:ascii="Times New Roman" w:eastAsia="Times New Roman" w:hAnsi="Times New Roman" w:cs="Times New Roman"/>
          <w:bCs/>
          <w:noProof/>
          <w:sz w:val="24"/>
          <w:szCs w:val="28"/>
          <w:lang w:val="sq-AL"/>
        </w:rPr>
        <w:t xml:space="preserve"> kufizuara.</w:t>
      </w:r>
    </w:p>
    <w:p w14:paraId="71DF5E66" w14:textId="77777777" w:rsidR="009053CD" w:rsidRDefault="009053CD" w:rsidP="00FC2173">
      <w:pPr>
        <w:numPr>
          <w:ilvl w:val="0"/>
          <w:numId w:val="15"/>
        </w:numPr>
        <w:tabs>
          <w:tab w:val="left" w:pos="2730"/>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Akumulon burimet e brendshme të financimit duke kufizuar kreditimin e sektorit privat.</w:t>
      </w:r>
    </w:p>
    <w:p w14:paraId="71DF5E67" w14:textId="77777777" w:rsidR="009053CD" w:rsidRPr="000F5C13" w:rsidRDefault="009053CD" w:rsidP="009053CD">
      <w:pPr>
        <w:tabs>
          <w:tab w:val="left" w:pos="2730"/>
        </w:tabs>
        <w:spacing w:after="0" w:line="276" w:lineRule="auto"/>
        <w:ind w:right="238"/>
        <w:jc w:val="both"/>
        <w:rPr>
          <w:rFonts w:ascii="Times New Roman" w:eastAsia="Times New Roman" w:hAnsi="Times New Roman" w:cs="Times New Roman"/>
          <w:bCs/>
          <w:noProof/>
          <w:sz w:val="24"/>
          <w:szCs w:val="28"/>
          <w:lang w:val="sq-AL"/>
        </w:rPr>
      </w:pPr>
    </w:p>
    <w:p w14:paraId="71DF5E68" w14:textId="77777777" w:rsidR="009053CD" w:rsidRPr="000F5C13" w:rsidRDefault="009053CD" w:rsidP="00FC2173">
      <w:pPr>
        <w:pStyle w:val="ListParagraph"/>
        <w:numPr>
          <w:ilvl w:val="1"/>
          <w:numId w:val="22"/>
        </w:numPr>
        <w:tabs>
          <w:tab w:val="left" w:pos="2730"/>
        </w:tabs>
        <w:spacing w:line="276" w:lineRule="auto"/>
        <w:ind w:left="709" w:right="237" w:hanging="709"/>
        <w:jc w:val="both"/>
        <w:rPr>
          <w:rFonts w:ascii="Cambria" w:eastAsia="Times New Roman" w:hAnsi="Cambria" w:cs="Times New Roman"/>
          <w:b/>
          <w:bCs/>
          <w:noProof/>
          <w:sz w:val="24"/>
          <w:szCs w:val="28"/>
          <w:lang w:val="sq-AL"/>
        </w:rPr>
      </w:pPr>
      <w:r w:rsidRPr="000F5C13">
        <w:rPr>
          <w:rFonts w:ascii="Cambria" w:eastAsia="Times New Roman" w:hAnsi="Cambria" w:cs="Times New Roman"/>
          <w:b/>
          <w:bCs/>
          <w:noProof/>
          <w:sz w:val="24"/>
          <w:szCs w:val="28"/>
          <w:lang w:val="sq-AL"/>
        </w:rPr>
        <w:t>Strategjia 3 (Alternative)</w:t>
      </w:r>
    </w:p>
    <w:p w14:paraId="71DF5E69" w14:textId="77777777" w:rsidR="009053CD" w:rsidRPr="001E6274" w:rsidRDefault="009053CD" w:rsidP="00FC2173">
      <w:pPr>
        <w:tabs>
          <w:tab w:val="left" w:pos="2730"/>
        </w:tabs>
        <w:spacing w:after="0" w:line="276" w:lineRule="auto"/>
        <w:ind w:right="238"/>
        <w:rPr>
          <w:rFonts w:ascii="Times New Roman" w:eastAsia="Times New Roman" w:hAnsi="Times New Roman" w:cs="Times New Roman"/>
          <w:bCs/>
          <w:noProof/>
          <w:sz w:val="24"/>
          <w:szCs w:val="28"/>
          <w:u w:val="single"/>
          <w:lang w:val="sq-AL"/>
        </w:rPr>
      </w:pPr>
      <w:r w:rsidRPr="001E6274">
        <w:rPr>
          <w:rFonts w:ascii="Times New Roman" w:eastAsia="Times New Roman" w:hAnsi="Times New Roman" w:cs="Times New Roman"/>
          <w:bCs/>
          <w:noProof/>
          <w:sz w:val="24"/>
          <w:szCs w:val="28"/>
          <w:u w:val="single"/>
          <w:lang w:val="sq-AL"/>
        </w:rPr>
        <w:t>Supozimet bazë</w:t>
      </w:r>
    </w:p>
    <w:p w14:paraId="71DF5E6A" w14:textId="77777777" w:rsidR="009053CD" w:rsidRPr="000F5C13" w:rsidRDefault="009053CD" w:rsidP="009053CD">
      <w:pPr>
        <w:tabs>
          <w:tab w:val="left" w:pos="2730"/>
        </w:tabs>
        <w:spacing w:after="0" w:line="276" w:lineRule="auto"/>
        <w:ind w:left="284" w:right="238"/>
        <w:rPr>
          <w:rFonts w:ascii="Cambria" w:eastAsia="Times New Roman" w:hAnsi="Cambria" w:cs="Times New Roman"/>
          <w:bCs/>
          <w:noProof/>
          <w:sz w:val="16"/>
          <w:szCs w:val="28"/>
          <w:u w:val="single"/>
          <w:lang w:val="sq-AL"/>
        </w:rPr>
      </w:pPr>
    </w:p>
    <w:p w14:paraId="71DF5E6B" w14:textId="77777777" w:rsidR="001970B9" w:rsidRPr="000F5C13" w:rsidRDefault="009053CD" w:rsidP="00FC2173">
      <w:pPr>
        <w:tabs>
          <w:tab w:val="left" w:pos="2730"/>
        </w:tabs>
        <w:spacing w:line="276" w:lineRule="auto"/>
        <w:ind w:right="237"/>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Kjo strategji supozon materializimin e risqeve sistemike në tregun e brendshëm</w:t>
      </w:r>
      <w:r w:rsidRPr="000F5C13">
        <w:rPr>
          <w:rStyle w:val="FootnoteReference"/>
          <w:rFonts w:ascii="Times New Roman" w:eastAsia="Times New Roman" w:hAnsi="Times New Roman" w:cs="Times New Roman"/>
          <w:bCs/>
          <w:noProof/>
          <w:sz w:val="24"/>
          <w:szCs w:val="28"/>
          <w:lang w:val="sq-AL"/>
        </w:rPr>
        <w:footnoteReference w:id="17"/>
      </w:r>
      <w:r w:rsidRPr="000F5C13">
        <w:rPr>
          <w:rFonts w:ascii="Times New Roman" w:eastAsia="Times New Roman" w:hAnsi="Times New Roman" w:cs="Times New Roman"/>
          <w:bCs/>
          <w:noProof/>
          <w:sz w:val="24"/>
          <w:szCs w:val="28"/>
          <w:lang w:val="sq-AL"/>
        </w:rPr>
        <w:t>, duke e ulur aftësinë e qeverisë për të marrë hua në tregun e brendshëm</w:t>
      </w:r>
      <w:r w:rsidR="00C77271">
        <w:rPr>
          <w:rFonts w:ascii="Times New Roman" w:eastAsia="Times New Roman" w:hAnsi="Times New Roman" w:cs="Times New Roman"/>
          <w:bCs/>
          <w:noProof/>
          <w:sz w:val="24"/>
          <w:szCs w:val="28"/>
          <w:lang w:val="sq-AL"/>
        </w:rPr>
        <w:t>, si edhe duke rritur kostot e huamarrjes s</w:t>
      </w:r>
      <w:r w:rsidR="00982338">
        <w:rPr>
          <w:rFonts w:ascii="Times New Roman" w:eastAsia="Times New Roman" w:hAnsi="Times New Roman" w:cs="Times New Roman"/>
          <w:bCs/>
          <w:noProof/>
          <w:sz w:val="24"/>
          <w:szCs w:val="28"/>
          <w:lang w:val="sq-AL"/>
        </w:rPr>
        <w:t>ë</w:t>
      </w:r>
      <w:r w:rsidR="00C77271">
        <w:rPr>
          <w:rFonts w:ascii="Times New Roman" w:eastAsia="Times New Roman" w:hAnsi="Times New Roman" w:cs="Times New Roman"/>
          <w:bCs/>
          <w:noProof/>
          <w:sz w:val="24"/>
          <w:szCs w:val="28"/>
          <w:lang w:val="sq-AL"/>
        </w:rPr>
        <w:t xml:space="preserve"> brendshme</w:t>
      </w:r>
      <w:r w:rsidRPr="000F5C13">
        <w:rPr>
          <w:rFonts w:ascii="Times New Roman" w:eastAsia="Times New Roman" w:hAnsi="Times New Roman" w:cs="Times New Roman"/>
          <w:bCs/>
          <w:noProof/>
          <w:sz w:val="24"/>
          <w:szCs w:val="28"/>
          <w:lang w:val="sq-AL"/>
        </w:rPr>
        <w:t>. Në këto kushte, në periudhën 20</w:t>
      </w:r>
      <w:r w:rsidR="00195F29">
        <w:rPr>
          <w:rFonts w:ascii="Times New Roman" w:eastAsia="Times New Roman" w:hAnsi="Times New Roman" w:cs="Times New Roman"/>
          <w:bCs/>
          <w:noProof/>
          <w:sz w:val="24"/>
          <w:szCs w:val="28"/>
          <w:lang w:val="sq-AL"/>
        </w:rPr>
        <w:t>20</w:t>
      </w:r>
      <w:r w:rsidRPr="000F5C13">
        <w:rPr>
          <w:rFonts w:ascii="Times New Roman" w:eastAsia="Times New Roman" w:hAnsi="Times New Roman" w:cs="Times New Roman"/>
          <w:bCs/>
          <w:noProof/>
          <w:sz w:val="24"/>
          <w:szCs w:val="28"/>
          <w:lang w:val="sq-AL"/>
        </w:rPr>
        <w:t>-202</w:t>
      </w:r>
      <w:r w:rsidR="00195F29">
        <w:rPr>
          <w:rFonts w:ascii="Times New Roman" w:eastAsia="Times New Roman" w:hAnsi="Times New Roman" w:cs="Times New Roman"/>
          <w:bCs/>
          <w:noProof/>
          <w:sz w:val="24"/>
          <w:szCs w:val="28"/>
          <w:lang w:val="sq-AL"/>
        </w:rPr>
        <w:t>2</w:t>
      </w:r>
      <w:r w:rsidRPr="000F5C13">
        <w:rPr>
          <w:rFonts w:ascii="Times New Roman" w:eastAsia="Times New Roman" w:hAnsi="Times New Roman" w:cs="Times New Roman"/>
          <w:bCs/>
          <w:noProof/>
          <w:sz w:val="24"/>
          <w:szCs w:val="28"/>
          <w:lang w:val="sq-AL"/>
        </w:rPr>
        <w:t xml:space="preserve"> financimi i huaj nëpërmjet burimeve me terma tregtare do të rritej, duke tejkaluar ndjeshëm kufijtë referencë.</w:t>
      </w:r>
    </w:p>
    <w:p w14:paraId="71DF5E6C" w14:textId="77777777" w:rsidR="009053CD" w:rsidRPr="001E6274" w:rsidRDefault="009053CD" w:rsidP="00FC2173">
      <w:pPr>
        <w:tabs>
          <w:tab w:val="left" w:pos="0"/>
          <w:tab w:val="left" w:pos="2730"/>
        </w:tabs>
        <w:spacing w:after="0" w:line="276" w:lineRule="auto"/>
        <w:ind w:right="238"/>
        <w:rPr>
          <w:rFonts w:ascii="Times New Roman" w:eastAsia="Times New Roman" w:hAnsi="Times New Roman" w:cs="Times New Roman"/>
          <w:bCs/>
          <w:noProof/>
          <w:sz w:val="24"/>
          <w:szCs w:val="28"/>
          <w:u w:val="single"/>
          <w:lang w:val="sq-AL"/>
        </w:rPr>
      </w:pPr>
      <w:r w:rsidRPr="001E6274">
        <w:rPr>
          <w:rFonts w:ascii="Times New Roman" w:eastAsia="Times New Roman" w:hAnsi="Times New Roman" w:cs="Times New Roman"/>
          <w:bCs/>
          <w:noProof/>
          <w:sz w:val="24"/>
          <w:szCs w:val="28"/>
          <w:u w:val="single"/>
          <w:lang w:val="sq-AL"/>
        </w:rPr>
        <w:t>Financimi</w:t>
      </w:r>
    </w:p>
    <w:p w14:paraId="71DF5E6D" w14:textId="77777777" w:rsidR="009053CD" w:rsidRPr="000F5C13" w:rsidRDefault="009053CD" w:rsidP="009053CD">
      <w:pPr>
        <w:tabs>
          <w:tab w:val="left" w:pos="2730"/>
        </w:tabs>
        <w:spacing w:after="0" w:line="276" w:lineRule="auto"/>
        <w:ind w:left="284" w:right="238"/>
        <w:rPr>
          <w:rFonts w:ascii="Cambria" w:eastAsia="Times New Roman" w:hAnsi="Cambria" w:cs="Times New Roman"/>
          <w:bCs/>
          <w:noProof/>
          <w:sz w:val="16"/>
          <w:szCs w:val="28"/>
          <w:u w:val="single"/>
          <w:lang w:val="sq-AL"/>
        </w:rPr>
      </w:pPr>
    </w:p>
    <w:p w14:paraId="71DF5E6E" w14:textId="77777777" w:rsidR="009053CD" w:rsidRPr="00FC2173" w:rsidRDefault="009053CD" w:rsidP="00FC2173">
      <w:pPr>
        <w:pStyle w:val="ListParagraph"/>
        <w:numPr>
          <w:ilvl w:val="0"/>
          <w:numId w:val="13"/>
        </w:numPr>
        <w:tabs>
          <w:tab w:val="left" w:pos="2730"/>
        </w:tabs>
        <w:spacing w:line="276" w:lineRule="auto"/>
        <w:ind w:left="284" w:right="237" w:hanging="284"/>
        <w:jc w:val="both"/>
        <w:rPr>
          <w:rFonts w:ascii="Times New Roman" w:eastAsia="Times New Roman" w:hAnsi="Times New Roman" w:cs="Times New Roman"/>
          <w:bCs/>
          <w:noProof/>
          <w:sz w:val="24"/>
          <w:szCs w:val="28"/>
          <w:lang w:val="sq-AL"/>
        </w:rPr>
      </w:pPr>
      <w:r w:rsidRPr="00FC2173">
        <w:rPr>
          <w:rFonts w:ascii="Times New Roman" w:eastAsia="Times New Roman" w:hAnsi="Times New Roman" w:cs="Times New Roman"/>
          <w:bCs/>
          <w:noProof/>
          <w:sz w:val="24"/>
          <w:szCs w:val="28"/>
          <w:lang w:val="sq-AL"/>
        </w:rPr>
        <w:t xml:space="preserve">Financimi nëpërmjet burimeve të brendshme do të mundësojë rifinancimin e pjesshëm të titujve ekzistues që maturohen duke krijuar një hendek financimi në tregun e brendshëm </w:t>
      </w:r>
      <w:r w:rsidRPr="00F45EE6">
        <w:rPr>
          <w:rFonts w:ascii="Times New Roman" w:eastAsia="Times New Roman" w:hAnsi="Times New Roman" w:cs="Times New Roman"/>
          <w:bCs/>
          <w:noProof/>
          <w:sz w:val="24"/>
          <w:szCs w:val="28"/>
          <w:lang w:val="sq-AL"/>
        </w:rPr>
        <w:t>nga 30 deri në 50 miliard Lekë.</w:t>
      </w:r>
    </w:p>
    <w:p w14:paraId="71DF5E6F" w14:textId="77777777" w:rsidR="009053CD" w:rsidRPr="000F5C13" w:rsidRDefault="009053CD" w:rsidP="009053CD">
      <w:pPr>
        <w:pStyle w:val="ListParagraph"/>
        <w:tabs>
          <w:tab w:val="left" w:pos="2730"/>
        </w:tabs>
        <w:spacing w:line="276" w:lineRule="auto"/>
        <w:ind w:left="567" w:right="237"/>
        <w:jc w:val="both"/>
        <w:rPr>
          <w:rFonts w:ascii="Times New Roman" w:eastAsia="Times New Roman" w:hAnsi="Times New Roman" w:cs="Times New Roman"/>
          <w:bCs/>
          <w:noProof/>
          <w:sz w:val="16"/>
          <w:szCs w:val="28"/>
          <w:lang w:val="sq-AL"/>
        </w:rPr>
      </w:pPr>
    </w:p>
    <w:p w14:paraId="71DF5E70" w14:textId="77777777" w:rsidR="009053CD" w:rsidRPr="000F5C13" w:rsidRDefault="009053CD" w:rsidP="00FC2173">
      <w:pPr>
        <w:pStyle w:val="ListParagraph"/>
        <w:numPr>
          <w:ilvl w:val="0"/>
          <w:numId w:val="13"/>
        </w:numPr>
        <w:tabs>
          <w:tab w:val="left" w:pos="2730"/>
        </w:tabs>
        <w:spacing w:line="276" w:lineRule="auto"/>
        <w:ind w:left="284" w:right="237"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Financimi i huaj, përveç burimeve të planifikuara që do të financojnë projektet dhe mbështesin reformat, do të plotësohet me emetimin e një ose më shumë instrumenteve fina</w:t>
      </w:r>
      <w:r w:rsidR="00C77271">
        <w:rPr>
          <w:rFonts w:ascii="Times New Roman" w:eastAsia="Times New Roman" w:hAnsi="Times New Roman" w:cs="Times New Roman"/>
          <w:bCs/>
          <w:noProof/>
          <w:sz w:val="24"/>
          <w:szCs w:val="28"/>
          <w:lang w:val="sq-AL"/>
        </w:rPr>
        <w:t>nciare në tregjet ndërkombëtare</w:t>
      </w:r>
      <w:r w:rsidRPr="000F5C13">
        <w:rPr>
          <w:rFonts w:ascii="Times New Roman" w:eastAsia="Times New Roman" w:hAnsi="Times New Roman" w:cs="Times New Roman"/>
          <w:bCs/>
          <w:noProof/>
          <w:sz w:val="24"/>
          <w:szCs w:val="28"/>
          <w:lang w:val="sq-AL"/>
        </w:rPr>
        <w:t xml:space="preserve"> për të mundësuar</w:t>
      </w:r>
      <w:r w:rsidR="00C77271">
        <w:rPr>
          <w:rFonts w:ascii="Times New Roman" w:eastAsia="Times New Roman" w:hAnsi="Times New Roman" w:cs="Times New Roman"/>
          <w:bCs/>
          <w:noProof/>
          <w:sz w:val="24"/>
          <w:szCs w:val="28"/>
          <w:lang w:val="sq-AL"/>
        </w:rPr>
        <w:t>:</w:t>
      </w:r>
      <w:r w:rsidRPr="000F5C13">
        <w:rPr>
          <w:rFonts w:ascii="Times New Roman" w:eastAsia="Times New Roman" w:hAnsi="Times New Roman" w:cs="Times New Roman"/>
          <w:bCs/>
          <w:noProof/>
          <w:sz w:val="24"/>
          <w:szCs w:val="28"/>
          <w:lang w:val="sq-AL"/>
        </w:rPr>
        <w:t xml:space="preserve"> </w:t>
      </w:r>
      <w:r w:rsidR="001E6274">
        <w:rPr>
          <w:rFonts w:ascii="Times New Roman" w:eastAsia="Times New Roman" w:hAnsi="Times New Roman" w:cs="Times New Roman"/>
          <w:bCs/>
          <w:noProof/>
          <w:sz w:val="24"/>
          <w:szCs w:val="28"/>
          <w:lang w:val="sq-AL"/>
        </w:rPr>
        <w:t xml:space="preserve">1) </w:t>
      </w:r>
      <w:r w:rsidRPr="000F5C13">
        <w:rPr>
          <w:rFonts w:ascii="Times New Roman" w:eastAsia="Times New Roman" w:hAnsi="Times New Roman" w:cs="Times New Roman"/>
          <w:bCs/>
          <w:noProof/>
          <w:sz w:val="24"/>
          <w:szCs w:val="28"/>
          <w:lang w:val="sq-AL"/>
        </w:rPr>
        <w:t>plotësimin e hendekut të krijuar në tregun e brendshëm</w:t>
      </w:r>
      <w:r w:rsidR="00C77271">
        <w:rPr>
          <w:rFonts w:ascii="Times New Roman" w:eastAsia="Times New Roman" w:hAnsi="Times New Roman" w:cs="Times New Roman"/>
          <w:bCs/>
          <w:noProof/>
          <w:sz w:val="24"/>
          <w:szCs w:val="28"/>
          <w:lang w:val="sq-AL"/>
        </w:rPr>
        <w:t>;</w:t>
      </w:r>
      <w:r w:rsidRPr="000F5C13">
        <w:rPr>
          <w:rFonts w:ascii="Times New Roman" w:eastAsia="Times New Roman" w:hAnsi="Times New Roman" w:cs="Times New Roman"/>
          <w:bCs/>
          <w:noProof/>
          <w:sz w:val="24"/>
          <w:szCs w:val="28"/>
          <w:lang w:val="sq-AL"/>
        </w:rPr>
        <w:t xml:space="preserve"> </w:t>
      </w:r>
      <w:r w:rsidR="001E6274">
        <w:rPr>
          <w:rFonts w:ascii="Times New Roman" w:eastAsia="Times New Roman" w:hAnsi="Times New Roman" w:cs="Times New Roman"/>
          <w:bCs/>
          <w:noProof/>
          <w:sz w:val="24"/>
          <w:szCs w:val="28"/>
          <w:lang w:val="sq-AL"/>
        </w:rPr>
        <w:t xml:space="preserve">2) </w:t>
      </w:r>
      <w:r w:rsidR="00B26FB1">
        <w:rPr>
          <w:rFonts w:ascii="Times New Roman" w:eastAsia="Times New Roman" w:hAnsi="Times New Roman" w:cs="Times New Roman"/>
          <w:bCs/>
          <w:noProof/>
          <w:sz w:val="24"/>
          <w:szCs w:val="28"/>
          <w:lang w:val="sq-AL"/>
        </w:rPr>
        <w:t>sh</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rbimin e detyrimeve t</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 xml:space="preserve"> borxhit n</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 xml:space="preserve"> valut</w:t>
      </w:r>
      <w:r w:rsidR="00982338">
        <w:rPr>
          <w:rFonts w:ascii="Times New Roman" w:eastAsia="Times New Roman" w:hAnsi="Times New Roman" w:cs="Times New Roman"/>
          <w:bCs/>
          <w:noProof/>
          <w:sz w:val="24"/>
          <w:szCs w:val="28"/>
          <w:lang w:val="sq-AL"/>
        </w:rPr>
        <w:t>ë</w:t>
      </w:r>
      <w:r w:rsidR="00C77271">
        <w:rPr>
          <w:rFonts w:ascii="Times New Roman" w:eastAsia="Times New Roman" w:hAnsi="Times New Roman" w:cs="Times New Roman"/>
          <w:bCs/>
          <w:noProof/>
          <w:sz w:val="24"/>
          <w:szCs w:val="28"/>
          <w:lang w:val="sq-AL"/>
        </w:rPr>
        <w:t>;</w:t>
      </w:r>
      <w:r w:rsidRPr="000F5C13">
        <w:rPr>
          <w:rFonts w:ascii="Times New Roman" w:eastAsia="Times New Roman" w:hAnsi="Times New Roman" w:cs="Times New Roman"/>
          <w:bCs/>
          <w:noProof/>
          <w:sz w:val="24"/>
          <w:szCs w:val="28"/>
          <w:lang w:val="sq-AL"/>
        </w:rPr>
        <w:t xml:space="preserve"> si edhe</w:t>
      </w:r>
      <w:r w:rsidR="001E6274">
        <w:rPr>
          <w:rFonts w:ascii="Times New Roman" w:eastAsia="Times New Roman" w:hAnsi="Times New Roman" w:cs="Times New Roman"/>
          <w:bCs/>
          <w:noProof/>
          <w:sz w:val="24"/>
          <w:szCs w:val="28"/>
          <w:lang w:val="sq-AL"/>
        </w:rPr>
        <w:t xml:space="preserve"> 3)</w:t>
      </w:r>
      <w:r w:rsidRPr="000F5C13">
        <w:rPr>
          <w:rFonts w:ascii="Times New Roman" w:eastAsia="Times New Roman" w:hAnsi="Times New Roman" w:cs="Times New Roman"/>
          <w:bCs/>
          <w:noProof/>
          <w:sz w:val="24"/>
          <w:szCs w:val="28"/>
          <w:lang w:val="sq-AL"/>
        </w:rPr>
        <w:t xml:space="preserve"> menaxhimin e nevojave për likuiditet në </w:t>
      </w:r>
      <w:r w:rsidR="00B26FB1">
        <w:rPr>
          <w:rFonts w:ascii="Times New Roman" w:eastAsia="Times New Roman" w:hAnsi="Times New Roman" w:cs="Times New Roman"/>
          <w:bCs/>
          <w:noProof/>
          <w:sz w:val="24"/>
          <w:szCs w:val="28"/>
          <w:lang w:val="sq-AL"/>
        </w:rPr>
        <w:t>periudh</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n afatmesme</w:t>
      </w:r>
      <w:r w:rsidRPr="000F5C13">
        <w:rPr>
          <w:rFonts w:ascii="Times New Roman" w:eastAsia="Times New Roman" w:hAnsi="Times New Roman" w:cs="Times New Roman"/>
          <w:bCs/>
          <w:noProof/>
          <w:sz w:val="24"/>
          <w:szCs w:val="28"/>
          <w:lang w:val="sq-AL"/>
        </w:rPr>
        <w:t>.</w:t>
      </w:r>
    </w:p>
    <w:p w14:paraId="71DF5E71" w14:textId="77777777" w:rsidR="009053CD" w:rsidRPr="001E6274" w:rsidRDefault="009053CD" w:rsidP="00FC2173">
      <w:pPr>
        <w:tabs>
          <w:tab w:val="left" w:pos="2730"/>
        </w:tabs>
        <w:spacing w:after="0" w:line="276" w:lineRule="auto"/>
        <w:ind w:right="238"/>
        <w:rPr>
          <w:rFonts w:ascii="Times New Roman" w:eastAsia="Times New Roman" w:hAnsi="Times New Roman" w:cs="Times New Roman"/>
          <w:bCs/>
          <w:noProof/>
          <w:sz w:val="24"/>
          <w:szCs w:val="28"/>
          <w:u w:val="single"/>
          <w:lang w:val="sq-AL"/>
        </w:rPr>
      </w:pPr>
      <w:r w:rsidRPr="001E6274">
        <w:rPr>
          <w:rFonts w:ascii="Times New Roman" w:eastAsia="Times New Roman" w:hAnsi="Times New Roman" w:cs="Times New Roman"/>
          <w:bCs/>
          <w:noProof/>
          <w:sz w:val="24"/>
          <w:szCs w:val="28"/>
          <w:u w:val="single"/>
          <w:lang w:val="sq-AL"/>
        </w:rPr>
        <w:t>Avantazhet</w:t>
      </w:r>
    </w:p>
    <w:p w14:paraId="71DF5E72" w14:textId="77777777" w:rsidR="009053CD" w:rsidRPr="000F5C13" w:rsidRDefault="009053CD" w:rsidP="00FC2173">
      <w:pPr>
        <w:tabs>
          <w:tab w:val="left" w:pos="2730"/>
        </w:tabs>
        <w:spacing w:after="0" w:line="276" w:lineRule="auto"/>
        <w:ind w:left="284" w:right="238" w:hanging="284"/>
        <w:rPr>
          <w:rFonts w:ascii="Cambria" w:eastAsia="Times New Roman" w:hAnsi="Cambria" w:cs="Times New Roman"/>
          <w:bCs/>
          <w:noProof/>
          <w:sz w:val="16"/>
          <w:szCs w:val="28"/>
          <w:u w:val="single"/>
          <w:lang w:val="sq-AL"/>
        </w:rPr>
      </w:pPr>
    </w:p>
    <w:p w14:paraId="71DF5E73" w14:textId="77777777" w:rsidR="009053CD" w:rsidRPr="000F5C13" w:rsidRDefault="009053CD"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 xml:space="preserve">Praktikisht, kjo është një strategji e imponuar nga kushtet e tregjeve dhe nuk ofron asnjë avantazh krahasuar me strategjitë e tjera. </w:t>
      </w:r>
    </w:p>
    <w:p w14:paraId="71DF5E74" w14:textId="77777777" w:rsidR="009053CD" w:rsidRDefault="009053CD" w:rsidP="009053CD">
      <w:pPr>
        <w:tabs>
          <w:tab w:val="left" w:pos="2730"/>
        </w:tabs>
        <w:spacing w:after="0" w:line="276" w:lineRule="auto"/>
        <w:ind w:left="760" w:right="238"/>
        <w:jc w:val="both"/>
        <w:rPr>
          <w:rFonts w:ascii="Times New Roman" w:eastAsia="Times New Roman" w:hAnsi="Times New Roman" w:cs="Times New Roman"/>
          <w:bCs/>
          <w:noProof/>
          <w:sz w:val="16"/>
          <w:szCs w:val="28"/>
          <w:lang w:val="sq-AL"/>
        </w:rPr>
      </w:pPr>
    </w:p>
    <w:p w14:paraId="71DF5E75" w14:textId="77777777" w:rsidR="001E6274" w:rsidRPr="000F5C13" w:rsidRDefault="001E6274" w:rsidP="009053CD">
      <w:pPr>
        <w:tabs>
          <w:tab w:val="left" w:pos="2730"/>
        </w:tabs>
        <w:spacing w:after="0" w:line="276" w:lineRule="auto"/>
        <w:ind w:left="760" w:right="238"/>
        <w:jc w:val="both"/>
        <w:rPr>
          <w:rFonts w:ascii="Times New Roman" w:eastAsia="Times New Roman" w:hAnsi="Times New Roman" w:cs="Times New Roman"/>
          <w:bCs/>
          <w:noProof/>
          <w:sz w:val="16"/>
          <w:szCs w:val="28"/>
          <w:lang w:val="sq-AL"/>
        </w:rPr>
      </w:pPr>
    </w:p>
    <w:p w14:paraId="71DF5E76" w14:textId="77777777" w:rsidR="009053CD" w:rsidRPr="000F5C13" w:rsidRDefault="00082F78" w:rsidP="009053CD">
      <w:pPr>
        <w:tabs>
          <w:tab w:val="left" w:pos="2730"/>
        </w:tabs>
        <w:spacing w:after="0" w:line="276" w:lineRule="auto"/>
        <w:ind w:left="284" w:right="238"/>
        <w:rPr>
          <w:rFonts w:ascii="Cambria" w:eastAsia="Times New Roman" w:hAnsi="Cambria" w:cs="Times New Roman"/>
          <w:bCs/>
          <w:noProof/>
          <w:sz w:val="24"/>
          <w:szCs w:val="28"/>
          <w:u w:val="single"/>
          <w:lang w:val="sq-AL"/>
        </w:rPr>
      </w:pPr>
      <w:r>
        <w:rPr>
          <w:rFonts w:ascii="Cambria" w:eastAsia="Times New Roman" w:hAnsi="Cambria" w:cs="Times New Roman"/>
          <w:bCs/>
          <w:noProof/>
          <w:sz w:val="24"/>
          <w:szCs w:val="28"/>
          <w:u w:val="single"/>
          <w:lang w:val="sq-AL"/>
        </w:rPr>
        <w:lastRenderedPageBreak/>
        <w:t>Risqet</w:t>
      </w:r>
    </w:p>
    <w:p w14:paraId="71DF5E77" w14:textId="77777777" w:rsidR="009053CD" w:rsidRPr="000F5C13" w:rsidRDefault="009053CD" w:rsidP="009053CD">
      <w:pPr>
        <w:tabs>
          <w:tab w:val="left" w:pos="2730"/>
        </w:tabs>
        <w:spacing w:after="0" w:line="276" w:lineRule="auto"/>
        <w:ind w:left="284" w:right="238"/>
        <w:rPr>
          <w:rFonts w:ascii="Cambria" w:eastAsia="Times New Roman" w:hAnsi="Cambria" w:cs="Times New Roman"/>
          <w:bCs/>
          <w:noProof/>
          <w:sz w:val="16"/>
          <w:szCs w:val="28"/>
          <w:u w:val="single"/>
          <w:lang w:val="sq-AL"/>
        </w:rPr>
      </w:pPr>
    </w:p>
    <w:p w14:paraId="71DF5E78" w14:textId="77777777" w:rsidR="00B26FB1" w:rsidRPr="00B26FB1" w:rsidRDefault="00B26FB1"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 xml:space="preserve">Ka kosto relativisht të larta të imponuara nga kufizimi i kërkesës në tregun e brendshëm, si edhe </w:t>
      </w:r>
      <w:r w:rsidR="00C2521D">
        <w:rPr>
          <w:rFonts w:ascii="Times New Roman" w:eastAsia="Times New Roman" w:hAnsi="Times New Roman" w:cs="Times New Roman"/>
          <w:bCs/>
          <w:noProof/>
          <w:sz w:val="24"/>
          <w:szCs w:val="28"/>
          <w:lang w:val="sq-AL"/>
        </w:rPr>
        <w:t xml:space="preserve">nga </w:t>
      </w:r>
      <w:r w:rsidRPr="000F5C13">
        <w:rPr>
          <w:rFonts w:ascii="Times New Roman" w:eastAsia="Times New Roman" w:hAnsi="Times New Roman" w:cs="Times New Roman"/>
          <w:bCs/>
          <w:noProof/>
          <w:sz w:val="24"/>
          <w:szCs w:val="28"/>
          <w:lang w:val="sq-AL"/>
        </w:rPr>
        <w:t xml:space="preserve">primet e riskut </w:t>
      </w:r>
      <w:r>
        <w:rPr>
          <w:rFonts w:ascii="Times New Roman" w:eastAsia="Times New Roman" w:hAnsi="Times New Roman" w:cs="Times New Roman"/>
          <w:bCs/>
          <w:noProof/>
          <w:sz w:val="24"/>
          <w:szCs w:val="28"/>
          <w:lang w:val="sq-AL"/>
        </w:rPr>
        <w:t>q</w:t>
      </w:r>
      <w:r w:rsidR="00982338">
        <w:rPr>
          <w:rFonts w:ascii="Times New Roman" w:eastAsia="Times New Roman" w:hAnsi="Times New Roman" w:cs="Times New Roman"/>
          <w:bCs/>
          <w:noProof/>
          <w:sz w:val="24"/>
          <w:szCs w:val="28"/>
          <w:lang w:val="sq-AL"/>
        </w:rPr>
        <w:t>ë</w:t>
      </w:r>
      <w:r>
        <w:rPr>
          <w:rFonts w:ascii="Times New Roman" w:eastAsia="Times New Roman" w:hAnsi="Times New Roman" w:cs="Times New Roman"/>
          <w:bCs/>
          <w:noProof/>
          <w:sz w:val="24"/>
          <w:szCs w:val="28"/>
          <w:lang w:val="sq-AL"/>
        </w:rPr>
        <w:t xml:space="preserve"> mund </w:t>
      </w:r>
      <w:r w:rsidRPr="000F5C13">
        <w:rPr>
          <w:rFonts w:ascii="Times New Roman" w:eastAsia="Times New Roman" w:hAnsi="Times New Roman" w:cs="Times New Roman"/>
          <w:bCs/>
          <w:noProof/>
          <w:sz w:val="24"/>
          <w:szCs w:val="28"/>
          <w:lang w:val="sq-AL"/>
        </w:rPr>
        <w:t xml:space="preserve">të </w:t>
      </w:r>
      <w:r>
        <w:rPr>
          <w:rFonts w:ascii="Times New Roman" w:eastAsia="Times New Roman" w:hAnsi="Times New Roman" w:cs="Times New Roman"/>
          <w:bCs/>
          <w:noProof/>
          <w:sz w:val="24"/>
          <w:szCs w:val="28"/>
          <w:lang w:val="sq-AL"/>
        </w:rPr>
        <w:t xml:space="preserve">perceptohen </w:t>
      </w:r>
      <w:r w:rsidRPr="000F5C13">
        <w:rPr>
          <w:rFonts w:ascii="Times New Roman" w:eastAsia="Times New Roman" w:hAnsi="Times New Roman" w:cs="Times New Roman"/>
          <w:bCs/>
          <w:noProof/>
          <w:sz w:val="24"/>
          <w:szCs w:val="28"/>
          <w:lang w:val="sq-AL"/>
        </w:rPr>
        <w:t>nga investitorët e huaj.</w:t>
      </w:r>
    </w:p>
    <w:p w14:paraId="71DF5E79" w14:textId="77777777" w:rsidR="009053CD" w:rsidRPr="000F5C13" w:rsidRDefault="009053CD"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Rrit ndjeshëm varësinë e financimit nga tregjet e huaja, si edhe rrit ekspozimin ndaj riskut të rifinancimit dhe riskut të normave të interesit në portofolin e borxhit të huaj</w:t>
      </w:r>
      <w:r>
        <w:rPr>
          <w:rFonts w:ascii="Times New Roman" w:eastAsia="Times New Roman" w:hAnsi="Times New Roman" w:cs="Times New Roman"/>
          <w:bCs/>
          <w:noProof/>
          <w:sz w:val="24"/>
          <w:szCs w:val="28"/>
          <w:lang w:val="sq-AL"/>
        </w:rPr>
        <w:t>.</w:t>
      </w:r>
    </w:p>
    <w:p w14:paraId="71DF5E7A" w14:textId="77777777" w:rsidR="009053CD" w:rsidRPr="000F5C13" w:rsidRDefault="009053CD"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Pr>
          <w:rFonts w:ascii="Times New Roman" w:eastAsia="Times New Roman" w:hAnsi="Times New Roman" w:cs="Times New Roman"/>
          <w:bCs/>
          <w:noProof/>
          <w:sz w:val="24"/>
          <w:szCs w:val="28"/>
          <w:lang w:val="sq-AL"/>
        </w:rPr>
        <w:t>Ul af</w:t>
      </w:r>
      <w:r w:rsidRPr="000F5C13">
        <w:rPr>
          <w:rFonts w:ascii="Times New Roman" w:eastAsia="Times New Roman" w:hAnsi="Times New Roman" w:cs="Times New Roman"/>
          <w:bCs/>
          <w:noProof/>
          <w:sz w:val="24"/>
          <w:szCs w:val="28"/>
          <w:lang w:val="sq-AL"/>
        </w:rPr>
        <w:t>tësinë për të vijuar me procesin e ristrukturimit të portofolit të borxhit të brendshëm dhe realizimin e objektivave strategjikë në kuadër të reduktimit të riskut të rifinancimit dhe riskut të normave të interesit.</w:t>
      </w:r>
    </w:p>
    <w:p w14:paraId="71DF5E7B" w14:textId="77777777" w:rsidR="00B26FB1" w:rsidRPr="00B26FB1" w:rsidRDefault="009053CD" w:rsidP="00FC2173">
      <w:pPr>
        <w:numPr>
          <w:ilvl w:val="0"/>
          <w:numId w:val="15"/>
        </w:numPr>
        <w:tabs>
          <w:tab w:val="left" w:pos="2730"/>
          <w:tab w:val="left" w:pos="8789"/>
        </w:tabs>
        <w:spacing w:after="0" w:line="276" w:lineRule="auto"/>
        <w:ind w:left="284" w:right="238" w:hanging="284"/>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Rrit nivelin e borxhit në valutë dhe ekspozimin nd</w:t>
      </w:r>
      <w:r w:rsidR="00082F78">
        <w:rPr>
          <w:rFonts w:ascii="Times New Roman" w:eastAsia="Times New Roman" w:hAnsi="Times New Roman" w:cs="Times New Roman"/>
          <w:bCs/>
          <w:noProof/>
          <w:sz w:val="24"/>
          <w:szCs w:val="28"/>
          <w:lang w:val="sq-AL"/>
        </w:rPr>
        <w:t>aj riskut të kursit të këmb</w:t>
      </w:r>
      <w:r w:rsidR="00B26FB1">
        <w:rPr>
          <w:rFonts w:ascii="Times New Roman" w:eastAsia="Times New Roman" w:hAnsi="Times New Roman" w:cs="Times New Roman"/>
          <w:bCs/>
          <w:noProof/>
          <w:sz w:val="24"/>
          <w:szCs w:val="28"/>
          <w:lang w:val="sq-AL"/>
        </w:rPr>
        <w:t>imit p</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rtej kufijve strategjik</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 xml:space="preserve"> duke rrezikuar q</w:t>
      </w:r>
      <w:r w:rsidR="00D518DD">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ndrueshm</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rin</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 xml:space="preserve"> e borxhit publik n</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 xml:space="preserve"> periudh</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n afatgjat</w:t>
      </w:r>
      <w:r w:rsidR="00982338">
        <w:rPr>
          <w:rFonts w:ascii="Times New Roman" w:eastAsia="Times New Roman" w:hAnsi="Times New Roman" w:cs="Times New Roman"/>
          <w:bCs/>
          <w:noProof/>
          <w:sz w:val="24"/>
          <w:szCs w:val="28"/>
          <w:lang w:val="sq-AL"/>
        </w:rPr>
        <w:t>ë</w:t>
      </w:r>
      <w:r w:rsidR="00B26FB1">
        <w:rPr>
          <w:rFonts w:ascii="Times New Roman" w:eastAsia="Times New Roman" w:hAnsi="Times New Roman" w:cs="Times New Roman"/>
          <w:bCs/>
          <w:noProof/>
          <w:sz w:val="24"/>
          <w:szCs w:val="28"/>
          <w:lang w:val="sq-AL"/>
        </w:rPr>
        <w:t>.</w:t>
      </w:r>
    </w:p>
    <w:p w14:paraId="71DF5E7C" w14:textId="77777777" w:rsidR="00E57778" w:rsidRPr="000F5C13" w:rsidRDefault="00E57778" w:rsidP="00E57778">
      <w:pPr>
        <w:spacing w:after="0" w:line="240" w:lineRule="auto"/>
        <w:ind w:left="2835" w:right="238" w:hanging="2551"/>
        <w:contextualSpacing/>
        <w:rPr>
          <w:rFonts w:eastAsia="Batang"/>
          <w:noProof/>
          <w:lang w:val="sq-AL"/>
        </w:rPr>
      </w:pPr>
    </w:p>
    <w:p w14:paraId="71DF5E7D" w14:textId="77777777" w:rsidR="00E57778" w:rsidRPr="000F5C13" w:rsidRDefault="00E57778" w:rsidP="00E57778">
      <w:pPr>
        <w:spacing w:after="0" w:line="240" w:lineRule="auto"/>
        <w:ind w:left="2835" w:right="238" w:hanging="2551"/>
        <w:contextualSpacing/>
        <w:rPr>
          <w:rFonts w:eastAsia="Batang"/>
          <w:noProof/>
          <w:lang w:val="sq-AL"/>
        </w:rPr>
      </w:pPr>
    </w:p>
    <w:p w14:paraId="71DF5E7E" w14:textId="77777777" w:rsidR="00E57778" w:rsidRPr="000F5C13" w:rsidRDefault="00E57778" w:rsidP="00E57778">
      <w:pPr>
        <w:spacing w:after="0" w:line="240" w:lineRule="auto"/>
        <w:ind w:left="2835" w:right="238" w:hanging="2551"/>
        <w:contextualSpacing/>
        <w:rPr>
          <w:rFonts w:eastAsia="Batang"/>
          <w:noProof/>
          <w:lang w:val="sq-AL"/>
        </w:rPr>
      </w:pPr>
    </w:p>
    <w:p w14:paraId="71DF5E7F" w14:textId="77777777" w:rsidR="00E57778" w:rsidRPr="000F5C13" w:rsidRDefault="00E57778" w:rsidP="00E57778">
      <w:pPr>
        <w:spacing w:after="0" w:line="240" w:lineRule="auto"/>
        <w:ind w:left="2835" w:right="238" w:hanging="2551"/>
        <w:contextualSpacing/>
        <w:rPr>
          <w:rFonts w:eastAsia="Batang"/>
          <w:noProof/>
          <w:lang w:val="sq-AL"/>
        </w:rPr>
      </w:pPr>
    </w:p>
    <w:p w14:paraId="71DF5E80" w14:textId="77777777" w:rsidR="00E57778" w:rsidRPr="000F5C13" w:rsidRDefault="00E57778" w:rsidP="00E57778">
      <w:pPr>
        <w:spacing w:after="0" w:line="240" w:lineRule="auto"/>
        <w:ind w:left="2835" w:right="238" w:hanging="2551"/>
        <w:contextualSpacing/>
        <w:rPr>
          <w:rFonts w:eastAsia="Batang"/>
          <w:noProof/>
          <w:lang w:val="sq-AL"/>
        </w:rPr>
      </w:pPr>
    </w:p>
    <w:p w14:paraId="71DF5E81" w14:textId="77777777" w:rsidR="00E57778" w:rsidRPr="000F5C13" w:rsidRDefault="00E57778" w:rsidP="00E57778">
      <w:pPr>
        <w:spacing w:after="0" w:line="240" w:lineRule="auto"/>
        <w:ind w:left="2835" w:right="238" w:hanging="2551"/>
        <w:contextualSpacing/>
        <w:rPr>
          <w:rFonts w:eastAsia="Batang"/>
          <w:noProof/>
          <w:lang w:val="sq-AL"/>
        </w:rPr>
      </w:pPr>
    </w:p>
    <w:p w14:paraId="71DF5E82" w14:textId="77777777" w:rsidR="00E57778" w:rsidRPr="000F5C13" w:rsidRDefault="00E57778" w:rsidP="00E57778">
      <w:pPr>
        <w:spacing w:after="0" w:line="240" w:lineRule="auto"/>
        <w:ind w:left="2835" w:right="238" w:hanging="2551"/>
        <w:contextualSpacing/>
        <w:rPr>
          <w:rFonts w:eastAsia="Batang"/>
          <w:noProof/>
          <w:lang w:val="sq-AL"/>
        </w:rPr>
      </w:pPr>
    </w:p>
    <w:p w14:paraId="71DF5E83" w14:textId="77777777" w:rsidR="00E57778" w:rsidRPr="000F5C13" w:rsidRDefault="00E57778" w:rsidP="00E57778">
      <w:pPr>
        <w:spacing w:after="0" w:line="240" w:lineRule="auto"/>
        <w:ind w:left="2835" w:right="238" w:hanging="2551"/>
        <w:contextualSpacing/>
        <w:rPr>
          <w:rFonts w:eastAsia="Batang"/>
          <w:noProof/>
          <w:lang w:val="sq-AL"/>
        </w:rPr>
      </w:pPr>
    </w:p>
    <w:p w14:paraId="71DF5E84" w14:textId="77777777" w:rsidR="00E57778" w:rsidRPr="000F5C13" w:rsidRDefault="00E57778" w:rsidP="00E57778">
      <w:pPr>
        <w:spacing w:after="0" w:line="240" w:lineRule="auto"/>
        <w:ind w:left="2835" w:right="238" w:hanging="2551"/>
        <w:contextualSpacing/>
        <w:rPr>
          <w:rFonts w:eastAsia="Batang"/>
          <w:noProof/>
          <w:lang w:val="sq-AL"/>
        </w:rPr>
      </w:pPr>
    </w:p>
    <w:p w14:paraId="71DF5E85" w14:textId="77777777" w:rsidR="00E57778" w:rsidRPr="000F5C13" w:rsidRDefault="00E57778" w:rsidP="00E57778">
      <w:pPr>
        <w:spacing w:after="0" w:line="240" w:lineRule="auto"/>
        <w:ind w:left="2835" w:right="238" w:hanging="2551"/>
        <w:contextualSpacing/>
        <w:rPr>
          <w:rFonts w:eastAsia="Batang"/>
          <w:noProof/>
          <w:lang w:val="sq-AL"/>
        </w:rPr>
      </w:pPr>
    </w:p>
    <w:p w14:paraId="71DF5E86" w14:textId="77777777" w:rsidR="00E57778" w:rsidRPr="000F5C13" w:rsidRDefault="00E57778" w:rsidP="00E57778">
      <w:pPr>
        <w:spacing w:after="0" w:line="240" w:lineRule="auto"/>
        <w:ind w:left="2835" w:right="238" w:hanging="2551"/>
        <w:contextualSpacing/>
        <w:rPr>
          <w:rFonts w:eastAsia="Batang"/>
          <w:noProof/>
          <w:lang w:val="sq-AL"/>
        </w:rPr>
      </w:pPr>
    </w:p>
    <w:p w14:paraId="71DF5E87" w14:textId="77777777" w:rsidR="00E57778" w:rsidRDefault="00E57778" w:rsidP="00E57778">
      <w:pPr>
        <w:spacing w:after="0" w:line="240" w:lineRule="auto"/>
        <w:ind w:left="2835" w:right="238" w:hanging="2551"/>
        <w:contextualSpacing/>
        <w:rPr>
          <w:rFonts w:eastAsia="Batang"/>
          <w:noProof/>
          <w:lang w:val="sq-AL"/>
        </w:rPr>
      </w:pPr>
    </w:p>
    <w:p w14:paraId="71DF5E88" w14:textId="77777777" w:rsidR="00AB79A5" w:rsidRDefault="00AB79A5" w:rsidP="00E57778">
      <w:pPr>
        <w:spacing w:after="0" w:line="240" w:lineRule="auto"/>
        <w:ind w:left="2835" w:right="238" w:hanging="2551"/>
        <w:contextualSpacing/>
        <w:rPr>
          <w:rFonts w:eastAsia="Batang"/>
          <w:noProof/>
          <w:lang w:val="sq-AL"/>
        </w:rPr>
      </w:pPr>
    </w:p>
    <w:p w14:paraId="71DF5E89" w14:textId="77777777" w:rsidR="00AB79A5" w:rsidRDefault="00AB79A5" w:rsidP="00E57778">
      <w:pPr>
        <w:spacing w:after="0" w:line="240" w:lineRule="auto"/>
        <w:ind w:left="2835" w:right="238" w:hanging="2551"/>
        <w:contextualSpacing/>
        <w:rPr>
          <w:rFonts w:eastAsia="Batang"/>
          <w:noProof/>
          <w:lang w:val="sq-AL"/>
        </w:rPr>
      </w:pPr>
    </w:p>
    <w:p w14:paraId="71DF5E8A" w14:textId="77777777" w:rsidR="00AB79A5" w:rsidRDefault="00AB79A5" w:rsidP="00E57778">
      <w:pPr>
        <w:spacing w:after="0" w:line="240" w:lineRule="auto"/>
        <w:ind w:left="2835" w:right="238" w:hanging="2551"/>
        <w:contextualSpacing/>
        <w:rPr>
          <w:rFonts w:eastAsia="Batang"/>
          <w:noProof/>
          <w:lang w:val="sq-AL"/>
        </w:rPr>
      </w:pPr>
    </w:p>
    <w:p w14:paraId="71DF5E8B" w14:textId="77777777" w:rsidR="00AB79A5" w:rsidRDefault="00AB79A5" w:rsidP="00E57778">
      <w:pPr>
        <w:spacing w:after="0" w:line="240" w:lineRule="auto"/>
        <w:ind w:left="2835" w:right="238" w:hanging="2551"/>
        <w:contextualSpacing/>
        <w:rPr>
          <w:rFonts w:eastAsia="Batang"/>
          <w:noProof/>
          <w:lang w:val="sq-AL"/>
        </w:rPr>
      </w:pPr>
    </w:p>
    <w:p w14:paraId="71DF5E8C" w14:textId="77777777" w:rsidR="00AB79A5" w:rsidRDefault="00AB79A5" w:rsidP="00E57778">
      <w:pPr>
        <w:spacing w:after="0" w:line="240" w:lineRule="auto"/>
        <w:ind w:left="2835" w:right="238" w:hanging="2551"/>
        <w:contextualSpacing/>
        <w:rPr>
          <w:rFonts w:eastAsia="Batang"/>
          <w:noProof/>
          <w:lang w:val="sq-AL"/>
        </w:rPr>
      </w:pPr>
    </w:p>
    <w:p w14:paraId="71DF5E8D" w14:textId="77777777" w:rsidR="00AB79A5" w:rsidRDefault="00AB79A5" w:rsidP="00E57778">
      <w:pPr>
        <w:spacing w:after="0" w:line="240" w:lineRule="auto"/>
        <w:ind w:left="2835" w:right="238" w:hanging="2551"/>
        <w:contextualSpacing/>
        <w:rPr>
          <w:rFonts w:eastAsia="Batang"/>
          <w:noProof/>
          <w:lang w:val="sq-AL"/>
        </w:rPr>
      </w:pPr>
    </w:p>
    <w:p w14:paraId="71DF5E8E" w14:textId="77777777" w:rsidR="00AB79A5" w:rsidRDefault="00AB79A5" w:rsidP="00E57778">
      <w:pPr>
        <w:spacing w:after="0" w:line="240" w:lineRule="auto"/>
        <w:ind w:left="2835" w:right="238" w:hanging="2551"/>
        <w:contextualSpacing/>
        <w:rPr>
          <w:rFonts w:eastAsia="Batang"/>
          <w:noProof/>
          <w:lang w:val="sq-AL"/>
        </w:rPr>
      </w:pPr>
    </w:p>
    <w:p w14:paraId="71DF5E8F" w14:textId="77777777" w:rsidR="00AB79A5" w:rsidRDefault="00AB79A5" w:rsidP="00E57778">
      <w:pPr>
        <w:spacing w:after="0" w:line="240" w:lineRule="auto"/>
        <w:ind w:left="2835" w:right="238" w:hanging="2551"/>
        <w:contextualSpacing/>
        <w:rPr>
          <w:rFonts w:eastAsia="Batang"/>
          <w:noProof/>
          <w:lang w:val="sq-AL"/>
        </w:rPr>
      </w:pPr>
    </w:p>
    <w:p w14:paraId="71DF5E90" w14:textId="77777777" w:rsidR="00AB79A5" w:rsidRDefault="00AB79A5" w:rsidP="00E57778">
      <w:pPr>
        <w:spacing w:after="0" w:line="240" w:lineRule="auto"/>
        <w:ind w:left="2835" w:right="238" w:hanging="2551"/>
        <w:contextualSpacing/>
        <w:rPr>
          <w:rFonts w:eastAsia="Batang"/>
          <w:noProof/>
          <w:lang w:val="sq-AL"/>
        </w:rPr>
      </w:pPr>
    </w:p>
    <w:p w14:paraId="71DF5E91" w14:textId="77777777" w:rsidR="00AB79A5" w:rsidRDefault="00AB79A5" w:rsidP="00E57778">
      <w:pPr>
        <w:spacing w:after="0" w:line="240" w:lineRule="auto"/>
        <w:ind w:left="2835" w:right="238" w:hanging="2551"/>
        <w:contextualSpacing/>
        <w:rPr>
          <w:rFonts w:eastAsia="Batang"/>
          <w:noProof/>
          <w:lang w:val="sq-AL"/>
        </w:rPr>
      </w:pPr>
    </w:p>
    <w:p w14:paraId="71DF5E92" w14:textId="77777777" w:rsidR="00AB79A5" w:rsidRDefault="00AB79A5" w:rsidP="00E57778">
      <w:pPr>
        <w:spacing w:after="0" w:line="240" w:lineRule="auto"/>
        <w:ind w:left="2835" w:right="238" w:hanging="2551"/>
        <w:contextualSpacing/>
        <w:rPr>
          <w:rFonts w:eastAsia="Batang"/>
          <w:noProof/>
          <w:lang w:val="sq-AL"/>
        </w:rPr>
      </w:pPr>
    </w:p>
    <w:p w14:paraId="71DF5E93" w14:textId="77777777" w:rsidR="00AB79A5" w:rsidRDefault="00AB79A5" w:rsidP="00E57778">
      <w:pPr>
        <w:spacing w:after="0" w:line="240" w:lineRule="auto"/>
        <w:ind w:left="2835" w:right="238" w:hanging="2551"/>
        <w:contextualSpacing/>
        <w:rPr>
          <w:rFonts w:eastAsia="Batang"/>
          <w:noProof/>
          <w:lang w:val="sq-AL"/>
        </w:rPr>
      </w:pPr>
    </w:p>
    <w:p w14:paraId="71DF5E94" w14:textId="77777777" w:rsidR="00AB79A5" w:rsidRDefault="00AB79A5" w:rsidP="00E57778">
      <w:pPr>
        <w:spacing w:after="0" w:line="240" w:lineRule="auto"/>
        <w:ind w:left="2835" w:right="238" w:hanging="2551"/>
        <w:contextualSpacing/>
        <w:rPr>
          <w:rFonts w:eastAsia="Batang"/>
          <w:noProof/>
          <w:lang w:val="sq-AL"/>
        </w:rPr>
      </w:pPr>
    </w:p>
    <w:p w14:paraId="71DF5E95" w14:textId="77777777" w:rsidR="00AB79A5" w:rsidRDefault="00AB79A5" w:rsidP="00E57778">
      <w:pPr>
        <w:spacing w:after="0" w:line="240" w:lineRule="auto"/>
        <w:ind w:left="2835" w:right="238" w:hanging="2551"/>
        <w:contextualSpacing/>
        <w:rPr>
          <w:rFonts w:eastAsia="Batang"/>
          <w:noProof/>
          <w:lang w:val="sq-AL"/>
        </w:rPr>
      </w:pPr>
    </w:p>
    <w:p w14:paraId="71DF5E96" w14:textId="77777777" w:rsidR="00AB79A5" w:rsidRDefault="00AB79A5" w:rsidP="00E57778">
      <w:pPr>
        <w:spacing w:after="0" w:line="240" w:lineRule="auto"/>
        <w:ind w:left="2835" w:right="238" w:hanging="2551"/>
        <w:contextualSpacing/>
        <w:rPr>
          <w:rFonts w:eastAsia="Batang"/>
          <w:noProof/>
          <w:lang w:val="sq-AL"/>
        </w:rPr>
      </w:pPr>
    </w:p>
    <w:p w14:paraId="71DF5E97" w14:textId="77777777" w:rsidR="00AB79A5" w:rsidRDefault="00AB79A5" w:rsidP="00E57778">
      <w:pPr>
        <w:spacing w:after="0" w:line="240" w:lineRule="auto"/>
        <w:ind w:left="2835" w:right="238" w:hanging="2551"/>
        <w:contextualSpacing/>
        <w:rPr>
          <w:rFonts w:eastAsia="Batang"/>
          <w:noProof/>
          <w:lang w:val="sq-AL"/>
        </w:rPr>
      </w:pPr>
    </w:p>
    <w:p w14:paraId="71DF5E98" w14:textId="77777777" w:rsidR="00AB79A5" w:rsidRPr="000F5C13" w:rsidRDefault="00AB79A5" w:rsidP="00E57778">
      <w:pPr>
        <w:spacing w:after="0" w:line="240" w:lineRule="auto"/>
        <w:ind w:left="2835" w:right="238" w:hanging="2551"/>
        <w:contextualSpacing/>
        <w:rPr>
          <w:rFonts w:eastAsia="Batang"/>
          <w:noProof/>
          <w:lang w:val="sq-AL"/>
        </w:rPr>
      </w:pPr>
    </w:p>
    <w:p w14:paraId="71DF5E99" w14:textId="77777777" w:rsidR="00E57778" w:rsidRPr="000F5C13" w:rsidRDefault="00E57778" w:rsidP="00E57778">
      <w:pPr>
        <w:spacing w:after="0" w:line="240" w:lineRule="auto"/>
        <w:ind w:left="2835" w:right="238" w:hanging="2551"/>
        <w:contextualSpacing/>
        <w:rPr>
          <w:rFonts w:eastAsia="Batang"/>
          <w:noProof/>
          <w:lang w:val="sq-AL"/>
        </w:rPr>
      </w:pPr>
    </w:p>
    <w:p w14:paraId="71DF5E9A" w14:textId="77777777" w:rsidR="00E57778" w:rsidRDefault="00E57778" w:rsidP="00E57778">
      <w:pPr>
        <w:spacing w:after="0" w:line="240" w:lineRule="auto"/>
        <w:ind w:left="2835" w:right="238" w:hanging="2551"/>
        <w:contextualSpacing/>
        <w:rPr>
          <w:rFonts w:eastAsia="Batang"/>
          <w:noProof/>
          <w:lang w:val="sq-AL"/>
        </w:rPr>
      </w:pPr>
    </w:p>
    <w:p w14:paraId="71DF5E9B" w14:textId="77777777" w:rsidR="00F45EE6" w:rsidRDefault="00F45EE6" w:rsidP="00E57778">
      <w:pPr>
        <w:spacing w:after="0" w:line="240" w:lineRule="auto"/>
        <w:ind w:left="2835" w:right="238" w:hanging="2551"/>
        <w:contextualSpacing/>
        <w:rPr>
          <w:rFonts w:eastAsia="Batang"/>
          <w:noProof/>
          <w:lang w:val="sq-AL"/>
        </w:rPr>
      </w:pPr>
    </w:p>
    <w:p w14:paraId="71DF5E9C" w14:textId="77777777" w:rsidR="0066460A" w:rsidRDefault="0066460A" w:rsidP="00E57778">
      <w:pPr>
        <w:spacing w:after="0" w:line="240" w:lineRule="auto"/>
        <w:ind w:left="2835" w:right="238" w:hanging="2551"/>
        <w:contextualSpacing/>
        <w:rPr>
          <w:rFonts w:eastAsia="Batang"/>
          <w:noProof/>
          <w:lang w:val="sq-AL"/>
        </w:rPr>
      </w:pPr>
    </w:p>
    <w:p w14:paraId="71DF5E9D" w14:textId="77777777" w:rsidR="0066460A" w:rsidRDefault="0066460A" w:rsidP="00E57778">
      <w:pPr>
        <w:spacing w:after="0" w:line="240" w:lineRule="auto"/>
        <w:ind w:left="2835" w:right="238" w:hanging="2551"/>
        <w:contextualSpacing/>
        <w:rPr>
          <w:rFonts w:eastAsia="Batang"/>
          <w:noProof/>
          <w:lang w:val="sq-AL"/>
        </w:rPr>
      </w:pPr>
    </w:p>
    <w:p w14:paraId="71DF5E9E" w14:textId="77777777" w:rsidR="0066460A" w:rsidRDefault="0066460A" w:rsidP="00E57778">
      <w:pPr>
        <w:spacing w:after="0" w:line="240" w:lineRule="auto"/>
        <w:ind w:left="2835" w:right="238" w:hanging="2551"/>
        <w:contextualSpacing/>
        <w:rPr>
          <w:rFonts w:eastAsia="Batang"/>
          <w:noProof/>
          <w:lang w:val="sq-AL"/>
        </w:rPr>
      </w:pPr>
    </w:p>
    <w:p w14:paraId="71DF5E9F" w14:textId="77777777" w:rsidR="00F45EE6" w:rsidRPr="000F5C13" w:rsidRDefault="00F45EE6" w:rsidP="00CF027B">
      <w:pPr>
        <w:spacing w:after="0" w:line="240" w:lineRule="auto"/>
        <w:ind w:right="238"/>
        <w:contextualSpacing/>
        <w:rPr>
          <w:rFonts w:eastAsia="Batang"/>
          <w:noProof/>
          <w:lang w:val="sq-AL"/>
        </w:rPr>
      </w:pPr>
    </w:p>
    <w:p w14:paraId="71DF5EA0" w14:textId="77777777" w:rsidR="00AB79A5" w:rsidRPr="000F5C13" w:rsidRDefault="00AB79A5" w:rsidP="00AB79A5">
      <w:pPr>
        <w:pStyle w:val="Heading1"/>
        <w:ind w:left="1843" w:hanging="1843"/>
        <w:jc w:val="center"/>
        <w:rPr>
          <w:noProof/>
          <w:color w:val="C00000"/>
          <w:lang w:val="sq-AL"/>
        </w:rPr>
      </w:pPr>
      <w:bookmarkStart w:id="163" w:name="_Toc491954340"/>
      <w:r w:rsidRPr="000F5C13">
        <w:rPr>
          <w:noProof/>
          <w:color w:val="C00000"/>
          <w:lang w:val="sq-AL"/>
        </w:rPr>
        <w:lastRenderedPageBreak/>
        <w:t>ANEKS II</w:t>
      </w:r>
      <w:bookmarkEnd w:id="163"/>
    </w:p>
    <w:p w14:paraId="71DF5EA1" w14:textId="77777777" w:rsidR="00AB79A5" w:rsidRPr="000F5C13" w:rsidRDefault="00AB79A5" w:rsidP="00AB79A5">
      <w:pPr>
        <w:ind w:left="1843" w:hanging="1843"/>
        <w:rPr>
          <w:rFonts w:eastAsia="Batang"/>
          <w:noProof/>
          <w:color w:val="C00000"/>
          <w:sz w:val="12"/>
          <w:szCs w:val="12"/>
          <w:lang w:val="sq-AL"/>
        </w:rPr>
      </w:pPr>
    </w:p>
    <w:p w14:paraId="71DF5EA2" w14:textId="77777777" w:rsidR="00AB79A5" w:rsidRPr="000F5C13" w:rsidRDefault="00AB79A5" w:rsidP="00AB79A5">
      <w:pPr>
        <w:ind w:left="1843" w:hanging="1843"/>
        <w:jc w:val="center"/>
        <w:rPr>
          <w:rFonts w:ascii="Cambria" w:eastAsia="Batang" w:hAnsi="Cambria"/>
          <w:b/>
          <w:noProof/>
          <w:sz w:val="24"/>
          <w:szCs w:val="24"/>
          <w:lang w:val="sq-AL"/>
        </w:rPr>
      </w:pPr>
      <w:r w:rsidRPr="000F5C13">
        <w:rPr>
          <w:rFonts w:ascii="Cambria" w:eastAsia="Batang" w:hAnsi="Cambria"/>
          <w:b/>
          <w:noProof/>
          <w:sz w:val="24"/>
          <w:szCs w:val="24"/>
          <w:lang w:val="sq-AL"/>
        </w:rPr>
        <w:t>AKRONIME DHE FJALOR TEKNIK</w:t>
      </w:r>
    </w:p>
    <w:p w14:paraId="71DF5EA3" w14:textId="77777777" w:rsidR="00AB79A5" w:rsidRPr="000F5C13" w:rsidRDefault="00AB79A5" w:rsidP="00AB79A5">
      <w:pPr>
        <w:spacing w:before="240" w:after="0"/>
        <w:ind w:left="1843" w:right="237" w:hanging="1843"/>
        <w:jc w:val="right"/>
        <w:rPr>
          <w:rFonts w:ascii="Times New Roman" w:eastAsia="Batang" w:hAnsi="Times New Roman" w:cs="Times New Roman"/>
          <w:noProof/>
          <w:sz w:val="8"/>
          <w:szCs w:val="8"/>
          <w:lang w:val="sq-AL"/>
        </w:rPr>
      </w:pPr>
    </w:p>
    <w:p w14:paraId="71DF5EA4" w14:textId="77777777" w:rsidR="00AB79A5" w:rsidRPr="000F5C13" w:rsidRDefault="00AB79A5" w:rsidP="00AB79A5">
      <w:pPr>
        <w:widowControl w:val="0"/>
        <w:autoSpaceDE w:val="0"/>
        <w:autoSpaceDN w:val="0"/>
        <w:adjustRightInd w:val="0"/>
        <w:spacing w:after="0" w:line="240" w:lineRule="auto"/>
        <w:ind w:left="1843" w:right="237" w:hanging="1843"/>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t>AMF</w:t>
      </w:r>
      <w:r w:rsidRPr="000F5C13">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b/>
          <w:noProof/>
          <w:sz w:val="24"/>
          <w:szCs w:val="24"/>
          <w:lang w:val="sq-AL"/>
        </w:rPr>
        <w:tab/>
      </w:r>
      <w:r w:rsidRPr="000F5C13">
        <w:rPr>
          <w:rFonts w:ascii="Times New Roman" w:eastAsia="Times New Roman" w:hAnsi="Times New Roman" w:cs="Times New Roman"/>
          <w:noProof/>
          <w:sz w:val="24"/>
          <w:szCs w:val="24"/>
          <w:lang w:val="sq-AL"/>
        </w:rPr>
        <w:t>Autoriteti i Mbikëqyrjes Financiare</w:t>
      </w:r>
    </w:p>
    <w:p w14:paraId="71DF5EA5" w14:textId="77777777" w:rsidR="00AB79A5" w:rsidRPr="000F5C13" w:rsidRDefault="00AB79A5" w:rsidP="00AB79A5">
      <w:pPr>
        <w:widowControl w:val="0"/>
        <w:autoSpaceDE w:val="0"/>
        <w:autoSpaceDN w:val="0"/>
        <w:adjustRightInd w:val="0"/>
        <w:spacing w:after="0" w:line="240" w:lineRule="auto"/>
        <w:ind w:left="1843" w:right="237" w:hanging="1843"/>
        <w:rPr>
          <w:rFonts w:ascii="Times New Roman" w:eastAsia="Times New Roman" w:hAnsi="Times New Roman" w:cs="Times New Roman"/>
          <w:noProof/>
          <w:sz w:val="20"/>
          <w:szCs w:val="20"/>
          <w:lang w:val="sq-AL"/>
        </w:rPr>
      </w:pPr>
    </w:p>
    <w:p w14:paraId="71DF5EA6" w14:textId="77777777" w:rsidR="00AB79A5" w:rsidRPr="000F5C13" w:rsidRDefault="00AB79A5" w:rsidP="00AB79A5">
      <w:pPr>
        <w:widowControl w:val="0"/>
        <w:autoSpaceDE w:val="0"/>
        <w:autoSpaceDN w:val="0"/>
        <w:adjustRightInd w:val="0"/>
        <w:spacing w:after="0" w:line="240" w:lineRule="auto"/>
        <w:ind w:left="2694" w:right="237" w:hanging="2694"/>
        <w:rPr>
          <w:rFonts w:ascii="Times New Roman" w:eastAsia="Times New Roman" w:hAnsi="Times New Roman" w:cs="Times New Roman"/>
          <w:i/>
          <w:noProof/>
          <w:sz w:val="24"/>
          <w:szCs w:val="24"/>
          <w:lang w:val="sq-AL"/>
        </w:rPr>
      </w:pPr>
      <w:r w:rsidRPr="000F5C13">
        <w:rPr>
          <w:rFonts w:ascii="Cambria" w:eastAsia="Times New Roman" w:hAnsi="Cambria" w:cs="Times New Roman"/>
          <w:b/>
          <w:noProof/>
          <w:sz w:val="24"/>
          <w:szCs w:val="24"/>
          <w:lang w:val="sq-AL"/>
        </w:rPr>
        <w:t xml:space="preserve">ASPA                                    </w:t>
      </w:r>
      <w:r w:rsidRPr="000F5C13">
        <w:rPr>
          <w:rFonts w:ascii="Times New Roman" w:eastAsia="Times New Roman" w:hAnsi="Times New Roman" w:cs="Times New Roman"/>
          <w:b/>
          <w:noProof/>
          <w:sz w:val="24"/>
          <w:szCs w:val="24"/>
          <w:lang w:val="sq-AL"/>
        </w:rPr>
        <w:t xml:space="preserve"> </w:t>
      </w:r>
      <w:r>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b/>
          <w:noProof/>
          <w:sz w:val="24"/>
          <w:szCs w:val="24"/>
          <w:lang w:val="sq-AL"/>
        </w:rPr>
        <w:t xml:space="preserve"> </w:t>
      </w:r>
      <w:r>
        <w:rPr>
          <w:rFonts w:ascii="Times New Roman" w:eastAsia="Times New Roman" w:hAnsi="Times New Roman" w:cs="Times New Roman"/>
          <w:noProof/>
          <w:sz w:val="24"/>
          <w:szCs w:val="24"/>
          <w:lang w:val="sq-AL"/>
        </w:rPr>
        <w:t xml:space="preserve">Albanian School of </w:t>
      </w:r>
      <w:r w:rsidRPr="000F5C13">
        <w:rPr>
          <w:rFonts w:ascii="Times New Roman" w:eastAsia="Times New Roman" w:hAnsi="Times New Roman" w:cs="Times New Roman"/>
          <w:noProof/>
          <w:sz w:val="24"/>
          <w:szCs w:val="24"/>
          <w:lang w:val="sq-AL"/>
        </w:rPr>
        <w:t>Public Administration</w:t>
      </w:r>
      <w:r w:rsidRPr="000F5C13">
        <w:rPr>
          <w:rFonts w:ascii="Times New Roman" w:eastAsia="Times New Roman" w:hAnsi="Times New Roman" w:cs="Times New Roman"/>
          <w:i/>
          <w:noProof/>
          <w:sz w:val="24"/>
          <w:szCs w:val="24"/>
          <w:lang w:val="sq-AL"/>
        </w:rPr>
        <w:t xml:space="preserve"> </w:t>
      </w:r>
    </w:p>
    <w:p w14:paraId="71DF5EA7" w14:textId="77777777" w:rsidR="00AB79A5" w:rsidRPr="000F5C13" w:rsidRDefault="00AB79A5" w:rsidP="00AB79A5">
      <w:pPr>
        <w:widowControl w:val="0"/>
        <w:autoSpaceDE w:val="0"/>
        <w:autoSpaceDN w:val="0"/>
        <w:adjustRightInd w:val="0"/>
        <w:spacing w:after="0" w:line="240" w:lineRule="auto"/>
        <w:ind w:left="2977" w:right="237" w:hanging="2977"/>
        <w:rPr>
          <w:rFonts w:ascii="Times New Roman" w:eastAsia="Times New Roman" w:hAnsi="Times New Roman" w:cs="Times New Roman"/>
          <w:b/>
          <w:i/>
          <w:noProof/>
          <w:sz w:val="24"/>
          <w:szCs w:val="24"/>
          <w:lang w:val="sq-AL"/>
        </w:rPr>
      </w:pPr>
      <w:r>
        <w:rPr>
          <w:rFonts w:ascii="Times New Roman" w:eastAsia="Times New Roman" w:hAnsi="Times New Roman" w:cs="Times New Roman"/>
          <w:i/>
          <w:noProof/>
          <w:sz w:val="24"/>
          <w:szCs w:val="24"/>
          <w:lang w:val="sq-AL"/>
        </w:rPr>
        <w:t xml:space="preserve">                                                </w:t>
      </w:r>
      <w:r w:rsidRPr="000F5C13">
        <w:rPr>
          <w:rFonts w:ascii="Times New Roman" w:eastAsia="Times New Roman" w:hAnsi="Times New Roman" w:cs="Times New Roman"/>
          <w:i/>
          <w:noProof/>
          <w:sz w:val="24"/>
          <w:szCs w:val="24"/>
          <w:lang w:val="sq-AL"/>
        </w:rPr>
        <w:t>(Shkolla Shqiptare e Administratës Publike)</w:t>
      </w:r>
    </w:p>
    <w:p w14:paraId="71DF5EA8" w14:textId="77777777" w:rsidR="00AB79A5" w:rsidRPr="000F5C13" w:rsidRDefault="00AB79A5" w:rsidP="00AB79A5">
      <w:pPr>
        <w:tabs>
          <w:tab w:val="left" w:pos="2730"/>
        </w:tabs>
        <w:spacing w:after="0" w:line="240" w:lineRule="auto"/>
        <w:ind w:left="1843" w:right="237" w:hanging="1843"/>
        <w:rPr>
          <w:rFonts w:ascii="Times New Roman" w:eastAsia="Times New Roman" w:hAnsi="Times New Roman" w:cs="Times New Roman"/>
          <w:noProof/>
          <w:sz w:val="20"/>
          <w:szCs w:val="20"/>
          <w:lang w:val="sq-AL"/>
        </w:rPr>
      </w:pPr>
    </w:p>
    <w:p w14:paraId="71DF5EA9" w14:textId="77777777" w:rsidR="00AB79A5" w:rsidRPr="000F5C13" w:rsidRDefault="00AB79A5" w:rsidP="00AB79A5">
      <w:pPr>
        <w:tabs>
          <w:tab w:val="left" w:pos="2730"/>
        </w:tabs>
        <w:spacing w:after="0" w:line="240" w:lineRule="auto"/>
        <w:ind w:left="1843" w:right="237" w:hanging="1843"/>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t xml:space="preserve">BB </w:t>
      </w:r>
      <w:r w:rsidRPr="000F5C13">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b/>
          <w:noProof/>
          <w:sz w:val="24"/>
          <w:szCs w:val="24"/>
          <w:lang w:val="sq-AL"/>
        </w:rPr>
        <w:tab/>
      </w:r>
      <w:r w:rsidRPr="000F5C13">
        <w:rPr>
          <w:rFonts w:ascii="Times New Roman" w:eastAsia="Times New Roman" w:hAnsi="Times New Roman" w:cs="Times New Roman"/>
          <w:b/>
          <w:noProof/>
          <w:sz w:val="24"/>
          <w:szCs w:val="24"/>
          <w:lang w:val="sq-AL"/>
        </w:rPr>
        <w:tab/>
      </w:r>
      <w:r w:rsidRPr="000F5C13">
        <w:rPr>
          <w:rFonts w:ascii="Times New Roman" w:eastAsia="Times New Roman" w:hAnsi="Times New Roman" w:cs="Times New Roman"/>
          <w:noProof/>
          <w:sz w:val="24"/>
          <w:szCs w:val="24"/>
          <w:lang w:val="sq-AL"/>
        </w:rPr>
        <w:t>Banka Botërore</w:t>
      </w:r>
    </w:p>
    <w:p w14:paraId="71DF5EAA" w14:textId="77777777" w:rsidR="00AB79A5" w:rsidRPr="000F5C13" w:rsidRDefault="00AB79A5" w:rsidP="00AB79A5">
      <w:pPr>
        <w:tabs>
          <w:tab w:val="left" w:pos="2730"/>
        </w:tabs>
        <w:spacing w:after="0" w:line="240" w:lineRule="auto"/>
        <w:ind w:left="1843" w:right="237" w:hanging="1843"/>
        <w:rPr>
          <w:rFonts w:ascii="Times New Roman" w:eastAsia="Times New Roman" w:hAnsi="Times New Roman" w:cs="Times New Roman"/>
          <w:noProof/>
          <w:sz w:val="20"/>
          <w:szCs w:val="20"/>
          <w:lang w:val="sq-AL"/>
        </w:rPr>
      </w:pPr>
    </w:p>
    <w:p w14:paraId="71DF5EAB" w14:textId="77777777" w:rsidR="00AB79A5" w:rsidRPr="000F5C13" w:rsidRDefault="00AB79A5" w:rsidP="00AB79A5">
      <w:pPr>
        <w:tabs>
          <w:tab w:val="left" w:pos="2730"/>
        </w:tabs>
        <w:spacing w:after="0" w:line="240" w:lineRule="auto"/>
        <w:ind w:left="1843" w:right="237" w:hanging="1843"/>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t xml:space="preserve">BE </w:t>
      </w:r>
      <w:r w:rsidRPr="000F5C13">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b/>
          <w:noProof/>
          <w:sz w:val="24"/>
          <w:szCs w:val="24"/>
          <w:lang w:val="sq-AL"/>
        </w:rPr>
        <w:tab/>
      </w:r>
      <w:r w:rsidRPr="000F5C13">
        <w:rPr>
          <w:rFonts w:ascii="Times New Roman" w:eastAsia="Times New Roman" w:hAnsi="Times New Roman" w:cs="Times New Roman"/>
          <w:b/>
          <w:noProof/>
          <w:sz w:val="24"/>
          <w:szCs w:val="24"/>
          <w:lang w:val="sq-AL"/>
        </w:rPr>
        <w:tab/>
      </w:r>
      <w:r w:rsidRPr="000F5C13">
        <w:rPr>
          <w:rFonts w:ascii="Times New Roman" w:eastAsia="Times New Roman" w:hAnsi="Times New Roman" w:cs="Times New Roman"/>
          <w:noProof/>
          <w:sz w:val="24"/>
          <w:szCs w:val="24"/>
          <w:lang w:val="sq-AL"/>
        </w:rPr>
        <w:t>Bashkimi Evropian</w:t>
      </w:r>
    </w:p>
    <w:p w14:paraId="71DF5EAC" w14:textId="77777777" w:rsidR="00AB79A5" w:rsidRPr="000F5C13" w:rsidRDefault="00AB79A5" w:rsidP="00AB79A5">
      <w:pPr>
        <w:tabs>
          <w:tab w:val="left" w:pos="2730"/>
        </w:tabs>
        <w:spacing w:after="0" w:line="240" w:lineRule="auto"/>
        <w:ind w:left="1843" w:right="237" w:hanging="1843"/>
        <w:rPr>
          <w:rFonts w:ascii="Times New Roman" w:eastAsia="Times New Roman" w:hAnsi="Times New Roman" w:cs="Times New Roman"/>
          <w:b/>
          <w:noProof/>
          <w:sz w:val="20"/>
          <w:szCs w:val="20"/>
          <w:lang w:val="sq-AL"/>
        </w:rPr>
      </w:pPr>
    </w:p>
    <w:p w14:paraId="71DF5EAD"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BKT</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t xml:space="preserve">            </w:t>
      </w:r>
      <w:r w:rsidRPr="000F5C13">
        <w:rPr>
          <w:rFonts w:ascii="Times New Roman" w:eastAsia="Batang" w:hAnsi="Times New Roman" w:cs="Times New Roman"/>
          <w:noProof/>
          <w:color w:val="000000"/>
          <w:sz w:val="24"/>
          <w:szCs w:val="24"/>
          <w:lang w:val="sq-AL" w:eastAsia="ko-KR"/>
        </w:rPr>
        <w:t>Banka Kombëtare Tregtare</w:t>
      </w:r>
    </w:p>
    <w:p w14:paraId="71DF5EAE"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b/>
          <w:noProof/>
          <w:color w:val="000000"/>
          <w:sz w:val="20"/>
          <w:szCs w:val="20"/>
          <w:lang w:val="sq-AL" w:eastAsia="ko-KR"/>
        </w:rPr>
      </w:pPr>
    </w:p>
    <w:p w14:paraId="71DF5EAF"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b/>
          <w:noProof/>
          <w:color w:val="000000"/>
          <w:sz w:val="24"/>
          <w:szCs w:val="24"/>
          <w:lang w:val="sq-AL" w:eastAsia="ko-KR"/>
        </w:rPr>
      </w:pPr>
      <w:r w:rsidRPr="000F5C13">
        <w:rPr>
          <w:rFonts w:ascii="Cambria" w:eastAsia="Batang" w:hAnsi="Cambria" w:cs="Times New Roman"/>
          <w:b/>
          <w:noProof/>
          <w:color w:val="000000"/>
          <w:sz w:val="24"/>
          <w:szCs w:val="24"/>
          <w:lang w:val="sq-AL" w:eastAsia="ko-KR"/>
        </w:rPr>
        <w:t>BQE</w:t>
      </w:r>
      <w:r w:rsidRPr="000F5C13">
        <w:rPr>
          <w:rFonts w:ascii="Times New Roman" w:eastAsia="Batang" w:hAnsi="Times New Roman" w:cs="Times New Roman"/>
          <w:b/>
          <w:noProof/>
          <w:color w:val="000000"/>
          <w:sz w:val="24"/>
          <w:szCs w:val="24"/>
          <w:lang w:val="sq-AL" w:eastAsia="ko-KR"/>
        </w:rPr>
        <w:tab/>
        <w:t xml:space="preserve"> </w:t>
      </w:r>
      <w:r w:rsidRPr="000F5C13">
        <w:rPr>
          <w:rFonts w:ascii="Times New Roman" w:eastAsia="Batang" w:hAnsi="Times New Roman" w:cs="Times New Roman"/>
          <w:b/>
          <w:noProof/>
          <w:color w:val="000000"/>
          <w:sz w:val="24"/>
          <w:szCs w:val="24"/>
          <w:lang w:val="sq-AL" w:eastAsia="ko-KR"/>
        </w:rPr>
        <w:tab/>
        <w:t xml:space="preserve">           </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Banka Qendrore Evropiane</w:t>
      </w:r>
    </w:p>
    <w:p w14:paraId="71DF5EB0" w14:textId="77777777" w:rsidR="00AB79A5" w:rsidRPr="000F5C13" w:rsidRDefault="00AB79A5" w:rsidP="00AB79A5">
      <w:pPr>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B1"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b/>
          <w:noProof/>
          <w:color w:val="000000"/>
          <w:sz w:val="24"/>
          <w:szCs w:val="24"/>
          <w:lang w:val="sq-AL" w:eastAsia="ko-KR"/>
        </w:rPr>
      </w:pPr>
      <w:r w:rsidRPr="000F5C13">
        <w:rPr>
          <w:rFonts w:ascii="Cambria" w:eastAsia="Batang" w:hAnsi="Cambria" w:cs="Times New Roman"/>
          <w:b/>
          <w:noProof/>
          <w:color w:val="000000"/>
          <w:sz w:val="24"/>
          <w:szCs w:val="24"/>
          <w:lang w:val="sq-AL" w:eastAsia="ko-KR"/>
        </w:rPr>
        <w:t>BSH</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t xml:space="preserve">            </w:t>
      </w:r>
      <w:r w:rsidRPr="000F5C13">
        <w:rPr>
          <w:rFonts w:ascii="Times New Roman" w:eastAsia="Batang" w:hAnsi="Times New Roman" w:cs="Times New Roman"/>
          <w:noProof/>
          <w:color w:val="000000"/>
          <w:sz w:val="24"/>
          <w:szCs w:val="24"/>
          <w:lang w:val="sq-AL" w:eastAsia="ko-KR"/>
        </w:rPr>
        <w:t>Banka e Shqipërisë</w:t>
      </w:r>
      <w:r w:rsidRPr="000F5C13">
        <w:rPr>
          <w:rFonts w:ascii="Times New Roman" w:eastAsia="Batang" w:hAnsi="Times New Roman" w:cs="Times New Roman"/>
          <w:b/>
          <w:noProof/>
          <w:color w:val="000000"/>
          <w:sz w:val="24"/>
          <w:szCs w:val="24"/>
          <w:lang w:val="sq-AL" w:eastAsia="ko-KR"/>
        </w:rPr>
        <w:t xml:space="preserve"> </w:t>
      </w:r>
    </w:p>
    <w:p w14:paraId="71DF5EB2" w14:textId="77777777" w:rsidR="00AB79A5" w:rsidRPr="000F5C13" w:rsidRDefault="00AB79A5" w:rsidP="00AB79A5">
      <w:pPr>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B3" w14:textId="77777777" w:rsidR="00AB79A5" w:rsidRPr="000F5C13" w:rsidRDefault="00AB79A5" w:rsidP="00AB79A5">
      <w:pPr>
        <w:spacing w:after="0" w:line="240" w:lineRule="auto"/>
        <w:ind w:left="2835" w:right="237" w:hanging="2835"/>
        <w:jc w:val="both"/>
        <w:rPr>
          <w:rFonts w:ascii="Times New Roman" w:eastAsia="Batang" w:hAnsi="Times New Roman" w:cs="Times New Roman"/>
          <w:b/>
          <w:noProof/>
          <w:color w:val="000000"/>
          <w:sz w:val="24"/>
          <w:szCs w:val="24"/>
          <w:lang w:val="sq-AL" w:eastAsia="ko-KR"/>
        </w:rPr>
      </w:pPr>
      <w:r w:rsidRPr="000F5C13">
        <w:rPr>
          <w:rFonts w:ascii="Cambria" w:eastAsia="Batang" w:hAnsi="Cambria" w:cs="Times New Roman"/>
          <w:b/>
          <w:noProof/>
          <w:color w:val="000000"/>
          <w:sz w:val="24"/>
          <w:szCs w:val="24"/>
          <w:lang w:val="sq-AL" w:eastAsia="ko-KR"/>
        </w:rPr>
        <w:t xml:space="preserve">EUR </w:t>
      </w:r>
      <w:r w:rsidRPr="000F5C13">
        <w:rPr>
          <w:rFonts w:ascii="Times New Roman" w:eastAsia="Batang" w:hAnsi="Times New Roman" w:cs="Times New Roman"/>
          <w:b/>
          <w:noProof/>
          <w:color w:val="000000"/>
          <w:sz w:val="24"/>
          <w:szCs w:val="24"/>
          <w:lang w:val="sq-AL" w:eastAsia="ko-KR"/>
        </w:rPr>
        <w:t xml:space="preserve">                           </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Monedha e Bashkimit Evropian</w:t>
      </w:r>
    </w:p>
    <w:p w14:paraId="71DF5EB4" w14:textId="77777777" w:rsidR="00AB79A5" w:rsidRPr="000F5C13" w:rsidRDefault="00AB79A5" w:rsidP="00AB79A5">
      <w:pPr>
        <w:spacing w:after="0" w:line="240" w:lineRule="auto"/>
        <w:ind w:left="1843" w:right="237" w:hanging="1843"/>
        <w:jc w:val="both"/>
        <w:rPr>
          <w:rFonts w:ascii="Times New Roman" w:eastAsia="Batang" w:hAnsi="Times New Roman" w:cs="Times New Roman"/>
          <w:b/>
          <w:noProof/>
          <w:color w:val="000000"/>
          <w:sz w:val="20"/>
          <w:szCs w:val="20"/>
          <w:lang w:val="sq-AL" w:eastAsia="ko-KR"/>
        </w:rPr>
      </w:pPr>
    </w:p>
    <w:p w14:paraId="71DF5EB5" w14:textId="77777777" w:rsidR="00AB79A5" w:rsidRPr="000F5C13" w:rsidRDefault="00AB79A5" w:rsidP="00AB79A5">
      <w:pPr>
        <w:spacing w:after="0" w:line="240" w:lineRule="auto"/>
        <w:ind w:left="1843" w:right="237" w:hanging="1843"/>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FMN</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t xml:space="preserve">            </w:t>
      </w:r>
      <w:r w:rsidRPr="000F5C13">
        <w:rPr>
          <w:rFonts w:ascii="Times New Roman" w:eastAsia="Batang" w:hAnsi="Times New Roman" w:cs="Times New Roman"/>
          <w:noProof/>
          <w:color w:val="000000"/>
          <w:sz w:val="24"/>
          <w:szCs w:val="24"/>
          <w:lang w:val="sq-AL" w:eastAsia="ko-KR"/>
        </w:rPr>
        <w:t>Fondi Monetar Ndërkombëtar</w:t>
      </w:r>
    </w:p>
    <w:p w14:paraId="71DF5EB6" w14:textId="77777777" w:rsidR="00AB79A5" w:rsidRPr="000F5C13" w:rsidRDefault="00AB79A5" w:rsidP="00AB79A5">
      <w:pPr>
        <w:spacing w:after="0" w:line="240" w:lineRule="auto"/>
        <w:ind w:left="1843" w:right="237" w:hanging="1843"/>
        <w:jc w:val="both"/>
        <w:rPr>
          <w:rFonts w:ascii="Times New Roman" w:eastAsia="Batang" w:hAnsi="Times New Roman" w:cs="Times New Roman"/>
          <w:b/>
          <w:noProof/>
          <w:color w:val="000000"/>
          <w:sz w:val="20"/>
          <w:szCs w:val="20"/>
          <w:lang w:val="sq-AL" w:eastAsia="ko-KR"/>
        </w:rPr>
      </w:pPr>
    </w:p>
    <w:p w14:paraId="71DF5EB7" w14:textId="77777777" w:rsidR="00AB79A5" w:rsidRPr="000F5C13" w:rsidRDefault="00AB79A5" w:rsidP="00AB79A5">
      <w:pPr>
        <w:spacing w:after="0" w:line="240" w:lineRule="auto"/>
        <w:ind w:left="2977" w:right="237" w:hanging="2977"/>
        <w:jc w:val="both"/>
        <w:rPr>
          <w:rFonts w:ascii="Times New Roman" w:eastAsia="Batang" w:hAnsi="Times New Roman" w:cs="Times New Roman"/>
          <w:b/>
          <w:noProof/>
          <w:color w:val="000000"/>
          <w:sz w:val="24"/>
          <w:szCs w:val="24"/>
          <w:lang w:val="sq-AL" w:eastAsia="ko-KR"/>
        </w:rPr>
      </w:pPr>
      <w:r w:rsidRPr="000F5C13">
        <w:rPr>
          <w:rFonts w:ascii="Cambria" w:eastAsia="Batang" w:hAnsi="Cambria" w:cs="Times New Roman"/>
          <w:b/>
          <w:noProof/>
          <w:color w:val="000000"/>
          <w:sz w:val="24"/>
          <w:szCs w:val="24"/>
          <w:lang w:val="sq-AL" w:eastAsia="ko-KR"/>
        </w:rPr>
        <w:t xml:space="preserve">INSTAT                                 </w:t>
      </w:r>
      <w:r>
        <w:rPr>
          <w:rFonts w:ascii="Cambria" w:eastAsia="Batang" w:hAnsi="Cambria" w:cs="Times New Roman"/>
          <w:b/>
          <w:noProof/>
          <w:color w:val="000000"/>
          <w:sz w:val="24"/>
          <w:szCs w:val="24"/>
          <w:lang w:val="sq-AL" w:eastAsia="ko-KR"/>
        </w:rPr>
        <w:t xml:space="preserve">      </w:t>
      </w:r>
      <w:r w:rsidRPr="000F5C13">
        <w:rPr>
          <w:rFonts w:ascii="Times New Roman" w:eastAsia="Batang" w:hAnsi="Times New Roman" w:cs="Times New Roman"/>
          <w:noProof/>
          <w:color w:val="000000"/>
          <w:sz w:val="24"/>
          <w:szCs w:val="24"/>
          <w:lang w:val="sq-AL" w:eastAsia="ko-KR"/>
        </w:rPr>
        <w:t>Instituti i Statistikave</w:t>
      </w:r>
    </w:p>
    <w:p w14:paraId="71DF5EB8"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b/>
          <w:noProof/>
          <w:sz w:val="20"/>
          <w:szCs w:val="20"/>
          <w:lang w:val="sq-AL"/>
        </w:rPr>
      </w:pPr>
    </w:p>
    <w:p w14:paraId="71DF5EB9"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noProof/>
          <w:sz w:val="24"/>
          <w:szCs w:val="24"/>
          <w:lang w:val="sq-AL"/>
        </w:rPr>
      </w:pPr>
      <w:r w:rsidRPr="000F5C13">
        <w:rPr>
          <w:rFonts w:ascii="Cambria" w:eastAsia="Times New Roman" w:hAnsi="Cambria" w:cs="Times New Roman"/>
          <w:b/>
          <w:bCs/>
          <w:noProof/>
          <w:sz w:val="24"/>
          <w:szCs w:val="24"/>
          <w:lang w:val="sq-AL"/>
        </w:rPr>
        <w:t>KMM</w:t>
      </w:r>
      <w:r w:rsidRPr="000F5C13">
        <w:rPr>
          <w:rFonts w:ascii="Times New Roman" w:eastAsia="Times New Roman" w:hAnsi="Times New Roman" w:cs="Times New Roman"/>
          <w:b/>
          <w:bCs/>
          <w:noProof/>
          <w:sz w:val="24"/>
          <w:szCs w:val="24"/>
          <w:lang w:val="sq-AL"/>
        </w:rPr>
        <w:tab/>
      </w:r>
      <w:r w:rsidRPr="000F5C13">
        <w:rPr>
          <w:rFonts w:ascii="Times New Roman" w:eastAsia="Times New Roman" w:hAnsi="Times New Roman" w:cs="Times New Roman"/>
          <w:b/>
          <w:bCs/>
          <w:noProof/>
          <w:sz w:val="24"/>
          <w:szCs w:val="24"/>
          <w:lang w:val="sq-AL"/>
        </w:rPr>
        <w:tab/>
      </w:r>
      <w:r w:rsidRPr="000F5C13">
        <w:rPr>
          <w:rFonts w:ascii="Times New Roman" w:eastAsia="Times New Roman" w:hAnsi="Times New Roman" w:cs="Times New Roman"/>
          <w:b/>
          <w:bCs/>
          <w:noProof/>
          <w:sz w:val="24"/>
          <w:szCs w:val="24"/>
          <w:lang w:val="sq-AL"/>
        </w:rPr>
        <w:tab/>
      </w:r>
      <w:r w:rsidRPr="000F5C13">
        <w:rPr>
          <w:rFonts w:ascii="Times New Roman" w:eastAsia="Times New Roman" w:hAnsi="Times New Roman" w:cs="Times New Roman"/>
          <w:noProof/>
          <w:sz w:val="24"/>
          <w:szCs w:val="24"/>
          <w:lang w:val="sq-AL"/>
        </w:rPr>
        <w:t>Koha Mesatare në Maturim</w:t>
      </w:r>
      <w:r w:rsidRPr="000F5C13">
        <w:rPr>
          <w:rFonts w:ascii="Times New Roman" w:eastAsia="Times New Roman" w:hAnsi="Times New Roman" w:cs="Times New Roman"/>
          <w:b/>
          <w:i/>
          <w:noProof/>
          <w:sz w:val="24"/>
          <w:szCs w:val="24"/>
          <w:lang w:val="sq-AL"/>
        </w:rPr>
        <w:t xml:space="preserve"> </w:t>
      </w:r>
      <w:r w:rsidRPr="000F5C13">
        <w:rPr>
          <w:rFonts w:ascii="Times New Roman" w:eastAsia="Times New Roman" w:hAnsi="Times New Roman" w:cs="Times New Roman"/>
          <w:b/>
          <w:noProof/>
          <w:sz w:val="24"/>
          <w:szCs w:val="24"/>
          <w:lang w:val="sq-AL"/>
        </w:rPr>
        <w:t xml:space="preserve"> </w:t>
      </w:r>
    </w:p>
    <w:p w14:paraId="71DF5EBA"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b/>
          <w:noProof/>
          <w:sz w:val="20"/>
          <w:szCs w:val="20"/>
          <w:lang w:val="sq-AL"/>
        </w:rPr>
      </w:pPr>
    </w:p>
    <w:p w14:paraId="71DF5EBB"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noProof/>
          <w:sz w:val="24"/>
          <w:szCs w:val="24"/>
          <w:lang w:val="sq-AL"/>
        </w:rPr>
      </w:pPr>
      <w:r w:rsidRPr="000F5C13">
        <w:rPr>
          <w:rFonts w:ascii="Cambria" w:eastAsia="Times New Roman" w:hAnsi="Cambria" w:cs="Times New Roman"/>
          <w:b/>
          <w:bCs/>
          <w:noProof/>
          <w:sz w:val="24"/>
          <w:szCs w:val="24"/>
          <w:lang w:val="sq-AL"/>
        </w:rPr>
        <w:t>KMR</w:t>
      </w:r>
      <w:r w:rsidRPr="000F5C13">
        <w:rPr>
          <w:rFonts w:ascii="Times New Roman" w:eastAsia="Times New Roman" w:hAnsi="Times New Roman" w:cs="Times New Roman"/>
          <w:b/>
          <w:bCs/>
          <w:noProof/>
          <w:sz w:val="24"/>
          <w:szCs w:val="24"/>
          <w:lang w:val="sq-AL"/>
        </w:rPr>
        <w:tab/>
      </w:r>
      <w:r w:rsidRPr="000F5C13">
        <w:rPr>
          <w:rFonts w:ascii="Times New Roman" w:eastAsia="Times New Roman" w:hAnsi="Times New Roman" w:cs="Times New Roman"/>
          <w:b/>
          <w:bCs/>
          <w:noProof/>
          <w:sz w:val="24"/>
          <w:szCs w:val="24"/>
          <w:lang w:val="sq-AL"/>
        </w:rPr>
        <w:tab/>
      </w:r>
      <w:r w:rsidRPr="000F5C13">
        <w:rPr>
          <w:rFonts w:ascii="Times New Roman" w:eastAsia="Times New Roman" w:hAnsi="Times New Roman" w:cs="Times New Roman"/>
          <w:b/>
          <w:bCs/>
          <w:noProof/>
          <w:sz w:val="24"/>
          <w:szCs w:val="24"/>
          <w:lang w:val="sq-AL"/>
        </w:rPr>
        <w:tab/>
      </w:r>
      <w:r w:rsidRPr="000F5C13">
        <w:rPr>
          <w:rFonts w:ascii="Times New Roman" w:eastAsia="Times New Roman" w:hAnsi="Times New Roman" w:cs="Times New Roman"/>
          <w:noProof/>
          <w:sz w:val="24"/>
          <w:szCs w:val="24"/>
          <w:lang w:val="sq-AL"/>
        </w:rPr>
        <w:t>Koha Mesatare në Rivlerësim</w:t>
      </w:r>
    </w:p>
    <w:p w14:paraId="71DF5EBC"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noProof/>
          <w:sz w:val="20"/>
          <w:szCs w:val="20"/>
          <w:lang w:val="sq-AL"/>
        </w:rPr>
      </w:pPr>
    </w:p>
    <w:p w14:paraId="71DF5EBD"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b/>
          <w:noProof/>
          <w:sz w:val="24"/>
          <w:szCs w:val="24"/>
          <w:lang w:val="sq-AL"/>
        </w:rPr>
      </w:pPr>
      <w:r w:rsidRPr="000F5C13">
        <w:rPr>
          <w:rFonts w:ascii="Cambria" w:eastAsia="Times New Roman" w:hAnsi="Cambria" w:cs="Times New Roman"/>
          <w:b/>
          <w:noProof/>
          <w:sz w:val="24"/>
          <w:szCs w:val="24"/>
          <w:lang w:val="sq-AL"/>
        </w:rPr>
        <w:t>LEKË</w:t>
      </w:r>
      <w:r w:rsidRPr="000F5C13">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b/>
          <w:noProof/>
          <w:sz w:val="24"/>
          <w:szCs w:val="24"/>
          <w:lang w:val="sq-AL"/>
        </w:rPr>
        <w:tab/>
      </w:r>
      <w:r w:rsidRPr="000F5C13">
        <w:rPr>
          <w:rFonts w:ascii="Times New Roman" w:eastAsia="Times New Roman" w:hAnsi="Times New Roman" w:cs="Times New Roman"/>
          <w:noProof/>
          <w:sz w:val="24"/>
          <w:szCs w:val="24"/>
          <w:lang w:val="sq-AL"/>
        </w:rPr>
        <w:t>Monedha Vendase</w:t>
      </w:r>
    </w:p>
    <w:p w14:paraId="71DF5EBE"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noProof/>
          <w:sz w:val="20"/>
          <w:szCs w:val="20"/>
          <w:lang w:val="sq-AL"/>
        </w:rPr>
      </w:pPr>
      <w:r w:rsidRPr="000F5C13">
        <w:rPr>
          <w:rFonts w:ascii="Times New Roman" w:eastAsia="Times New Roman" w:hAnsi="Times New Roman" w:cs="Times New Roman"/>
          <w:noProof/>
          <w:sz w:val="24"/>
          <w:szCs w:val="24"/>
          <w:lang w:val="sq-AL"/>
        </w:rPr>
        <w:t xml:space="preserve">  </w:t>
      </w:r>
    </w:p>
    <w:p w14:paraId="71DF5EBF"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t>NPL</w:t>
      </w:r>
      <w:r w:rsidRPr="000F5C13">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b/>
          <w:noProof/>
          <w:sz w:val="24"/>
          <w:szCs w:val="24"/>
          <w:lang w:val="sq-AL"/>
        </w:rPr>
        <w:tab/>
      </w:r>
      <w:r w:rsidRPr="000F5C13">
        <w:rPr>
          <w:rFonts w:ascii="Times New Roman" w:eastAsia="Times New Roman" w:hAnsi="Times New Roman" w:cs="Times New Roman"/>
          <w:noProof/>
          <w:sz w:val="24"/>
          <w:szCs w:val="24"/>
          <w:lang w:val="sq-AL"/>
        </w:rPr>
        <w:t xml:space="preserve">Non Performing Loans </w:t>
      </w:r>
      <w:r w:rsidRPr="000F5C13">
        <w:rPr>
          <w:rFonts w:ascii="Times New Roman" w:eastAsia="Times New Roman" w:hAnsi="Times New Roman" w:cs="Times New Roman"/>
          <w:i/>
          <w:noProof/>
          <w:sz w:val="24"/>
          <w:szCs w:val="24"/>
          <w:lang w:val="sq-AL"/>
        </w:rPr>
        <w:t>(Kredi me probleme)</w:t>
      </w:r>
    </w:p>
    <w:p w14:paraId="71DF5EC0" w14:textId="77777777" w:rsidR="00AB79A5" w:rsidRPr="000F5C13" w:rsidRDefault="00AB79A5" w:rsidP="00AB79A5">
      <w:pPr>
        <w:spacing w:after="0" w:line="240" w:lineRule="auto"/>
        <w:ind w:left="1843" w:right="237" w:hanging="1843"/>
        <w:jc w:val="both"/>
        <w:rPr>
          <w:rFonts w:ascii="Times New Roman" w:eastAsia="Times New Roman" w:hAnsi="Times New Roman" w:cs="Times New Roman"/>
          <w:noProof/>
          <w:sz w:val="20"/>
          <w:szCs w:val="20"/>
          <w:lang w:val="sq-AL"/>
        </w:rPr>
      </w:pPr>
    </w:p>
    <w:p w14:paraId="71DF5EC1"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PBB</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Prodhimi i Brendshëm Bruto</w:t>
      </w:r>
    </w:p>
    <w:p w14:paraId="71DF5EC2"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C3"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PBG</w:t>
      </w:r>
      <w:r w:rsidRPr="000F5C13">
        <w:rPr>
          <w:rFonts w:ascii="Times New Roman" w:eastAsia="Batang" w:hAnsi="Times New Roman" w:cs="Times New Roman"/>
          <w:b/>
          <w:noProof/>
          <w:color w:val="000000"/>
          <w:sz w:val="24"/>
          <w:szCs w:val="24"/>
          <w:lang w:val="sq-AL" w:eastAsia="ko-KR"/>
        </w:rPr>
        <w:t xml:space="preserve">  </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 xml:space="preserve">Policy Based Guarantee </w:t>
      </w:r>
      <w:r w:rsidRPr="000F5C13">
        <w:rPr>
          <w:rFonts w:ascii="Times New Roman" w:eastAsia="Batang" w:hAnsi="Times New Roman" w:cs="Times New Roman"/>
          <w:i/>
          <w:noProof/>
          <w:color w:val="000000"/>
          <w:sz w:val="24"/>
          <w:szCs w:val="24"/>
          <w:lang w:val="sq-AL" w:eastAsia="ko-KR"/>
        </w:rPr>
        <w:t>(Garanci e bazuar në politika)</w:t>
      </w:r>
      <w:r w:rsidRPr="000F5C13">
        <w:rPr>
          <w:rFonts w:ascii="Times New Roman" w:eastAsia="Batang" w:hAnsi="Times New Roman" w:cs="Times New Roman"/>
          <w:noProof/>
          <w:color w:val="000000"/>
          <w:sz w:val="24"/>
          <w:szCs w:val="24"/>
          <w:lang w:val="sq-AL" w:eastAsia="ko-KR"/>
        </w:rPr>
        <w:t xml:space="preserve"> </w:t>
      </w:r>
    </w:p>
    <w:p w14:paraId="71DF5EC4"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C5" w14:textId="77777777" w:rsidR="00AB79A5" w:rsidRPr="000F5C13" w:rsidRDefault="00AB79A5" w:rsidP="00AB79A5">
      <w:pPr>
        <w:autoSpaceDE w:val="0"/>
        <w:autoSpaceDN w:val="0"/>
        <w:adjustRightInd w:val="0"/>
        <w:spacing w:after="0" w:line="240" w:lineRule="auto"/>
        <w:ind w:left="2835" w:right="237" w:hanging="2835"/>
        <w:jc w:val="both"/>
        <w:rPr>
          <w:rFonts w:ascii="Times New Roman" w:eastAsia="Batang" w:hAnsi="Times New Roman" w:cs="Times New Roman"/>
          <w:b/>
          <w:noProof/>
          <w:color w:val="000000"/>
          <w:sz w:val="24"/>
          <w:szCs w:val="24"/>
          <w:lang w:val="sq-AL" w:eastAsia="ko-KR"/>
        </w:rPr>
      </w:pPr>
      <w:r w:rsidRPr="000F5C13">
        <w:rPr>
          <w:rFonts w:ascii="Cambria" w:eastAsia="Batang" w:hAnsi="Cambria" w:cs="Times New Roman"/>
          <w:b/>
          <w:noProof/>
          <w:color w:val="000000"/>
          <w:sz w:val="24"/>
          <w:szCs w:val="24"/>
          <w:lang w:val="sq-AL" w:eastAsia="ko-KR"/>
        </w:rPr>
        <w:t xml:space="preserve">PB </w:t>
      </w:r>
      <w:r w:rsidRPr="000F5C13">
        <w:rPr>
          <w:rFonts w:ascii="Times New Roman" w:eastAsia="Batang" w:hAnsi="Times New Roman" w:cs="Times New Roman"/>
          <w:b/>
          <w:noProof/>
          <w:color w:val="000000"/>
          <w:sz w:val="24"/>
          <w:szCs w:val="24"/>
          <w:lang w:val="sq-AL" w:eastAsia="ko-KR"/>
        </w:rPr>
        <w:t xml:space="preserve">                              </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Pikë bazë</w:t>
      </w:r>
    </w:p>
    <w:p w14:paraId="71DF5EC6"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C7"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b/>
          <w:noProof/>
          <w:color w:val="000000"/>
          <w:sz w:val="24"/>
          <w:szCs w:val="24"/>
          <w:lang w:val="sq-AL" w:eastAsia="ko-KR"/>
        </w:rPr>
      </w:pPr>
      <w:r w:rsidRPr="000F5C13">
        <w:rPr>
          <w:rFonts w:ascii="Cambria" w:eastAsia="Batang" w:hAnsi="Cambria" w:cs="Times New Roman"/>
          <w:b/>
          <w:noProof/>
          <w:color w:val="000000"/>
          <w:sz w:val="24"/>
          <w:szCs w:val="24"/>
          <w:lang w:val="sq-AL" w:eastAsia="ko-KR"/>
        </w:rPr>
        <w:t xml:space="preserve">PP  </w:t>
      </w:r>
      <w:r w:rsidRPr="000F5C13">
        <w:rPr>
          <w:rFonts w:ascii="Times New Roman" w:eastAsia="Batang" w:hAnsi="Times New Roman" w:cs="Times New Roman"/>
          <w:b/>
          <w:noProof/>
          <w:color w:val="000000"/>
          <w:sz w:val="24"/>
          <w:szCs w:val="24"/>
          <w:lang w:val="sq-AL" w:eastAsia="ko-KR"/>
        </w:rPr>
        <w:t xml:space="preserve">                              </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Pikë përqindje</w:t>
      </w:r>
    </w:p>
    <w:p w14:paraId="71DF5EC8"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C9"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SAMB</w:t>
      </w:r>
      <w:r w:rsidRPr="000F5C13">
        <w:rPr>
          <w:rFonts w:ascii="Cambria" w:eastAsia="Batang" w:hAnsi="Cambria"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Strategjia Afatmesme e Menaxhimit të Borxhit</w:t>
      </w:r>
    </w:p>
    <w:p w14:paraId="71DF5ECA"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CB"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USD</w:t>
      </w:r>
      <w:r w:rsidRPr="000F5C13">
        <w:rPr>
          <w:rFonts w:ascii="Times New Roman" w:eastAsia="Batang" w:hAnsi="Times New Roman" w:cs="Times New Roman"/>
          <w:b/>
          <w:noProof/>
          <w:color w:val="000000"/>
          <w:sz w:val="24"/>
          <w:szCs w:val="24"/>
          <w:lang w:val="sq-AL" w:eastAsia="ko-KR"/>
        </w:rPr>
        <w:t xml:space="preserve">                             </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Monedha kombëtare e Shteteve të Bashkuara të Amerikës</w:t>
      </w:r>
    </w:p>
    <w:p w14:paraId="71DF5ECC"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0"/>
          <w:szCs w:val="20"/>
          <w:lang w:val="sq-AL" w:eastAsia="ko-KR"/>
        </w:rPr>
      </w:pPr>
    </w:p>
    <w:p w14:paraId="71DF5ECD"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YEN</w:t>
      </w:r>
      <w:r w:rsidRPr="000F5C13">
        <w:rPr>
          <w:rFonts w:ascii="Times New Roman" w:eastAsia="Batang" w:hAnsi="Times New Roman" w:cs="Times New Roman"/>
          <w:b/>
          <w:noProof/>
          <w:color w:val="000000"/>
          <w:sz w:val="24"/>
          <w:szCs w:val="24"/>
          <w:lang w:val="sq-AL" w:eastAsia="ko-KR"/>
        </w:rPr>
        <w:t xml:space="preserve">                             </w:t>
      </w:r>
      <w:r w:rsidRPr="000F5C13">
        <w:rPr>
          <w:rFonts w:ascii="Times New Roman" w:eastAsia="Batang" w:hAnsi="Times New Roman" w:cs="Times New Roman"/>
          <w:b/>
          <w:noProof/>
          <w:color w:val="000000"/>
          <w:sz w:val="24"/>
          <w:szCs w:val="24"/>
          <w:lang w:val="sq-AL" w:eastAsia="ko-KR"/>
        </w:rPr>
        <w:tab/>
      </w:r>
      <w:r w:rsidRPr="000F5C13">
        <w:rPr>
          <w:rFonts w:ascii="Times New Roman" w:eastAsia="Batang" w:hAnsi="Times New Roman" w:cs="Times New Roman"/>
          <w:noProof/>
          <w:color w:val="000000"/>
          <w:sz w:val="24"/>
          <w:szCs w:val="24"/>
          <w:lang w:val="sq-AL" w:eastAsia="ko-KR"/>
        </w:rPr>
        <w:t xml:space="preserve">Monedha kombëtare e Japonisë </w:t>
      </w:r>
    </w:p>
    <w:p w14:paraId="71DF5ECE"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b/>
          <w:noProof/>
          <w:color w:val="000000"/>
          <w:sz w:val="20"/>
          <w:szCs w:val="20"/>
          <w:lang w:val="sq-AL" w:eastAsia="ko-KR"/>
        </w:rPr>
      </w:pPr>
    </w:p>
    <w:p w14:paraId="71DF5ECF" w14:textId="77777777" w:rsidR="00AB79A5" w:rsidRPr="000F5C13" w:rsidRDefault="00AB79A5" w:rsidP="00AB79A5">
      <w:pPr>
        <w:autoSpaceDE w:val="0"/>
        <w:autoSpaceDN w:val="0"/>
        <w:adjustRightInd w:val="0"/>
        <w:spacing w:after="0" w:line="240" w:lineRule="auto"/>
        <w:ind w:left="1843" w:right="237" w:hanging="1843"/>
        <w:jc w:val="both"/>
        <w:rPr>
          <w:rFonts w:ascii="Times New Roman" w:eastAsia="Batang" w:hAnsi="Times New Roman" w:cs="Times New Roman"/>
          <w:bCs/>
          <w:noProof/>
          <w:color w:val="000000"/>
          <w:sz w:val="24"/>
          <w:szCs w:val="24"/>
          <w:lang w:val="sq-AL" w:eastAsia="ko-KR"/>
        </w:rPr>
      </w:pPr>
      <w:r w:rsidRPr="000F5C13">
        <w:rPr>
          <w:rFonts w:ascii="Cambria" w:eastAsia="Batang" w:hAnsi="Cambria" w:cs="Times New Roman"/>
          <w:b/>
          <w:bCs/>
          <w:noProof/>
          <w:color w:val="000000"/>
          <w:sz w:val="24"/>
          <w:szCs w:val="24"/>
          <w:lang w:val="sq-AL" w:eastAsia="ko-KR"/>
        </w:rPr>
        <w:t>YMP</w:t>
      </w:r>
      <w:r w:rsidRPr="000F5C13">
        <w:rPr>
          <w:rFonts w:ascii="Times New Roman" w:eastAsia="Batang" w:hAnsi="Times New Roman" w:cs="Times New Roman"/>
          <w:b/>
          <w:bCs/>
          <w:noProof/>
          <w:color w:val="000000"/>
          <w:sz w:val="24"/>
          <w:szCs w:val="24"/>
          <w:lang w:val="sq-AL" w:eastAsia="ko-KR"/>
        </w:rPr>
        <w:tab/>
      </w:r>
      <w:r w:rsidRPr="000F5C13">
        <w:rPr>
          <w:rFonts w:ascii="Times New Roman" w:eastAsia="Batang" w:hAnsi="Times New Roman" w:cs="Times New Roman"/>
          <w:b/>
          <w:bCs/>
          <w:noProof/>
          <w:color w:val="000000"/>
          <w:sz w:val="24"/>
          <w:szCs w:val="24"/>
          <w:lang w:val="sq-AL" w:eastAsia="ko-KR"/>
        </w:rPr>
        <w:tab/>
      </w:r>
      <w:r w:rsidRPr="000F5C13">
        <w:rPr>
          <w:rFonts w:ascii="Times New Roman" w:eastAsia="Batang" w:hAnsi="Times New Roman" w:cs="Times New Roman"/>
          <w:b/>
          <w:bCs/>
          <w:noProof/>
          <w:color w:val="000000"/>
          <w:sz w:val="24"/>
          <w:szCs w:val="24"/>
          <w:lang w:val="sq-AL" w:eastAsia="ko-KR"/>
        </w:rPr>
        <w:tab/>
      </w:r>
      <w:r w:rsidRPr="000F5C13">
        <w:rPr>
          <w:rFonts w:ascii="Times New Roman" w:eastAsia="Batang" w:hAnsi="Times New Roman" w:cs="Times New Roman"/>
          <w:bCs/>
          <w:noProof/>
          <w:color w:val="000000"/>
          <w:sz w:val="24"/>
          <w:szCs w:val="24"/>
          <w:lang w:val="sq-AL" w:eastAsia="ko-KR"/>
        </w:rPr>
        <w:t>Yield-i Mesatar i Ponderuar</w:t>
      </w:r>
    </w:p>
    <w:p w14:paraId="71DF5ED0" w14:textId="77777777" w:rsidR="00AB79A5" w:rsidRPr="000F5C13" w:rsidRDefault="00AB79A5" w:rsidP="00AB79A5">
      <w:pPr>
        <w:autoSpaceDE w:val="0"/>
        <w:autoSpaceDN w:val="0"/>
        <w:adjustRightInd w:val="0"/>
        <w:spacing w:after="0" w:line="240" w:lineRule="auto"/>
        <w:ind w:left="284" w:right="237"/>
        <w:jc w:val="both"/>
        <w:rPr>
          <w:rFonts w:ascii="Times New Roman" w:eastAsia="Batang" w:hAnsi="Times New Roman" w:cs="Times New Roman"/>
          <w:bCs/>
          <w:noProof/>
          <w:color w:val="000000"/>
          <w:sz w:val="24"/>
          <w:szCs w:val="24"/>
          <w:lang w:val="sq-AL" w:eastAsia="ko-KR"/>
        </w:rPr>
      </w:pPr>
    </w:p>
    <w:p w14:paraId="71DF5ED1" w14:textId="77777777" w:rsidR="00AB79A5" w:rsidRPr="000F5C13" w:rsidRDefault="00AB79A5" w:rsidP="00AB79A5">
      <w:pPr>
        <w:autoSpaceDE w:val="0"/>
        <w:autoSpaceDN w:val="0"/>
        <w:adjustRightInd w:val="0"/>
        <w:spacing w:after="0" w:line="240" w:lineRule="auto"/>
        <w:ind w:left="284" w:right="237"/>
        <w:jc w:val="both"/>
        <w:rPr>
          <w:rFonts w:ascii="Times New Roman" w:eastAsia="Batang" w:hAnsi="Times New Roman" w:cs="Times New Roman"/>
          <w:bCs/>
          <w:noProof/>
          <w:color w:val="000000"/>
          <w:sz w:val="24"/>
          <w:szCs w:val="24"/>
          <w:lang w:val="sq-AL" w:eastAsia="ko-KR"/>
        </w:rPr>
      </w:pPr>
    </w:p>
    <w:p w14:paraId="71DF5ED2" w14:textId="77777777" w:rsidR="00AB79A5" w:rsidRPr="000F5C13" w:rsidRDefault="00AB79A5" w:rsidP="00AB79A5">
      <w:pPr>
        <w:autoSpaceDE w:val="0"/>
        <w:autoSpaceDN w:val="0"/>
        <w:adjustRightInd w:val="0"/>
        <w:spacing w:after="0" w:line="240" w:lineRule="auto"/>
        <w:ind w:left="284" w:right="237"/>
        <w:jc w:val="both"/>
        <w:rPr>
          <w:rFonts w:ascii="Times New Roman" w:eastAsia="Batang" w:hAnsi="Times New Roman" w:cs="Times New Roman"/>
          <w:bCs/>
          <w:noProof/>
          <w:color w:val="000000"/>
          <w:sz w:val="24"/>
          <w:szCs w:val="24"/>
          <w:lang w:val="sq-AL" w:eastAsia="ko-KR"/>
        </w:rPr>
      </w:pPr>
    </w:p>
    <w:p w14:paraId="71DF5ED3" w14:textId="77777777" w:rsidR="00AB79A5" w:rsidRPr="000F5C13" w:rsidRDefault="00AB79A5" w:rsidP="00AB79A5">
      <w:pPr>
        <w:autoSpaceDE w:val="0"/>
        <w:autoSpaceDN w:val="0"/>
        <w:adjustRightInd w:val="0"/>
        <w:spacing w:after="0" w:line="240" w:lineRule="auto"/>
        <w:ind w:left="284" w:right="237"/>
        <w:jc w:val="both"/>
        <w:rPr>
          <w:rFonts w:ascii="Times New Roman" w:eastAsia="Batang" w:hAnsi="Times New Roman" w:cs="Times New Roman"/>
          <w:bCs/>
          <w:noProof/>
          <w:color w:val="000000"/>
          <w:sz w:val="24"/>
          <w:szCs w:val="24"/>
          <w:lang w:val="sq-AL" w:eastAsia="ko-KR"/>
        </w:rPr>
      </w:pPr>
    </w:p>
    <w:p w14:paraId="71DF5ED4" w14:textId="77777777" w:rsidR="00AB79A5" w:rsidRPr="000F5C13" w:rsidRDefault="00AB79A5" w:rsidP="00AB79A5">
      <w:pPr>
        <w:tabs>
          <w:tab w:val="left" w:pos="0"/>
        </w:tabs>
        <w:spacing w:after="0" w:line="240" w:lineRule="auto"/>
        <w:ind w:right="270"/>
        <w:jc w:val="both"/>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lastRenderedPageBreak/>
        <w:t xml:space="preserve">Ankande shkëmbimi </w:t>
      </w:r>
      <w:r w:rsidRPr="000F5C13">
        <w:rPr>
          <w:rFonts w:ascii="Cambria" w:eastAsia="Times New Roman" w:hAnsi="Cambria" w:cs="Times New Roman"/>
          <w:b/>
          <w:i/>
          <w:noProof/>
          <w:sz w:val="24"/>
          <w:szCs w:val="24"/>
          <w:lang w:val="sq-AL"/>
        </w:rPr>
        <w:t xml:space="preserve">(exchange auctions) </w:t>
      </w:r>
      <w:r w:rsidRPr="000F5C13">
        <w:rPr>
          <w:rFonts w:ascii="Times New Roman" w:eastAsia="Times New Roman" w:hAnsi="Times New Roman" w:cs="Times New Roman"/>
          <w:b/>
          <w:noProof/>
          <w:sz w:val="24"/>
          <w:szCs w:val="24"/>
          <w:lang w:val="sq-AL"/>
        </w:rPr>
        <w:t>–</w:t>
      </w:r>
      <w:r w:rsidRPr="000F5C13">
        <w:rPr>
          <w:rFonts w:ascii="Times New Roman" w:eastAsia="Times New Roman" w:hAnsi="Times New Roman" w:cs="Times New Roman"/>
          <w:noProof/>
          <w:sz w:val="24"/>
          <w:szCs w:val="24"/>
          <w:lang w:val="sq-AL"/>
        </w:rPr>
        <w:t xml:space="preserve"> </w:t>
      </w:r>
      <w:r>
        <w:rPr>
          <w:rFonts w:ascii="Times New Roman" w:eastAsia="Times New Roman" w:hAnsi="Times New Roman" w:cs="Times New Roman"/>
          <w:noProof/>
          <w:sz w:val="24"/>
          <w:szCs w:val="24"/>
          <w:lang w:val="sq-AL"/>
        </w:rPr>
        <w:t>Parab</w:t>
      </w:r>
      <w:r w:rsidRPr="000F5C13">
        <w:rPr>
          <w:rFonts w:ascii="Times New Roman" w:eastAsia="Times New Roman" w:hAnsi="Times New Roman" w:cs="Times New Roman"/>
          <w:noProof/>
          <w:sz w:val="24"/>
          <w:szCs w:val="24"/>
          <w:lang w:val="sq-AL"/>
        </w:rPr>
        <w:t>lerja e titujve shtetërorë përpara datës së maturimit, ndërkohë që transaksioni kryhet duke e paguar mbajtësin e titullit</w:t>
      </w:r>
      <w:r>
        <w:rPr>
          <w:rFonts w:ascii="Times New Roman" w:eastAsia="Times New Roman" w:hAnsi="Times New Roman" w:cs="Times New Roman"/>
          <w:noProof/>
          <w:sz w:val="24"/>
          <w:szCs w:val="24"/>
          <w:lang w:val="sq-AL"/>
        </w:rPr>
        <w:t xml:space="preserve"> të parablerë</w:t>
      </w:r>
      <w:r w:rsidRPr="000F5C13">
        <w:rPr>
          <w:rFonts w:ascii="Times New Roman" w:eastAsia="Times New Roman" w:hAnsi="Times New Roman" w:cs="Times New Roman"/>
          <w:noProof/>
          <w:sz w:val="24"/>
          <w:szCs w:val="24"/>
          <w:lang w:val="sq-AL"/>
        </w:rPr>
        <w:t xml:space="preserve"> me një titull </w:t>
      </w:r>
      <w:r>
        <w:rPr>
          <w:rFonts w:ascii="Times New Roman" w:eastAsia="Times New Roman" w:hAnsi="Times New Roman" w:cs="Times New Roman"/>
          <w:noProof/>
          <w:sz w:val="24"/>
          <w:szCs w:val="24"/>
          <w:lang w:val="sq-AL"/>
        </w:rPr>
        <w:t>të emetuar rishtazi</w:t>
      </w:r>
      <w:r w:rsidRPr="000F5C13">
        <w:rPr>
          <w:rFonts w:ascii="Times New Roman" w:eastAsia="Times New Roman" w:hAnsi="Times New Roman" w:cs="Times New Roman"/>
          <w:noProof/>
          <w:sz w:val="24"/>
          <w:szCs w:val="24"/>
          <w:lang w:val="sq-AL"/>
        </w:rPr>
        <w:t>.</w:t>
      </w:r>
    </w:p>
    <w:p w14:paraId="71DF5ED5" w14:textId="77777777" w:rsidR="00AB79A5" w:rsidRPr="000F5C13" w:rsidRDefault="00AB79A5" w:rsidP="00AB79A5">
      <w:pPr>
        <w:tabs>
          <w:tab w:val="left" w:pos="360"/>
        </w:tabs>
        <w:autoSpaceDE w:val="0"/>
        <w:autoSpaceDN w:val="0"/>
        <w:adjustRightInd w:val="0"/>
        <w:spacing w:after="0" w:line="240" w:lineRule="auto"/>
        <w:ind w:right="270"/>
        <w:jc w:val="both"/>
        <w:rPr>
          <w:rFonts w:ascii="Times New Roman" w:eastAsia="Batang" w:hAnsi="Times New Roman" w:cs="Times New Roman"/>
          <w:i/>
          <w:noProof/>
          <w:sz w:val="24"/>
          <w:szCs w:val="24"/>
          <w:lang w:val="sq-AL" w:eastAsia="ko-KR"/>
        </w:rPr>
      </w:pPr>
    </w:p>
    <w:p w14:paraId="71DF5ED6" w14:textId="77777777" w:rsidR="00AB79A5" w:rsidRPr="000F5C13" w:rsidRDefault="00AB79A5" w:rsidP="00AB79A5">
      <w:pPr>
        <w:autoSpaceDE w:val="0"/>
        <w:autoSpaceDN w:val="0"/>
        <w:adjustRightInd w:val="0"/>
        <w:spacing w:after="0" w:line="23" w:lineRule="atLeast"/>
        <w:ind w:right="270"/>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Borxh</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Referuar si “Borxh Total” ose “Totali i detyrimeve të borxhit”, konsiston në të gjitha detyrimet që janë instrumente borxhi.</w:t>
      </w:r>
    </w:p>
    <w:p w14:paraId="71DF5ED7" w14:textId="77777777" w:rsidR="00AB79A5" w:rsidRPr="000F5C13" w:rsidRDefault="00AB79A5" w:rsidP="00AB79A5">
      <w:pPr>
        <w:tabs>
          <w:tab w:val="left" w:pos="360"/>
        </w:tabs>
        <w:autoSpaceDE w:val="0"/>
        <w:autoSpaceDN w:val="0"/>
        <w:adjustRightInd w:val="0"/>
        <w:spacing w:after="0" w:line="240" w:lineRule="auto"/>
        <w:ind w:right="238"/>
        <w:jc w:val="both"/>
        <w:rPr>
          <w:rFonts w:ascii="Times New Roman" w:eastAsia="Batang" w:hAnsi="Times New Roman" w:cs="Times New Roman"/>
          <w:i/>
          <w:noProof/>
          <w:sz w:val="24"/>
          <w:szCs w:val="24"/>
          <w:lang w:val="sq-AL" w:eastAsia="ko-KR"/>
        </w:rPr>
      </w:pPr>
    </w:p>
    <w:p w14:paraId="71DF5ED8"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Borxh afatgjatë</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Borxh me afat maturimi më të lartë se një vit.</w:t>
      </w:r>
    </w:p>
    <w:p w14:paraId="71DF5ED9" w14:textId="77777777" w:rsidR="00AB79A5" w:rsidRPr="000F5C13" w:rsidRDefault="00AB79A5" w:rsidP="00AB79A5">
      <w:pPr>
        <w:tabs>
          <w:tab w:val="left" w:pos="360"/>
        </w:tabs>
        <w:autoSpaceDE w:val="0"/>
        <w:autoSpaceDN w:val="0"/>
        <w:adjustRightInd w:val="0"/>
        <w:spacing w:after="0" w:line="240" w:lineRule="auto"/>
        <w:ind w:right="238"/>
        <w:jc w:val="both"/>
        <w:rPr>
          <w:rFonts w:ascii="Times New Roman" w:eastAsia="Batang" w:hAnsi="Times New Roman" w:cs="Times New Roman"/>
          <w:i/>
          <w:noProof/>
          <w:sz w:val="24"/>
          <w:szCs w:val="24"/>
          <w:lang w:val="sq-AL" w:eastAsia="ko-KR"/>
        </w:rPr>
      </w:pPr>
    </w:p>
    <w:p w14:paraId="71DF5EDA"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Borxh i brendshëm</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Detyrimet e borxhit të rezidentëve të një vendi ndaj rezidentëve të po atij vendi.</w:t>
      </w:r>
    </w:p>
    <w:p w14:paraId="71DF5EDB"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p>
    <w:p w14:paraId="71DF5EDC"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Borxh i jashtëm</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Detyrimet e borxhit të rezidentëve të një vendi ndaj jo rezidentëve.</w:t>
      </w:r>
    </w:p>
    <w:p w14:paraId="71DF5EDD"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p>
    <w:p w14:paraId="71DF5EDE"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Borxhi publik i garantuar</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Detyrimet e borxhit të sektorit publik dhe privat, shërbimi i të cilit është i garantuar me marrëveshje nga njësitë e sektorit publik.</w:t>
      </w:r>
    </w:p>
    <w:p w14:paraId="71DF5EDF" w14:textId="77777777" w:rsidR="00AB79A5" w:rsidRPr="000F5C13" w:rsidRDefault="00AB79A5" w:rsidP="00AB79A5">
      <w:pPr>
        <w:tabs>
          <w:tab w:val="left" w:pos="360"/>
        </w:tabs>
        <w:autoSpaceDE w:val="0"/>
        <w:autoSpaceDN w:val="0"/>
        <w:adjustRightInd w:val="0"/>
        <w:spacing w:after="0" w:line="240" w:lineRule="auto"/>
        <w:ind w:right="238"/>
        <w:jc w:val="both"/>
        <w:rPr>
          <w:rFonts w:ascii="Times New Roman" w:eastAsia="Batang" w:hAnsi="Times New Roman" w:cs="Times New Roman"/>
          <w:i/>
          <w:noProof/>
          <w:sz w:val="24"/>
          <w:szCs w:val="24"/>
          <w:lang w:val="sq-AL" w:eastAsia="ko-KR"/>
        </w:rPr>
      </w:pPr>
    </w:p>
    <w:p w14:paraId="71DF5EE0" w14:textId="77777777" w:rsidR="00AB79A5" w:rsidRPr="000F5C13" w:rsidRDefault="00AB79A5" w:rsidP="00AB79A5">
      <w:pPr>
        <w:tabs>
          <w:tab w:val="left" w:pos="360"/>
        </w:tabs>
        <w:autoSpaceDE w:val="0"/>
        <w:autoSpaceDN w:val="0"/>
        <w:adjustRightInd w:val="0"/>
        <w:spacing w:after="0" w:line="240" w:lineRule="auto"/>
        <w:ind w:right="238"/>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Buyback</w:t>
      </w:r>
      <w:r w:rsidRPr="000F5C13">
        <w:rPr>
          <w:rFonts w:ascii="Times New Roman" w:eastAsia="Batang" w:hAnsi="Times New Roman" w:cs="Times New Roman"/>
          <w:b/>
          <w:noProof/>
          <w:sz w:val="24"/>
          <w:szCs w:val="24"/>
          <w:lang w:val="sq-AL" w:eastAsia="ko-KR"/>
        </w:rPr>
        <w:t xml:space="preserve"> – </w:t>
      </w:r>
      <w:r>
        <w:rPr>
          <w:rFonts w:ascii="Times New Roman" w:eastAsia="Batang" w:hAnsi="Times New Roman" w:cs="Times New Roman"/>
          <w:noProof/>
          <w:sz w:val="24"/>
          <w:szCs w:val="24"/>
          <w:lang w:val="sq-AL" w:eastAsia="ko-KR"/>
        </w:rPr>
        <w:t>Është forma e ndërsjell</w:t>
      </w:r>
      <w:r w:rsidRPr="000F5C13">
        <w:rPr>
          <w:rFonts w:ascii="Times New Roman" w:eastAsia="Batang" w:hAnsi="Times New Roman" w:cs="Times New Roman"/>
          <w:noProof/>
          <w:sz w:val="24"/>
          <w:szCs w:val="24"/>
          <w:lang w:val="sq-AL" w:eastAsia="ko-KR"/>
        </w:rPr>
        <w:t>ë e emetimit të titujve shtetërorë</w:t>
      </w:r>
      <w:r>
        <w:rPr>
          <w:rFonts w:ascii="Times New Roman" w:eastAsia="Batang" w:hAnsi="Times New Roman" w:cs="Times New Roman"/>
          <w:noProof/>
          <w:sz w:val="24"/>
          <w:szCs w:val="24"/>
          <w:lang w:val="sq-AL" w:eastAsia="ko-KR"/>
        </w:rPr>
        <w:t>,</w:t>
      </w:r>
      <w:r w:rsidRPr="000F5C13">
        <w:rPr>
          <w:rFonts w:ascii="Times New Roman" w:eastAsia="Batang" w:hAnsi="Times New Roman" w:cs="Times New Roman"/>
          <w:noProof/>
          <w:sz w:val="24"/>
          <w:szCs w:val="24"/>
          <w:lang w:val="sq-AL" w:eastAsia="ko-KR"/>
        </w:rPr>
        <w:t xml:space="preserve"> e cila </w:t>
      </w:r>
      <w:r>
        <w:rPr>
          <w:rFonts w:ascii="Times New Roman" w:eastAsia="Batang" w:hAnsi="Times New Roman" w:cs="Times New Roman"/>
          <w:noProof/>
          <w:sz w:val="24"/>
          <w:szCs w:val="24"/>
          <w:lang w:val="sq-AL" w:eastAsia="ko-KR"/>
        </w:rPr>
        <w:t>mundëson</w:t>
      </w:r>
      <w:r w:rsidRPr="000F5C13">
        <w:rPr>
          <w:rFonts w:ascii="Times New Roman" w:eastAsia="Batang" w:hAnsi="Times New Roman" w:cs="Times New Roman"/>
          <w:noProof/>
          <w:sz w:val="24"/>
          <w:szCs w:val="24"/>
          <w:lang w:val="sq-AL" w:eastAsia="ko-KR"/>
        </w:rPr>
        <w:t xml:space="preserve"> matur</w:t>
      </w:r>
      <w:r>
        <w:rPr>
          <w:rFonts w:ascii="Times New Roman" w:eastAsia="Batang" w:hAnsi="Times New Roman" w:cs="Times New Roman"/>
          <w:noProof/>
          <w:sz w:val="24"/>
          <w:szCs w:val="24"/>
          <w:lang w:val="sq-AL" w:eastAsia="ko-KR"/>
        </w:rPr>
        <w:t>imin e</w:t>
      </w:r>
      <w:r w:rsidRPr="000F5C13">
        <w:rPr>
          <w:rFonts w:ascii="Times New Roman" w:eastAsia="Batang" w:hAnsi="Times New Roman" w:cs="Times New Roman"/>
          <w:noProof/>
          <w:sz w:val="24"/>
          <w:szCs w:val="24"/>
          <w:lang w:val="sq-AL" w:eastAsia="ko-KR"/>
        </w:rPr>
        <w:t xml:space="preserve"> p</w:t>
      </w:r>
      <w:r>
        <w:rPr>
          <w:rFonts w:ascii="Times New Roman" w:eastAsia="Batang" w:hAnsi="Times New Roman" w:cs="Times New Roman"/>
          <w:noProof/>
          <w:sz w:val="24"/>
          <w:szCs w:val="24"/>
          <w:lang w:val="sq-AL" w:eastAsia="ko-KR"/>
        </w:rPr>
        <w:t>arakohëshëm</w:t>
      </w:r>
      <w:r w:rsidRPr="000F5C13">
        <w:rPr>
          <w:rFonts w:ascii="Times New Roman" w:eastAsia="Batang" w:hAnsi="Times New Roman" w:cs="Times New Roman"/>
          <w:noProof/>
          <w:sz w:val="24"/>
          <w:szCs w:val="24"/>
          <w:lang w:val="sq-AL" w:eastAsia="ko-KR"/>
        </w:rPr>
        <w:t xml:space="preserve"> </w:t>
      </w:r>
      <w:r>
        <w:rPr>
          <w:rFonts w:ascii="Times New Roman" w:eastAsia="Batang" w:hAnsi="Times New Roman" w:cs="Times New Roman"/>
          <w:noProof/>
          <w:sz w:val="24"/>
          <w:szCs w:val="24"/>
          <w:lang w:val="sq-AL" w:eastAsia="ko-KR"/>
        </w:rPr>
        <w:t xml:space="preserve">të </w:t>
      </w:r>
      <w:r w:rsidRPr="000F5C13">
        <w:rPr>
          <w:rFonts w:ascii="Times New Roman" w:eastAsia="Batang" w:hAnsi="Times New Roman" w:cs="Times New Roman"/>
          <w:noProof/>
          <w:sz w:val="24"/>
          <w:szCs w:val="24"/>
          <w:lang w:val="sq-AL" w:eastAsia="ko-KR"/>
        </w:rPr>
        <w:t>një titull shtetëror.</w:t>
      </w:r>
    </w:p>
    <w:p w14:paraId="71DF5EE1" w14:textId="77777777" w:rsidR="00AB79A5" w:rsidRPr="000F5C13" w:rsidRDefault="00AB79A5" w:rsidP="00AB79A5">
      <w:pPr>
        <w:tabs>
          <w:tab w:val="left" w:pos="360"/>
        </w:tabs>
        <w:autoSpaceDE w:val="0"/>
        <w:autoSpaceDN w:val="0"/>
        <w:adjustRightInd w:val="0"/>
        <w:spacing w:after="0" w:line="240" w:lineRule="auto"/>
        <w:ind w:right="238"/>
        <w:jc w:val="both"/>
        <w:rPr>
          <w:rFonts w:ascii="Times New Roman" w:eastAsia="Batang" w:hAnsi="Times New Roman" w:cs="Times New Roman"/>
          <w:b/>
          <w:noProof/>
          <w:sz w:val="24"/>
          <w:szCs w:val="24"/>
          <w:lang w:val="sq-AL" w:eastAsia="ko-KR"/>
        </w:rPr>
      </w:pPr>
    </w:p>
    <w:p w14:paraId="71DF5EE2"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Disbursim</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Transaksioni i vënies në dispozicion të burimeve financiare.</w:t>
      </w:r>
    </w:p>
    <w:p w14:paraId="71DF5EE3"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p>
    <w:p w14:paraId="71DF5EE4" w14:textId="77777777" w:rsidR="00AB79A5" w:rsidRPr="000F5C13" w:rsidRDefault="00AB79A5" w:rsidP="00AB79A5">
      <w:pPr>
        <w:autoSpaceDE w:val="0"/>
        <w:autoSpaceDN w:val="0"/>
        <w:adjustRightInd w:val="0"/>
        <w:spacing w:after="0" w:line="23" w:lineRule="atLeast"/>
        <w:ind w:right="238"/>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Eurobond</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Një obligacion (</w:t>
      </w:r>
      <w:r w:rsidRPr="000F5C13">
        <w:rPr>
          <w:rFonts w:ascii="Times New Roman" w:eastAsia="Batang" w:hAnsi="Times New Roman" w:cs="Times New Roman"/>
          <w:i/>
          <w:noProof/>
          <w:color w:val="000000"/>
          <w:sz w:val="24"/>
          <w:szCs w:val="24"/>
          <w:lang w:val="sq-AL"/>
        </w:rPr>
        <w:t>titull financiar</w:t>
      </w:r>
      <w:r w:rsidRPr="000F5C13">
        <w:rPr>
          <w:rFonts w:ascii="Times New Roman" w:eastAsia="Batang" w:hAnsi="Times New Roman" w:cs="Times New Roman"/>
          <w:noProof/>
          <w:color w:val="000000"/>
          <w:sz w:val="24"/>
          <w:szCs w:val="24"/>
          <w:lang w:val="sq-AL"/>
        </w:rPr>
        <w:t>) me afat maturimi më shumë se një vit i emetuar dhe tregtuar në tregjet ndërkombëtare financiare, jashtë kufijve të vendit që e emeton atë.</w:t>
      </w:r>
    </w:p>
    <w:p w14:paraId="71DF5EE5" w14:textId="77777777" w:rsidR="00AB79A5" w:rsidRPr="000F5C13" w:rsidRDefault="00AB79A5" w:rsidP="00AB79A5">
      <w:pPr>
        <w:tabs>
          <w:tab w:val="left" w:pos="360"/>
        </w:tabs>
        <w:autoSpaceDE w:val="0"/>
        <w:autoSpaceDN w:val="0"/>
        <w:adjustRightInd w:val="0"/>
        <w:spacing w:after="0" w:line="240" w:lineRule="auto"/>
        <w:ind w:right="270"/>
        <w:jc w:val="both"/>
        <w:rPr>
          <w:rFonts w:ascii="Times New Roman" w:eastAsia="Batang" w:hAnsi="Times New Roman" w:cs="Times New Roman"/>
          <w:b/>
          <w:noProof/>
          <w:color w:val="800000"/>
          <w:sz w:val="28"/>
          <w:szCs w:val="28"/>
          <w:lang w:val="sq-AL" w:eastAsia="ko-KR"/>
        </w:rPr>
      </w:pPr>
    </w:p>
    <w:p w14:paraId="71DF5EE6" w14:textId="77777777" w:rsidR="00AB79A5" w:rsidRPr="000F5C13" w:rsidRDefault="00AB79A5" w:rsidP="00AB79A5">
      <w:pPr>
        <w:tabs>
          <w:tab w:val="left" w:pos="360"/>
        </w:tabs>
        <w:spacing w:after="0" w:line="240" w:lineRule="auto"/>
        <w:ind w:right="270"/>
        <w:jc w:val="both"/>
        <w:rPr>
          <w:rFonts w:ascii="Times New Roman" w:eastAsia="Batang" w:hAnsi="Times New Roman" w:cs="Times New Roman"/>
          <w:noProof/>
          <w:sz w:val="24"/>
          <w:szCs w:val="24"/>
          <w:lang w:val="sq-AL"/>
        </w:rPr>
      </w:pPr>
      <w:r w:rsidRPr="000F5C13">
        <w:rPr>
          <w:rFonts w:ascii="Cambria" w:eastAsia="Times New Roman" w:hAnsi="Cambria" w:cs="Times New Roman"/>
          <w:b/>
          <w:noProof/>
          <w:sz w:val="24"/>
          <w:szCs w:val="24"/>
          <w:lang w:val="sq-AL"/>
        </w:rPr>
        <w:t xml:space="preserve">Kreditor dypalësh </w:t>
      </w:r>
      <w:r w:rsidRPr="000F5C13">
        <w:rPr>
          <w:rFonts w:ascii="Times New Roman" w:eastAsia="Batang" w:hAnsi="Times New Roman" w:cs="Times New Roman"/>
          <w:b/>
          <w:noProof/>
          <w:sz w:val="24"/>
          <w:szCs w:val="24"/>
          <w:lang w:val="sq-AL" w:eastAsia="ko-KR"/>
        </w:rPr>
        <w:t xml:space="preserve">– </w:t>
      </w:r>
      <w:r w:rsidRPr="000F5C13">
        <w:rPr>
          <w:rFonts w:ascii="Times New Roman" w:eastAsia="Batang" w:hAnsi="Times New Roman" w:cs="Times New Roman"/>
          <w:noProof/>
          <w:sz w:val="24"/>
          <w:szCs w:val="24"/>
          <w:lang w:val="sq-AL"/>
        </w:rPr>
        <w:t>Tipi i kreditorëve si qeveritë dhe agjencitë e tyre.</w:t>
      </w:r>
    </w:p>
    <w:p w14:paraId="71DF5EE7" w14:textId="77777777" w:rsidR="00AB79A5" w:rsidRPr="000F5C13" w:rsidRDefault="00AB79A5" w:rsidP="00AB79A5">
      <w:pPr>
        <w:tabs>
          <w:tab w:val="left" w:pos="360"/>
        </w:tabs>
        <w:spacing w:after="0" w:line="240" w:lineRule="auto"/>
        <w:ind w:right="270"/>
        <w:jc w:val="both"/>
        <w:rPr>
          <w:rFonts w:ascii="Times New Roman" w:eastAsia="Batang" w:hAnsi="Times New Roman" w:cs="Times New Roman"/>
          <w:noProof/>
          <w:sz w:val="24"/>
          <w:szCs w:val="24"/>
          <w:lang w:val="sq-AL"/>
        </w:rPr>
      </w:pPr>
    </w:p>
    <w:p w14:paraId="71DF5EE8" w14:textId="77777777" w:rsidR="00AB79A5" w:rsidRPr="000F5C13" w:rsidRDefault="00AB79A5" w:rsidP="00AB79A5">
      <w:pPr>
        <w:spacing w:after="0" w:line="23" w:lineRule="atLeast"/>
        <w:jc w:val="both"/>
        <w:rPr>
          <w:rFonts w:ascii="Times New Roman" w:eastAsia="Batang" w:hAnsi="Times New Roman" w:cs="Times New Roman"/>
          <w:noProof/>
          <w:color w:val="000000"/>
          <w:sz w:val="24"/>
          <w:szCs w:val="24"/>
          <w:lang w:val="sq-AL"/>
        </w:rPr>
      </w:pPr>
      <w:r w:rsidRPr="000F5C13">
        <w:rPr>
          <w:rFonts w:ascii="Cambria" w:eastAsia="Batang" w:hAnsi="Cambria" w:cs="Times New Roman"/>
          <w:b/>
          <w:noProof/>
          <w:color w:val="000000"/>
          <w:sz w:val="24"/>
          <w:szCs w:val="24"/>
          <w:lang w:val="sq-AL"/>
        </w:rPr>
        <w:t>Kredi koncesionale</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color w:val="000000"/>
          <w:sz w:val="24"/>
          <w:szCs w:val="24"/>
          <w:lang w:val="sq-AL"/>
        </w:rPr>
        <w:t>Kredi me terma më të favorshme se ato të tregut.</w:t>
      </w:r>
    </w:p>
    <w:p w14:paraId="71DF5EE9" w14:textId="77777777" w:rsidR="00AB79A5" w:rsidRPr="000F5C13" w:rsidRDefault="00AB79A5" w:rsidP="00AB79A5">
      <w:pPr>
        <w:tabs>
          <w:tab w:val="left" w:pos="360"/>
        </w:tabs>
        <w:spacing w:after="0" w:line="240" w:lineRule="auto"/>
        <w:ind w:right="270"/>
        <w:jc w:val="both"/>
        <w:rPr>
          <w:rFonts w:ascii="Times New Roman" w:eastAsia="Batang" w:hAnsi="Times New Roman" w:cs="Times New Roman"/>
          <w:noProof/>
          <w:sz w:val="24"/>
          <w:szCs w:val="24"/>
          <w:lang w:val="sq-AL"/>
        </w:rPr>
      </w:pPr>
    </w:p>
    <w:p w14:paraId="71DF5EEA" w14:textId="77777777" w:rsidR="00AB79A5" w:rsidRPr="000F5C13" w:rsidRDefault="00AB79A5" w:rsidP="00AB79A5">
      <w:pPr>
        <w:tabs>
          <w:tab w:val="left" w:pos="360"/>
        </w:tabs>
        <w:spacing w:after="0" w:line="240" w:lineRule="auto"/>
        <w:ind w:right="270"/>
        <w:jc w:val="both"/>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t>Kreditor shumëpalësh</w:t>
      </w:r>
      <w:r w:rsidRPr="000F5C13">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noProof/>
          <w:sz w:val="24"/>
          <w:szCs w:val="24"/>
          <w:lang w:val="sq-AL"/>
        </w:rPr>
        <w:t xml:space="preserve"> Tipi i kreditorëve </w:t>
      </w:r>
      <w:r>
        <w:rPr>
          <w:rFonts w:ascii="Times New Roman" w:eastAsia="Times New Roman" w:hAnsi="Times New Roman" w:cs="Times New Roman"/>
          <w:noProof/>
          <w:sz w:val="24"/>
          <w:szCs w:val="24"/>
          <w:lang w:val="sq-AL"/>
        </w:rPr>
        <w:t>q</w:t>
      </w:r>
      <w:r w:rsidR="006F6087">
        <w:rPr>
          <w:rFonts w:ascii="Times New Roman" w:eastAsia="Times New Roman" w:hAnsi="Times New Roman" w:cs="Times New Roman"/>
          <w:noProof/>
          <w:sz w:val="24"/>
          <w:szCs w:val="24"/>
          <w:lang w:val="sq-AL"/>
        </w:rPr>
        <w:t>ë</w:t>
      </w:r>
      <w:r w:rsidRPr="000F5C13">
        <w:rPr>
          <w:rFonts w:ascii="Times New Roman" w:eastAsia="Times New Roman" w:hAnsi="Times New Roman" w:cs="Times New Roman"/>
          <w:noProof/>
          <w:sz w:val="24"/>
          <w:szCs w:val="24"/>
          <w:lang w:val="sq-AL"/>
        </w:rPr>
        <w:t xml:space="preserve"> përfshi</w:t>
      </w:r>
      <w:r>
        <w:rPr>
          <w:rFonts w:ascii="Times New Roman" w:eastAsia="Times New Roman" w:hAnsi="Times New Roman" w:cs="Times New Roman"/>
          <w:noProof/>
          <w:sz w:val="24"/>
          <w:szCs w:val="24"/>
          <w:lang w:val="sq-AL"/>
        </w:rPr>
        <w:t>n</w:t>
      </w:r>
      <w:r w:rsidRPr="000F5C13">
        <w:rPr>
          <w:rFonts w:ascii="Times New Roman" w:eastAsia="Times New Roman" w:hAnsi="Times New Roman" w:cs="Times New Roman"/>
          <w:noProof/>
          <w:sz w:val="24"/>
          <w:szCs w:val="24"/>
          <w:lang w:val="sq-AL"/>
        </w:rPr>
        <w:t>ë institucionet financiare si Banka Botërore, FMN, etj..</w:t>
      </w:r>
    </w:p>
    <w:p w14:paraId="71DF5EEB" w14:textId="77777777" w:rsidR="00AB79A5" w:rsidRPr="000F5C13" w:rsidRDefault="00AB79A5" w:rsidP="00AB79A5">
      <w:pPr>
        <w:tabs>
          <w:tab w:val="left" w:pos="360"/>
        </w:tabs>
        <w:autoSpaceDE w:val="0"/>
        <w:autoSpaceDN w:val="0"/>
        <w:adjustRightInd w:val="0"/>
        <w:spacing w:after="0" w:line="240" w:lineRule="auto"/>
        <w:ind w:right="270"/>
        <w:jc w:val="both"/>
        <w:rPr>
          <w:rFonts w:ascii="Times New Roman" w:eastAsia="Batang" w:hAnsi="Times New Roman" w:cs="Times New Roman"/>
          <w:b/>
          <w:noProof/>
          <w:color w:val="800000"/>
          <w:sz w:val="28"/>
          <w:szCs w:val="28"/>
          <w:lang w:val="sq-AL" w:eastAsia="ko-KR"/>
        </w:rPr>
      </w:pPr>
    </w:p>
    <w:p w14:paraId="71DF5EEC" w14:textId="77777777" w:rsidR="00AB79A5" w:rsidRPr="000F5C13" w:rsidRDefault="00AB79A5" w:rsidP="00AB79A5">
      <w:pPr>
        <w:tabs>
          <w:tab w:val="left" w:pos="9498"/>
        </w:tabs>
        <w:autoSpaceDE w:val="0"/>
        <w:autoSpaceDN w:val="0"/>
        <w:adjustRightInd w:val="0"/>
        <w:spacing w:after="0" w:line="23" w:lineRule="atLeast"/>
        <w:ind w:right="270"/>
        <w:jc w:val="both"/>
        <w:rPr>
          <w:rFonts w:ascii="Times New Roman" w:eastAsia="Batang" w:hAnsi="Times New Roman" w:cs="Times New Roman"/>
          <w:noProof/>
          <w:sz w:val="24"/>
          <w:szCs w:val="24"/>
          <w:lang w:val="sq-AL"/>
        </w:rPr>
      </w:pPr>
      <w:r w:rsidRPr="000F5C13">
        <w:rPr>
          <w:rFonts w:ascii="Cambria" w:eastAsia="Batang" w:hAnsi="Cambria" w:cs="Times New Roman"/>
          <w:b/>
          <w:noProof/>
          <w:sz w:val="24"/>
          <w:szCs w:val="24"/>
          <w:lang w:val="sq-AL"/>
        </w:rPr>
        <w:t>Kreditorë privatë</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rPr>
        <w:t xml:space="preserve">Kreditorët që nuk janë as </w:t>
      </w:r>
      <w:r>
        <w:rPr>
          <w:rFonts w:ascii="Times New Roman" w:eastAsia="Batang" w:hAnsi="Times New Roman" w:cs="Times New Roman"/>
          <w:noProof/>
          <w:sz w:val="24"/>
          <w:szCs w:val="24"/>
          <w:lang w:val="sq-AL"/>
        </w:rPr>
        <w:t>q</w:t>
      </w:r>
      <w:r w:rsidRPr="000F5C13">
        <w:rPr>
          <w:rFonts w:ascii="Times New Roman" w:eastAsia="Batang" w:hAnsi="Times New Roman" w:cs="Times New Roman"/>
          <w:noProof/>
          <w:sz w:val="24"/>
          <w:szCs w:val="24"/>
          <w:lang w:val="sq-AL"/>
        </w:rPr>
        <w:t xml:space="preserve">everi </w:t>
      </w:r>
      <w:r>
        <w:rPr>
          <w:rFonts w:ascii="Times New Roman" w:eastAsia="Batang" w:hAnsi="Times New Roman" w:cs="Times New Roman"/>
          <w:noProof/>
          <w:sz w:val="24"/>
          <w:szCs w:val="24"/>
          <w:lang w:val="sq-AL"/>
        </w:rPr>
        <w:t xml:space="preserve">dhe </w:t>
      </w:r>
      <w:r w:rsidRPr="000F5C13">
        <w:rPr>
          <w:rFonts w:ascii="Times New Roman" w:eastAsia="Batang" w:hAnsi="Times New Roman" w:cs="Times New Roman"/>
          <w:noProof/>
          <w:sz w:val="24"/>
          <w:szCs w:val="24"/>
          <w:lang w:val="sq-AL"/>
        </w:rPr>
        <w:t xml:space="preserve">as agjenci të sektorit </w:t>
      </w:r>
      <w:r>
        <w:rPr>
          <w:rFonts w:ascii="Times New Roman" w:eastAsia="Batang" w:hAnsi="Times New Roman" w:cs="Times New Roman"/>
          <w:noProof/>
          <w:sz w:val="24"/>
          <w:szCs w:val="24"/>
          <w:lang w:val="sq-AL"/>
        </w:rPr>
        <w:t>p</w:t>
      </w:r>
      <w:r w:rsidRPr="000F5C13">
        <w:rPr>
          <w:rFonts w:ascii="Times New Roman" w:eastAsia="Batang" w:hAnsi="Times New Roman" w:cs="Times New Roman"/>
          <w:noProof/>
          <w:sz w:val="24"/>
          <w:szCs w:val="24"/>
          <w:lang w:val="sq-AL"/>
        </w:rPr>
        <w:t>ublik. Këto përfshijnë mbajtësit privatë të titujve shtetërorë, bankat private dhe institucionet e tjera financiare.</w:t>
      </w:r>
    </w:p>
    <w:p w14:paraId="71DF5EED" w14:textId="77777777" w:rsidR="00AB79A5" w:rsidRPr="000F5C13" w:rsidRDefault="00AB79A5" w:rsidP="00AB79A5">
      <w:pPr>
        <w:tabs>
          <w:tab w:val="left" w:pos="9498"/>
        </w:tabs>
        <w:autoSpaceDE w:val="0"/>
        <w:autoSpaceDN w:val="0"/>
        <w:adjustRightInd w:val="0"/>
        <w:spacing w:after="0" w:line="23" w:lineRule="atLeast"/>
        <w:ind w:right="270"/>
        <w:jc w:val="both"/>
        <w:rPr>
          <w:rFonts w:ascii="Times New Roman" w:eastAsia="Batang" w:hAnsi="Times New Roman" w:cs="Times New Roman"/>
          <w:noProof/>
          <w:sz w:val="24"/>
          <w:szCs w:val="24"/>
          <w:lang w:val="sq-AL"/>
        </w:rPr>
      </w:pPr>
    </w:p>
    <w:p w14:paraId="71DF5EEE" w14:textId="77777777" w:rsidR="00AB79A5" w:rsidRPr="000F5C13" w:rsidRDefault="00AB79A5" w:rsidP="00AB79A5">
      <w:pPr>
        <w:tabs>
          <w:tab w:val="left" w:pos="360"/>
        </w:tabs>
        <w:autoSpaceDE w:val="0"/>
        <w:autoSpaceDN w:val="0"/>
        <w:adjustRightInd w:val="0"/>
        <w:spacing w:after="0" w:line="240" w:lineRule="auto"/>
        <w:ind w:right="270"/>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sz w:val="24"/>
          <w:szCs w:val="24"/>
          <w:lang w:val="sq-AL" w:eastAsia="ko-KR"/>
        </w:rPr>
        <w:t>KMM</w:t>
      </w:r>
      <w:r w:rsidRPr="000F5C13">
        <w:rPr>
          <w:rFonts w:ascii="Times New Roman" w:eastAsia="Batang" w:hAnsi="Times New Roman" w:cs="Times New Roman"/>
          <w:b/>
          <w:i/>
          <w:noProof/>
          <w:sz w:val="24"/>
          <w:szCs w:val="24"/>
          <w:lang w:val="sq-AL" w:eastAsia="ko-KR"/>
        </w:rPr>
        <w:t xml:space="preserve"> </w:t>
      </w:r>
      <w:r w:rsidRPr="000F5C13">
        <w:rPr>
          <w:rFonts w:ascii="Times New Roman" w:eastAsia="Batang" w:hAnsi="Times New Roman" w:cs="Times New Roman"/>
          <w:b/>
          <w:noProof/>
          <w:color w:val="000000"/>
          <w:sz w:val="24"/>
          <w:szCs w:val="24"/>
          <w:lang w:val="sq-AL" w:eastAsia="ko-KR"/>
        </w:rPr>
        <w:t>–</w:t>
      </w:r>
      <w:r w:rsidRPr="000F5C13">
        <w:rPr>
          <w:rFonts w:ascii="Times New Roman" w:eastAsia="Batang" w:hAnsi="Times New Roman" w:cs="Times New Roman"/>
          <w:noProof/>
          <w:color w:val="000000"/>
          <w:sz w:val="24"/>
          <w:szCs w:val="24"/>
          <w:lang w:val="sq-AL" w:eastAsia="ko-KR"/>
        </w:rPr>
        <w:t xml:space="preserve"> Tregues i riskut të ri-financimit për borxhin. KMM është periudha mesatare e shprehur në ditë ose në vite, që i duhet portofolit të borxhit për t’u maturuar. Sa më larg në kohë të jetë e projektuar data e maturimit të një instrumenti, aq më i ulët është risku i ri-financimit dhe aq më e lartë është vlera e këtij treguesi. KMM për instrumentet financiarë të borxhit përllogaritet sipas formulës së mëposhtme:</w:t>
      </w:r>
    </w:p>
    <w:p w14:paraId="71DF5EEF" w14:textId="77777777" w:rsidR="00AB79A5" w:rsidRPr="000F5C13" w:rsidRDefault="00AB79A5" w:rsidP="00AB79A5">
      <w:pPr>
        <w:tabs>
          <w:tab w:val="left" w:pos="360"/>
        </w:tabs>
        <w:autoSpaceDE w:val="0"/>
        <w:autoSpaceDN w:val="0"/>
        <w:adjustRightInd w:val="0"/>
        <w:spacing w:after="0" w:line="240" w:lineRule="auto"/>
        <w:ind w:left="270" w:right="270"/>
        <w:jc w:val="both"/>
        <w:rPr>
          <w:rFonts w:ascii="Times New Roman" w:eastAsia="Batang" w:hAnsi="Times New Roman" w:cs="Times New Roman"/>
          <w:noProof/>
          <w:color w:val="000000"/>
          <w:sz w:val="24"/>
          <w:szCs w:val="24"/>
          <w:u w:val="single"/>
          <w:lang w:val="sq-AL" w:eastAsia="ko-KR"/>
        </w:rPr>
      </w:pPr>
      <m:oMathPara>
        <m:oMath>
          <m:r>
            <m:rPr>
              <m:sty m:val="p"/>
            </m:rPr>
            <w:rPr>
              <w:rFonts w:ascii="Cambria Math" w:eastAsia="Batang" w:hAnsi="Cambria Math" w:cs="Cambria Math"/>
              <w:noProof/>
              <w:color w:val="000000"/>
              <w:sz w:val="24"/>
              <w:szCs w:val="24"/>
              <w:lang w:val="sq-AL" w:eastAsia="ko-KR"/>
            </w:rPr>
            <m:t>KMM=</m:t>
          </m:r>
          <m:f>
            <m:fPr>
              <m:ctrlPr>
                <w:rPr>
                  <w:rFonts w:ascii="Cambria Math" w:eastAsia="Batang" w:hAnsi="Cambria Math" w:cs="Times New Roman"/>
                  <w:noProof/>
                  <w:color w:val="000000"/>
                  <w:sz w:val="24"/>
                  <w:szCs w:val="24"/>
                  <w:lang w:val="sq-AL" w:eastAsia="ko-KR"/>
                </w:rPr>
              </m:ctrlPr>
            </m:fPr>
            <m:num>
              <m:r>
                <m:rPr>
                  <m:sty m:val="p"/>
                </m:rPr>
                <w:rPr>
                  <w:rFonts w:ascii="Cambria Math" w:eastAsia="Batang" w:hAnsi="Cambria Math" w:cs="Times New Roman"/>
                  <w:noProof/>
                  <w:color w:val="000000"/>
                  <w:sz w:val="24"/>
                  <w:szCs w:val="24"/>
                  <w:lang w:val="sq-AL" w:eastAsia="ko-KR"/>
                </w:rPr>
                <m:t xml:space="preserve">  </m:t>
              </m:r>
              <m:nary>
                <m:naryPr>
                  <m:chr m:val="∑"/>
                  <m:grow m:val="1"/>
                  <m:ctrlPr>
                    <w:rPr>
                      <w:rFonts w:ascii="Cambria Math" w:eastAsia="Batang" w:hAnsi="Cambria Math" w:cs="Cambria Math"/>
                      <w:noProof/>
                      <w:color w:val="000000"/>
                      <w:sz w:val="24"/>
                      <w:szCs w:val="24"/>
                      <w:lang w:val="sq-AL" w:eastAsia="ko-KR"/>
                    </w:rPr>
                  </m:ctrlPr>
                </m:naryPr>
                <m:sub>
                  <m:r>
                    <w:rPr>
                      <w:rFonts w:ascii="Cambria Math" w:eastAsia="Cambria Math" w:hAnsi="Cambria Math" w:cs="Cambria Math"/>
                      <w:noProof/>
                      <w:color w:val="000000"/>
                      <w:sz w:val="24"/>
                      <w:szCs w:val="24"/>
                      <w:lang w:val="sq-AL" w:eastAsia="ko-KR"/>
                    </w:rPr>
                    <m:t>t∈T</m:t>
                  </m:r>
                </m:sub>
                <m:sup/>
                <m:e>
                  <m:r>
                    <m:rPr>
                      <m:sty m:val="p"/>
                    </m:rPr>
                    <w:rPr>
                      <w:rFonts w:ascii="Cambria Math" w:eastAsia="Batang" w:hAnsi="Cambria Math" w:cs="Cambria Math"/>
                      <w:noProof/>
                      <w:color w:val="000000"/>
                      <w:sz w:val="24"/>
                      <w:szCs w:val="24"/>
                      <w:lang w:val="sq-AL" w:eastAsia="ko-KR"/>
                    </w:rPr>
                    <m:t xml:space="preserve"> </m:t>
                  </m:r>
                </m:e>
              </m:nary>
              <m:r>
                <w:rPr>
                  <w:rFonts w:ascii="Cambria Math" w:eastAsia="Batang" w:hAnsi="Cambria Math" w:cs="Cambria Math"/>
                  <w:noProof/>
                  <w:color w:val="000000"/>
                  <w:sz w:val="24"/>
                  <w:szCs w:val="24"/>
                  <w:lang w:val="sq-AL" w:eastAsia="ko-KR"/>
                </w:rPr>
                <m:t>t Nt</m:t>
              </m:r>
            </m:num>
            <m:den>
              <m:nary>
                <m:naryPr>
                  <m:chr m:val="∑"/>
                  <m:grow m:val="1"/>
                  <m:ctrlPr>
                    <w:rPr>
                      <w:rFonts w:ascii="Cambria Math" w:eastAsia="Batang" w:hAnsi="Cambria Math" w:cs="Cambria Math"/>
                      <w:noProof/>
                      <w:color w:val="000000"/>
                      <w:sz w:val="24"/>
                      <w:szCs w:val="24"/>
                      <w:lang w:val="sq-AL" w:eastAsia="ko-KR"/>
                    </w:rPr>
                  </m:ctrlPr>
                </m:naryPr>
                <m:sub>
                  <m:r>
                    <w:rPr>
                      <w:rFonts w:ascii="Cambria Math" w:eastAsia="Cambria Math" w:hAnsi="Cambria Math" w:cs="Cambria Math"/>
                      <w:noProof/>
                      <w:color w:val="000000"/>
                      <w:sz w:val="24"/>
                      <w:szCs w:val="24"/>
                      <w:lang w:val="sq-AL" w:eastAsia="ko-KR"/>
                    </w:rPr>
                    <m:t>t∈T</m:t>
                  </m:r>
                </m:sub>
                <m:sup/>
                <m:e>
                  <m:r>
                    <m:rPr>
                      <m:sty m:val="p"/>
                    </m:rPr>
                    <w:rPr>
                      <w:rFonts w:ascii="Cambria Math" w:eastAsia="Batang" w:hAnsi="Cambria Math" w:cs="Cambria Math"/>
                      <w:noProof/>
                      <w:color w:val="000000"/>
                      <w:sz w:val="24"/>
                      <w:szCs w:val="24"/>
                      <w:lang w:val="sq-AL" w:eastAsia="ko-KR"/>
                    </w:rPr>
                    <m:t xml:space="preserve"> </m:t>
                  </m:r>
                </m:e>
              </m:nary>
              <m:r>
                <w:rPr>
                  <w:rFonts w:ascii="Cambria Math" w:eastAsia="Batang" w:hAnsi="Cambria Math" w:cs="Cambria Math"/>
                  <w:noProof/>
                  <w:color w:val="000000"/>
                  <w:sz w:val="24"/>
                  <w:szCs w:val="24"/>
                  <w:lang w:val="sq-AL" w:eastAsia="ko-KR"/>
                </w:rPr>
                <m:t>Nt</m:t>
              </m:r>
            </m:den>
          </m:f>
        </m:oMath>
      </m:oMathPara>
    </w:p>
    <w:p w14:paraId="71DF5EF0" w14:textId="77777777" w:rsidR="00AB79A5" w:rsidRPr="000F5C13" w:rsidRDefault="00AB79A5" w:rsidP="00AB79A5">
      <w:pPr>
        <w:tabs>
          <w:tab w:val="left" w:pos="360"/>
        </w:tabs>
        <w:autoSpaceDE w:val="0"/>
        <w:autoSpaceDN w:val="0"/>
        <w:adjustRightInd w:val="0"/>
        <w:spacing w:after="0" w:line="240" w:lineRule="auto"/>
        <w:ind w:left="270" w:right="270"/>
        <w:jc w:val="both"/>
        <w:rPr>
          <w:rFonts w:ascii="Times New Roman" w:eastAsia="Batang" w:hAnsi="Times New Roman" w:cs="Times New Roman"/>
          <w:noProof/>
          <w:color w:val="000000"/>
          <w:sz w:val="24"/>
          <w:szCs w:val="24"/>
          <w:lang w:val="sq-AL" w:eastAsia="ko-KR"/>
        </w:rPr>
      </w:pPr>
    </w:p>
    <w:p w14:paraId="71DF5EF1" w14:textId="77777777" w:rsidR="00AB79A5" w:rsidRPr="000F5C13" w:rsidRDefault="00AB79A5" w:rsidP="00AB79A5">
      <w:pPr>
        <w:tabs>
          <w:tab w:val="left" w:pos="0"/>
        </w:tabs>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Times New Roman" w:eastAsia="Batang" w:hAnsi="Times New Roman" w:cs="Times New Roman"/>
          <w:noProof/>
          <w:sz w:val="24"/>
          <w:szCs w:val="24"/>
          <w:lang w:val="sq-AL" w:eastAsia="ko-KR"/>
        </w:rPr>
        <w:t xml:space="preserve">Nga </w:t>
      </w:r>
      <w:r w:rsidR="00A47AB7">
        <w:rPr>
          <w:rFonts w:ascii="Times New Roman" w:eastAsia="Batang" w:hAnsi="Times New Roman" w:cs="Times New Roman"/>
          <w:noProof/>
          <w:sz w:val="24"/>
          <w:szCs w:val="24"/>
          <w:lang w:val="sq-AL" w:eastAsia="ko-KR"/>
        </w:rPr>
        <w:t>ku:</w:t>
      </w:r>
    </w:p>
    <w:p w14:paraId="71DF5EF2" w14:textId="77777777" w:rsidR="00AB79A5" w:rsidRPr="000F5C13" w:rsidRDefault="00AB79A5" w:rsidP="00AB79A5">
      <w:pPr>
        <w:tabs>
          <w:tab w:val="left" w:pos="0"/>
        </w:tabs>
        <w:autoSpaceDE w:val="0"/>
        <w:autoSpaceDN w:val="0"/>
        <w:adjustRightInd w:val="0"/>
        <w:spacing w:after="0" w:line="240" w:lineRule="auto"/>
        <w:ind w:right="270"/>
        <w:jc w:val="both"/>
        <w:rPr>
          <w:rFonts w:ascii="Times New Roman" w:eastAsia="Batang" w:hAnsi="Times New Roman" w:cs="Times New Roman"/>
          <w:i/>
          <w:noProof/>
          <w:lang w:val="sq-AL" w:eastAsia="ko-KR"/>
        </w:rPr>
      </w:pPr>
      <w:r w:rsidRPr="000F5C13">
        <w:rPr>
          <w:rFonts w:ascii="Times New Roman" w:eastAsia="Batang" w:hAnsi="Times New Roman" w:cs="Times New Roman"/>
          <w:i/>
          <w:noProof/>
          <w:lang w:val="sq-AL" w:eastAsia="ko-KR"/>
        </w:rPr>
        <w:t xml:space="preserve">t – </w:t>
      </w:r>
      <w:r w:rsidRPr="000F5C13">
        <w:rPr>
          <w:rFonts w:ascii="Times New Roman" w:eastAsia="Batang" w:hAnsi="Times New Roman" w:cs="Times New Roman"/>
          <w:noProof/>
          <w:lang w:val="sq-AL" w:eastAsia="ko-KR"/>
        </w:rPr>
        <w:t xml:space="preserve">data e maturimit; </w:t>
      </w:r>
    </w:p>
    <w:p w14:paraId="71DF5EF3" w14:textId="77777777" w:rsidR="00AB79A5" w:rsidRPr="000F5C13" w:rsidRDefault="00AB79A5" w:rsidP="00AB79A5">
      <w:pPr>
        <w:tabs>
          <w:tab w:val="left" w:pos="0"/>
        </w:tabs>
        <w:autoSpaceDE w:val="0"/>
        <w:autoSpaceDN w:val="0"/>
        <w:adjustRightInd w:val="0"/>
        <w:spacing w:after="0" w:line="240" w:lineRule="auto"/>
        <w:ind w:right="270"/>
        <w:jc w:val="both"/>
        <w:rPr>
          <w:rFonts w:ascii="Times New Roman" w:eastAsia="Batang" w:hAnsi="Times New Roman" w:cs="Times New Roman"/>
          <w:noProof/>
          <w:lang w:val="sq-AL" w:eastAsia="ko-KR"/>
        </w:rPr>
      </w:pPr>
      <w:r w:rsidRPr="000F5C13">
        <w:rPr>
          <w:rFonts w:ascii="Times New Roman" w:eastAsia="Batang" w:hAnsi="Times New Roman" w:cs="Times New Roman"/>
          <w:i/>
          <w:noProof/>
          <w:lang w:val="sq-AL" w:eastAsia="ko-KR"/>
        </w:rPr>
        <w:t xml:space="preserve">T – </w:t>
      </w:r>
      <w:r w:rsidRPr="000F5C13">
        <w:rPr>
          <w:rFonts w:ascii="Times New Roman" w:eastAsia="Batang" w:hAnsi="Times New Roman" w:cs="Times New Roman"/>
          <w:noProof/>
          <w:lang w:val="sq-AL" w:eastAsia="ko-KR"/>
        </w:rPr>
        <w:t>bashkësia e të gjitha datave të maturimit;</w:t>
      </w:r>
    </w:p>
    <w:p w14:paraId="71DF5EF4" w14:textId="77777777" w:rsidR="00AB79A5" w:rsidRPr="00A47AB7" w:rsidRDefault="00AB79A5" w:rsidP="00AB79A5">
      <w:pPr>
        <w:autoSpaceDE w:val="0"/>
        <w:autoSpaceDN w:val="0"/>
        <w:adjustRightInd w:val="0"/>
        <w:spacing w:after="0" w:line="240" w:lineRule="auto"/>
        <w:ind w:right="270"/>
        <w:jc w:val="both"/>
        <w:rPr>
          <w:rFonts w:ascii="Times New Roman" w:eastAsia="Batang" w:hAnsi="Times New Roman" w:cs="Times New Roman"/>
          <w:i/>
          <w:noProof/>
          <w:lang w:val="sq-AL" w:eastAsia="ko-KR"/>
        </w:rPr>
      </w:pPr>
      <w:r w:rsidRPr="000F5C13">
        <w:rPr>
          <w:rFonts w:ascii="Times New Roman" w:eastAsia="Batang" w:hAnsi="Times New Roman" w:cs="Times New Roman"/>
          <w:i/>
          <w:noProof/>
          <w:lang w:val="sq-AL" w:eastAsia="ko-KR"/>
        </w:rPr>
        <w:t>N</w:t>
      </w:r>
      <w:r w:rsidRPr="000F5C13">
        <w:rPr>
          <w:rFonts w:ascii="Times New Roman" w:eastAsia="Batang" w:hAnsi="Times New Roman" w:cs="Times New Roman"/>
          <w:i/>
          <w:noProof/>
          <w:vertAlign w:val="subscript"/>
          <w:lang w:val="sq-AL" w:eastAsia="ko-KR"/>
        </w:rPr>
        <w:t xml:space="preserve">t </w:t>
      </w:r>
      <w:r w:rsidRPr="000F5C13">
        <w:rPr>
          <w:rFonts w:ascii="Times New Roman" w:eastAsia="Batang" w:hAnsi="Times New Roman" w:cs="Times New Roman"/>
          <w:i/>
          <w:noProof/>
          <w:lang w:val="sq-AL" w:eastAsia="ko-KR"/>
        </w:rPr>
        <w:t xml:space="preserve">– </w:t>
      </w:r>
      <w:r w:rsidRPr="000F5C13">
        <w:rPr>
          <w:rFonts w:ascii="Times New Roman" w:eastAsia="Batang" w:hAnsi="Times New Roman" w:cs="Times New Roman"/>
          <w:noProof/>
          <w:lang w:val="sq-AL" w:eastAsia="ko-KR"/>
        </w:rPr>
        <w:t>Vlera nominale që do të paguhet në datën</w:t>
      </w:r>
      <w:r w:rsidRPr="000F5C13">
        <w:rPr>
          <w:rFonts w:ascii="Times New Roman" w:eastAsia="Batang" w:hAnsi="Times New Roman" w:cs="Times New Roman"/>
          <w:i/>
          <w:noProof/>
          <w:lang w:val="sq-AL" w:eastAsia="ko-KR"/>
        </w:rPr>
        <w:t xml:space="preserve"> t.</w:t>
      </w:r>
    </w:p>
    <w:p w14:paraId="71DF5EF5"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sz w:val="24"/>
          <w:szCs w:val="24"/>
          <w:lang w:val="sq-AL" w:eastAsia="ko-KR"/>
        </w:rPr>
        <w:lastRenderedPageBreak/>
        <w:t>KMR</w:t>
      </w:r>
      <w:r w:rsidRPr="000F5C13">
        <w:rPr>
          <w:rFonts w:ascii="Times New Roman" w:eastAsia="Batang" w:hAnsi="Times New Roman" w:cs="Times New Roman"/>
          <w:i/>
          <w:noProof/>
          <w:sz w:val="24"/>
          <w:szCs w:val="24"/>
          <w:lang w:val="sq-AL" w:eastAsia="ko-KR"/>
        </w:rPr>
        <w:t xml:space="preserve"> </w:t>
      </w:r>
      <w:r w:rsidRPr="000F5C13">
        <w:rPr>
          <w:rFonts w:ascii="Times New Roman" w:eastAsia="Batang" w:hAnsi="Times New Roman" w:cs="Times New Roman"/>
          <w:b/>
          <w:noProof/>
          <w:sz w:val="24"/>
          <w:szCs w:val="24"/>
          <w:lang w:val="sq-AL" w:eastAsia="ko-KR"/>
        </w:rPr>
        <w:t>–</w:t>
      </w:r>
      <w:r w:rsidRPr="000F5C13">
        <w:rPr>
          <w:rFonts w:ascii="Times New Roman" w:eastAsia="Batang" w:hAnsi="Times New Roman" w:cs="Times New Roman"/>
          <w:noProof/>
          <w:sz w:val="24"/>
          <w:szCs w:val="24"/>
          <w:lang w:val="sq-AL" w:eastAsia="ko-KR"/>
        </w:rPr>
        <w:t xml:space="preserve"> Tregues i </w:t>
      </w:r>
      <w:r w:rsidRPr="000F5C13">
        <w:rPr>
          <w:rFonts w:ascii="Times New Roman" w:eastAsia="Batang" w:hAnsi="Times New Roman" w:cs="Times New Roman"/>
          <w:noProof/>
          <w:color w:val="000000"/>
          <w:sz w:val="24"/>
          <w:szCs w:val="24"/>
          <w:lang w:val="sq-AL" w:eastAsia="ko-KR"/>
        </w:rPr>
        <w:t>riskut</w:t>
      </w:r>
      <w:r w:rsidRPr="000F5C13">
        <w:rPr>
          <w:rFonts w:ascii="Times New Roman" w:eastAsia="Batang" w:hAnsi="Times New Roman" w:cs="Times New Roman"/>
          <w:noProof/>
          <w:sz w:val="24"/>
          <w:szCs w:val="24"/>
          <w:lang w:val="sq-AL" w:eastAsia="ko-KR"/>
        </w:rPr>
        <w:t xml:space="preserve"> të normave të interesit për borxhin. Jep informacion lidhur me ekspozimin e portofolit të borxhit kundrejt ndryshimit të normave të interesit. KMR interpretohet si koha mesatare (në vite) që i duhet portofolit të borxhit për të ripërcaktuar normën e interesit. Sa më e madhe të jetë sasia e instrumenteve afatshkurtër dhe sasia e instrumenteve me norma interesi të ndryshueshëm në portofolin e borxhit, aq më i madh është </w:t>
      </w:r>
      <w:r w:rsidRPr="000F5C13">
        <w:rPr>
          <w:rFonts w:ascii="Times New Roman" w:eastAsia="Batang" w:hAnsi="Times New Roman" w:cs="Times New Roman"/>
          <w:noProof/>
          <w:color w:val="000000"/>
          <w:sz w:val="24"/>
          <w:szCs w:val="24"/>
          <w:lang w:val="sq-AL" w:eastAsia="ko-KR"/>
        </w:rPr>
        <w:t>risku</w:t>
      </w:r>
      <w:r w:rsidRPr="000F5C13">
        <w:rPr>
          <w:rFonts w:ascii="Times New Roman" w:eastAsia="Batang" w:hAnsi="Times New Roman" w:cs="Times New Roman"/>
          <w:noProof/>
          <w:sz w:val="24"/>
          <w:szCs w:val="24"/>
          <w:lang w:val="sq-AL" w:eastAsia="ko-KR"/>
        </w:rPr>
        <w:t xml:space="preserve"> i normave të interesit dhe aq më i vogël ky tregues dhe anasjelltas. </w:t>
      </w:r>
      <w:r w:rsidRPr="000F5C13">
        <w:rPr>
          <w:rFonts w:ascii="Times New Roman" w:eastAsia="Batang" w:hAnsi="Times New Roman" w:cs="Times New Roman"/>
          <w:noProof/>
          <w:color w:val="000000"/>
          <w:sz w:val="24"/>
          <w:szCs w:val="24"/>
          <w:lang w:val="sq-AL" w:eastAsia="ko-KR"/>
        </w:rPr>
        <w:t>KMR për instrumentet financiarë të borxhit përllogaritet sipas formulës së mëposhtme:</w:t>
      </w:r>
    </w:p>
    <w:p w14:paraId="71DF5EF6" w14:textId="77777777" w:rsidR="00AB79A5" w:rsidRPr="000F5C13" w:rsidRDefault="00AB79A5" w:rsidP="00AB79A5">
      <w:pPr>
        <w:tabs>
          <w:tab w:val="left" w:pos="360"/>
        </w:tabs>
        <w:autoSpaceDE w:val="0"/>
        <w:autoSpaceDN w:val="0"/>
        <w:adjustRightInd w:val="0"/>
        <w:spacing w:after="0" w:line="240" w:lineRule="auto"/>
        <w:ind w:left="270" w:right="270"/>
        <w:jc w:val="both"/>
        <w:rPr>
          <w:rFonts w:ascii="Times New Roman" w:eastAsia="Batang" w:hAnsi="Times New Roman" w:cs="Times New Roman"/>
          <w:b/>
          <w:noProof/>
          <w:sz w:val="24"/>
          <w:szCs w:val="24"/>
          <w:lang w:val="sq-AL" w:eastAsia="ko-KR"/>
        </w:rPr>
      </w:pPr>
    </w:p>
    <w:p w14:paraId="71DF5EF7" w14:textId="77777777" w:rsidR="00AB79A5" w:rsidRPr="000F5C13" w:rsidRDefault="00AB79A5" w:rsidP="00AB79A5">
      <w:pPr>
        <w:tabs>
          <w:tab w:val="left" w:pos="360"/>
        </w:tabs>
        <w:autoSpaceDE w:val="0"/>
        <w:autoSpaceDN w:val="0"/>
        <w:adjustRightInd w:val="0"/>
        <w:spacing w:after="0" w:line="240" w:lineRule="auto"/>
        <w:ind w:left="270" w:right="270"/>
        <w:jc w:val="both"/>
        <w:rPr>
          <w:rFonts w:ascii="Times New Roman" w:eastAsia="Batang" w:hAnsi="Times New Roman" w:cs="Times New Roman"/>
          <w:noProof/>
          <w:sz w:val="24"/>
          <w:szCs w:val="24"/>
          <w:lang w:val="sq-AL" w:eastAsia="ko-KR"/>
        </w:rPr>
      </w:pPr>
      <m:oMathPara>
        <m:oMath>
          <m:r>
            <m:rPr>
              <m:sty m:val="p"/>
            </m:rPr>
            <w:rPr>
              <w:rFonts w:ascii="Cambria Math" w:eastAsia="Batang" w:hAnsi="Cambria Math" w:cs="Cambria Math"/>
              <w:noProof/>
              <w:color w:val="000000"/>
              <w:sz w:val="24"/>
              <w:szCs w:val="24"/>
              <w:lang w:val="sq-AL" w:eastAsia="ko-KR"/>
            </w:rPr>
            <m:t>KMR=</m:t>
          </m:r>
          <m:f>
            <m:fPr>
              <m:ctrlPr>
                <w:rPr>
                  <w:rFonts w:ascii="Cambria Math" w:eastAsia="Batang" w:hAnsi="Cambria Math" w:cs="Times New Roman"/>
                  <w:noProof/>
                  <w:color w:val="000000"/>
                  <w:sz w:val="24"/>
                  <w:szCs w:val="24"/>
                  <w:lang w:val="sq-AL" w:eastAsia="ko-KR"/>
                </w:rPr>
              </m:ctrlPr>
            </m:fPr>
            <m:num>
              <m:r>
                <m:rPr>
                  <m:sty m:val="p"/>
                </m:rPr>
                <w:rPr>
                  <w:rFonts w:ascii="Cambria Math" w:eastAsia="Batang" w:hAnsi="Cambria Math" w:cs="Times New Roman"/>
                  <w:noProof/>
                  <w:color w:val="000000"/>
                  <w:sz w:val="24"/>
                  <w:szCs w:val="24"/>
                  <w:lang w:val="sq-AL" w:eastAsia="ko-KR"/>
                </w:rPr>
                <m:t xml:space="preserve">  </m:t>
              </m:r>
              <m:nary>
                <m:naryPr>
                  <m:chr m:val="∑"/>
                  <m:grow m:val="1"/>
                  <m:ctrlPr>
                    <w:rPr>
                      <w:rFonts w:ascii="Cambria Math" w:eastAsia="Batang" w:hAnsi="Cambria Math" w:cs="Cambria Math"/>
                      <w:noProof/>
                      <w:color w:val="000000"/>
                      <w:sz w:val="24"/>
                      <w:szCs w:val="24"/>
                      <w:lang w:val="sq-AL" w:eastAsia="ko-KR"/>
                    </w:rPr>
                  </m:ctrlPr>
                </m:naryPr>
                <m:sub>
                  <m:r>
                    <w:rPr>
                      <w:rFonts w:ascii="Cambria Math" w:eastAsia="Cambria Math" w:hAnsi="Cambria Math" w:cs="Cambria Math"/>
                      <w:noProof/>
                      <w:color w:val="000000"/>
                      <w:sz w:val="24"/>
                      <w:szCs w:val="24"/>
                      <w:lang w:val="sq-AL" w:eastAsia="ko-KR"/>
                    </w:rPr>
                    <m:t>r∈R</m:t>
                  </m:r>
                </m:sub>
                <m:sup/>
                <m:e>
                  <m:r>
                    <w:rPr>
                      <w:rFonts w:ascii="Cambria Math" w:eastAsia="Batang" w:hAnsi="Cambria Math" w:cs="Cambria Math"/>
                      <w:noProof/>
                      <w:color w:val="000000"/>
                      <w:sz w:val="24"/>
                      <w:szCs w:val="24"/>
                      <w:lang w:val="sq-AL" w:eastAsia="ko-KR"/>
                    </w:rPr>
                    <m:t xml:space="preserve">  r Nr</m:t>
                  </m:r>
                </m:e>
              </m:nary>
              <m:r>
                <m:rPr>
                  <m:sty m:val="p"/>
                </m:rPr>
                <w:rPr>
                  <w:rFonts w:ascii="Cambria Math" w:eastAsia="Batang" w:hAnsi="Cambria Math" w:cs="Cambria Math"/>
                  <w:noProof/>
                  <w:color w:val="000000"/>
                  <w:sz w:val="24"/>
                  <w:szCs w:val="24"/>
                  <w:lang w:val="sq-AL" w:eastAsia="ko-KR"/>
                </w:rPr>
                <m:t>+</m:t>
              </m:r>
              <m:nary>
                <m:naryPr>
                  <m:chr m:val="∑"/>
                  <m:grow m:val="1"/>
                  <m:ctrlPr>
                    <w:rPr>
                      <w:rFonts w:ascii="Cambria Math" w:eastAsia="Batang" w:hAnsi="Cambria Math" w:cs="Cambria Math"/>
                      <w:noProof/>
                      <w:color w:val="000000"/>
                      <w:sz w:val="24"/>
                      <w:szCs w:val="24"/>
                      <w:lang w:val="sq-AL" w:eastAsia="ko-KR"/>
                    </w:rPr>
                  </m:ctrlPr>
                </m:naryPr>
                <m:sub>
                  <m:r>
                    <w:rPr>
                      <w:rFonts w:ascii="Cambria Math" w:eastAsia="Cambria Math" w:hAnsi="Cambria Math" w:cs="Cambria Math"/>
                      <w:noProof/>
                      <w:color w:val="000000"/>
                      <w:sz w:val="24"/>
                      <w:szCs w:val="24"/>
                      <w:lang w:val="sq-AL" w:eastAsia="ko-KR"/>
                    </w:rPr>
                    <m:t>t∈T</m:t>
                  </m:r>
                </m:sub>
                <m:sup/>
                <m:e>
                  <m:r>
                    <m:rPr>
                      <m:sty m:val="p"/>
                    </m:rPr>
                    <w:rPr>
                      <w:rFonts w:ascii="Cambria Math" w:eastAsia="Batang" w:hAnsi="Cambria Math" w:cs="Cambria Math"/>
                      <w:noProof/>
                      <w:color w:val="000000"/>
                      <w:sz w:val="24"/>
                      <w:szCs w:val="24"/>
                      <w:lang w:val="sq-AL" w:eastAsia="ko-KR"/>
                    </w:rPr>
                    <m:t xml:space="preserve"> </m:t>
                  </m:r>
                </m:e>
              </m:nary>
              <m:r>
                <w:rPr>
                  <w:rFonts w:ascii="Cambria Math" w:eastAsia="Batang" w:hAnsi="Cambria Math" w:cs="Cambria Math"/>
                  <w:noProof/>
                  <w:color w:val="000000"/>
                  <w:sz w:val="24"/>
                  <w:szCs w:val="24"/>
                  <w:lang w:val="sq-AL" w:eastAsia="ko-KR"/>
                </w:rPr>
                <m:t>t Nt</m:t>
              </m:r>
            </m:num>
            <m:den>
              <m:nary>
                <m:naryPr>
                  <m:chr m:val="∑"/>
                  <m:grow m:val="1"/>
                  <m:ctrlPr>
                    <w:rPr>
                      <w:rFonts w:ascii="Cambria Math" w:eastAsia="Batang" w:hAnsi="Cambria Math" w:cs="Cambria Math"/>
                      <w:noProof/>
                      <w:color w:val="000000"/>
                      <w:sz w:val="24"/>
                      <w:szCs w:val="24"/>
                      <w:lang w:val="sq-AL" w:eastAsia="ko-KR"/>
                    </w:rPr>
                  </m:ctrlPr>
                </m:naryPr>
                <m:sub>
                  <m:r>
                    <w:rPr>
                      <w:rFonts w:ascii="Cambria Math" w:eastAsia="Cambria Math" w:hAnsi="Cambria Math" w:cs="Cambria Math"/>
                      <w:noProof/>
                      <w:color w:val="000000"/>
                      <w:sz w:val="24"/>
                      <w:szCs w:val="24"/>
                      <w:lang w:val="sq-AL" w:eastAsia="ko-KR"/>
                    </w:rPr>
                    <m:t>r∈R</m:t>
                  </m:r>
                </m:sub>
                <m:sup/>
                <m:e>
                  <m:r>
                    <w:rPr>
                      <w:rFonts w:ascii="Cambria Math" w:eastAsia="Batang" w:hAnsi="Cambria Math" w:cs="Cambria Math"/>
                      <w:noProof/>
                      <w:color w:val="000000"/>
                      <w:sz w:val="24"/>
                      <w:szCs w:val="24"/>
                      <w:lang w:val="sq-AL" w:eastAsia="ko-KR"/>
                    </w:rPr>
                    <m:t xml:space="preserve"> Nr</m:t>
                  </m:r>
                </m:e>
              </m:nary>
              <m:r>
                <m:rPr>
                  <m:sty m:val="p"/>
                </m:rPr>
                <w:rPr>
                  <w:rFonts w:ascii="Cambria Math" w:eastAsia="Batang" w:hAnsi="Cambria Math" w:cs="Cambria Math"/>
                  <w:noProof/>
                  <w:color w:val="000000"/>
                  <w:sz w:val="24"/>
                  <w:szCs w:val="24"/>
                  <w:lang w:val="sq-AL" w:eastAsia="ko-KR"/>
                </w:rPr>
                <m:t>+</m:t>
              </m:r>
              <m:nary>
                <m:naryPr>
                  <m:chr m:val="∑"/>
                  <m:grow m:val="1"/>
                  <m:ctrlPr>
                    <w:rPr>
                      <w:rFonts w:ascii="Cambria Math" w:eastAsia="Batang" w:hAnsi="Cambria Math" w:cs="Cambria Math"/>
                      <w:noProof/>
                      <w:color w:val="000000"/>
                      <w:sz w:val="24"/>
                      <w:szCs w:val="24"/>
                      <w:lang w:val="sq-AL" w:eastAsia="ko-KR"/>
                    </w:rPr>
                  </m:ctrlPr>
                </m:naryPr>
                <m:sub>
                  <m:r>
                    <w:rPr>
                      <w:rFonts w:ascii="Cambria Math" w:eastAsia="Cambria Math" w:hAnsi="Cambria Math" w:cs="Cambria Math"/>
                      <w:noProof/>
                      <w:color w:val="000000"/>
                      <w:sz w:val="24"/>
                      <w:szCs w:val="24"/>
                      <w:lang w:val="sq-AL" w:eastAsia="ko-KR"/>
                    </w:rPr>
                    <m:t>t∈T</m:t>
                  </m:r>
                </m:sub>
                <m:sup/>
                <m:e>
                  <m:r>
                    <m:rPr>
                      <m:sty m:val="p"/>
                    </m:rPr>
                    <w:rPr>
                      <w:rFonts w:ascii="Cambria Math" w:eastAsia="Batang" w:hAnsi="Cambria Math" w:cs="Cambria Math"/>
                      <w:noProof/>
                      <w:color w:val="000000"/>
                      <w:sz w:val="24"/>
                      <w:szCs w:val="24"/>
                      <w:lang w:val="sq-AL" w:eastAsia="ko-KR"/>
                    </w:rPr>
                    <m:t xml:space="preserve"> </m:t>
                  </m:r>
                </m:e>
              </m:nary>
              <m:r>
                <w:rPr>
                  <w:rFonts w:ascii="Cambria Math" w:eastAsia="Batang" w:hAnsi="Cambria Math" w:cs="Cambria Math"/>
                  <w:noProof/>
                  <w:color w:val="000000"/>
                  <w:sz w:val="24"/>
                  <w:szCs w:val="24"/>
                  <w:lang w:val="sq-AL" w:eastAsia="ko-KR"/>
                </w:rPr>
                <m:t>Nt</m:t>
              </m:r>
            </m:den>
          </m:f>
        </m:oMath>
      </m:oMathPara>
    </w:p>
    <w:p w14:paraId="71DF5EF8" w14:textId="77777777" w:rsidR="00AB79A5" w:rsidRPr="000F5C13" w:rsidRDefault="00AB79A5" w:rsidP="00AB79A5">
      <w:pPr>
        <w:tabs>
          <w:tab w:val="left" w:pos="360"/>
        </w:tabs>
        <w:autoSpaceDE w:val="0"/>
        <w:autoSpaceDN w:val="0"/>
        <w:adjustRightInd w:val="0"/>
        <w:spacing w:after="0" w:line="240" w:lineRule="auto"/>
        <w:ind w:left="270" w:right="270"/>
        <w:jc w:val="both"/>
        <w:rPr>
          <w:rFonts w:ascii="Times New Roman" w:eastAsia="Batang" w:hAnsi="Times New Roman" w:cs="Times New Roman"/>
          <w:noProof/>
          <w:sz w:val="24"/>
          <w:szCs w:val="24"/>
          <w:lang w:val="sq-AL" w:eastAsia="ko-KR"/>
        </w:rPr>
      </w:pPr>
    </w:p>
    <w:p w14:paraId="71DF5EF9"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Times New Roman" w:eastAsia="Batang" w:hAnsi="Times New Roman" w:cs="Times New Roman"/>
          <w:noProof/>
          <w:sz w:val="24"/>
          <w:szCs w:val="24"/>
          <w:lang w:val="sq-AL" w:eastAsia="ko-KR"/>
        </w:rPr>
        <w:t>Nga ku:</w:t>
      </w:r>
    </w:p>
    <w:p w14:paraId="71DF5EFA"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p>
    <w:p w14:paraId="71DF5EFB"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i/>
          <w:noProof/>
          <w:lang w:val="sq-AL" w:eastAsia="ko-KR"/>
        </w:rPr>
      </w:pPr>
      <w:r w:rsidRPr="000F5C13">
        <w:rPr>
          <w:rFonts w:ascii="Times New Roman" w:eastAsia="Batang" w:hAnsi="Times New Roman" w:cs="Times New Roman"/>
          <w:i/>
          <w:noProof/>
          <w:lang w:val="sq-AL" w:eastAsia="ko-KR"/>
        </w:rPr>
        <w:t xml:space="preserve"> r</w:t>
      </w:r>
      <w:r w:rsidRPr="000F5C13">
        <w:rPr>
          <w:rFonts w:ascii="Times New Roman" w:eastAsia="Batang" w:hAnsi="Times New Roman" w:cs="Times New Roman"/>
          <w:i/>
          <w:noProof/>
          <w:vertAlign w:val="subscript"/>
          <w:lang w:val="sq-AL" w:eastAsia="ko-KR"/>
        </w:rPr>
        <w:t xml:space="preserve"> </w:t>
      </w:r>
      <w:r w:rsidRPr="000F5C13">
        <w:rPr>
          <w:rFonts w:ascii="Times New Roman" w:eastAsia="Batang" w:hAnsi="Times New Roman" w:cs="Times New Roman"/>
          <w:noProof/>
          <w:lang w:val="sq-AL" w:eastAsia="ko-KR"/>
        </w:rPr>
        <w:t xml:space="preserve">– </w:t>
      </w:r>
      <w:r w:rsidRPr="000F5C13">
        <w:rPr>
          <w:rFonts w:ascii="Times New Roman" w:eastAsia="Batang" w:hAnsi="Times New Roman" w:cs="Times New Roman"/>
          <w:i/>
          <w:noProof/>
          <w:lang w:val="sq-AL" w:eastAsia="ko-KR"/>
        </w:rPr>
        <w:t xml:space="preserve"> </w:t>
      </w:r>
      <w:r w:rsidRPr="000F5C13">
        <w:rPr>
          <w:rFonts w:ascii="Times New Roman" w:eastAsia="Batang" w:hAnsi="Times New Roman" w:cs="Times New Roman"/>
          <w:noProof/>
          <w:lang w:val="sq-AL" w:eastAsia="ko-KR"/>
        </w:rPr>
        <w:t>data e pagesës së kuponit të instrumentit me norma interesi të lëvizshme;</w:t>
      </w:r>
    </w:p>
    <w:p w14:paraId="71DF5EFC"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lang w:val="sq-AL" w:eastAsia="ko-KR"/>
        </w:rPr>
      </w:pPr>
      <w:r w:rsidRPr="000F5C13">
        <w:rPr>
          <w:rFonts w:ascii="Times New Roman" w:eastAsia="Batang" w:hAnsi="Times New Roman" w:cs="Times New Roman"/>
          <w:i/>
          <w:noProof/>
          <w:lang w:val="sq-AL" w:eastAsia="ko-KR"/>
        </w:rPr>
        <w:t xml:space="preserve"> t </w:t>
      </w:r>
      <w:r w:rsidRPr="000F5C13">
        <w:rPr>
          <w:rFonts w:ascii="Times New Roman" w:eastAsia="Batang" w:hAnsi="Times New Roman" w:cs="Times New Roman"/>
          <w:noProof/>
          <w:lang w:val="sq-AL" w:eastAsia="ko-KR"/>
        </w:rPr>
        <w:t>–</w:t>
      </w:r>
      <w:r w:rsidRPr="000F5C13">
        <w:rPr>
          <w:rFonts w:ascii="Times New Roman" w:eastAsia="Batang" w:hAnsi="Times New Roman" w:cs="Times New Roman"/>
          <w:i/>
          <w:noProof/>
          <w:lang w:val="sq-AL" w:eastAsia="ko-KR"/>
        </w:rPr>
        <w:t xml:space="preserve">  </w:t>
      </w:r>
      <w:r w:rsidRPr="000F5C13">
        <w:rPr>
          <w:rFonts w:ascii="Times New Roman" w:eastAsia="Batang" w:hAnsi="Times New Roman" w:cs="Times New Roman"/>
          <w:noProof/>
          <w:lang w:val="sq-AL" w:eastAsia="ko-KR"/>
        </w:rPr>
        <w:t>data e maturimit të instrumentit me norma interesi fikse;</w:t>
      </w:r>
    </w:p>
    <w:p w14:paraId="71DF5EFD"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lang w:val="sq-AL" w:eastAsia="ko-KR"/>
        </w:rPr>
      </w:pPr>
      <w:r w:rsidRPr="000F5C13">
        <w:rPr>
          <w:rFonts w:ascii="Times New Roman" w:eastAsia="Batang" w:hAnsi="Times New Roman" w:cs="Times New Roman"/>
          <w:i/>
          <w:noProof/>
          <w:lang w:val="sq-AL" w:eastAsia="ko-KR"/>
        </w:rPr>
        <w:t>N</w:t>
      </w:r>
      <w:r w:rsidRPr="000F5C13">
        <w:rPr>
          <w:rFonts w:ascii="Times New Roman" w:eastAsia="Batang" w:hAnsi="Times New Roman" w:cs="Times New Roman"/>
          <w:i/>
          <w:noProof/>
          <w:vertAlign w:val="subscript"/>
          <w:lang w:val="sq-AL" w:eastAsia="ko-KR"/>
        </w:rPr>
        <w:t xml:space="preserve">r </w:t>
      </w:r>
      <w:r w:rsidRPr="000F5C13">
        <w:rPr>
          <w:rFonts w:ascii="Times New Roman" w:eastAsia="Batang" w:hAnsi="Times New Roman" w:cs="Times New Roman"/>
          <w:noProof/>
          <w:lang w:val="sq-AL" w:eastAsia="ko-KR"/>
        </w:rPr>
        <w:t>– vlera nominale e instrumentit me norma interesi të lëvizshme;</w:t>
      </w:r>
    </w:p>
    <w:p w14:paraId="71DF5EFE"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lang w:val="sq-AL" w:eastAsia="ko-KR"/>
        </w:rPr>
      </w:pPr>
      <w:r w:rsidRPr="000F5C13">
        <w:rPr>
          <w:rFonts w:ascii="Times New Roman" w:eastAsia="Batang" w:hAnsi="Times New Roman" w:cs="Times New Roman"/>
          <w:i/>
          <w:noProof/>
          <w:lang w:val="sq-AL" w:eastAsia="ko-KR"/>
        </w:rPr>
        <w:t>N</w:t>
      </w:r>
      <w:r w:rsidRPr="000F5C13">
        <w:rPr>
          <w:rFonts w:ascii="Times New Roman" w:eastAsia="Batang" w:hAnsi="Times New Roman" w:cs="Times New Roman"/>
          <w:i/>
          <w:noProof/>
          <w:vertAlign w:val="subscript"/>
          <w:lang w:val="sq-AL" w:eastAsia="ko-KR"/>
        </w:rPr>
        <w:t xml:space="preserve">t </w:t>
      </w:r>
      <w:r w:rsidRPr="000F5C13">
        <w:rPr>
          <w:rFonts w:ascii="Times New Roman" w:eastAsia="Batang" w:hAnsi="Times New Roman" w:cs="Times New Roman"/>
          <w:noProof/>
          <w:lang w:val="sq-AL" w:eastAsia="ko-KR"/>
        </w:rPr>
        <w:t>– vlera nominale e instrumentit me norma interesi fikse;</w:t>
      </w:r>
    </w:p>
    <w:p w14:paraId="71DF5EFF"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lang w:val="sq-AL" w:eastAsia="ko-KR"/>
        </w:rPr>
      </w:pPr>
      <w:r w:rsidRPr="000F5C13">
        <w:rPr>
          <w:rFonts w:ascii="Times New Roman" w:eastAsia="Batang" w:hAnsi="Times New Roman" w:cs="Times New Roman"/>
          <w:i/>
          <w:noProof/>
          <w:lang w:val="sq-AL" w:eastAsia="ko-KR"/>
        </w:rPr>
        <w:t xml:space="preserve">R –  </w:t>
      </w:r>
      <w:r w:rsidRPr="000F5C13">
        <w:rPr>
          <w:rFonts w:ascii="Times New Roman" w:eastAsia="Batang" w:hAnsi="Times New Roman" w:cs="Times New Roman"/>
          <w:noProof/>
          <w:lang w:val="sq-AL" w:eastAsia="ko-KR"/>
        </w:rPr>
        <w:t>bashkësia e të gjitha datave të maturimit për instrumente me norma interesi të lëvizshme;</w:t>
      </w:r>
    </w:p>
    <w:p w14:paraId="71DF5F00"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lang w:val="sq-AL" w:eastAsia="ko-KR"/>
        </w:rPr>
      </w:pPr>
      <w:r w:rsidRPr="000F5C13">
        <w:rPr>
          <w:rFonts w:ascii="Times New Roman" w:eastAsia="Batang" w:hAnsi="Times New Roman" w:cs="Times New Roman"/>
          <w:i/>
          <w:noProof/>
          <w:lang w:val="sq-AL" w:eastAsia="ko-KR"/>
        </w:rPr>
        <w:t xml:space="preserve">T –  </w:t>
      </w:r>
      <w:r w:rsidRPr="000F5C13">
        <w:rPr>
          <w:rFonts w:ascii="Times New Roman" w:eastAsia="Batang" w:hAnsi="Times New Roman" w:cs="Times New Roman"/>
          <w:noProof/>
          <w:lang w:val="sq-AL" w:eastAsia="ko-KR"/>
        </w:rPr>
        <w:t>bashkësia e të gjitha datave të maturimit për instrumente me norma interesi fikse.</w:t>
      </w:r>
    </w:p>
    <w:p w14:paraId="71DF5F01" w14:textId="77777777" w:rsidR="00AB79A5" w:rsidRPr="000F5C13" w:rsidRDefault="00AB79A5" w:rsidP="00AB79A5">
      <w:pPr>
        <w:autoSpaceDE w:val="0"/>
        <w:autoSpaceDN w:val="0"/>
        <w:adjustRightInd w:val="0"/>
        <w:spacing w:after="0" w:line="240" w:lineRule="auto"/>
        <w:ind w:right="270"/>
        <w:jc w:val="both"/>
        <w:rPr>
          <w:rFonts w:ascii="Cambria" w:eastAsia="Batang" w:hAnsi="Cambria" w:cs="Times New Roman"/>
          <w:b/>
          <w:noProof/>
          <w:color w:val="000000"/>
          <w:sz w:val="24"/>
          <w:szCs w:val="24"/>
          <w:lang w:val="sq-AL" w:eastAsia="ko-KR"/>
        </w:rPr>
      </w:pPr>
    </w:p>
    <w:p w14:paraId="71DF5F02"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color w:val="000000"/>
          <w:sz w:val="24"/>
          <w:szCs w:val="24"/>
          <w:lang w:val="sq-AL" w:eastAsia="ko-KR"/>
        </w:rPr>
      </w:pPr>
      <w:r w:rsidRPr="000F5C13">
        <w:rPr>
          <w:rFonts w:ascii="Cambria" w:eastAsia="Batang" w:hAnsi="Cambria" w:cs="Times New Roman"/>
          <w:b/>
          <w:noProof/>
          <w:color w:val="000000"/>
          <w:sz w:val="24"/>
          <w:szCs w:val="24"/>
          <w:lang w:val="sq-AL" w:eastAsia="ko-KR"/>
        </w:rPr>
        <w:t xml:space="preserve">PBG </w:t>
      </w:r>
      <w:r w:rsidRPr="000F5C13">
        <w:rPr>
          <w:rFonts w:ascii="Times New Roman" w:eastAsia="Batang" w:hAnsi="Times New Roman" w:cs="Times New Roman"/>
          <w:b/>
          <w:noProof/>
          <w:sz w:val="24"/>
          <w:szCs w:val="24"/>
          <w:lang w:val="sq-AL" w:eastAsia="ko-KR"/>
        </w:rPr>
        <w:t xml:space="preserve">– </w:t>
      </w:r>
      <w:r w:rsidRPr="000F5C13">
        <w:rPr>
          <w:rFonts w:ascii="Times New Roman" w:eastAsia="Batang" w:hAnsi="Times New Roman" w:cs="Times New Roman"/>
          <w:noProof/>
          <w:color w:val="000000"/>
          <w:sz w:val="24"/>
          <w:szCs w:val="24"/>
          <w:lang w:val="sq-AL" w:eastAsia="ko-KR"/>
        </w:rPr>
        <w:t>Është garanci e emetuar nga Banka Botërore, e cila garanton vlerën e plotë ose të pjesshme të një huaje, me qëllim mundësimin e saj me kosto më të favorshme se ajo e ofruar nga tregu.</w:t>
      </w:r>
    </w:p>
    <w:p w14:paraId="71DF5F03"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p>
    <w:p w14:paraId="71DF5F04"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Raport mbulimi</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eastAsia="ko-KR"/>
        </w:rPr>
        <w:t xml:space="preserve">Raporti ndërmjet shumës së kërkuar </w:t>
      </w:r>
      <w:r w:rsidRPr="002B3928">
        <w:rPr>
          <w:rFonts w:ascii="Times New Roman" w:eastAsia="Batang" w:hAnsi="Times New Roman" w:cs="Times New Roman"/>
          <w:noProof/>
          <w:sz w:val="24"/>
          <w:szCs w:val="24"/>
          <w:lang w:val="sq-AL" w:eastAsia="ko-KR"/>
        </w:rPr>
        <w:t>(nga investitorët)</w:t>
      </w:r>
      <w:r w:rsidRPr="000F5C13">
        <w:rPr>
          <w:rFonts w:ascii="Times New Roman" w:eastAsia="Batang" w:hAnsi="Times New Roman" w:cs="Times New Roman"/>
          <w:noProof/>
          <w:sz w:val="24"/>
          <w:szCs w:val="24"/>
          <w:lang w:val="sq-AL" w:eastAsia="ko-KR"/>
        </w:rPr>
        <w:t xml:space="preserve"> dhe shumës së ofruar</w:t>
      </w:r>
      <w:r w:rsidRPr="000F5C13">
        <w:rPr>
          <w:rFonts w:ascii="Times New Roman" w:eastAsia="Batang" w:hAnsi="Times New Roman" w:cs="Times New Roman"/>
          <w:b/>
          <w:noProof/>
          <w:sz w:val="24"/>
          <w:szCs w:val="24"/>
          <w:lang w:val="sq-AL" w:eastAsia="ko-KR"/>
        </w:rPr>
        <w:t xml:space="preserve"> </w:t>
      </w:r>
      <w:r w:rsidRPr="002B3928">
        <w:rPr>
          <w:rFonts w:ascii="Times New Roman" w:eastAsia="Batang" w:hAnsi="Times New Roman" w:cs="Times New Roman"/>
          <w:noProof/>
          <w:sz w:val="24"/>
          <w:szCs w:val="24"/>
          <w:lang w:val="sq-AL" w:eastAsia="ko-KR"/>
        </w:rPr>
        <w:t>(nga shteti)</w:t>
      </w:r>
      <w:r w:rsidRPr="000F5C13">
        <w:rPr>
          <w:rFonts w:ascii="Times New Roman" w:eastAsia="Batang" w:hAnsi="Times New Roman" w:cs="Times New Roman"/>
          <w:i/>
          <w:noProof/>
          <w:sz w:val="24"/>
          <w:szCs w:val="24"/>
          <w:lang w:val="sq-AL" w:eastAsia="ko-KR"/>
        </w:rPr>
        <w:t xml:space="preserve"> </w:t>
      </w:r>
      <w:r w:rsidRPr="000F5C13">
        <w:rPr>
          <w:rFonts w:ascii="Times New Roman" w:eastAsia="Batang" w:hAnsi="Times New Roman" w:cs="Times New Roman"/>
          <w:noProof/>
          <w:sz w:val="24"/>
          <w:szCs w:val="24"/>
          <w:lang w:val="sq-AL" w:eastAsia="ko-KR"/>
        </w:rPr>
        <w:t>në ankandet e titujve shtetërorë</w:t>
      </w:r>
      <w:r w:rsidRPr="000F5C13">
        <w:rPr>
          <w:rFonts w:ascii="Times New Roman" w:eastAsia="Batang" w:hAnsi="Times New Roman" w:cs="Times New Roman"/>
          <w:i/>
          <w:noProof/>
          <w:sz w:val="24"/>
          <w:szCs w:val="24"/>
          <w:lang w:val="sq-AL" w:eastAsia="ko-KR"/>
        </w:rPr>
        <w:t>.</w:t>
      </w:r>
      <w:r w:rsidRPr="000F5C13">
        <w:rPr>
          <w:rFonts w:ascii="Times New Roman" w:eastAsia="Batang" w:hAnsi="Times New Roman" w:cs="Times New Roman"/>
          <w:noProof/>
          <w:color w:val="000000"/>
          <w:sz w:val="24"/>
          <w:szCs w:val="24"/>
          <w:lang w:val="sq-AL" w:eastAsia="ko-KR"/>
        </w:rPr>
        <w:t xml:space="preserve"> Shërben për të vlerësuar nivelin e plotësimit të ankandeve dhe gjendjen e likuiditetit.</w:t>
      </w:r>
      <w:r w:rsidRPr="000F5C13">
        <w:rPr>
          <w:rFonts w:ascii="Times New Roman" w:eastAsia="Batang" w:hAnsi="Times New Roman" w:cs="Times New Roman"/>
          <w:i/>
          <w:noProof/>
          <w:sz w:val="24"/>
          <w:szCs w:val="24"/>
          <w:lang w:val="sq-AL" w:eastAsia="ko-KR"/>
        </w:rPr>
        <w:t xml:space="preserve"> </w:t>
      </w:r>
    </w:p>
    <w:p w14:paraId="71DF5F05"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p>
    <w:p w14:paraId="71DF5F06"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Risku i kursit të këmbimit</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eastAsia="ko-KR"/>
        </w:rPr>
        <w:t xml:space="preserve">I referohet ndikimit të lëvizjes së kursit të këmbimit të një monedhe, mbi nivelin e borxhit dhe shërbimin e tij në një masë të caktuar mbi pritshmëritë. Psh.: “Mbiçmimi ose nënçmimi i monedhës vendase kundrejt një monedhe të huaj, e cila është pjesë përbërëse e portofolit të borxhit, mund të rezultojë në rënie ose rritje proporcionale të volumit të borxhit ose shërbimit të tij </w:t>
      </w:r>
      <w:r w:rsidRPr="002B3928">
        <w:rPr>
          <w:rFonts w:ascii="Times New Roman" w:eastAsia="Batang" w:hAnsi="Times New Roman" w:cs="Times New Roman"/>
          <w:noProof/>
          <w:sz w:val="24"/>
          <w:szCs w:val="24"/>
          <w:lang w:val="sq-AL" w:eastAsia="ko-KR"/>
        </w:rPr>
        <w:t>(të denominuar në monedhë vendase)”.</w:t>
      </w:r>
    </w:p>
    <w:p w14:paraId="71DF5F07"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p>
    <w:p w14:paraId="71DF5F08"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Risku i likuiditetit</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eastAsia="ko-KR"/>
        </w:rPr>
        <w:t>Risku që lidhet me humbjen e aftësisë së buxhetit të shtetit për të likuiduar detyrimet korrente</w:t>
      </w:r>
      <w:r w:rsidRPr="000F5C13">
        <w:rPr>
          <w:rFonts w:ascii="Times New Roman" w:eastAsia="Batang" w:hAnsi="Times New Roman" w:cs="Times New Roman"/>
          <w:b/>
          <w:noProof/>
          <w:sz w:val="24"/>
          <w:szCs w:val="24"/>
          <w:lang w:val="sq-AL" w:eastAsia="ko-KR"/>
        </w:rPr>
        <w:t xml:space="preserve"> </w:t>
      </w:r>
      <w:r w:rsidRPr="000F5C13">
        <w:rPr>
          <w:rFonts w:ascii="Times New Roman" w:eastAsia="Batang" w:hAnsi="Times New Roman" w:cs="Times New Roman"/>
          <w:noProof/>
          <w:sz w:val="24"/>
          <w:szCs w:val="24"/>
          <w:lang w:val="sq-AL" w:eastAsia="ko-KR"/>
        </w:rPr>
        <w:t xml:space="preserve">dhe </w:t>
      </w:r>
      <w:r>
        <w:rPr>
          <w:rFonts w:ascii="Times New Roman" w:eastAsia="Batang" w:hAnsi="Times New Roman" w:cs="Times New Roman"/>
          <w:noProof/>
          <w:sz w:val="24"/>
          <w:szCs w:val="24"/>
          <w:lang w:val="sq-AL" w:eastAsia="ko-KR"/>
        </w:rPr>
        <w:t>ekzektutimin</w:t>
      </w:r>
      <w:r w:rsidRPr="000F5C13">
        <w:rPr>
          <w:rFonts w:ascii="Times New Roman" w:eastAsia="Batang" w:hAnsi="Times New Roman" w:cs="Times New Roman"/>
          <w:noProof/>
          <w:sz w:val="24"/>
          <w:szCs w:val="24"/>
          <w:lang w:val="sq-AL" w:eastAsia="ko-KR"/>
        </w:rPr>
        <w:t xml:space="preserve"> në kohë </w:t>
      </w:r>
      <w:r>
        <w:rPr>
          <w:rFonts w:ascii="Times New Roman" w:eastAsia="Batang" w:hAnsi="Times New Roman" w:cs="Times New Roman"/>
          <w:noProof/>
          <w:sz w:val="24"/>
          <w:szCs w:val="24"/>
          <w:lang w:val="sq-AL" w:eastAsia="ko-KR"/>
        </w:rPr>
        <w:t xml:space="preserve">të </w:t>
      </w:r>
      <w:r w:rsidRPr="000F5C13">
        <w:rPr>
          <w:rFonts w:ascii="Times New Roman" w:eastAsia="Batang" w:hAnsi="Times New Roman" w:cs="Times New Roman"/>
          <w:noProof/>
          <w:sz w:val="24"/>
          <w:szCs w:val="24"/>
          <w:lang w:val="sq-AL" w:eastAsia="ko-KR"/>
        </w:rPr>
        <w:t>shpenzime</w:t>
      </w:r>
      <w:r>
        <w:rPr>
          <w:rFonts w:ascii="Times New Roman" w:eastAsia="Batang" w:hAnsi="Times New Roman" w:cs="Times New Roman"/>
          <w:noProof/>
          <w:sz w:val="24"/>
          <w:szCs w:val="24"/>
          <w:lang w:val="sq-AL" w:eastAsia="ko-KR"/>
        </w:rPr>
        <w:t xml:space="preserve">ve </w:t>
      </w:r>
      <w:r w:rsidRPr="000F5C13">
        <w:rPr>
          <w:rFonts w:ascii="Times New Roman" w:eastAsia="Batang" w:hAnsi="Times New Roman" w:cs="Times New Roman"/>
          <w:noProof/>
          <w:sz w:val="24"/>
          <w:szCs w:val="24"/>
          <w:lang w:val="sq-AL" w:eastAsia="ko-KR"/>
        </w:rPr>
        <w:t xml:space="preserve">buxhetore. Me qëllim minimizimin e këtij risku, shteti duhet të ketë akses mbi një sasi të caktuar asetesh likuide me qëllim garantimin e fondeve në raste krizash të përkohshme, gjatë të cilave bëhet e vështirë ose me kosto të lartë, sigurimi i tyre. </w:t>
      </w:r>
    </w:p>
    <w:p w14:paraId="71DF5F09"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p>
    <w:p w14:paraId="71DF5F0A"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Risku i normave të interesit</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eastAsia="ko-KR"/>
        </w:rPr>
        <w:t xml:space="preserve">Risku që pagesat e shërbimit të borxhit të ndryshojnë si rrjedhojë e lëvizjes së normave të interesit. Ky risk krijohet nga nevoja për të shërbyer borxhin që maturohet dhe pagesat e kuponëve të instrumenteve me norma interesi të ndryshueshme në të ardhmen. </w:t>
      </w:r>
    </w:p>
    <w:p w14:paraId="71DF5F0B"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p>
    <w:p w14:paraId="71DF5F0C"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Risku operacional</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eastAsia="ko-KR"/>
        </w:rPr>
        <w:t>Risku që ka të bëjë me rritjen e kostos së menaxhimit të borxhit ose me rritjen e nivelit të risqeve të tjera si rezultat i gabimeve njerëzore, dëmtimit të pajisjeve e</w:t>
      </w:r>
      <w:r>
        <w:rPr>
          <w:rFonts w:ascii="Times New Roman" w:eastAsia="Batang" w:hAnsi="Times New Roman" w:cs="Times New Roman"/>
          <w:noProof/>
          <w:sz w:val="24"/>
          <w:szCs w:val="24"/>
          <w:lang w:val="sq-AL" w:eastAsia="ko-KR"/>
        </w:rPr>
        <w:t>lek</w:t>
      </w:r>
      <w:r w:rsidRPr="000F5C13">
        <w:rPr>
          <w:rFonts w:ascii="Times New Roman" w:eastAsia="Batang" w:hAnsi="Times New Roman" w:cs="Times New Roman"/>
          <w:noProof/>
          <w:sz w:val="24"/>
          <w:szCs w:val="24"/>
          <w:lang w:val="sq-AL" w:eastAsia="ko-KR"/>
        </w:rPr>
        <w:t xml:space="preserve">tronike, dëmeve natyrore, etj. Risku operacional është një risk relativisht i vështirë për t’u matur dhe vlerësuar. Ulja e ekspozimit të riskut operacional mund të arrihet nëpërmjet </w:t>
      </w:r>
      <w:r w:rsidRPr="000F5C13">
        <w:rPr>
          <w:rFonts w:ascii="Times New Roman" w:eastAsia="Batang" w:hAnsi="Times New Roman" w:cs="Times New Roman"/>
          <w:noProof/>
          <w:sz w:val="24"/>
          <w:szCs w:val="24"/>
          <w:lang w:val="sq-AL" w:eastAsia="ko-KR"/>
        </w:rPr>
        <w:lastRenderedPageBreak/>
        <w:t>integrimit të procedurave të menaxhimit të borxhit në një strukturë organizative, duke pasur strukturën, infrastrukturën dhe procedurat të drejtuara nga aktivitete operacionale efiçente për menaxhimin e administratës shtetërore dhe tregjeve financiare.</w:t>
      </w:r>
    </w:p>
    <w:p w14:paraId="71DF5F0D"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p>
    <w:p w14:paraId="71DF5F0E" w14:textId="77777777" w:rsidR="00AB79A5" w:rsidRPr="000F5C13" w:rsidRDefault="00671589"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r>
        <w:rPr>
          <w:rFonts w:ascii="Cambria" w:eastAsia="Batang" w:hAnsi="Cambria" w:cs="Times New Roman"/>
          <w:b/>
          <w:noProof/>
          <w:sz w:val="24"/>
          <w:szCs w:val="24"/>
          <w:lang w:val="sq-AL" w:eastAsia="ko-KR"/>
        </w:rPr>
        <w:t>Risku i ri</w:t>
      </w:r>
      <w:r w:rsidR="00AB79A5" w:rsidRPr="000F5C13">
        <w:rPr>
          <w:rFonts w:ascii="Cambria" w:eastAsia="Batang" w:hAnsi="Cambria" w:cs="Times New Roman"/>
          <w:b/>
          <w:noProof/>
          <w:sz w:val="24"/>
          <w:szCs w:val="24"/>
          <w:lang w:val="sq-AL" w:eastAsia="ko-KR"/>
        </w:rPr>
        <w:t>financimit</w:t>
      </w:r>
      <w:r w:rsidR="00AB79A5" w:rsidRPr="000F5C13">
        <w:rPr>
          <w:rFonts w:ascii="Times New Roman" w:eastAsia="Batang" w:hAnsi="Times New Roman" w:cs="Times New Roman"/>
          <w:b/>
          <w:noProof/>
          <w:sz w:val="24"/>
          <w:szCs w:val="24"/>
          <w:lang w:val="sq-AL" w:eastAsia="ko-KR"/>
        </w:rPr>
        <w:t xml:space="preserve"> – </w:t>
      </w:r>
      <w:r w:rsidR="00AB79A5" w:rsidRPr="000F5C13">
        <w:rPr>
          <w:rFonts w:ascii="Times New Roman" w:eastAsia="Batang" w:hAnsi="Times New Roman" w:cs="Times New Roman"/>
          <w:noProof/>
          <w:sz w:val="24"/>
          <w:szCs w:val="24"/>
          <w:lang w:val="sq-AL" w:eastAsia="ko-KR"/>
        </w:rPr>
        <w:t>Risku që lidhet me aftësinë për të emetuar instrum</w:t>
      </w:r>
      <w:r>
        <w:rPr>
          <w:rFonts w:ascii="Times New Roman" w:eastAsia="Batang" w:hAnsi="Times New Roman" w:cs="Times New Roman"/>
          <w:noProof/>
          <w:sz w:val="24"/>
          <w:szCs w:val="24"/>
          <w:lang w:val="sq-AL" w:eastAsia="ko-KR"/>
        </w:rPr>
        <w:t>ente ose marrë hua me qëllim ri</w:t>
      </w:r>
      <w:r w:rsidR="00AB79A5" w:rsidRPr="000F5C13">
        <w:rPr>
          <w:rFonts w:ascii="Times New Roman" w:eastAsia="Batang" w:hAnsi="Times New Roman" w:cs="Times New Roman"/>
          <w:noProof/>
          <w:sz w:val="24"/>
          <w:szCs w:val="24"/>
          <w:lang w:val="sq-AL" w:eastAsia="ko-KR"/>
        </w:rPr>
        <w:t>financimin dhe shërbimin e borxhit aktual. Sa më i madh të jetë volumi i shumave që maturohen dhe sa më i afërt në kohë,</w:t>
      </w:r>
      <w:r>
        <w:rPr>
          <w:rFonts w:ascii="Times New Roman" w:eastAsia="Batang" w:hAnsi="Times New Roman" w:cs="Times New Roman"/>
          <w:noProof/>
          <w:sz w:val="24"/>
          <w:szCs w:val="24"/>
          <w:lang w:val="sq-AL" w:eastAsia="ko-KR"/>
        </w:rPr>
        <w:t xml:space="preserve"> aq më i lartë është risku i ri</w:t>
      </w:r>
      <w:r w:rsidR="00AB79A5" w:rsidRPr="000F5C13">
        <w:rPr>
          <w:rFonts w:ascii="Times New Roman" w:eastAsia="Batang" w:hAnsi="Times New Roman" w:cs="Times New Roman"/>
          <w:noProof/>
          <w:sz w:val="24"/>
          <w:szCs w:val="24"/>
          <w:lang w:val="sq-AL" w:eastAsia="ko-KR"/>
        </w:rPr>
        <w:t>financi</w:t>
      </w:r>
      <w:r>
        <w:rPr>
          <w:rFonts w:ascii="Times New Roman" w:eastAsia="Batang" w:hAnsi="Times New Roman" w:cs="Times New Roman"/>
          <w:noProof/>
          <w:sz w:val="24"/>
          <w:szCs w:val="24"/>
          <w:lang w:val="sq-AL" w:eastAsia="ko-KR"/>
        </w:rPr>
        <w:t>mit dhe anasjelltas. Risku i ri</w:t>
      </w:r>
      <w:r w:rsidR="00AB79A5" w:rsidRPr="000F5C13">
        <w:rPr>
          <w:rFonts w:ascii="Times New Roman" w:eastAsia="Batang" w:hAnsi="Times New Roman" w:cs="Times New Roman"/>
          <w:noProof/>
          <w:sz w:val="24"/>
          <w:szCs w:val="24"/>
          <w:lang w:val="sq-AL" w:eastAsia="ko-KR"/>
        </w:rPr>
        <w:t xml:space="preserve">financimit ndikohet nga niveli i borxhit ekzistues dhe profili i amortizimit. Rritja e maturitetit të borxhit dhe shpërndarja në kohë e maturimeve </w:t>
      </w:r>
      <w:r w:rsidR="00AB79A5">
        <w:rPr>
          <w:rFonts w:ascii="Times New Roman" w:eastAsia="Batang" w:hAnsi="Times New Roman" w:cs="Times New Roman"/>
          <w:noProof/>
          <w:sz w:val="24"/>
          <w:szCs w:val="24"/>
          <w:lang w:val="sq-AL" w:eastAsia="ko-KR"/>
        </w:rPr>
        <w:t>ndikon</w:t>
      </w:r>
      <w:r>
        <w:rPr>
          <w:rFonts w:ascii="Times New Roman" w:eastAsia="Batang" w:hAnsi="Times New Roman" w:cs="Times New Roman"/>
          <w:noProof/>
          <w:sz w:val="24"/>
          <w:szCs w:val="24"/>
          <w:lang w:val="sq-AL" w:eastAsia="ko-KR"/>
        </w:rPr>
        <w:t xml:space="preserve"> në reduktimin e riskut të ri</w:t>
      </w:r>
      <w:r w:rsidR="00AB79A5" w:rsidRPr="000F5C13">
        <w:rPr>
          <w:rFonts w:ascii="Times New Roman" w:eastAsia="Batang" w:hAnsi="Times New Roman" w:cs="Times New Roman"/>
          <w:noProof/>
          <w:sz w:val="24"/>
          <w:szCs w:val="24"/>
          <w:lang w:val="sq-AL" w:eastAsia="ko-KR"/>
        </w:rPr>
        <w:t xml:space="preserve">financimit. </w:t>
      </w:r>
    </w:p>
    <w:p w14:paraId="71DF5F0F"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p>
    <w:p w14:paraId="71DF5F10" w14:textId="77777777" w:rsidR="00AB79A5" w:rsidRPr="000F5C13" w:rsidRDefault="00AB79A5" w:rsidP="00AB79A5">
      <w:pPr>
        <w:autoSpaceDE w:val="0"/>
        <w:autoSpaceDN w:val="0"/>
        <w:adjustRightInd w:val="0"/>
        <w:spacing w:after="0" w:line="23" w:lineRule="atLeast"/>
        <w:ind w:right="-22"/>
        <w:jc w:val="both"/>
        <w:rPr>
          <w:rFonts w:ascii="Times New Roman" w:eastAsia="Batang" w:hAnsi="Times New Roman" w:cs="Times New Roman"/>
          <w:noProof/>
          <w:sz w:val="24"/>
          <w:szCs w:val="24"/>
          <w:lang w:val="sq-AL"/>
        </w:rPr>
      </w:pPr>
      <w:r w:rsidRPr="000F5C13">
        <w:rPr>
          <w:rFonts w:ascii="Cambria" w:eastAsia="Batang" w:hAnsi="Cambria" w:cs="Times New Roman"/>
          <w:b/>
          <w:noProof/>
          <w:sz w:val="24"/>
          <w:szCs w:val="24"/>
          <w:lang w:val="sq-AL"/>
        </w:rPr>
        <w:t>Stoku i borxhit</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rPr>
        <w:t>Balanca e principalit të borxhit në një moment të dhënë të kohës.</w:t>
      </w:r>
    </w:p>
    <w:p w14:paraId="71DF5F11" w14:textId="77777777" w:rsidR="00AB79A5" w:rsidRPr="000F5C13" w:rsidRDefault="00AB79A5" w:rsidP="00AB79A5">
      <w:pPr>
        <w:autoSpaceDE w:val="0"/>
        <w:autoSpaceDN w:val="0"/>
        <w:adjustRightInd w:val="0"/>
        <w:spacing w:after="0" w:line="23" w:lineRule="atLeast"/>
        <w:ind w:right="-22"/>
        <w:jc w:val="both"/>
        <w:rPr>
          <w:rFonts w:ascii="Times New Roman" w:eastAsia="Batang" w:hAnsi="Times New Roman" w:cs="Times New Roman"/>
          <w:noProof/>
          <w:sz w:val="24"/>
          <w:szCs w:val="24"/>
          <w:lang w:val="sq-AL"/>
        </w:rPr>
      </w:pPr>
    </w:p>
    <w:p w14:paraId="71DF5F12" w14:textId="77777777" w:rsidR="00AB79A5" w:rsidRDefault="00AB79A5" w:rsidP="00AB79A5">
      <w:pPr>
        <w:tabs>
          <w:tab w:val="left" w:pos="9498"/>
        </w:tabs>
        <w:autoSpaceDE w:val="0"/>
        <w:autoSpaceDN w:val="0"/>
        <w:adjustRightInd w:val="0"/>
        <w:spacing w:after="0" w:line="23" w:lineRule="atLeast"/>
        <w:ind w:right="270"/>
        <w:jc w:val="both"/>
        <w:rPr>
          <w:rFonts w:ascii="Times New Roman" w:eastAsia="Batang" w:hAnsi="Times New Roman" w:cs="Times New Roman"/>
          <w:noProof/>
          <w:sz w:val="24"/>
          <w:szCs w:val="24"/>
          <w:lang w:val="sq-AL"/>
        </w:rPr>
      </w:pPr>
      <w:r w:rsidRPr="000F5C13">
        <w:rPr>
          <w:rFonts w:ascii="Cambria" w:eastAsia="Batang" w:hAnsi="Cambria" w:cs="Times New Roman"/>
          <w:b/>
          <w:noProof/>
          <w:sz w:val="24"/>
          <w:szCs w:val="24"/>
          <w:lang w:val="sq-AL"/>
        </w:rPr>
        <w:t>Shërbim borxhi</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rPr>
        <w:t>Pagesat e principalit dhe interesit në përputhje me termat e përcaktuara në marrëveshje.</w:t>
      </w:r>
    </w:p>
    <w:p w14:paraId="71DF5F13" w14:textId="77777777" w:rsidR="00AB79A5" w:rsidRDefault="00AB79A5" w:rsidP="00AB79A5">
      <w:pPr>
        <w:tabs>
          <w:tab w:val="left" w:pos="9498"/>
        </w:tabs>
        <w:autoSpaceDE w:val="0"/>
        <w:autoSpaceDN w:val="0"/>
        <w:adjustRightInd w:val="0"/>
        <w:spacing w:after="0" w:line="23" w:lineRule="atLeast"/>
        <w:ind w:right="270"/>
        <w:jc w:val="both"/>
        <w:rPr>
          <w:rFonts w:ascii="Times New Roman" w:eastAsia="Batang" w:hAnsi="Times New Roman" w:cs="Times New Roman"/>
          <w:noProof/>
          <w:sz w:val="24"/>
          <w:szCs w:val="24"/>
          <w:lang w:val="sq-AL"/>
        </w:rPr>
      </w:pPr>
    </w:p>
    <w:p w14:paraId="71DF5F14" w14:textId="77777777" w:rsidR="00AB79A5" w:rsidRPr="00202BAF"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r w:rsidRPr="000F5C13">
        <w:rPr>
          <w:rFonts w:ascii="Cambria" w:eastAsia="Batang" w:hAnsi="Cambria" w:cs="Times New Roman"/>
          <w:b/>
          <w:noProof/>
          <w:color w:val="000000"/>
          <w:sz w:val="24"/>
          <w:szCs w:val="24"/>
          <w:lang w:val="sq-AL" w:eastAsia="ko-KR"/>
        </w:rPr>
        <w:t xml:space="preserve">Sistemi Primary Dealer </w:t>
      </w:r>
      <w:r w:rsidRPr="000F5C13">
        <w:rPr>
          <w:rFonts w:ascii="Times New Roman" w:eastAsia="Batang" w:hAnsi="Times New Roman" w:cs="Times New Roman"/>
          <w:b/>
          <w:noProof/>
          <w:sz w:val="24"/>
          <w:szCs w:val="24"/>
          <w:lang w:val="sq-AL" w:eastAsia="ko-KR"/>
        </w:rPr>
        <w:t xml:space="preserve">– </w:t>
      </w:r>
      <w:r w:rsidRPr="000F5C13">
        <w:rPr>
          <w:rFonts w:ascii="Times New Roman" w:eastAsia="Batang" w:hAnsi="Times New Roman" w:cs="Times New Roman"/>
          <w:noProof/>
          <w:color w:val="000000"/>
          <w:sz w:val="24"/>
          <w:szCs w:val="24"/>
          <w:lang w:val="sq-AL" w:eastAsia="ko-KR"/>
        </w:rPr>
        <w:t xml:space="preserve">Është një marrëveshje institucionale ndërmjet strukturës përgjegjëse për menaxhimin e borxhit dhe disa ndërmjetësve financiarë </w:t>
      </w:r>
      <w:r w:rsidRPr="002B3928">
        <w:rPr>
          <w:rFonts w:ascii="Times New Roman" w:eastAsia="Batang" w:hAnsi="Times New Roman" w:cs="Times New Roman"/>
          <w:noProof/>
          <w:color w:val="000000"/>
          <w:sz w:val="24"/>
          <w:szCs w:val="24"/>
          <w:lang w:val="sq-AL" w:eastAsia="ko-KR"/>
        </w:rPr>
        <w:t>(që kanë funksione të specializuara në tregun e titujve shtetërorë)</w:t>
      </w:r>
      <w:r w:rsidRPr="000F5C13">
        <w:rPr>
          <w:rFonts w:ascii="Times New Roman" w:eastAsia="Batang" w:hAnsi="Times New Roman" w:cs="Times New Roman"/>
          <w:i/>
          <w:noProof/>
          <w:color w:val="000000"/>
          <w:sz w:val="24"/>
          <w:szCs w:val="24"/>
          <w:lang w:val="sq-AL" w:eastAsia="ko-KR"/>
        </w:rPr>
        <w:t xml:space="preserve">, </w:t>
      </w:r>
      <w:r w:rsidRPr="000F5C13">
        <w:rPr>
          <w:rFonts w:ascii="Times New Roman" w:eastAsia="Batang" w:hAnsi="Times New Roman" w:cs="Times New Roman"/>
          <w:noProof/>
          <w:color w:val="000000"/>
          <w:sz w:val="24"/>
          <w:szCs w:val="24"/>
          <w:lang w:val="sq-AL" w:eastAsia="ko-KR"/>
        </w:rPr>
        <w:t xml:space="preserve">me qëllim zbatimin e një strategjie që ka për funksion sigurimin e nevojave për financim të </w:t>
      </w:r>
      <w:r>
        <w:rPr>
          <w:rFonts w:ascii="Times New Roman" w:eastAsia="Batang" w:hAnsi="Times New Roman" w:cs="Times New Roman"/>
          <w:noProof/>
          <w:color w:val="000000"/>
          <w:sz w:val="24"/>
          <w:szCs w:val="24"/>
          <w:lang w:val="sq-AL" w:eastAsia="ko-KR"/>
        </w:rPr>
        <w:t>q</w:t>
      </w:r>
      <w:r w:rsidRPr="000F5C13">
        <w:rPr>
          <w:rFonts w:ascii="Times New Roman" w:eastAsia="Batang" w:hAnsi="Times New Roman" w:cs="Times New Roman"/>
          <w:noProof/>
          <w:color w:val="000000"/>
          <w:sz w:val="24"/>
          <w:szCs w:val="24"/>
          <w:lang w:val="sq-AL" w:eastAsia="ko-KR"/>
        </w:rPr>
        <w:t>everisë dhe zhvillimin e tregut të titujve.</w:t>
      </w:r>
    </w:p>
    <w:p w14:paraId="71DF5F15"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b/>
          <w:noProof/>
          <w:sz w:val="24"/>
          <w:szCs w:val="24"/>
          <w:lang w:val="sq-AL" w:eastAsia="ko-KR"/>
        </w:rPr>
      </w:pPr>
    </w:p>
    <w:p w14:paraId="71DF5F16"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Tregu primar</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eastAsia="ko-KR"/>
        </w:rPr>
        <w:t xml:space="preserve">Është hapësira fizike ose funksionale në të cilin </w:t>
      </w:r>
      <w:r w:rsidR="002B3928">
        <w:rPr>
          <w:rFonts w:ascii="Times New Roman" w:eastAsia="Batang" w:hAnsi="Times New Roman" w:cs="Times New Roman"/>
          <w:noProof/>
          <w:sz w:val="24"/>
          <w:szCs w:val="24"/>
          <w:lang w:val="sq-AL" w:eastAsia="ko-KR"/>
        </w:rPr>
        <w:t>s</w:t>
      </w:r>
      <w:r w:rsidRPr="000F5C13">
        <w:rPr>
          <w:rFonts w:ascii="Times New Roman" w:eastAsia="Batang" w:hAnsi="Times New Roman" w:cs="Times New Roman"/>
          <w:noProof/>
          <w:sz w:val="24"/>
          <w:szCs w:val="24"/>
          <w:lang w:val="sq-AL" w:eastAsia="ko-KR"/>
        </w:rPr>
        <w:t>hteti Shqiptar emeton për herë të parë titujt.</w:t>
      </w:r>
    </w:p>
    <w:p w14:paraId="71DF5F17"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p>
    <w:p w14:paraId="71DF5F18"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Tregu sekondar</w:t>
      </w:r>
      <w:r w:rsidRPr="000F5C13">
        <w:rPr>
          <w:rFonts w:ascii="Times New Roman" w:eastAsia="Batang" w:hAnsi="Times New Roman" w:cs="Times New Roman"/>
          <w:b/>
          <w:noProof/>
          <w:sz w:val="24"/>
          <w:szCs w:val="24"/>
          <w:lang w:val="sq-AL" w:eastAsia="ko-KR"/>
        </w:rPr>
        <w:t xml:space="preserve"> –</w:t>
      </w:r>
      <w:r w:rsidRPr="000F5C13">
        <w:rPr>
          <w:rFonts w:ascii="Times New Roman" w:eastAsia="Batang" w:hAnsi="Times New Roman" w:cs="Times New Roman"/>
          <w:noProof/>
          <w:sz w:val="24"/>
          <w:szCs w:val="24"/>
          <w:lang w:val="sq-AL" w:eastAsia="ko-KR"/>
        </w:rPr>
        <w:t xml:space="preserve"> Është hapësira fizike ose funksionale ku kryhen transaksionet me titujt pasi janë emetuar në tregun primar.</w:t>
      </w:r>
    </w:p>
    <w:p w14:paraId="71DF5F19"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p>
    <w:p w14:paraId="71DF5F1A" w14:textId="77777777" w:rsidR="00AB79A5" w:rsidRPr="000F5C13" w:rsidRDefault="00AB79A5" w:rsidP="00AB79A5">
      <w:pPr>
        <w:spacing w:after="0" w:line="240" w:lineRule="auto"/>
        <w:ind w:right="270"/>
        <w:jc w:val="both"/>
        <w:rPr>
          <w:rFonts w:ascii="Cambria" w:eastAsia="Times New Roman" w:hAnsi="Cambria" w:cs="Times New Roman"/>
          <w:noProof/>
          <w:sz w:val="24"/>
          <w:szCs w:val="24"/>
          <w:lang w:val="sq-AL"/>
        </w:rPr>
      </w:pPr>
      <w:r w:rsidRPr="000F5C13">
        <w:rPr>
          <w:rFonts w:ascii="Cambria" w:eastAsia="Times New Roman" w:hAnsi="Cambria" w:cs="Times New Roman"/>
          <w:b/>
          <w:noProof/>
          <w:sz w:val="24"/>
          <w:szCs w:val="24"/>
          <w:lang w:val="sq-AL"/>
        </w:rPr>
        <w:t xml:space="preserve">Tituj afatmesëm </w:t>
      </w:r>
      <w:r w:rsidRPr="000F5C13">
        <w:rPr>
          <w:rFonts w:ascii="Times New Roman" w:eastAsia="Times New Roman" w:hAnsi="Times New Roman" w:cs="Times New Roman"/>
          <w:b/>
          <w:noProof/>
          <w:sz w:val="24"/>
          <w:szCs w:val="24"/>
          <w:lang w:val="sq-AL"/>
        </w:rPr>
        <w:t>–</w:t>
      </w:r>
      <w:r w:rsidRPr="000F5C13">
        <w:rPr>
          <w:rFonts w:ascii="Times New Roman" w:eastAsia="Times New Roman" w:hAnsi="Times New Roman" w:cs="Times New Roman"/>
          <w:noProof/>
          <w:sz w:val="24"/>
          <w:szCs w:val="24"/>
          <w:lang w:val="sq-AL"/>
        </w:rPr>
        <w:t xml:space="preserve"> I referohet </w:t>
      </w:r>
      <w:r w:rsidRPr="000F5C13">
        <w:rPr>
          <w:rFonts w:ascii="Times New Roman" w:eastAsia="Batang" w:hAnsi="Times New Roman" w:cs="Times New Roman"/>
          <w:bCs/>
          <w:noProof/>
          <w:sz w:val="24"/>
          <w:szCs w:val="24"/>
          <w:lang w:val="sq-AL"/>
        </w:rPr>
        <w:t>titujve të borxhit shtetërorë me</w:t>
      </w:r>
      <w:r w:rsidRPr="000F5C13">
        <w:rPr>
          <w:rFonts w:ascii="Times New Roman" w:eastAsia="Batang" w:hAnsi="Times New Roman" w:cs="Times New Roman"/>
          <w:b/>
          <w:bCs/>
          <w:noProof/>
          <w:sz w:val="24"/>
          <w:szCs w:val="24"/>
          <w:lang w:val="sq-AL"/>
        </w:rPr>
        <w:t xml:space="preserve"> </w:t>
      </w:r>
      <w:r w:rsidRPr="000F5C13">
        <w:rPr>
          <w:rFonts w:ascii="Times New Roman" w:eastAsia="Times New Roman" w:hAnsi="Times New Roman" w:cs="Times New Roman"/>
          <w:noProof/>
          <w:sz w:val="24"/>
          <w:szCs w:val="24"/>
          <w:lang w:val="sq-AL"/>
        </w:rPr>
        <w:t>afat maturimi nga 2 deri në 5 vite.</w:t>
      </w:r>
    </w:p>
    <w:p w14:paraId="71DF5F1B" w14:textId="77777777" w:rsidR="00AB79A5" w:rsidRPr="000F5C13" w:rsidRDefault="00AB79A5" w:rsidP="00AB79A5">
      <w:pPr>
        <w:spacing w:after="0" w:line="240" w:lineRule="auto"/>
        <w:ind w:right="270"/>
        <w:jc w:val="both"/>
        <w:rPr>
          <w:rFonts w:ascii="Cambria" w:eastAsia="Times New Roman" w:hAnsi="Cambria" w:cs="Times New Roman"/>
          <w:b/>
          <w:noProof/>
          <w:sz w:val="24"/>
          <w:szCs w:val="24"/>
          <w:lang w:val="sq-AL"/>
        </w:rPr>
      </w:pPr>
    </w:p>
    <w:p w14:paraId="71DF5F1C" w14:textId="77777777" w:rsidR="00AB79A5" w:rsidRPr="000F5C13" w:rsidRDefault="00AB79A5" w:rsidP="00AB79A5">
      <w:pPr>
        <w:spacing w:after="0" w:line="240" w:lineRule="auto"/>
        <w:ind w:right="270"/>
        <w:jc w:val="both"/>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t xml:space="preserve">Tituj afatgjatë </w:t>
      </w:r>
      <w:r w:rsidRPr="000F5C13">
        <w:rPr>
          <w:rFonts w:ascii="Times New Roman" w:eastAsia="Times New Roman" w:hAnsi="Times New Roman" w:cs="Times New Roman"/>
          <w:b/>
          <w:noProof/>
          <w:sz w:val="24"/>
          <w:szCs w:val="24"/>
          <w:lang w:val="sq-AL"/>
        </w:rPr>
        <w:t xml:space="preserve">– </w:t>
      </w:r>
      <w:r w:rsidRPr="000F5C13">
        <w:rPr>
          <w:rFonts w:ascii="Times New Roman" w:eastAsia="Times New Roman" w:hAnsi="Times New Roman" w:cs="Times New Roman"/>
          <w:noProof/>
          <w:sz w:val="24"/>
          <w:szCs w:val="24"/>
          <w:lang w:val="sq-AL"/>
        </w:rPr>
        <w:t xml:space="preserve">I referohet </w:t>
      </w:r>
      <w:r w:rsidRPr="000F5C13">
        <w:rPr>
          <w:rFonts w:ascii="Times New Roman" w:eastAsia="Batang" w:hAnsi="Times New Roman" w:cs="Times New Roman"/>
          <w:bCs/>
          <w:noProof/>
          <w:sz w:val="24"/>
          <w:szCs w:val="24"/>
          <w:lang w:val="sq-AL"/>
        </w:rPr>
        <w:t>titujve të borxhit shtetërorë me</w:t>
      </w:r>
      <w:r w:rsidRPr="000F5C13">
        <w:rPr>
          <w:rFonts w:ascii="Times New Roman" w:eastAsia="Batang" w:hAnsi="Times New Roman" w:cs="Times New Roman"/>
          <w:b/>
          <w:bCs/>
          <w:noProof/>
          <w:sz w:val="24"/>
          <w:szCs w:val="24"/>
          <w:lang w:val="sq-AL"/>
        </w:rPr>
        <w:t xml:space="preserve"> </w:t>
      </w:r>
      <w:r w:rsidRPr="000F5C13">
        <w:rPr>
          <w:rFonts w:ascii="Times New Roman" w:eastAsia="Times New Roman" w:hAnsi="Times New Roman" w:cs="Times New Roman"/>
          <w:noProof/>
          <w:sz w:val="24"/>
          <w:szCs w:val="24"/>
          <w:lang w:val="sq-AL"/>
        </w:rPr>
        <w:t>afat maturimi mbi 5 vite.</w:t>
      </w:r>
    </w:p>
    <w:p w14:paraId="71DF5F1D" w14:textId="77777777" w:rsidR="00AB79A5" w:rsidRPr="000F5C13" w:rsidRDefault="00AB79A5" w:rsidP="00AB79A5">
      <w:pPr>
        <w:spacing w:after="0" w:line="240" w:lineRule="auto"/>
        <w:ind w:right="270"/>
        <w:jc w:val="both"/>
        <w:rPr>
          <w:rFonts w:ascii="Cambria" w:eastAsia="Times New Roman" w:hAnsi="Cambria" w:cs="Times New Roman"/>
          <w:noProof/>
          <w:sz w:val="24"/>
          <w:szCs w:val="24"/>
          <w:lang w:val="sq-AL"/>
        </w:rPr>
      </w:pPr>
    </w:p>
    <w:p w14:paraId="71DF5F1E" w14:textId="77777777" w:rsidR="00AB79A5" w:rsidRPr="000F5C13" w:rsidRDefault="00AB79A5" w:rsidP="00AB79A5">
      <w:pPr>
        <w:spacing w:after="0"/>
        <w:ind w:right="270"/>
        <w:jc w:val="both"/>
        <w:rPr>
          <w:rFonts w:ascii="Times New Roman" w:eastAsia="Times New Roman" w:hAnsi="Times New Roman" w:cs="Times New Roman"/>
          <w:noProof/>
          <w:sz w:val="24"/>
          <w:szCs w:val="24"/>
          <w:lang w:val="sq-AL"/>
        </w:rPr>
      </w:pPr>
      <w:r w:rsidRPr="000F5C13">
        <w:rPr>
          <w:rFonts w:ascii="Cambria" w:eastAsia="Times New Roman" w:hAnsi="Cambria" w:cs="Times New Roman"/>
          <w:b/>
          <w:noProof/>
          <w:sz w:val="24"/>
          <w:szCs w:val="24"/>
          <w:lang w:val="sq-AL"/>
        </w:rPr>
        <w:t xml:space="preserve">Tituj referencë </w:t>
      </w:r>
      <w:r w:rsidRPr="000F5C13">
        <w:rPr>
          <w:rFonts w:ascii="Cambria" w:eastAsia="Times New Roman" w:hAnsi="Cambria" w:cs="Times New Roman"/>
          <w:b/>
          <w:i/>
          <w:noProof/>
          <w:sz w:val="24"/>
          <w:szCs w:val="24"/>
          <w:lang w:val="sq-AL"/>
        </w:rPr>
        <w:t>(benchmark)</w:t>
      </w:r>
      <w:r w:rsidRPr="000F5C13">
        <w:rPr>
          <w:rFonts w:ascii="Cambria" w:eastAsia="Times New Roman" w:hAnsi="Cambria" w:cs="Times New Roman"/>
          <w:b/>
          <w:noProof/>
          <w:sz w:val="24"/>
          <w:szCs w:val="24"/>
          <w:lang w:val="sq-AL"/>
        </w:rPr>
        <w:t xml:space="preserve"> </w:t>
      </w:r>
      <w:r w:rsidRPr="000F5C13">
        <w:rPr>
          <w:rFonts w:ascii="Times New Roman" w:eastAsia="Times New Roman" w:hAnsi="Times New Roman" w:cs="Times New Roman"/>
          <w:b/>
          <w:noProof/>
          <w:sz w:val="24"/>
          <w:szCs w:val="24"/>
          <w:lang w:val="sq-AL"/>
        </w:rPr>
        <w:t xml:space="preserve">– </w:t>
      </w:r>
      <w:r w:rsidRPr="000F5C13">
        <w:rPr>
          <w:rFonts w:ascii="Times New Roman" w:eastAsia="Batang" w:hAnsi="Times New Roman" w:cs="Times New Roman"/>
          <w:noProof/>
          <w:sz w:val="24"/>
          <w:szCs w:val="24"/>
          <w:lang w:val="sq-AL" w:eastAsia="ko-KR"/>
        </w:rPr>
        <w:t>Ë</w:t>
      </w:r>
      <w:r w:rsidRPr="000F5C13">
        <w:rPr>
          <w:rFonts w:ascii="Times New Roman" w:eastAsia="Times New Roman" w:hAnsi="Times New Roman" w:cs="Times New Roman"/>
          <w:noProof/>
          <w:sz w:val="24"/>
          <w:szCs w:val="24"/>
          <w:lang w:val="sq-AL"/>
        </w:rPr>
        <w:t>shtë emetimi më i fundit i titujve të shtetit shqiptar për një maturitet të caktuar. Ankandi për titullin referencë mund të rihapet periodikisht deri në arritjen e një vlere të paracaktuar nga Ministria e Financave dhe Ekonomisë. Ky titull përdoret si pikë referimi për vlerësimin e titujve të tjerë shtetërorë me maturitet, shumë emetimi dhe normë kuponi të ngjashëm.</w:t>
      </w:r>
    </w:p>
    <w:p w14:paraId="71DF5F1F" w14:textId="77777777" w:rsidR="00AB79A5" w:rsidRPr="000F5C13" w:rsidRDefault="00AB79A5" w:rsidP="00AB79A5">
      <w:pPr>
        <w:spacing w:after="0" w:line="240" w:lineRule="auto"/>
        <w:ind w:right="270"/>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Përgjithësisht, titujt referencë gëzojnë likuiditet më të lartë se emetimet e zakonshme, për shkak të detyrimit që kanë Zhvilluesit e Tregut për të kuotuar çmime blerjeje/shitjeje në tregun sekondar sipas kushteve të përcaktuara në kontratën e lidhur me Ministrinë e Financave dhe Ekonomisë.</w:t>
      </w:r>
    </w:p>
    <w:p w14:paraId="71DF5F20"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p>
    <w:p w14:paraId="71DF5F21" w14:textId="77777777" w:rsidR="00AB79A5" w:rsidRPr="000F5C13" w:rsidRDefault="00AB79A5" w:rsidP="00AB79A5">
      <w:pPr>
        <w:autoSpaceDE w:val="0"/>
        <w:autoSpaceDN w:val="0"/>
        <w:adjustRightInd w:val="0"/>
        <w:spacing w:after="0" w:line="240" w:lineRule="auto"/>
        <w:ind w:right="270"/>
        <w:jc w:val="both"/>
        <w:rPr>
          <w:rFonts w:ascii="Times New Roman" w:eastAsia="Batang" w:hAnsi="Times New Roman" w:cs="Times New Roman"/>
          <w:noProof/>
          <w:sz w:val="24"/>
          <w:szCs w:val="24"/>
          <w:lang w:val="sq-AL" w:eastAsia="ko-KR"/>
        </w:rPr>
      </w:pPr>
      <w:r w:rsidRPr="000F5C13">
        <w:rPr>
          <w:rFonts w:ascii="Cambria" w:eastAsia="Batang" w:hAnsi="Cambria" w:cs="Times New Roman"/>
          <w:b/>
          <w:noProof/>
          <w:sz w:val="24"/>
          <w:szCs w:val="24"/>
          <w:lang w:val="sq-AL" w:eastAsia="ko-KR"/>
        </w:rPr>
        <w:t>Tituj shtetërorë</w:t>
      </w:r>
      <w:r w:rsidRPr="000F5C13">
        <w:rPr>
          <w:rFonts w:ascii="Times New Roman" w:eastAsia="Batang" w:hAnsi="Times New Roman" w:cs="Times New Roman"/>
          <w:b/>
          <w:noProof/>
          <w:sz w:val="24"/>
          <w:szCs w:val="24"/>
          <w:lang w:val="sq-AL" w:eastAsia="ko-KR"/>
        </w:rPr>
        <w:t xml:space="preserve"> – </w:t>
      </w:r>
      <w:r w:rsidRPr="000F5C13">
        <w:rPr>
          <w:rFonts w:ascii="Times New Roman" w:eastAsia="Batang" w:hAnsi="Times New Roman" w:cs="Times New Roman"/>
          <w:noProof/>
          <w:sz w:val="24"/>
          <w:szCs w:val="24"/>
          <w:lang w:val="sq-AL" w:eastAsia="ko-KR"/>
        </w:rPr>
        <w:t>Janë bonot e thesarit dhe obligacionet shtetërore të emetuara nga Ministria e Financave dhe Ekonomisë në përputhje me ligjin Nr. 9665, datë 18.12.2006</w:t>
      </w:r>
      <w:r>
        <w:rPr>
          <w:rFonts w:ascii="Times New Roman" w:eastAsia="Batang" w:hAnsi="Times New Roman" w:cs="Times New Roman"/>
          <w:noProof/>
          <w:sz w:val="24"/>
          <w:szCs w:val="24"/>
          <w:lang w:val="sq-AL" w:eastAsia="ko-KR"/>
        </w:rPr>
        <w:t>,</w:t>
      </w:r>
      <w:r w:rsidRPr="000F5C13">
        <w:rPr>
          <w:rFonts w:ascii="Times New Roman" w:eastAsia="Batang" w:hAnsi="Times New Roman" w:cs="Times New Roman"/>
          <w:noProof/>
          <w:sz w:val="24"/>
          <w:szCs w:val="24"/>
          <w:lang w:val="sq-AL" w:eastAsia="ko-KR"/>
        </w:rPr>
        <w:t xml:space="preserve"> “Për huamarrjen shtetërore, borxhin shtetëror dhe garancitë shtetërore të huasë </w:t>
      </w:r>
      <w:r>
        <w:rPr>
          <w:rFonts w:ascii="Times New Roman" w:eastAsia="Batang" w:hAnsi="Times New Roman" w:cs="Times New Roman"/>
          <w:noProof/>
          <w:sz w:val="24"/>
          <w:szCs w:val="24"/>
          <w:lang w:val="sq-AL" w:eastAsia="ko-KR"/>
        </w:rPr>
        <w:t>n</w:t>
      </w:r>
      <w:r w:rsidRPr="000F5C13">
        <w:rPr>
          <w:rFonts w:ascii="Times New Roman" w:eastAsia="Batang" w:hAnsi="Times New Roman" w:cs="Times New Roman"/>
          <w:noProof/>
          <w:sz w:val="24"/>
          <w:szCs w:val="24"/>
          <w:lang w:val="sq-AL" w:eastAsia="ko-KR"/>
        </w:rPr>
        <w:t>ë Republikë</w:t>
      </w:r>
      <w:r>
        <w:rPr>
          <w:rFonts w:ascii="Times New Roman" w:eastAsia="Batang" w:hAnsi="Times New Roman" w:cs="Times New Roman"/>
          <w:noProof/>
          <w:sz w:val="24"/>
          <w:szCs w:val="24"/>
          <w:lang w:val="sq-AL" w:eastAsia="ko-KR"/>
        </w:rPr>
        <w:t>n</w:t>
      </w:r>
      <w:r w:rsidRPr="000F5C13">
        <w:rPr>
          <w:rFonts w:ascii="Times New Roman" w:eastAsia="Batang" w:hAnsi="Times New Roman" w:cs="Times New Roman"/>
          <w:noProof/>
          <w:sz w:val="24"/>
          <w:szCs w:val="24"/>
          <w:lang w:val="sq-AL" w:eastAsia="ko-KR"/>
        </w:rPr>
        <w:t xml:space="preserve"> </w:t>
      </w:r>
      <w:r>
        <w:rPr>
          <w:rFonts w:ascii="Times New Roman" w:eastAsia="Batang" w:hAnsi="Times New Roman" w:cs="Times New Roman"/>
          <w:noProof/>
          <w:sz w:val="24"/>
          <w:szCs w:val="24"/>
          <w:lang w:val="sq-AL" w:eastAsia="ko-KR"/>
        </w:rPr>
        <w:t>e</w:t>
      </w:r>
      <w:r w:rsidRPr="000F5C13">
        <w:rPr>
          <w:rFonts w:ascii="Times New Roman" w:eastAsia="Batang" w:hAnsi="Times New Roman" w:cs="Times New Roman"/>
          <w:noProof/>
          <w:sz w:val="24"/>
          <w:szCs w:val="24"/>
          <w:lang w:val="sq-AL" w:eastAsia="ko-KR"/>
        </w:rPr>
        <w:t xml:space="preserve"> Shqipërisë”, </w:t>
      </w:r>
      <w:r>
        <w:rPr>
          <w:rFonts w:ascii="Times New Roman" w:eastAsia="Batang" w:hAnsi="Times New Roman" w:cs="Times New Roman"/>
          <w:noProof/>
          <w:sz w:val="24"/>
          <w:szCs w:val="24"/>
          <w:lang w:val="sq-AL" w:eastAsia="ko-KR"/>
        </w:rPr>
        <w:t>të</w:t>
      </w:r>
      <w:r w:rsidRPr="000F5C13">
        <w:rPr>
          <w:rFonts w:ascii="Times New Roman" w:eastAsia="Batang" w:hAnsi="Times New Roman" w:cs="Times New Roman"/>
          <w:noProof/>
          <w:sz w:val="24"/>
          <w:szCs w:val="24"/>
          <w:lang w:val="sq-AL" w:eastAsia="ko-KR"/>
        </w:rPr>
        <w:t xml:space="preserve"> ndryshuar; ligjin Nr. 9879, datë 21.02.2008 “Për titujt”</w:t>
      </w:r>
      <w:r>
        <w:rPr>
          <w:rFonts w:ascii="Times New Roman" w:eastAsia="Batang" w:hAnsi="Times New Roman" w:cs="Times New Roman"/>
          <w:noProof/>
          <w:sz w:val="24"/>
          <w:szCs w:val="24"/>
          <w:lang w:val="sq-AL" w:eastAsia="ko-KR"/>
        </w:rPr>
        <w:t>;</w:t>
      </w:r>
      <w:r w:rsidRPr="000F5C13">
        <w:rPr>
          <w:rFonts w:ascii="Times New Roman" w:eastAsia="Batang" w:hAnsi="Times New Roman" w:cs="Times New Roman"/>
          <w:noProof/>
          <w:sz w:val="24"/>
          <w:szCs w:val="24"/>
          <w:lang w:val="sq-AL" w:eastAsia="ko-KR"/>
        </w:rPr>
        <w:t xml:space="preserve"> si edhe aktet nënligjore.</w:t>
      </w:r>
    </w:p>
    <w:p w14:paraId="71DF5F22" w14:textId="77777777" w:rsidR="00A47AB7" w:rsidRDefault="00A47AB7" w:rsidP="00D80441">
      <w:pPr>
        <w:pStyle w:val="Title"/>
        <w:jc w:val="center"/>
        <w:rPr>
          <w:noProof/>
          <w:lang w:val="sq-AL"/>
        </w:rPr>
      </w:pPr>
      <w:bookmarkStart w:id="164" w:name="_Toc491954341"/>
    </w:p>
    <w:p w14:paraId="71DF5F23" w14:textId="77777777" w:rsidR="00A47AB7" w:rsidRDefault="00A47AB7" w:rsidP="00D80441">
      <w:pPr>
        <w:pStyle w:val="Title"/>
        <w:jc w:val="center"/>
        <w:rPr>
          <w:noProof/>
          <w:lang w:val="sq-AL"/>
        </w:rPr>
      </w:pPr>
    </w:p>
    <w:p w14:paraId="71DF5F24" w14:textId="77777777" w:rsidR="00D80441" w:rsidRPr="000F5C13" w:rsidRDefault="00D80441" w:rsidP="00D80441">
      <w:pPr>
        <w:pStyle w:val="Title"/>
        <w:jc w:val="center"/>
        <w:rPr>
          <w:noProof/>
          <w:lang w:val="sq-AL"/>
        </w:rPr>
      </w:pPr>
      <w:r w:rsidRPr="000F5C13">
        <w:rPr>
          <w:noProof/>
          <w:lang w:val="sq-AL"/>
        </w:rPr>
        <w:lastRenderedPageBreak/>
        <w:t>ANEKS III</w:t>
      </w:r>
      <w:bookmarkEnd w:id="164"/>
    </w:p>
    <w:p w14:paraId="71DF5F25" w14:textId="77777777" w:rsidR="00D80441" w:rsidRPr="000F5C13" w:rsidRDefault="00D80441" w:rsidP="00D80441">
      <w:pPr>
        <w:spacing w:after="0"/>
        <w:rPr>
          <w:rFonts w:ascii="Times New Roman" w:eastAsia="Batang" w:hAnsi="Times New Roman" w:cs="Times New Roman"/>
          <w:noProof/>
          <w:sz w:val="24"/>
          <w:szCs w:val="24"/>
          <w:lang w:val="sq-AL"/>
        </w:rPr>
      </w:pPr>
    </w:p>
    <w:p w14:paraId="71DF5F26" w14:textId="77777777" w:rsidR="00D80441" w:rsidRPr="000F5C13" w:rsidRDefault="00D80441" w:rsidP="00D80441">
      <w:pPr>
        <w:tabs>
          <w:tab w:val="left" w:pos="2730"/>
        </w:tabs>
        <w:spacing w:line="276" w:lineRule="auto"/>
        <w:ind w:left="284" w:right="237"/>
        <w:contextualSpacing/>
        <w:jc w:val="center"/>
        <w:rPr>
          <w:rFonts w:ascii="Cambria" w:eastAsia="Times New Roman" w:hAnsi="Cambria" w:cs="Times New Roman"/>
          <w:b/>
          <w:bCs/>
          <w:noProof/>
          <w:sz w:val="24"/>
          <w:szCs w:val="28"/>
          <w:lang w:val="sq-AL"/>
        </w:rPr>
      </w:pPr>
      <w:r w:rsidRPr="000F5C13">
        <w:rPr>
          <w:rFonts w:ascii="Cambria" w:eastAsia="Times New Roman" w:hAnsi="Cambria" w:cs="Times New Roman"/>
          <w:b/>
          <w:bCs/>
          <w:noProof/>
          <w:sz w:val="24"/>
          <w:szCs w:val="28"/>
          <w:lang w:val="sq-AL"/>
        </w:rPr>
        <w:t>INFORMACIONE SHTESË</w:t>
      </w:r>
    </w:p>
    <w:p w14:paraId="71DF5F27" w14:textId="77777777" w:rsidR="00D80441" w:rsidRPr="000F5C13" w:rsidRDefault="00D80441" w:rsidP="00D80441">
      <w:pPr>
        <w:tabs>
          <w:tab w:val="left" w:pos="2730"/>
        </w:tabs>
        <w:spacing w:line="276" w:lineRule="auto"/>
        <w:ind w:left="284" w:right="237"/>
        <w:contextualSpacing/>
        <w:jc w:val="center"/>
        <w:rPr>
          <w:rFonts w:ascii="Times New Roman" w:eastAsia="Times New Roman" w:hAnsi="Times New Roman" w:cs="Times New Roman"/>
          <w:b/>
          <w:bCs/>
          <w:noProof/>
          <w:sz w:val="24"/>
          <w:szCs w:val="24"/>
          <w:lang w:val="sq-AL"/>
        </w:rPr>
      </w:pPr>
    </w:p>
    <w:p w14:paraId="71DF5F28" w14:textId="77777777" w:rsidR="00D80441" w:rsidRPr="000F5C13" w:rsidRDefault="00D80441" w:rsidP="00D80441">
      <w:pPr>
        <w:numPr>
          <w:ilvl w:val="0"/>
          <w:numId w:val="19"/>
        </w:numPr>
        <w:tabs>
          <w:tab w:val="left" w:pos="2730"/>
        </w:tabs>
        <w:spacing w:line="276" w:lineRule="auto"/>
        <w:ind w:left="567" w:right="237" w:hanging="567"/>
        <w:contextualSpacing/>
        <w:jc w:val="both"/>
        <w:rPr>
          <w:rFonts w:ascii="Cambria" w:eastAsia="Times New Roman" w:hAnsi="Cambria" w:cs="Times New Roman"/>
          <w:b/>
          <w:bCs/>
          <w:noProof/>
          <w:sz w:val="24"/>
          <w:szCs w:val="28"/>
          <w:lang w:val="sq-AL"/>
        </w:rPr>
      </w:pPr>
      <w:r w:rsidRPr="000F5C13">
        <w:rPr>
          <w:rFonts w:ascii="Cambria" w:eastAsia="Times New Roman" w:hAnsi="Cambria" w:cs="Times New Roman"/>
          <w:b/>
          <w:bCs/>
          <w:noProof/>
          <w:sz w:val="24"/>
          <w:szCs w:val="28"/>
          <w:lang w:val="sq-AL"/>
        </w:rPr>
        <w:t xml:space="preserve">Baza ligjore dhe aktet nënligjore në kuadër të menaxhimit të borxhit publik </w:t>
      </w:r>
    </w:p>
    <w:p w14:paraId="71DF5F29" w14:textId="77777777" w:rsidR="00D80441" w:rsidRPr="000F5C13" w:rsidRDefault="00D80441" w:rsidP="00D80441">
      <w:pPr>
        <w:tabs>
          <w:tab w:val="left" w:pos="2730"/>
        </w:tabs>
        <w:spacing w:line="276" w:lineRule="auto"/>
        <w:ind w:left="709" w:right="237" w:hanging="709"/>
        <w:contextualSpacing/>
        <w:jc w:val="both"/>
        <w:rPr>
          <w:rFonts w:ascii="Times New Roman" w:eastAsia="Times New Roman" w:hAnsi="Times New Roman" w:cs="Times New Roman"/>
          <w:b/>
          <w:bCs/>
          <w:noProof/>
          <w:sz w:val="16"/>
          <w:szCs w:val="28"/>
          <w:lang w:val="sq-AL"/>
        </w:rPr>
      </w:pPr>
    </w:p>
    <w:p w14:paraId="71DF5F2A"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Ligji Nr. 9665, datë 18.12.2006, “Për huamarrjen shtetërore, borxhin shtetëror dhe garancitë shtetërore të huasë në Republikën e Shqipërisë”, i ndryshuar me ligjin Nr. 181/2014, datë 24.12.2014;</w:t>
      </w:r>
    </w:p>
    <w:p w14:paraId="71DF5F2B"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2C"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Ligji Nr. 9936, datë 26.06.2008, “Për menaxhimin e sistemit buxhetor në Republikën e Shqipërisë”, i ndryshuar me ligjin Nr. 114/2012, datë 07.12.2012 dhe ligjin Nr. 57/2016, datë 02.06.2016;</w:t>
      </w:r>
    </w:p>
    <w:p w14:paraId="71DF5F2D"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2E"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Ligji Nr. 9869, datë 04.02.2008, “Për huamarrjen e qeverisjes vendore”, i ndryshuar me Ligjin Nr. 68/2017, datë 27.04.2017;</w:t>
      </w:r>
    </w:p>
    <w:p w14:paraId="71DF5F2F"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30"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Ligji Nr. 43/2016, datë 21.04.2016, “Për marrëveshjet ndërkombëtare në Republikën e Shqipërisë”;</w:t>
      </w:r>
    </w:p>
    <w:p w14:paraId="71DF5F31"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32"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Ligji Nr. 8269, datë 23.12.1997, “Për Bankën e Shqipërisë”, i ndryshuar;</w:t>
      </w:r>
    </w:p>
    <w:p w14:paraId="71DF5F33"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4"/>
          <w:szCs w:val="24"/>
          <w:lang w:val="sq-AL"/>
        </w:rPr>
      </w:pPr>
    </w:p>
    <w:p w14:paraId="71DF5F34"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Ligji vjetor i buxhetit;</w:t>
      </w:r>
    </w:p>
    <w:p w14:paraId="71DF5F35"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36"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Vendim</w:t>
      </w:r>
      <w:r>
        <w:rPr>
          <w:rFonts w:ascii="Times New Roman" w:eastAsia="Times New Roman" w:hAnsi="Times New Roman" w:cs="Times New Roman"/>
          <w:noProof/>
          <w:sz w:val="24"/>
          <w:szCs w:val="24"/>
          <w:lang w:val="sq-AL"/>
        </w:rPr>
        <w:t>i</w:t>
      </w:r>
      <w:r w:rsidRPr="000F5C13">
        <w:rPr>
          <w:rFonts w:ascii="Times New Roman" w:eastAsia="Times New Roman" w:hAnsi="Times New Roman" w:cs="Times New Roman"/>
          <w:noProof/>
          <w:sz w:val="24"/>
          <w:szCs w:val="24"/>
          <w:lang w:val="sq-AL"/>
        </w:rPr>
        <w:t xml:space="preserve"> i Këshillit të Ministrave Nr. 775, datë 24.09.2010, “Për administrimin e financimeve të huaja në Republikën e Shqipërisë”;</w:t>
      </w:r>
    </w:p>
    <w:p w14:paraId="71DF5F37"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38"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Udhëzim</w:t>
      </w:r>
      <w:r>
        <w:rPr>
          <w:rFonts w:ascii="Times New Roman" w:eastAsia="Times New Roman" w:hAnsi="Times New Roman" w:cs="Times New Roman"/>
          <w:noProof/>
          <w:sz w:val="24"/>
          <w:szCs w:val="24"/>
          <w:lang w:val="sq-AL"/>
        </w:rPr>
        <w:t>i</w:t>
      </w:r>
      <w:r w:rsidRPr="000F5C13">
        <w:rPr>
          <w:rFonts w:ascii="Times New Roman" w:eastAsia="Times New Roman" w:hAnsi="Times New Roman" w:cs="Times New Roman"/>
          <w:noProof/>
          <w:sz w:val="24"/>
          <w:szCs w:val="24"/>
          <w:lang w:val="sq-AL"/>
        </w:rPr>
        <w:t xml:space="preserve"> i Ministrit të Financave Nr. 22, datë 05.10.2011, “Për publikimin e të dhënave të borxhit të qeverisjes së përgjithshme dhe hartimin e raportit të tij”;</w:t>
      </w:r>
    </w:p>
    <w:p w14:paraId="71DF5F39"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3A"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Udhëzim</w:t>
      </w:r>
      <w:r>
        <w:rPr>
          <w:rFonts w:ascii="Times New Roman" w:eastAsia="Times New Roman" w:hAnsi="Times New Roman" w:cs="Times New Roman"/>
          <w:noProof/>
          <w:sz w:val="24"/>
          <w:szCs w:val="24"/>
          <w:lang w:val="sq-AL"/>
        </w:rPr>
        <w:t>i</w:t>
      </w:r>
      <w:r w:rsidRPr="000F5C13">
        <w:rPr>
          <w:rFonts w:ascii="Times New Roman" w:eastAsia="Times New Roman" w:hAnsi="Times New Roman" w:cs="Times New Roman"/>
          <w:noProof/>
          <w:sz w:val="24"/>
          <w:szCs w:val="24"/>
          <w:lang w:val="sq-AL"/>
        </w:rPr>
        <w:t xml:space="preserve"> i Ministrit të Financave Nr. 30, datë 26.12.2013, “Për emetimin nga qeveria e Republikës së Shqipërisë, të bonove të thesarit në formë regjistrimi”;</w:t>
      </w:r>
    </w:p>
    <w:p w14:paraId="71DF5F3B"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3C"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Udhëzim</w:t>
      </w:r>
      <w:r>
        <w:rPr>
          <w:rFonts w:ascii="Times New Roman" w:eastAsia="Times New Roman" w:hAnsi="Times New Roman" w:cs="Times New Roman"/>
          <w:noProof/>
          <w:sz w:val="24"/>
          <w:szCs w:val="24"/>
          <w:lang w:val="sq-AL"/>
        </w:rPr>
        <w:t>i</w:t>
      </w:r>
      <w:r w:rsidRPr="000F5C13">
        <w:rPr>
          <w:rFonts w:ascii="Times New Roman" w:eastAsia="Times New Roman" w:hAnsi="Times New Roman" w:cs="Times New Roman"/>
          <w:noProof/>
          <w:sz w:val="24"/>
          <w:szCs w:val="24"/>
          <w:lang w:val="sq-AL"/>
        </w:rPr>
        <w:t xml:space="preserve"> i Ministrit të Financave Nr. 31, datë 26.12.2013, “Për emetimin nga qeveria e Republikës së Shqipërisë, të obligacioneve në formë regjistrimi”, i shtuar me Udhëzimin e Ministrit të Financave dhe Ekonomisë Nr. 21, datë 22.06.2018;</w:t>
      </w:r>
    </w:p>
    <w:p w14:paraId="71DF5F3D"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3E"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Udhëzim</w:t>
      </w:r>
      <w:r>
        <w:rPr>
          <w:rFonts w:ascii="Times New Roman" w:eastAsia="Times New Roman" w:hAnsi="Times New Roman" w:cs="Times New Roman"/>
          <w:noProof/>
          <w:sz w:val="24"/>
          <w:szCs w:val="24"/>
          <w:lang w:val="sq-AL"/>
        </w:rPr>
        <w:t>i</w:t>
      </w:r>
      <w:r w:rsidRPr="000F5C13">
        <w:rPr>
          <w:rFonts w:ascii="Times New Roman" w:eastAsia="Times New Roman" w:hAnsi="Times New Roman" w:cs="Times New Roman"/>
          <w:noProof/>
          <w:sz w:val="24"/>
          <w:szCs w:val="24"/>
          <w:lang w:val="sq-AL"/>
        </w:rPr>
        <w:t xml:space="preserve"> i Ministrit të Financave Nr. 35, datë 05.11.2008,  “Për zbatimin e ligjit Nr. 9869, datë 04.02.2008 “Për Huamarrjen e Qeverisjes Vendore” ”;</w:t>
      </w:r>
    </w:p>
    <w:p w14:paraId="71DF5F3F"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40"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Udhëzim</w:t>
      </w:r>
      <w:r>
        <w:rPr>
          <w:rFonts w:ascii="Times New Roman" w:eastAsia="Times New Roman" w:hAnsi="Times New Roman" w:cs="Times New Roman"/>
          <w:noProof/>
          <w:sz w:val="24"/>
          <w:szCs w:val="24"/>
          <w:lang w:val="sq-AL"/>
        </w:rPr>
        <w:t>i</w:t>
      </w:r>
      <w:r w:rsidRPr="000F5C13">
        <w:rPr>
          <w:rFonts w:ascii="Times New Roman" w:eastAsia="Times New Roman" w:hAnsi="Times New Roman" w:cs="Times New Roman"/>
          <w:noProof/>
          <w:sz w:val="24"/>
          <w:szCs w:val="24"/>
          <w:lang w:val="sq-AL"/>
        </w:rPr>
        <w:t xml:space="preserve"> i Ministrit te Financave Nr. 36, datë 10.08.2009, “Për hartimin e regjistrit të borxhit shtetëror dhe garancive shtetërore të huasë”;</w:t>
      </w:r>
    </w:p>
    <w:p w14:paraId="71DF5F41" w14:textId="77777777" w:rsidR="00D80441" w:rsidRPr="000F5C13" w:rsidRDefault="00D80441" w:rsidP="00D80441">
      <w:pPr>
        <w:tabs>
          <w:tab w:val="left" w:pos="2730"/>
        </w:tabs>
        <w:spacing w:line="276" w:lineRule="auto"/>
        <w:ind w:left="284" w:right="238" w:hanging="273"/>
        <w:contextualSpacing/>
        <w:jc w:val="both"/>
        <w:rPr>
          <w:rFonts w:ascii="Times New Roman" w:eastAsia="Times New Roman" w:hAnsi="Times New Roman" w:cs="Times New Roman"/>
          <w:noProof/>
          <w:sz w:val="12"/>
          <w:szCs w:val="24"/>
          <w:lang w:val="sq-AL"/>
        </w:rPr>
      </w:pPr>
    </w:p>
    <w:p w14:paraId="71DF5F42" w14:textId="77777777" w:rsidR="00D80441" w:rsidRPr="000F5C13" w:rsidRDefault="00D80441" w:rsidP="00D80441">
      <w:pPr>
        <w:numPr>
          <w:ilvl w:val="0"/>
          <w:numId w:val="25"/>
        </w:numPr>
        <w:tabs>
          <w:tab w:val="left" w:pos="2730"/>
        </w:tabs>
        <w:spacing w:line="276" w:lineRule="auto"/>
        <w:ind w:left="284" w:right="238" w:hanging="273"/>
        <w:contextualSpacing/>
        <w:jc w:val="both"/>
        <w:rPr>
          <w:rFonts w:ascii="Times New Roman" w:eastAsia="Times New Roman" w:hAnsi="Times New Roman" w:cs="Times New Roman"/>
          <w:noProof/>
          <w:sz w:val="24"/>
          <w:szCs w:val="24"/>
          <w:lang w:val="sq-AL"/>
        </w:rPr>
      </w:pPr>
      <w:r w:rsidRPr="000F5C13">
        <w:rPr>
          <w:rFonts w:ascii="Times New Roman" w:eastAsia="Times New Roman" w:hAnsi="Times New Roman" w:cs="Times New Roman"/>
          <w:noProof/>
          <w:sz w:val="24"/>
          <w:szCs w:val="24"/>
          <w:lang w:val="sq-AL"/>
        </w:rPr>
        <w:t>Marrëveshja ndërmjet Bankës së Shqipërisë dhe Ministrisë së Financave dhe Ekonomisë, datë 20.01.2015, “Për organizimin e ankandeve të titujve të shtetit shqiptar, shlyerjen e veprimeve dhe mbajtjen e rregjistrit të këtyre titujve”, ndryshuar më datë 06.07.2018 (BSH - Nr. 3632 Prot., MFE - Nr. 12981 Prot.). </w:t>
      </w:r>
    </w:p>
    <w:p w14:paraId="71DF5F43" w14:textId="77777777" w:rsidR="00D80441" w:rsidRDefault="00D80441" w:rsidP="00D80441">
      <w:pPr>
        <w:tabs>
          <w:tab w:val="left" w:pos="2730"/>
        </w:tabs>
        <w:spacing w:line="276" w:lineRule="auto"/>
        <w:ind w:left="720" w:right="95" w:hanging="709"/>
        <w:contextualSpacing/>
        <w:jc w:val="both"/>
        <w:rPr>
          <w:rFonts w:ascii="Times New Roman" w:eastAsia="Times New Roman" w:hAnsi="Times New Roman" w:cs="Times New Roman"/>
          <w:noProof/>
          <w:sz w:val="24"/>
          <w:szCs w:val="24"/>
          <w:lang w:val="sq-AL"/>
        </w:rPr>
      </w:pPr>
    </w:p>
    <w:p w14:paraId="71DF5F44" w14:textId="77777777" w:rsidR="00D80441" w:rsidRPr="000F5C13" w:rsidRDefault="00D80441" w:rsidP="00D80441">
      <w:pPr>
        <w:tabs>
          <w:tab w:val="left" w:pos="2730"/>
        </w:tabs>
        <w:spacing w:line="276" w:lineRule="auto"/>
        <w:ind w:left="720" w:right="95" w:hanging="709"/>
        <w:contextualSpacing/>
        <w:jc w:val="both"/>
        <w:rPr>
          <w:rFonts w:ascii="Times New Roman" w:eastAsia="Times New Roman" w:hAnsi="Times New Roman" w:cs="Times New Roman"/>
          <w:noProof/>
          <w:sz w:val="24"/>
          <w:szCs w:val="24"/>
          <w:lang w:val="sq-AL"/>
        </w:rPr>
      </w:pPr>
    </w:p>
    <w:p w14:paraId="71DF5F45" w14:textId="77777777" w:rsidR="00D80441" w:rsidRPr="000F5C13" w:rsidRDefault="00D80441" w:rsidP="00D80441">
      <w:pPr>
        <w:numPr>
          <w:ilvl w:val="0"/>
          <w:numId w:val="19"/>
        </w:numPr>
        <w:tabs>
          <w:tab w:val="left" w:pos="2730"/>
        </w:tabs>
        <w:spacing w:line="276" w:lineRule="auto"/>
        <w:ind w:left="567" w:right="238" w:hanging="567"/>
        <w:contextualSpacing/>
        <w:jc w:val="both"/>
        <w:rPr>
          <w:rFonts w:ascii="Cambria" w:eastAsia="Times New Roman" w:hAnsi="Cambria" w:cs="Times New Roman"/>
          <w:b/>
          <w:bCs/>
          <w:noProof/>
          <w:sz w:val="24"/>
          <w:szCs w:val="28"/>
          <w:lang w:val="sq-AL"/>
        </w:rPr>
      </w:pPr>
      <w:r w:rsidRPr="000F5C13">
        <w:rPr>
          <w:rFonts w:ascii="Cambria" w:eastAsia="Times New Roman" w:hAnsi="Cambria" w:cs="Times New Roman"/>
          <w:b/>
          <w:bCs/>
          <w:noProof/>
          <w:sz w:val="24"/>
          <w:szCs w:val="28"/>
          <w:lang w:val="sq-AL"/>
        </w:rPr>
        <w:lastRenderedPageBreak/>
        <w:t>Publikime periodike të Ministrisë së Financave dhe Ekonomisë në lidhje me borxhin</w:t>
      </w:r>
    </w:p>
    <w:p w14:paraId="71DF5F46" w14:textId="77777777" w:rsidR="00D80441" w:rsidRPr="000F5C13" w:rsidRDefault="00D80441" w:rsidP="00D80441">
      <w:pPr>
        <w:tabs>
          <w:tab w:val="left" w:pos="2730"/>
        </w:tabs>
        <w:spacing w:line="276" w:lineRule="auto"/>
        <w:ind w:left="720" w:right="237" w:hanging="709"/>
        <w:contextualSpacing/>
        <w:jc w:val="both"/>
        <w:rPr>
          <w:rFonts w:eastAsia="Times New Roman" w:cs="Times New Roman"/>
          <w:b/>
          <w:bCs/>
          <w:noProof/>
          <w:lang w:val="sq-AL"/>
        </w:rPr>
      </w:pPr>
    </w:p>
    <w:p w14:paraId="71DF5F47" w14:textId="77777777" w:rsidR="00D80441" w:rsidRPr="000F5C13" w:rsidRDefault="00D80441" w:rsidP="00D80441">
      <w:pPr>
        <w:numPr>
          <w:ilvl w:val="0"/>
          <w:numId w:val="18"/>
        </w:numPr>
        <w:tabs>
          <w:tab w:val="left" w:pos="2730"/>
        </w:tabs>
        <w:spacing w:line="276" w:lineRule="auto"/>
        <w:ind w:left="284" w:right="237" w:hanging="284"/>
        <w:contextualSpacing/>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 xml:space="preserve">Buletini i </w:t>
      </w:r>
      <w:r w:rsidR="006858E6">
        <w:rPr>
          <w:rFonts w:ascii="Times New Roman" w:eastAsia="Times New Roman" w:hAnsi="Times New Roman" w:cs="Times New Roman"/>
          <w:bCs/>
          <w:noProof/>
          <w:sz w:val="24"/>
          <w:szCs w:val="28"/>
          <w:lang w:val="sq-AL"/>
        </w:rPr>
        <w:t>b</w:t>
      </w:r>
      <w:r w:rsidRPr="000F5C13">
        <w:rPr>
          <w:rFonts w:ascii="Times New Roman" w:eastAsia="Times New Roman" w:hAnsi="Times New Roman" w:cs="Times New Roman"/>
          <w:bCs/>
          <w:noProof/>
          <w:sz w:val="24"/>
          <w:szCs w:val="28"/>
          <w:lang w:val="sq-AL"/>
        </w:rPr>
        <w:t xml:space="preserve">orxhit </w:t>
      </w:r>
      <w:r w:rsidR="006858E6">
        <w:rPr>
          <w:rFonts w:ascii="Times New Roman" w:eastAsia="Times New Roman" w:hAnsi="Times New Roman" w:cs="Times New Roman"/>
          <w:bCs/>
          <w:noProof/>
          <w:sz w:val="24"/>
          <w:szCs w:val="28"/>
          <w:lang w:val="sq-AL"/>
        </w:rPr>
        <w:t>p</w:t>
      </w:r>
      <w:r w:rsidRPr="000F5C13">
        <w:rPr>
          <w:rFonts w:ascii="Times New Roman" w:eastAsia="Times New Roman" w:hAnsi="Times New Roman" w:cs="Times New Roman"/>
          <w:bCs/>
          <w:noProof/>
          <w:sz w:val="24"/>
          <w:szCs w:val="28"/>
          <w:lang w:val="sq-AL"/>
        </w:rPr>
        <w:t>ublik:</w:t>
      </w:r>
    </w:p>
    <w:p w14:paraId="71DF5F48" w14:textId="77777777" w:rsidR="00D80441" w:rsidRPr="000F5C13" w:rsidRDefault="00D80441" w:rsidP="00D80441">
      <w:pPr>
        <w:tabs>
          <w:tab w:val="left" w:pos="2730"/>
        </w:tabs>
        <w:spacing w:line="276" w:lineRule="auto"/>
        <w:ind w:left="284" w:right="237" w:hanging="284"/>
        <w:contextualSpacing/>
        <w:jc w:val="both"/>
        <w:rPr>
          <w:rFonts w:ascii="Times New Roman" w:eastAsia="Times New Roman" w:hAnsi="Times New Roman" w:cs="Times New Roman"/>
          <w:bCs/>
          <w:noProof/>
          <w:sz w:val="24"/>
          <w:szCs w:val="28"/>
          <w:lang w:val="sq-AL"/>
        </w:rPr>
      </w:pPr>
      <w:r>
        <w:rPr>
          <w:rFonts w:ascii="Times New Roman" w:eastAsia="Times New Roman" w:hAnsi="Times New Roman" w:cs="Times New Roman"/>
          <w:bCs/>
          <w:noProof/>
          <w:sz w:val="24"/>
          <w:szCs w:val="28"/>
          <w:lang w:val="sq-AL"/>
        </w:rPr>
        <w:t xml:space="preserve">     </w:t>
      </w:r>
      <w:hyperlink r:id="rId44" w:history="1">
        <w:r w:rsidRPr="00E12F03">
          <w:rPr>
            <w:rStyle w:val="Hyperlink"/>
            <w:rFonts w:ascii="Times New Roman" w:eastAsia="Times New Roman" w:hAnsi="Times New Roman" w:cs="Times New Roman"/>
            <w:bCs/>
            <w:noProof/>
            <w:sz w:val="24"/>
            <w:szCs w:val="28"/>
            <w:lang w:val="sq-AL"/>
          </w:rPr>
          <w:t>http://www.financa.gov.al/al/raportime/borxhi/treguesit-e-borxhit</w:t>
        </w:r>
      </w:hyperlink>
    </w:p>
    <w:p w14:paraId="71DF5F49" w14:textId="77777777" w:rsidR="00D80441" w:rsidRPr="000F5C13" w:rsidRDefault="00D80441" w:rsidP="00D80441">
      <w:pPr>
        <w:tabs>
          <w:tab w:val="left" w:pos="2730"/>
        </w:tabs>
        <w:spacing w:line="276" w:lineRule="auto"/>
        <w:ind w:left="502" w:right="237" w:hanging="709"/>
        <w:contextualSpacing/>
        <w:jc w:val="both"/>
        <w:rPr>
          <w:rFonts w:ascii="Times New Roman" w:eastAsia="Times New Roman" w:hAnsi="Times New Roman" w:cs="Times New Roman"/>
          <w:bCs/>
          <w:noProof/>
          <w:sz w:val="12"/>
          <w:szCs w:val="16"/>
          <w:lang w:val="sq-AL"/>
        </w:rPr>
      </w:pPr>
    </w:p>
    <w:p w14:paraId="71DF5F4A" w14:textId="77777777" w:rsidR="00D80441" w:rsidRPr="000F5C13" w:rsidRDefault="00D80441" w:rsidP="00D80441">
      <w:pPr>
        <w:numPr>
          <w:ilvl w:val="0"/>
          <w:numId w:val="18"/>
        </w:numPr>
        <w:tabs>
          <w:tab w:val="left" w:pos="2730"/>
        </w:tabs>
        <w:spacing w:line="276" w:lineRule="auto"/>
        <w:ind w:left="284" w:right="237" w:hanging="284"/>
        <w:contextualSpacing/>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 xml:space="preserve">Regjistri i emetimeve të </w:t>
      </w:r>
      <w:r w:rsidR="006858E6">
        <w:rPr>
          <w:rFonts w:ascii="Times New Roman" w:eastAsia="Times New Roman" w:hAnsi="Times New Roman" w:cs="Times New Roman"/>
          <w:bCs/>
          <w:noProof/>
          <w:sz w:val="24"/>
          <w:szCs w:val="28"/>
          <w:lang w:val="sq-AL"/>
        </w:rPr>
        <w:t>b</w:t>
      </w:r>
      <w:r w:rsidRPr="000F5C13">
        <w:rPr>
          <w:rFonts w:ascii="Times New Roman" w:eastAsia="Times New Roman" w:hAnsi="Times New Roman" w:cs="Times New Roman"/>
          <w:bCs/>
          <w:noProof/>
          <w:sz w:val="24"/>
          <w:szCs w:val="28"/>
          <w:lang w:val="sq-AL"/>
        </w:rPr>
        <w:t xml:space="preserve">orxhit </w:t>
      </w:r>
      <w:r w:rsidR="006858E6">
        <w:rPr>
          <w:rFonts w:ascii="Times New Roman" w:eastAsia="Times New Roman" w:hAnsi="Times New Roman" w:cs="Times New Roman"/>
          <w:bCs/>
          <w:noProof/>
          <w:sz w:val="24"/>
          <w:szCs w:val="28"/>
          <w:lang w:val="sq-AL"/>
        </w:rPr>
        <w:t>p</w:t>
      </w:r>
      <w:r w:rsidRPr="000F5C13">
        <w:rPr>
          <w:rFonts w:ascii="Times New Roman" w:eastAsia="Times New Roman" w:hAnsi="Times New Roman" w:cs="Times New Roman"/>
          <w:bCs/>
          <w:noProof/>
          <w:sz w:val="24"/>
          <w:szCs w:val="28"/>
          <w:lang w:val="sq-AL"/>
        </w:rPr>
        <w:t>ublik:</w:t>
      </w:r>
    </w:p>
    <w:p w14:paraId="71DF5F4B" w14:textId="77777777" w:rsidR="00D80441" w:rsidRPr="000F5C13" w:rsidRDefault="00D80441" w:rsidP="00D80441">
      <w:pPr>
        <w:tabs>
          <w:tab w:val="left" w:pos="2730"/>
        </w:tabs>
        <w:spacing w:line="276" w:lineRule="auto"/>
        <w:ind w:left="502" w:right="237" w:hanging="709"/>
        <w:contextualSpacing/>
        <w:jc w:val="both"/>
        <w:rPr>
          <w:rFonts w:ascii="Times New Roman" w:eastAsia="Times New Roman" w:hAnsi="Times New Roman" w:cs="Times New Roman"/>
          <w:bCs/>
          <w:noProof/>
          <w:color w:val="0563C1" w:themeColor="hyperlink"/>
          <w:sz w:val="24"/>
          <w:szCs w:val="28"/>
          <w:u w:val="single"/>
          <w:lang w:val="sq-AL"/>
        </w:rPr>
      </w:pPr>
      <w:r w:rsidRPr="000F5C13">
        <w:rPr>
          <w:rFonts w:ascii="Times New Roman" w:eastAsia="Times New Roman" w:hAnsi="Times New Roman" w:cs="Times New Roman"/>
          <w:bCs/>
          <w:noProof/>
          <w:sz w:val="24"/>
          <w:szCs w:val="28"/>
          <w:lang w:val="sq-AL"/>
        </w:rPr>
        <w:t xml:space="preserve">   </w:t>
      </w:r>
      <w:r>
        <w:rPr>
          <w:rFonts w:ascii="Times New Roman" w:eastAsia="Times New Roman" w:hAnsi="Times New Roman" w:cs="Times New Roman"/>
          <w:bCs/>
          <w:noProof/>
          <w:sz w:val="24"/>
          <w:szCs w:val="28"/>
          <w:lang w:val="sq-AL"/>
        </w:rPr>
        <w:t xml:space="preserve">    </w:t>
      </w:r>
      <w:r w:rsidRPr="000F5C13">
        <w:rPr>
          <w:rFonts w:ascii="Times New Roman" w:eastAsia="Times New Roman" w:hAnsi="Times New Roman" w:cs="Times New Roman"/>
          <w:bCs/>
          <w:noProof/>
          <w:sz w:val="24"/>
          <w:szCs w:val="28"/>
          <w:lang w:val="sq-AL"/>
        </w:rPr>
        <w:t xml:space="preserve"> </w:t>
      </w:r>
      <w:hyperlink r:id="rId45" w:history="1">
        <w:r w:rsidRPr="00E12F03">
          <w:rPr>
            <w:rStyle w:val="Hyperlink"/>
            <w:rFonts w:ascii="Times New Roman" w:eastAsia="Times New Roman" w:hAnsi="Times New Roman" w:cs="Times New Roman"/>
            <w:bCs/>
            <w:noProof/>
            <w:sz w:val="24"/>
            <w:szCs w:val="28"/>
            <w:lang w:val="sq-AL"/>
          </w:rPr>
          <w:t>http://www.financa.gov.al/al/raportime/borxhi/regjistri-i-borxhit</w:t>
        </w:r>
      </w:hyperlink>
    </w:p>
    <w:p w14:paraId="71DF5F4C" w14:textId="77777777" w:rsidR="00D80441" w:rsidRPr="000F5C13" w:rsidRDefault="00D80441" w:rsidP="00D80441">
      <w:pPr>
        <w:tabs>
          <w:tab w:val="left" w:pos="2730"/>
        </w:tabs>
        <w:spacing w:line="276" w:lineRule="auto"/>
        <w:ind w:left="502" w:right="237" w:hanging="709"/>
        <w:contextualSpacing/>
        <w:jc w:val="both"/>
        <w:rPr>
          <w:rFonts w:ascii="Times New Roman" w:eastAsia="Times New Roman" w:hAnsi="Times New Roman" w:cs="Times New Roman"/>
          <w:bCs/>
          <w:noProof/>
          <w:sz w:val="12"/>
          <w:szCs w:val="28"/>
          <w:lang w:val="sq-AL"/>
        </w:rPr>
      </w:pPr>
    </w:p>
    <w:p w14:paraId="71DF5F4D" w14:textId="77777777" w:rsidR="00D80441" w:rsidRPr="000F5C13" w:rsidRDefault="00D80441" w:rsidP="00D80441">
      <w:pPr>
        <w:numPr>
          <w:ilvl w:val="0"/>
          <w:numId w:val="18"/>
        </w:numPr>
        <w:tabs>
          <w:tab w:val="left" w:pos="2730"/>
        </w:tabs>
        <w:spacing w:line="276" w:lineRule="auto"/>
        <w:ind w:left="284" w:right="237" w:hanging="284"/>
        <w:contextualSpacing/>
        <w:jc w:val="both"/>
        <w:rPr>
          <w:rFonts w:ascii="Times New Roman" w:eastAsia="Times New Roman" w:hAnsi="Times New Roman" w:cs="Times New Roman"/>
          <w:bCs/>
          <w:noProof/>
          <w:sz w:val="24"/>
          <w:szCs w:val="28"/>
          <w:lang w:val="sq-AL"/>
        </w:rPr>
      </w:pPr>
      <w:r w:rsidRPr="000F5C13">
        <w:rPr>
          <w:rFonts w:ascii="Times New Roman" w:eastAsia="Times New Roman" w:hAnsi="Times New Roman" w:cs="Times New Roman"/>
          <w:bCs/>
          <w:noProof/>
          <w:sz w:val="24"/>
          <w:szCs w:val="28"/>
          <w:lang w:val="sq-AL"/>
        </w:rPr>
        <w:t xml:space="preserve">Informacion mbi ankandet e emetimit të titujve shtetërorë të </w:t>
      </w:r>
      <w:r w:rsidR="006858E6">
        <w:rPr>
          <w:rFonts w:ascii="Times New Roman" w:eastAsia="Times New Roman" w:hAnsi="Times New Roman" w:cs="Times New Roman"/>
          <w:bCs/>
          <w:noProof/>
          <w:sz w:val="24"/>
          <w:szCs w:val="28"/>
          <w:lang w:val="sq-AL"/>
        </w:rPr>
        <w:t>q</w:t>
      </w:r>
      <w:r w:rsidRPr="000F5C13">
        <w:rPr>
          <w:rFonts w:ascii="Times New Roman" w:eastAsia="Times New Roman" w:hAnsi="Times New Roman" w:cs="Times New Roman"/>
          <w:bCs/>
          <w:noProof/>
          <w:sz w:val="24"/>
          <w:szCs w:val="28"/>
          <w:lang w:val="sq-AL"/>
        </w:rPr>
        <w:t>everisë:</w:t>
      </w:r>
    </w:p>
    <w:p w14:paraId="71DF5F4E" w14:textId="77777777" w:rsidR="00D80441" w:rsidRPr="00CD6469" w:rsidRDefault="00D80441" w:rsidP="00D80441">
      <w:pPr>
        <w:tabs>
          <w:tab w:val="left" w:pos="2730"/>
        </w:tabs>
        <w:spacing w:line="276" w:lineRule="auto"/>
        <w:ind w:left="284" w:right="288" w:hanging="284"/>
        <w:contextualSpacing/>
        <w:jc w:val="both"/>
        <w:rPr>
          <w:rFonts w:ascii="Times New Roman" w:eastAsia="Batang" w:hAnsi="Times New Roman" w:cs="Times New Roman"/>
          <w:noProof/>
          <w:sz w:val="24"/>
          <w:szCs w:val="24"/>
          <w:lang w:val="sq-AL"/>
        </w:rPr>
      </w:pPr>
      <w:r>
        <w:rPr>
          <w:rFonts w:ascii="Times New Roman" w:eastAsia="Times New Roman" w:hAnsi="Times New Roman" w:cs="Times New Roman"/>
          <w:bCs/>
          <w:noProof/>
          <w:sz w:val="24"/>
          <w:szCs w:val="28"/>
          <w:lang w:val="sq-AL"/>
        </w:rPr>
        <w:t xml:space="preserve">     </w:t>
      </w:r>
      <w:hyperlink r:id="rId46" w:history="1">
        <w:r w:rsidRPr="00E12F03">
          <w:rPr>
            <w:rStyle w:val="Hyperlink"/>
            <w:rFonts w:ascii="Times New Roman" w:eastAsia="Batang" w:hAnsi="Times New Roman" w:cs="Times New Roman"/>
            <w:noProof/>
            <w:sz w:val="24"/>
            <w:szCs w:val="24"/>
            <w:lang w:val="sq-AL"/>
          </w:rPr>
          <w:t>http://www.financa.gov.al/al/raportime/borxhi/ankandet-e-emetimit-te-letrave-me-vlere-te-qeverise</w:t>
        </w:r>
      </w:hyperlink>
      <w:r w:rsidRPr="00CD6469">
        <w:rPr>
          <w:rFonts w:ascii="Times New Roman" w:eastAsia="Batang" w:hAnsi="Times New Roman" w:cs="Times New Roman"/>
          <w:noProof/>
          <w:sz w:val="24"/>
          <w:szCs w:val="24"/>
          <w:lang w:val="sq-AL"/>
        </w:rPr>
        <w:t xml:space="preserve"> </w:t>
      </w:r>
    </w:p>
    <w:p w14:paraId="71DF5F4F" w14:textId="77777777" w:rsidR="00AB79A5" w:rsidRPr="000F5C13" w:rsidRDefault="00AB79A5" w:rsidP="00AB79A5">
      <w:pPr>
        <w:rPr>
          <w:rFonts w:eastAsia="Batang"/>
          <w:noProof/>
          <w:lang w:val="sq-AL"/>
        </w:rPr>
      </w:pPr>
    </w:p>
    <w:p w14:paraId="71DF5F50" w14:textId="77777777" w:rsidR="00AB79A5" w:rsidRPr="000F5C13" w:rsidRDefault="00AB79A5" w:rsidP="00AB79A5">
      <w:pPr>
        <w:rPr>
          <w:rFonts w:eastAsia="Batang"/>
          <w:noProof/>
          <w:lang w:val="sq-AL"/>
        </w:rPr>
      </w:pPr>
    </w:p>
    <w:p w14:paraId="71DF5F51" w14:textId="77777777" w:rsidR="00AB79A5" w:rsidRPr="000F5C13" w:rsidRDefault="00AB79A5" w:rsidP="00AB79A5">
      <w:pPr>
        <w:rPr>
          <w:rFonts w:eastAsia="Batang"/>
          <w:noProof/>
          <w:lang w:val="sq-AL"/>
        </w:rPr>
      </w:pPr>
    </w:p>
    <w:p w14:paraId="71DF5F52" w14:textId="77777777" w:rsidR="00AB79A5" w:rsidRPr="000F5C13" w:rsidRDefault="00AB79A5" w:rsidP="00AB79A5">
      <w:pPr>
        <w:rPr>
          <w:rFonts w:eastAsia="Batang"/>
          <w:noProof/>
          <w:lang w:val="sq-AL"/>
        </w:rPr>
      </w:pPr>
    </w:p>
    <w:p w14:paraId="71DF5F53" w14:textId="77777777" w:rsidR="00AB79A5" w:rsidRPr="000F5C13" w:rsidRDefault="00AB79A5" w:rsidP="00AB79A5">
      <w:pPr>
        <w:rPr>
          <w:rFonts w:eastAsia="Batang"/>
          <w:noProof/>
          <w:lang w:val="sq-AL"/>
        </w:rPr>
      </w:pPr>
    </w:p>
    <w:p w14:paraId="71DF5F54" w14:textId="77777777" w:rsidR="00AB79A5" w:rsidRPr="000F5C13" w:rsidRDefault="00AB79A5" w:rsidP="00AB79A5">
      <w:pPr>
        <w:rPr>
          <w:rFonts w:eastAsia="Batang"/>
          <w:noProof/>
          <w:lang w:val="sq-AL"/>
        </w:rPr>
      </w:pPr>
    </w:p>
    <w:p w14:paraId="71DF5F55" w14:textId="77777777" w:rsidR="00AB79A5" w:rsidRPr="000F5C13" w:rsidRDefault="00AB79A5" w:rsidP="00AB79A5">
      <w:pPr>
        <w:rPr>
          <w:rFonts w:eastAsia="Batang"/>
          <w:noProof/>
          <w:lang w:val="sq-AL"/>
        </w:rPr>
      </w:pPr>
    </w:p>
    <w:p w14:paraId="71DF5F56" w14:textId="77777777" w:rsidR="00AB79A5" w:rsidRPr="000F5C13" w:rsidRDefault="00AB79A5" w:rsidP="00AB79A5">
      <w:pPr>
        <w:rPr>
          <w:rFonts w:eastAsia="Batang"/>
          <w:noProof/>
          <w:lang w:val="sq-AL"/>
        </w:rPr>
      </w:pPr>
    </w:p>
    <w:p w14:paraId="71DF5F57" w14:textId="77777777" w:rsidR="00AB79A5" w:rsidRPr="000F5C13" w:rsidRDefault="00AB79A5" w:rsidP="00AB79A5">
      <w:pPr>
        <w:rPr>
          <w:rFonts w:eastAsia="Batang"/>
          <w:noProof/>
          <w:lang w:val="sq-AL"/>
        </w:rPr>
      </w:pPr>
    </w:p>
    <w:p w14:paraId="71DF5F58" w14:textId="77777777" w:rsidR="00AB79A5" w:rsidRPr="000F5C13" w:rsidRDefault="00AB79A5" w:rsidP="00AB79A5">
      <w:pPr>
        <w:rPr>
          <w:rFonts w:eastAsia="Batang"/>
          <w:noProof/>
          <w:lang w:val="sq-AL"/>
        </w:rPr>
      </w:pPr>
    </w:p>
    <w:p w14:paraId="71DF5F59" w14:textId="77777777" w:rsidR="00AB79A5" w:rsidRPr="000F5C13" w:rsidRDefault="00AB79A5" w:rsidP="00AB79A5">
      <w:pPr>
        <w:rPr>
          <w:rFonts w:eastAsia="Batang"/>
          <w:noProof/>
          <w:lang w:val="sq-AL"/>
        </w:rPr>
      </w:pPr>
    </w:p>
    <w:p w14:paraId="71DF5F5A" w14:textId="77777777" w:rsidR="00AB79A5" w:rsidRPr="000F5C13" w:rsidRDefault="00AB79A5" w:rsidP="00AB79A5">
      <w:pPr>
        <w:rPr>
          <w:rFonts w:eastAsia="Batang"/>
          <w:noProof/>
          <w:lang w:val="sq-AL"/>
        </w:rPr>
      </w:pPr>
    </w:p>
    <w:p w14:paraId="71DF5F5B" w14:textId="77777777" w:rsidR="00E57778" w:rsidRPr="000F5C13" w:rsidRDefault="00E57778" w:rsidP="00E57778">
      <w:pPr>
        <w:spacing w:after="0" w:line="240" w:lineRule="auto"/>
        <w:ind w:right="238"/>
        <w:contextualSpacing/>
        <w:rPr>
          <w:rFonts w:eastAsia="Batang"/>
          <w:noProof/>
          <w:lang w:val="sq-AL"/>
        </w:rPr>
      </w:pPr>
    </w:p>
    <w:p w14:paraId="71DF5F5C" w14:textId="77777777" w:rsidR="009E6841" w:rsidRPr="000F5C13" w:rsidRDefault="009E6841" w:rsidP="00E57778">
      <w:pPr>
        <w:spacing w:after="0" w:line="276" w:lineRule="auto"/>
        <w:ind w:right="-46"/>
        <w:rPr>
          <w:rFonts w:ascii="Cambria" w:eastAsia="Calibri" w:hAnsi="Cambria" w:cs="Times New Roman"/>
          <w:i/>
          <w:noProof/>
          <w:color w:val="8E0000"/>
          <w:sz w:val="20"/>
          <w:szCs w:val="20"/>
          <w:lang w:val="sq-AL"/>
        </w:rPr>
      </w:pPr>
    </w:p>
    <w:sectPr w:rsidR="009E6841" w:rsidRPr="000F5C13" w:rsidSect="00A442CD">
      <w:headerReference w:type="default" r:id="rId47"/>
      <w:footerReference w:type="default" r:id="rId4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5E5E0" w14:textId="77777777" w:rsidR="003F4DBF" w:rsidRDefault="003F4DBF" w:rsidP="009B24CE">
      <w:pPr>
        <w:spacing w:after="0" w:line="240" w:lineRule="auto"/>
      </w:pPr>
      <w:r>
        <w:separator/>
      </w:r>
    </w:p>
  </w:endnote>
  <w:endnote w:type="continuationSeparator" w:id="0">
    <w:p w14:paraId="603F5A2C" w14:textId="77777777" w:rsidR="003F4DBF" w:rsidRDefault="003F4DBF" w:rsidP="009B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180897"/>
      <w:docPartObj>
        <w:docPartGallery w:val="Page Numbers (Bottom of Page)"/>
        <w:docPartUnique/>
      </w:docPartObj>
    </w:sdtPr>
    <w:sdtEndPr>
      <w:rPr>
        <w:noProof/>
      </w:rPr>
    </w:sdtEndPr>
    <w:sdtContent>
      <w:p w14:paraId="71DF5FAD" w14:textId="77777777" w:rsidR="00D235BC" w:rsidRDefault="00D235BC">
        <w:pPr>
          <w:pStyle w:val="Footer"/>
          <w:jc w:val="right"/>
        </w:pPr>
        <w:r>
          <w:fldChar w:fldCharType="begin"/>
        </w:r>
        <w:r>
          <w:instrText xml:space="preserve"> PAGE   \* MERGEFORMAT </w:instrText>
        </w:r>
        <w:r>
          <w:fldChar w:fldCharType="separate"/>
        </w:r>
        <w:r w:rsidR="00EA299E">
          <w:rPr>
            <w:noProof/>
          </w:rPr>
          <w:t>2</w:t>
        </w:r>
        <w:r>
          <w:rPr>
            <w:noProof/>
          </w:rPr>
          <w:fldChar w:fldCharType="end"/>
        </w:r>
      </w:p>
    </w:sdtContent>
  </w:sdt>
  <w:p w14:paraId="71DF5FAE" w14:textId="77777777" w:rsidR="00D235BC" w:rsidRDefault="00D23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54B5" w14:textId="77777777" w:rsidR="003F4DBF" w:rsidRDefault="003F4DBF" w:rsidP="009B24CE">
      <w:pPr>
        <w:spacing w:after="0" w:line="240" w:lineRule="auto"/>
      </w:pPr>
      <w:r>
        <w:separator/>
      </w:r>
    </w:p>
  </w:footnote>
  <w:footnote w:type="continuationSeparator" w:id="0">
    <w:p w14:paraId="2D7833AB" w14:textId="77777777" w:rsidR="003F4DBF" w:rsidRDefault="003F4DBF" w:rsidP="009B24CE">
      <w:pPr>
        <w:spacing w:after="0" w:line="240" w:lineRule="auto"/>
      </w:pPr>
      <w:r>
        <w:continuationSeparator/>
      </w:r>
    </w:p>
  </w:footnote>
  <w:footnote w:id="1">
    <w:p w14:paraId="71DF5FAF" w14:textId="77777777" w:rsidR="00D235BC" w:rsidRPr="00834511" w:rsidRDefault="00D235BC" w:rsidP="003A3777">
      <w:pPr>
        <w:pStyle w:val="FootnoteText"/>
        <w:ind w:left="284" w:right="237" w:hanging="284"/>
        <w:jc w:val="both"/>
        <w:rPr>
          <w:lang w:val="en-US"/>
        </w:rPr>
      </w:pPr>
      <w:r w:rsidRPr="00FC7533">
        <w:rPr>
          <w:rStyle w:val="FootnoteReference"/>
          <w:rFonts w:ascii="Times New Roman" w:hAnsi="Times New Roman" w:cs="Times New Roman"/>
        </w:rPr>
        <w:footnoteRef/>
      </w:r>
      <w:r w:rsidRPr="00834511">
        <w:t xml:space="preserve"> </w:t>
      </w:r>
      <w:r>
        <w:t xml:space="preserve">   </w:t>
      </w:r>
      <w:r w:rsidRPr="00834511">
        <w:rPr>
          <w:rFonts w:ascii="Times New Roman" w:hAnsi="Times New Roman" w:cs="Times New Roman"/>
        </w:rPr>
        <w:t>Neni 6 i Ligjit Nr. 9665, datë 18.12.2006</w:t>
      </w:r>
      <w:r>
        <w:rPr>
          <w:rFonts w:ascii="Times New Roman" w:hAnsi="Times New Roman" w:cs="Times New Roman"/>
        </w:rPr>
        <w:t xml:space="preserve">, </w:t>
      </w:r>
      <w:r w:rsidRPr="00834511">
        <w:rPr>
          <w:rFonts w:ascii="Times New Roman" w:hAnsi="Times New Roman" w:cs="Times New Roman"/>
        </w:rPr>
        <w:t>“Për Huamarrjen Shtetërore, Borxhin Shtetëror dhe Garancitë Shtetërore të Huasë në Republikën e Shqipërisë”</w:t>
      </w:r>
      <w:r>
        <w:rPr>
          <w:rFonts w:ascii="Times New Roman" w:hAnsi="Times New Roman" w:cs="Times New Roman"/>
        </w:rPr>
        <w:t>, i ndryshuar.</w:t>
      </w:r>
    </w:p>
  </w:footnote>
  <w:footnote w:id="2">
    <w:p w14:paraId="71DF5FB0" w14:textId="77777777" w:rsidR="00D235BC" w:rsidRDefault="00D235BC" w:rsidP="003E5BB4">
      <w:pPr>
        <w:pStyle w:val="FootnoteText"/>
        <w:ind w:left="284" w:right="238" w:hanging="284"/>
        <w:jc w:val="both"/>
        <w:rPr>
          <w:rFonts w:ascii="Times New Roman" w:hAnsi="Times New Roman" w:cs="Times New Roman"/>
        </w:rPr>
      </w:pPr>
      <w:r w:rsidRPr="004A0EA2">
        <w:rPr>
          <w:rStyle w:val="FootnoteReference"/>
        </w:rPr>
        <w:footnoteRef/>
      </w:r>
      <w:r w:rsidRPr="004A0EA2">
        <w:t xml:space="preserve">    </w:t>
      </w:r>
      <w:r>
        <w:t xml:space="preserve"> </w:t>
      </w:r>
      <w:r w:rsidRPr="004A0EA2">
        <w:rPr>
          <w:rFonts w:ascii="Times New Roman" w:hAnsi="Times New Roman" w:cs="Times New Roman"/>
        </w:rPr>
        <w:t xml:space="preserve">PBB </w:t>
      </w:r>
      <w:r w:rsidRPr="004A0EA2">
        <w:rPr>
          <w:rFonts w:ascii="Times New Roman" w:hAnsi="Times New Roman" w:cs="Times New Roman"/>
        </w:rPr>
        <w:t xml:space="preserve">e përdorur në raportet me të dhënat faktike deri në vitin 2018, i referohet Kuadrit Makroekonomik dhe Fiskal (2020-2022), të miratuar me VKM Nr. 4, datë 09.01.2019. Ndërkohë, PBB e përdorur në raportet me të dhënat e projektuara i referohet të dhënave të </w:t>
      </w:r>
      <w:r>
        <w:rPr>
          <w:rFonts w:ascii="Times New Roman" w:hAnsi="Times New Roman" w:cs="Times New Roman"/>
        </w:rPr>
        <w:t>Draft-Kuadrit Makroekonomik dhe Fiskal (2021-2023).</w:t>
      </w:r>
    </w:p>
    <w:p w14:paraId="71DF5FB1" w14:textId="77777777" w:rsidR="00D235BC" w:rsidRDefault="00D235BC" w:rsidP="004A0EA2">
      <w:pPr>
        <w:pStyle w:val="FootnoteText"/>
        <w:ind w:left="284" w:right="238"/>
        <w:jc w:val="both"/>
        <w:rPr>
          <w:rFonts w:ascii="Times New Roman" w:hAnsi="Times New Roman" w:cs="Times New Roman"/>
        </w:rPr>
      </w:pPr>
    </w:p>
    <w:p w14:paraId="71DF5FB2" w14:textId="77777777" w:rsidR="00D235BC" w:rsidRPr="006225CF" w:rsidRDefault="00D235BC" w:rsidP="0083005F">
      <w:pPr>
        <w:pStyle w:val="FootnoteText"/>
        <w:ind w:right="238"/>
        <w:rPr>
          <w:sz w:val="8"/>
          <w:szCs w:val="8"/>
          <w:lang w:val="en-US"/>
        </w:rPr>
      </w:pPr>
    </w:p>
  </w:footnote>
  <w:footnote w:id="3">
    <w:p w14:paraId="71DF5FB3" w14:textId="77777777" w:rsidR="00D235BC" w:rsidRPr="008D034C" w:rsidRDefault="00D235BC" w:rsidP="003F0C16">
      <w:pPr>
        <w:pStyle w:val="FootnoteText"/>
        <w:tabs>
          <w:tab w:val="left" w:pos="8789"/>
        </w:tabs>
        <w:ind w:left="142" w:right="237" w:hanging="142"/>
        <w:jc w:val="both"/>
        <w:rPr>
          <w:rFonts w:ascii="Times New Roman" w:hAnsi="Times New Roman" w:cs="Times New Roman"/>
          <w:lang w:val="en-US"/>
        </w:rPr>
      </w:pPr>
      <w:r w:rsidRPr="008D034C">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Titujt</w:t>
      </w:r>
      <w:r w:rsidRPr="008D034C">
        <w:rPr>
          <w:rFonts w:ascii="Times New Roman" w:hAnsi="Times New Roman" w:cs="Times New Roman"/>
        </w:rPr>
        <w:t xml:space="preserve"> </w:t>
      </w:r>
      <w:r w:rsidRPr="00D76065">
        <w:rPr>
          <w:rFonts w:ascii="Times New Roman" w:hAnsi="Times New Roman" w:cs="Times New Roman"/>
        </w:rPr>
        <w:t>afatshkurt</w:t>
      </w:r>
      <w:r>
        <w:rPr>
          <w:rFonts w:ascii="Times New Roman" w:hAnsi="Times New Roman" w:cs="Times New Roman"/>
        </w:rPr>
        <w:t>ër</w:t>
      </w:r>
      <w:r w:rsidRPr="008D034C">
        <w:rPr>
          <w:rFonts w:ascii="Times New Roman" w:hAnsi="Times New Roman" w:cs="Times New Roman"/>
        </w:rPr>
        <w:t xml:space="preserve"> nga pik</w:t>
      </w:r>
      <w:r>
        <w:rPr>
          <w:rFonts w:ascii="Times New Roman" w:hAnsi="Times New Roman" w:cs="Times New Roman"/>
        </w:rPr>
        <w:t>ë</w:t>
      </w:r>
      <w:r w:rsidRPr="008D034C">
        <w:rPr>
          <w:rFonts w:ascii="Times New Roman" w:hAnsi="Times New Roman" w:cs="Times New Roman"/>
        </w:rPr>
        <w:t xml:space="preserve">pamja e </w:t>
      </w:r>
      <w:r>
        <w:rPr>
          <w:rFonts w:ascii="Times New Roman" w:hAnsi="Times New Roman" w:cs="Times New Roman"/>
        </w:rPr>
        <w:t>risk</w:t>
      </w:r>
      <w:r w:rsidRPr="008D034C">
        <w:rPr>
          <w:rFonts w:ascii="Times New Roman" w:hAnsi="Times New Roman" w:cs="Times New Roman"/>
        </w:rPr>
        <w:t>ut t</w:t>
      </w:r>
      <w:r>
        <w:rPr>
          <w:rFonts w:ascii="Times New Roman" w:hAnsi="Times New Roman" w:cs="Times New Roman"/>
        </w:rPr>
        <w:t>ë</w:t>
      </w:r>
      <w:r w:rsidRPr="008D034C">
        <w:rPr>
          <w:rFonts w:ascii="Times New Roman" w:hAnsi="Times New Roman" w:cs="Times New Roman"/>
        </w:rPr>
        <w:t xml:space="preserve"> normave t</w:t>
      </w:r>
      <w:r>
        <w:rPr>
          <w:rFonts w:ascii="Times New Roman" w:hAnsi="Times New Roman" w:cs="Times New Roman"/>
        </w:rPr>
        <w:t>ë</w:t>
      </w:r>
      <w:r w:rsidRPr="008D034C">
        <w:rPr>
          <w:rFonts w:ascii="Times New Roman" w:hAnsi="Times New Roman" w:cs="Times New Roman"/>
        </w:rPr>
        <w:t xml:space="preserve"> interesit konsiderohen si instrumente me</w:t>
      </w:r>
      <w:r>
        <w:rPr>
          <w:rFonts w:ascii="Times New Roman" w:hAnsi="Times New Roman" w:cs="Times New Roman"/>
        </w:rPr>
        <w:t xml:space="preserve"> norma interesi të ndryshueshme.</w:t>
      </w:r>
    </w:p>
  </w:footnote>
  <w:footnote w:id="4">
    <w:p w14:paraId="71DF5FB4" w14:textId="77777777" w:rsidR="00D235BC" w:rsidRPr="000F47C5" w:rsidRDefault="00D235BC" w:rsidP="00B92908">
      <w:pPr>
        <w:pStyle w:val="FootnoteText"/>
        <w:ind w:left="284" w:right="380" w:hanging="284"/>
        <w:jc w:val="both"/>
        <w:rPr>
          <w:rFonts w:ascii="Times New Roman" w:hAnsi="Times New Roman" w:cs="Times New Roman"/>
          <w:lang w:val="en-US"/>
        </w:rPr>
      </w:pPr>
      <w:r w:rsidRPr="005200C8">
        <w:rPr>
          <w:rStyle w:val="FootnoteReference"/>
          <w:rFonts w:ascii="Times New Roman" w:hAnsi="Times New Roman" w:cs="Times New Roman"/>
        </w:rPr>
        <w:footnoteRef/>
      </w:r>
      <w:r>
        <w:rPr>
          <w:rFonts w:ascii="Times New Roman" w:hAnsi="Times New Roman" w:cs="Times New Roman"/>
        </w:rPr>
        <w:t xml:space="preserve">    </w:t>
      </w:r>
      <w:r w:rsidRPr="000F47C5">
        <w:rPr>
          <w:rFonts w:ascii="Times New Roman" w:hAnsi="Times New Roman" w:cs="Times New Roman"/>
        </w:rPr>
        <w:t xml:space="preserve">Duke </w:t>
      </w:r>
      <w:r w:rsidRPr="000F47C5">
        <w:rPr>
          <w:rFonts w:ascii="Times New Roman" w:hAnsi="Times New Roman" w:cs="Times New Roman"/>
        </w:rPr>
        <w:t>p</w:t>
      </w:r>
      <w:r>
        <w:rPr>
          <w:rFonts w:ascii="Times New Roman" w:hAnsi="Times New Roman" w:cs="Times New Roman"/>
        </w:rPr>
        <w:t>ë</w:t>
      </w:r>
      <w:r w:rsidRPr="000F47C5">
        <w:rPr>
          <w:rFonts w:ascii="Times New Roman" w:hAnsi="Times New Roman" w:cs="Times New Roman"/>
        </w:rPr>
        <w:t>rfshir</w:t>
      </w:r>
      <w:r>
        <w:rPr>
          <w:rFonts w:ascii="Times New Roman" w:hAnsi="Times New Roman" w:cs="Times New Roman"/>
        </w:rPr>
        <w:t>ë</w:t>
      </w:r>
      <w:r w:rsidRPr="000F47C5">
        <w:rPr>
          <w:rFonts w:ascii="Times New Roman" w:hAnsi="Times New Roman" w:cs="Times New Roman"/>
        </w:rPr>
        <w:t xml:space="preserve"> edhe pesh</w:t>
      </w:r>
      <w:r>
        <w:rPr>
          <w:rFonts w:ascii="Times New Roman" w:hAnsi="Times New Roman" w:cs="Times New Roman"/>
        </w:rPr>
        <w:t>ë</w:t>
      </w:r>
      <w:r w:rsidRPr="000F47C5">
        <w:rPr>
          <w:rFonts w:ascii="Times New Roman" w:hAnsi="Times New Roman" w:cs="Times New Roman"/>
        </w:rPr>
        <w:t>n q</w:t>
      </w:r>
      <w:r>
        <w:rPr>
          <w:rFonts w:ascii="Times New Roman" w:hAnsi="Times New Roman" w:cs="Times New Roman"/>
        </w:rPr>
        <w:t>ë</w:t>
      </w:r>
      <w:r w:rsidRPr="000F47C5">
        <w:rPr>
          <w:rFonts w:ascii="Times New Roman" w:hAnsi="Times New Roman" w:cs="Times New Roman"/>
        </w:rPr>
        <w:t xml:space="preserve"> mban monedha E</w:t>
      </w:r>
      <w:r>
        <w:rPr>
          <w:rFonts w:ascii="Times New Roman" w:hAnsi="Times New Roman" w:cs="Times New Roman"/>
        </w:rPr>
        <w:t>UR</w:t>
      </w:r>
      <w:r w:rsidRPr="000F47C5">
        <w:rPr>
          <w:rFonts w:ascii="Times New Roman" w:hAnsi="Times New Roman" w:cs="Times New Roman"/>
        </w:rPr>
        <w:t xml:space="preserve"> brenda shport</w:t>
      </w:r>
      <w:r>
        <w:rPr>
          <w:rFonts w:ascii="Times New Roman" w:hAnsi="Times New Roman" w:cs="Times New Roman"/>
        </w:rPr>
        <w:t>ë</w:t>
      </w:r>
      <w:r w:rsidRPr="000F47C5">
        <w:rPr>
          <w:rFonts w:ascii="Times New Roman" w:hAnsi="Times New Roman" w:cs="Times New Roman"/>
        </w:rPr>
        <w:t>s s</w:t>
      </w:r>
      <w:r>
        <w:rPr>
          <w:rFonts w:ascii="Times New Roman" w:hAnsi="Times New Roman" w:cs="Times New Roman"/>
        </w:rPr>
        <w:t>ë</w:t>
      </w:r>
      <w:r w:rsidRPr="000F47C5">
        <w:rPr>
          <w:rFonts w:ascii="Times New Roman" w:hAnsi="Times New Roman" w:cs="Times New Roman"/>
        </w:rPr>
        <w:t xml:space="preserve"> monedhave SDR</w:t>
      </w:r>
      <w:r>
        <w:rPr>
          <w:rFonts w:ascii="Times New Roman" w:hAnsi="Times New Roman" w:cs="Times New Roman"/>
        </w:rPr>
        <w:t xml:space="preserve"> dhe ACU.</w:t>
      </w:r>
    </w:p>
  </w:footnote>
  <w:footnote w:id="5">
    <w:p w14:paraId="71DF5FB5" w14:textId="77777777" w:rsidR="00D235BC" w:rsidRDefault="00D235BC" w:rsidP="00B92908">
      <w:pPr>
        <w:pStyle w:val="FootnoteText"/>
        <w:ind w:left="284" w:right="380" w:hanging="284"/>
        <w:jc w:val="both"/>
        <w:rPr>
          <w:rFonts w:ascii="Times New Roman" w:hAnsi="Times New Roman" w:cs="Times New Roman"/>
          <w:lang w:val="en-US"/>
        </w:rPr>
      </w:pPr>
      <w:r w:rsidRPr="005200C8">
        <w:rPr>
          <w:rStyle w:val="FootnoteReference"/>
          <w:rFonts w:ascii="Times New Roman" w:hAnsi="Times New Roman" w:cs="Times New Roman"/>
        </w:rPr>
        <w:footnoteRef/>
      </w:r>
      <w:r>
        <w:rPr>
          <w:rFonts w:ascii="Times New Roman" w:hAnsi="Times New Roman" w:cs="Times New Roman"/>
          <w:b/>
        </w:rPr>
        <w:t xml:space="preserve">   </w:t>
      </w:r>
      <w:r>
        <w:rPr>
          <w:rFonts w:ascii="Times New Roman" w:hAnsi="Times New Roman" w:cs="Times New Roman"/>
        </w:rPr>
        <w:t xml:space="preserve">Monedha </w:t>
      </w:r>
      <w:r>
        <w:rPr>
          <w:rFonts w:ascii="Times New Roman" w:hAnsi="Times New Roman" w:cs="Times New Roman"/>
        </w:rPr>
        <w:t xml:space="preserve">USD zë rreth </w:t>
      </w:r>
      <w:r>
        <w:rPr>
          <w:rFonts w:ascii="Times New Roman" w:hAnsi="Times New Roman" w:cs="Times New Roman"/>
          <w:lang w:val="en-US"/>
        </w:rPr>
        <w:t>22.7</w:t>
      </w:r>
      <w:r w:rsidRPr="00AD077E">
        <w:rPr>
          <w:rFonts w:ascii="Times New Roman" w:hAnsi="Times New Roman" w:cs="Times New Roman"/>
          <w:lang w:val="en-US"/>
        </w:rPr>
        <w:t xml:space="preserve">% </w:t>
      </w:r>
      <w:proofErr w:type="spellStart"/>
      <w:r>
        <w:rPr>
          <w:rFonts w:ascii="Times New Roman" w:hAnsi="Times New Roman" w:cs="Times New Roman"/>
          <w:lang w:val="en-US"/>
        </w:rPr>
        <w:t>të</w:t>
      </w:r>
      <w:proofErr w:type="spellEnd"/>
      <w:r>
        <w:rPr>
          <w:rFonts w:ascii="Times New Roman" w:hAnsi="Times New Roman" w:cs="Times New Roman"/>
          <w:lang w:val="en-US"/>
        </w:rPr>
        <w:t xml:space="preserve"> </w:t>
      </w:r>
      <w:proofErr w:type="spellStart"/>
      <w:r w:rsidRPr="00AD077E">
        <w:rPr>
          <w:rFonts w:ascii="Times New Roman" w:hAnsi="Times New Roman" w:cs="Times New Roman"/>
          <w:lang w:val="en-US"/>
        </w:rPr>
        <w:t>portofolit</w:t>
      </w:r>
      <w:proofErr w:type="spellEnd"/>
      <w:r w:rsidRPr="00AD077E">
        <w:rPr>
          <w:rFonts w:ascii="Times New Roman" w:hAnsi="Times New Roman" w:cs="Times New Roman"/>
          <w:lang w:val="en-US"/>
        </w:rPr>
        <w:t xml:space="preserve"> </w:t>
      </w:r>
      <w:proofErr w:type="spellStart"/>
      <w:r w:rsidRPr="00AD077E">
        <w:rPr>
          <w:rFonts w:ascii="Times New Roman" w:hAnsi="Times New Roman" w:cs="Times New Roman"/>
          <w:lang w:val="en-US"/>
        </w:rPr>
        <w:t>t</w:t>
      </w:r>
      <w:r>
        <w:rPr>
          <w:rFonts w:ascii="Times New Roman" w:hAnsi="Times New Roman" w:cs="Times New Roman"/>
          <w:lang w:val="en-US"/>
        </w:rPr>
        <w:t>ë</w:t>
      </w:r>
      <w:proofErr w:type="spellEnd"/>
      <w:r w:rsidRPr="00AD077E">
        <w:rPr>
          <w:rFonts w:ascii="Times New Roman" w:hAnsi="Times New Roman" w:cs="Times New Roman"/>
          <w:lang w:val="en-US"/>
        </w:rPr>
        <w:t xml:space="preserve"> </w:t>
      </w:r>
      <w:proofErr w:type="spellStart"/>
      <w:r w:rsidRPr="00AD077E">
        <w:rPr>
          <w:rFonts w:ascii="Times New Roman" w:hAnsi="Times New Roman" w:cs="Times New Roman"/>
          <w:lang w:val="en-US"/>
        </w:rPr>
        <w:t>borxhit</w:t>
      </w:r>
      <w:proofErr w:type="spellEnd"/>
      <w:r w:rsidRPr="00AD077E">
        <w:rPr>
          <w:rFonts w:ascii="Times New Roman" w:hAnsi="Times New Roman" w:cs="Times New Roman"/>
          <w:lang w:val="en-US"/>
        </w:rPr>
        <w:t xml:space="preserve"> </w:t>
      </w:r>
      <w:proofErr w:type="spellStart"/>
      <w:r>
        <w:rPr>
          <w:rFonts w:ascii="Times New Roman" w:hAnsi="Times New Roman" w:cs="Times New Roman"/>
          <w:lang w:val="en-US"/>
        </w:rPr>
        <w:t>të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jashtëm</w:t>
      </w:r>
      <w:proofErr w:type="spellEnd"/>
      <w:r>
        <w:rPr>
          <w:rFonts w:ascii="Times New Roman" w:hAnsi="Times New Roman" w:cs="Times New Roman"/>
          <w:lang w:val="en-US"/>
        </w:rPr>
        <w:t>, duke u</w:t>
      </w:r>
      <w:r>
        <w:rPr>
          <w:rFonts w:ascii="Times New Roman" w:hAnsi="Times New Roman" w:cs="Times New Roman"/>
        </w:rPr>
        <w:t xml:space="preserve"> </w:t>
      </w:r>
      <w:proofErr w:type="spellStart"/>
      <w:r>
        <w:rPr>
          <w:rFonts w:ascii="Times New Roman" w:hAnsi="Times New Roman" w:cs="Times New Roman"/>
          <w:lang w:val="en-US"/>
        </w:rPr>
        <w:t>vlerësuar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w:t>
      </w:r>
      <w:proofErr w:type="spellEnd"/>
      <w:r w:rsidRPr="00AD077E">
        <w:rPr>
          <w:rFonts w:ascii="Times New Roman" w:hAnsi="Times New Roman" w:cs="Times New Roman"/>
          <w:lang w:val="en-US"/>
        </w:rPr>
        <w:t xml:space="preserve"> </w:t>
      </w:r>
      <w:proofErr w:type="spellStart"/>
      <w:r w:rsidRPr="00AD077E">
        <w:rPr>
          <w:rFonts w:ascii="Times New Roman" w:hAnsi="Times New Roman" w:cs="Times New Roman"/>
          <w:lang w:val="en-US"/>
        </w:rPr>
        <w:t>monedha</w:t>
      </w:r>
      <w:proofErr w:type="spellEnd"/>
      <w:r w:rsidRPr="00AD077E">
        <w:rPr>
          <w:rFonts w:ascii="Times New Roman" w:hAnsi="Times New Roman" w:cs="Times New Roman"/>
          <w:lang w:val="en-US"/>
        </w:rPr>
        <w:t xml:space="preserve"> e </w:t>
      </w:r>
      <w:proofErr w:type="spellStart"/>
      <w:r w:rsidRPr="00AD077E">
        <w:rPr>
          <w:rFonts w:ascii="Times New Roman" w:hAnsi="Times New Roman" w:cs="Times New Roman"/>
          <w:lang w:val="en-US"/>
        </w:rPr>
        <w:t>dyt</w:t>
      </w:r>
      <w:r>
        <w:rPr>
          <w:rFonts w:ascii="Times New Roman" w:hAnsi="Times New Roman" w:cs="Times New Roman"/>
          <w:lang w:val="en-US"/>
        </w:rPr>
        <w:t>ë</w:t>
      </w:r>
      <w:proofErr w:type="spellEnd"/>
      <w:r w:rsidRPr="00AD077E">
        <w:rPr>
          <w:rFonts w:ascii="Times New Roman" w:hAnsi="Times New Roman" w:cs="Times New Roman"/>
          <w:lang w:val="en-US"/>
        </w:rPr>
        <w:t xml:space="preserve"> </w:t>
      </w:r>
      <w:r>
        <w:rPr>
          <w:rFonts w:ascii="Times New Roman" w:hAnsi="Times New Roman" w:cs="Times New Roman"/>
          <w:lang w:val="en-US"/>
        </w:rPr>
        <w:t xml:space="preserve">           </w:t>
      </w:r>
      <w:proofErr w:type="spellStart"/>
      <w:r w:rsidRPr="00AD077E">
        <w:rPr>
          <w:rFonts w:ascii="Times New Roman" w:hAnsi="Times New Roman" w:cs="Times New Roman"/>
          <w:lang w:val="en-US"/>
        </w:rPr>
        <w:t>m</w:t>
      </w:r>
      <w:r>
        <w:rPr>
          <w:rFonts w:ascii="Times New Roman" w:hAnsi="Times New Roman" w:cs="Times New Roman"/>
          <w:lang w:val="en-US"/>
        </w:rPr>
        <w:t>ë</w:t>
      </w:r>
      <w:proofErr w:type="spellEnd"/>
      <w:r w:rsidRPr="00AD077E">
        <w:rPr>
          <w:rFonts w:ascii="Times New Roman" w:hAnsi="Times New Roman" w:cs="Times New Roman"/>
          <w:lang w:val="en-US"/>
        </w:rPr>
        <w:t xml:space="preserve"> e </w:t>
      </w:r>
      <w:proofErr w:type="spellStart"/>
      <w:r w:rsidRPr="00AD077E">
        <w:rPr>
          <w:rFonts w:ascii="Times New Roman" w:hAnsi="Times New Roman" w:cs="Times New Roman"/>
          <w:lang w:val="en-US"/>
        </w:rPr>
        <w:t>r</w:t>
      </w:r>
      <w:r>
        <w:rPr>
          <w:rFonts w:ascii="Times New Roman" w:hAnsi="Times New Roman" w:cs="Times New Roman"/>
          <w:lang w:val="en-US"/>
        </w:rPr>
        <w:t>ë</w:t>
      </w:r>
      <w:r w:rsidRPr="00AD077E">
        <w:rPr>
          <w:rFonts w:ascii="Times New Roman" w:hAnsi="Times New Roman" w:cs="Times New Roman"/>
          <w:lang w:val="en-US"/>
        </w:rPr>
        <w:t>nd</w:t>
      </w:r>
      <w:r>
        <w:rPr>
          <w:rFonts w:ascii="Times New Roman" w:hAnsi="Times New Roman" w:cs="Times New Roman"/>
          <w:lang w:val="en-US"/>
        </w:rPr>
        <w:t>ë</w:t>
      </w:r>
      <w:r w:rsidRPr="00AD077E">
        <w:rPr>
          <w:rFonts w:ascii="Times New Roman" w:hAnsi="Times New Roman" w:cs="Times New Roman"/>
          <w:lang w:val="en-US"/>
        </w:rPr>
        <w:t>sishme</w:t>
      </w:r>
      <w:proofErr w:type="spellEnd"/>
      <w:r w:rsidRPr="00AD077E">
        <w:rPr>
          <w:rFonts w:ascii="Times New Roman" w:hAnsi="Times New Roman" w:cs="Times New Roman"/>
          <w:lang w:val="en-US"/>
        </w:rPr>
        <w:t xml:space="preserve"> </w:t>
      </w:r>
      <w:proofErr w:type="spellStart"/>
      <w:r>
        <w:rPr>
          <w:rFonts w:ascii="Times New Roman" w:hAnsi="Times New Roman" w:cs="Times New Roman"/>
          <w:lang w:val="en-US"/>
        </w:rPr>
        <w:t>dhe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një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monedhat</w:t>
      </w:r>
      <w:proofErr w:type="spellEnd"/>
      <w:r w:rsidRPr="00AD077E">
        <w:rPr>
          <w:rFonts w:ascii="Times New Roman" w:hAnsi="Times New Roman" w:cs="Times New Roman"/>
          <w:lang w:val="en-US"/>
        </w:rPr>
        <w:t xml:space="preserve"> m</w:t>
      </w:r>
      <w:r>
        <w:rPr>
          <w:rFonts w:ascii="Times New Roman" w:hAnsi="Times New Roman" w:cs="Times New Roman"/>
          <w:lang w:val="en-US"/>
        </w:rPr>
        <w:t xml:space="preserve">e </w:t>
      </w:r>
      <w:proofErr w:type="spellStart"/>
      <w:r>
        <w:rPr>
          <w:rFonts w:ascii="Times New Roman" w:hAnsi="Times New Roman" w:cs="Times New Roman"/>
          <w:lang w:val="en-US"/>
        </w:rPr>
        <w:t>kursin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luhatshëm</w:t>
      </w:r>
      <w:proofErr w:type="spellEnd"/>
      <w:r w:rsidRPr="00AD077E">
        <w:rPr>
          <w:rFonts w:ascii="Times New Roman" w:hAnsi="Times New Roman" w:cs="Times New Roman"/>
          <w:lang w:val="en-US"/>
        </w:rPr>
        <w:t xml:space="preserve"> </w:t>
      </w:r>
      <w:proofErr w:type="spellStart"/>
      <w:r>
        <w:rPr>
          <w:rFonts w:ascii="Times New Roman" w:hAnsi="Times New Roman" w:cs="Times New Roman"/>
          <w:lang w:val="en-US"/>
        </w:rPr>
        <w:t>në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portofol</w:t>
      </w:r>
      <w:proofErr w:type="spellEnd"/>
      <w:r>
        <w:rPr>
          <w:rFonts w:ascii="Times New Roman" w:hAnsi="Times New Roman" w:cs="Times New Roman"/>
          <w:lang w:val="en-US"/>
        </w:rPr>
        <w:t>.</w:t>
      </w:r>
    </w:p>
    <w:p w14:paraId="71DF5FB6" w14:textId="77777777" w:rsidR="00D235BC" w:rsidRDefault="00D235BC" w:rsidP="009B24CE">
      <w:pPr>
        <w:pStyle w:val="FootnoteText"/>
        <w:ind w:left="426" w:right="237" w:hanging="142"/>
        <w:jc w:val="both"/>
        <w:rPr>
          <w:rFonts w:ascii="Times New Roman" w:hAnsi="Times New Roman" w:cs="Times New Roman"/>
          <w:lang w:val="en-US"/>
        </w:rPr>
      </w:pPr>
    </w:p>
    <w:p w14:paraId="71DF5FB7" w14:textId="77777777" w:rsidR="00D235BC" w:rsidRPr="00AD077E" w:rsidRDefault="00D235BC" w:rsidP="009B24CE">
      <w:pPr>
        <w:pStyle w:val="FootnoteText"/>
        <w:ind w:left="426" w:right="237" w:hanging="142"/>
        <w:jc w:val="both"/>
        <w:rPr>
          <w:rFonts w:ascii="Times New Roman" w:hAnsi="Times New Roman" w:cs="Times New Roman"/>
          <w:lang w:val="en-US"/>
        </w:rPr>
      </w:pPr>
    </w:p>
  </w:footnote>
  <w:footnote w:id="6">
    <w:p w14:paraId="71DF5FB8" w14:textId="77777777" w:rsidR="00D235BC" w:rsidRPr="00406A07" w:rsidRDefault="00D235BC" w:rsidP="00045D56">
      <w:pPr>
        <w:pStyle w:val="FootnoteText"/>
        <w:ind w:left="426" w:hanging="426"/>
        <w:rPr>
          <w:lang w:val="en-US"/>
        </w:rPr>
      </w:pPr>
      <w:r>
        <w:rPr>
          <w:rStyle w:val="FootnoteReference"/>
        </w:rPr>
        <w:footnoteRef/>
      </w:r>
      <w:r>
        <w:t xml:space="preserve">    </w:t>
      </w:r>
      <w:r w:rsidRPr="00406A07">
        <w:rPr>
          <w:rFonts w:ascii="Times New Roman" w:hAnsi="Times New Roman"/>
        </w:rPr>
        <w:t>I referohet borxhit shtet</w:t>
      </w:r>
      <w:r>
        <w:rPr>
          <w:rFonts w:ascii="Times New Roman" w:hAnsi="Times New Roman"/>
        </w:rPr>
        <w:t>ë</w:t>
      </w:r>
      <w:r w:rsidRPr="00406A07">
        <w:rPr>
          <w:rFonts w:ascii="Times New Roman" w:hAnsi="Times New Roman"/>
        </w:rPr>
        <w:t>ror t</w:t>
      </w:r>
      <w:r>
        <w:rPr>
          <w:rFonts w:ascii="Times New Roman" w:hAnsi="Times New Roman"/>
        </w:rPr>
        <w:t>ë</w:t>
      </w:r>
      <w:r w:rsidRPr="00406A07">
        <w:rPr>
          <w:rFonts w:ascii="Times New Roman" w:hAnsi="Times New Roman"/>
        </w:rPr>
        <w:t xml:space="preserve"> brendsh</w:t>
      </w:r>
      <w:r>
        <w:rPr>
          <w:rFonts w:ascii="Times New Roman" w:hAnsi="Times New Roman"/>
        </w:rPr>
        <w:t>ë</w:t>
      </w:r>
      <w:r w:rsidRPr="00406A07">
        <w:rPr>
          <w:rFonts w:ascii="Times New Roman" w:hAnsi="Times New Roman"/>
        </w:rPr>
        <w:t xml:space="preserve">m dhe </w:t>
      </w:r>
      <w:r>
        <w:rPr>
          <w:rFonts w:ascii="Times New Roman" w:hAnsi="Times New Roman"/>
        </w:rPr>
        <w:t xml:space="preserve">atij </w:t>
      </w:r>
      <w:r w:rsidRPr="00406A07">
        <w:rPr>
          <w:rFonts w:ascii="Times New Roman" w:hAnsi="Times New Roman"/>
        </w:rPr>
        <w:t>t</w:t>
      </w:r>
      <w:r>
        <w:rPr>
          <w:rFonts w:ascii="Times New Roman" w:hAnsi="Times New Roman"/>
        </w:rPr>
        <w:t>ë</w:t>
      </w:r>
      <w:r w:rsidRPr="00406A07">
        <w:rPr>
          <w:rFonts w:ascii="Times New Roman" w:hAnsi="Times New Roman"/>
        </w:rPr>
        <w:t xml:space="preserve"> huaj me maturitet t</w:t>
      </w:r>
      <w:r>
        <w:rPr>
          <w:rFonts w:ascii="Times New Roman" w:hAnsi="Times New Roman"/>
        </w:rPr>
        <w:t>ë</w:t>
      </w:r>
      <w:r w:rsidRPr="00406A07">
        <w:rPr>
          <w:rFonts w:ascii="Times New Roman" w:hAnsi="Times New Roman"/>
        </w:rPr>
        <w:t xml:space="preserve"> mbetur </w:t>
      </w:r>
      <w:r>
        <w:rPr>
          <w:rFonts w:ascii="Times New Roman" w:hAnsi="Times New Roman"/>
        </w:rPr>
        <w:t xml:space="preserve">deri në </w:t>
      </w:r>
      <w:r w:rsidRPr="00406A07">
        <w:rPr>
          <w:rFonts w:ascii="Times New Roman" w:hAnsi="Times New Roman"/>
        </w:rPr>
        <w:t>nj</w:t>
      </w:r>
      <w:r>
        <w:rPr>
          <w:rFonts w:ascii="Times New Roman" w:hAnsi="Times New Roman"/>
        </w:rPr>
        <w:t>ë</w:t>
      </w:r>
      <w:r w:rsidRPr="00406A07">
        <w:rPr>
          <w:rFonts w:ascii="Times New Roman" w:hAnsi="Times New Roman"/>
        </w:rPr>
        <w:t xml:space="preserve"> vit</w:t>
      </w:r>
      <w:r>
        <w:rPr>
          <w:rFonts w:ascii="Times New Roman" w:hAnsi="Times New Roman"/>
        </w:rPr>
        <w:t>.</w:t>
      </w:r>
    </w:p>
  </w:footnote>
  <w:footnote w:id="7">
    <w:p w14:paraId="71DF5FB9" w14:textId="77777777" w:rsidR="00D235BC" w:rsidRPr="00FA56D8" w:rsidRDefault="00D235BC" w:rsidP="009E6841">
      <w:pPr>
        <w:pStyle w:val="FootnoteText"/>
        <w:ind w:left="284" w:hanging="284"/>
        <w:rPr>
          <w:rFonts w:ascii="Times New Roman" w:hAnsi="Times New Roman" w:cs="Times New Roman"/>
          <w:lang w:val="en-US"/>
        </w:rPr>
      </w:pPr>
      <w:r w:rsidRPr="00FA56D8">
        <w:rPr>
          <w:rStyle w:val="FootnoteReference"/>
          <w:rFonts w:ascii="Times New Roman" w:hAnsi="Times New Roman" w:cs="Times New Roman"/>
        </w:rPr>
        <w:footnoteRef/>
      </w:r>
      <w:r w:rsidRPr="00FA56D8">
        <w:rPr>
          <w:rFonts w:ascii="Times New Roman" w:hAnsi="Times New Roman" w:cs="Times New Roman"/>
        </w:rPr>
        <w:t xml:space="preserve"> </w:t>
      </w:r>
      <w:r>
        <w:rPr>
          <w:rFonts w:ascii="Times New Roman" w:hAnsi="Times New Roman" w:cs="Times New Roman"/>
        </w:rPr>
        <w:t xml:space="preserve">  </w:t>
      </w:r>
      <w:proofErr w:type="spellStart"/>
      <w:r w:rsidRPr="00FA56D8">
        <w:rPr>
          <w:rFonts w:ascii="Times New Roman" w:hAnsi="Times New Roman" w:cs="Times New Roman"/>
          <w:lang w:val="en-US"/>
        </w:rPr>
        <w:t>Bazuar</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n</w:t>
      </w:r>
      <w:r>
        <w:rPr>
          <w:rFonts w:ascii="Times New Roman" w:hAnsi="Times New Roman" w:cs="Times New Roman"/>
          <w:lang w:val="en-US"/>
        </w:rPr>
        <w:t>ë</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norm</w:t>
      </w:r>
      <w:r>
        <w:rPr>
          <w:rFonts w:ascii="Times New Roman" w:hAnsi="Times New Roman" w:cs="Times New Roman"/>
          <w:lang w:val="en-US"/>
        </w:rPr>
        <w:t>ë</w:t>
      </w:r>
      <w:r w:rsidRPr="00FA56D8">
        <w:rPr>
          <w:rFonts w:ascii="Times New Roman" w:hAnsi="Times New Roman" w:cs="Times New Roman"/>
          <w:lang w:val="en-US"/>
        </w:rPr>
        <w:t>n</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mesatare</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t</w:t>
      </w:r>
      <w:r>
        <w:rPr>
          <w:rFonts w:ascii="Times New Roman" w:hAnsi="Times New Roman" w:cs="Times New Roman"/>
          <w:lang w:val="en-US"/>
        </w:rPr>
        <w:t>ë</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ponderuar</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t</w:t>
      </w:r>
      <w:r>
        <w:rPr>
          <w:rFonts w:ascii="Times New Roman" w:hAnsi="Times New Roman" w:cs="Times New Roman"/>
          <w:lang w:val="en-US"/>
        </w:rPr>
        <w:t>ë</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titujve</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shtet</w:t>
      </w:r>
      <w:r>
        <w:rPr>
          <w:rFonts w:ascii="Times New Roman" w:hAnsi="Times New Roman" w:cs="Times New Roman"/>
          <w:lang w:val="en-US"/>
        </w:rPr>
        <w:t>ë</w:t>
      </w:r>
      <w:r w:rsidRPr="00FA56D8">
        <w:rPr>
          <w:rFonts w:ascii="Times New Roman" w:hAnsi="Times New Roman" w:cs="Times New Roman"/>
          <w:lang w:val="en-US"/>
        </w:rPr>
        <w:t>ror</w:t>
      </w:r>
      <w:r>
        <w:rPr>
          <w:rFonts w:ascii="Times New Roman" w:hAnsi="Times New Roman" w:cs="Times New Roman"/>
          <w:lang w:val="en-US"/>
        </w:rPr>
        <w:t>ë</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t</w:t>
      </w:r>
      <w:r>
        <w:rPr>
          <w:rFonts w:ascii="Times New Roman" w:hAnsi="Times New Roman" w:cs="Times New Roman"/>
          <w:lang w:val="en-US"/>
        </w:rPr>
        <w:t>ë</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emetuar</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n</w:t>
      </w:r>
      <w:r>
        <w:rPr>
          <w:rFonts w:ascii="Times New Roman" w:hAnsi="Times New Roman" w:cs="Times New Roman"/>
          <w:lang w:val="en-US"/>
        </w:rPr>
        <w:t>ë</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tregun</w:t>
      </w:r>
      <w:proofErr w:type="spellEnd"/>
      <w:r w:rsidRPr="00FA56D8">
        <w:rPr>
          <w:rFonts w:ascii="Times New Roman" w:hAnsi="Times New Roman" w:cs="Times New Roman"/>
          <w:lang w:val="en-US"/>
        </w:rPr>
        <w:t xml:space="preserve"> </w:t>
      </w:r>
      <w:proofErr w:type="spellStart"/>
      <w:r w:rsidRPr="00FA56D8">
        <w:rPr>
          <w:rFonts w:ascii="Times New Roman" w:hAnsi="Times New Roman" w:cs="Times New Roman"/>
          <w:lang w:val="en-US"/>
        </w:rPr>
        <w:t>primar</w:t>
      </w:r>
      <w:proofErr w:type="spellEnd"/>
      <w:r w:rsidRPr="00FA56D8">
        <w:rPr>
          <w:rFonts w:ascii="Times New Roman" w:hAnsi="Times New Roman" w:cs="Times New Roman"/>
          <w:lang w:val="en-US"/>
        </w:rPr>
        <w:t>.</w:t>
      </w:r>
    </w:p>
  </w:footnote>
  <w:footnote w:id="8">
    <w:p w14:paraId="71DF5FBA" w14:textId="77777777" w:rsidR="00D235BC" w:rsidRDefault="00D235BC" w:rsidP="00590B71">
      <w:pPr>
        <w:pStyle w:val="FootnoteText"/>
        <w:ind w:left="284" w:right="238" w:hanging="284"/>
        <w:jc w:val="both"/>
        <w:rPr>
          <w:rFonts w:ascii="Times New Roman" w:hAnsi="Times New Roman" w:cs="Times New Roman"/>
        </w:rPr>
      </w:pPr>
      <w:r>
        <w:rPr>
          <w:rStyle w:val="FootnoteReference"/>
        </w:rPr>
        <w:footnoteRef/>
      </w:r>
      <w:r>
        <w:t xml:space="preserve">     </w:t>
      </w:r>
      <w:r w:rsidRPr="00396992">
        <w:rPr>
          <w:rFonts w:ascii="Times New Roman" w:hAnsi="Times New Roman" w:cs="Times New Roman"/>
        </w:rPr>
        <w:t>Referuar kufijve t</w:t>
      </w:r>
      <w:r>
        <w:rPr>
          <w:rFonts w:ascii="Times New Roman" w:hAnsi="Times New Roman" w:cs="Times New Roman"/>
        </w:rPr>
        <w:t>ë përcaktuar në analizën e që</w:t>
      </w:r>
      <w:r w:rsidRPr="00396992">
        <w:rPr>
          <w:rFonts w:ascii="Times New Roman" w:hAnsi="Times New Roman" w:cs="Times New Roman"/>
        </w:rPr>
        <w:t xml:space="preserve">ndrueshmërisë së borxhit të publikuar nga FMN në </w:t>
      </w:r>
      <w:r>
        <w:rPr>
          <w:rFonts w:ascii="Times New Roman" w:hAnsi="Times New Roman" w:cs="Times New Roman"/>
        </w:rPr>
        <w:t xml:space="preserve"> </w:t>
      </w:r>
      <w:r w:rsidRPr="00396992">
        <w:rPr>
          <w:rFonts w:ascii="Times New Roman" w:hAnsi="Times New Roman" w:cs="Times New Roman"/>
        </w:rPr>
        <w:t>raportin për Shqipërinë</w:t>
      </w:r>
      <w:r>
        <w:rPr>
          <w:rFonts w:ascii="Times New Roman" w:hAnsi="Times New Roman" w:cs="Times New Roman"/>
        </w:rPr>
        <w:t>: Artikulli IV,</w:t>
      </w:r>
      <w:r w:rsidRPr="00396992">
        <w:rPr>
          <w:rFonts w:ascii="Times New Roman" w:hAnsi="Times New Roman" w:cs="Times New Roman"/>
        </w:rPr>
        <w:t xml:space="preserve"> (</w:t>
      </w:r>
      <w:r>
        <w:rPr>
          <w:rFonts w:ascii="Times New Roman" w:hAnsi="Times New Roman" w:cs="Times New Roman"/>
        </w:rPr>
        <w:t>Janar</w:t>
      </w:r>
      <w:r w:rsidRPr="00396992">
        <w:rPr>
          <w:rFonts w:ascii="Times New Roman" w:hAnsi="Times New Roman" w:cs="Times New Roman"/>
        </w:rPr>
        <w:t>, 201</w:t>
      </w:r>
      <w:r>
        <w:rPr>
          <w:rFonts w:ascii="Times New Roman" w:hAnsi="Times New Roman" w:cs="Times New Roman"/>
        </w:rPr>
        <w:t>9</w:t>
      </w:r>
      <w:r w:rsidRPr="00396992">
        <w:rPr>
          <w:rFonts w:ascii="Times New Roman" w:hAnsi="Times New Roman" w:cs="Times New Roman"/>
        </w:rPr>
        <w:t xml:space="preserve">); </w:t>
      </w:r>
    </w:p>
    <w:p w14:paraId="71DF5FBB" w14:textId="77777777" w:rsidR="00D235BC" w:rsidRDefault="00D235BC" w:rsidP="00590B71">
      <w:pPr>
        <w:pStyle w:val="FootnoteText"/>
        <w:ind w:left="284" w:right="238" w:hanging="284"/>
        <w:jc w:val="both"/>
        <w:rPr>
          <w:rFonts w:ascii="Times New Roman" w:hAnsi="Times New Roman" w:cs="Times New Roman"/>
          <w:lang w:val="en-US"/>
        </w:rPr>
      </w:pPr>
      <w:r>
        <w:rPr>
          <w:lang w:val="en-US"/>
        </w:rPr>
        <w:t xml:space="preserve">      </w:t>
      </w:r>
      <w:hyperlink r:id="rId1" w:history="1">
        <w:r w:rsidRPr="00952DDE">
          <w:rPr>
            <w:rStyle w:val="Hyperlink"/>
            <w:rFonts w:ascii="Times New Roman" w:hAnsi="Times New Roman" w:cs="Times New Roman"/>
            <w:lang w:val="en-US"/>
          </w:rPr>
          <w:t>https://www.imf.org/en/Publications/CR/Issues/2019/01/28/Albania-2018-Article-IV-Consultation-Press-Release-Staff-Report-and-Statement-by-the-46556</w:t>
        </w:r>
      </w:hyperlink>
    </w:p>
    <w:p w14:paraId="71DF5FBC" w14:textId="77777777" w:rsidR="00D235BC" w:rsidRPr="00DD0E9F" w:rsidRDefault="00D235BC" w:rsidP="00590B71">
      <w:pPr>
        <w:pStyle w:val="FootnoteText"/>
        <w:ind w:left="284" w:right="238" w:hanging="284"/>
        <w:jc w:val="both"/>
        <w:rPr>
          <w:rFonts w:ascii="Times New Roman" w:hAnsi="Times New Roman" w:cs="Times New Roman"/>
          <w:lang w:val="en-US"/>
        </w:rPr>
      </w:pPr>
    </w:p>
  </w:footnote>
  <w:footnote w:id="9">
    <w:p w14:paraId="71DF5FBD" w14:textId="77777777" w:rsidR="00D235BC" w:rsidRPr="00E873C6" w:rsidRDefault="00D235BC" w:rsidP="00AF0FD1">
      <w:pPr>
        <w:pStyle w:val="FootnoteText"/>
        <w:ind w:left="284" w:right="237" w:hanging="284"/>
        <w:jc w:val="both"/>
        <w:rPr>
          <w:rFonts w:ascii="Times New Roman" w:hAnsi="Times New Roman" w:cs="Times New Roman"/>
          <w:lang w:val="en-US"/>
        </w:rPr>
      </w:pPr>
      <w:r w:rsidRPr="00782DA2">
        <w:rPr>
          <w:rStyle w:val="FootnoteReference"/>
          <w:rFonts w:ascii="Times New Roman" w:hAnsi="Times New Roman" w:cs="Times New Roman"/>
        </w:rPr>
        <w:footnoteRef/>
      </w:r>
      <w:r>
        <w:rPr>
          <w:rFonts w:ascii="Times New Roman" w:hAnsi="Times New Roman" w:cs="Times New Roman"/>
        </w:rPr>
        <w:t xml:space="preserve">    </w:t>
      </w:r>
      <w:r w:rsidRPr="00E873C6">
        <w:rPr>
          <w:rFonts w:ascii="Times New Roman" w:hAnsi="Times New Roman" w:cs="Times New Roman"/>
        </w:rPr>
        <w:t>Kosto e borxhit të huaj për njësi është relativisht më e ulët se ajo e borxhi</w:t>
      </w:r>
      <w:r>
        <w:rPr>
          <w:rFonts w:ascii="Times New Roman" w:hAnsi="Times New Roman" w:cs="Times New Roman"/>
        </w:rPr>
        <w:t>t të brendshëm,</w:t>
      </w:r>
      <w:r w:rsidRPr="009033A6">
        <w:rPr>
          <w:rFonts w:ascii="Times New Roman" w:hAnsi="Times New Roman" w:cs="Times New Roman"/>
        </w:rPr>
        <w:t xml:space="preserve"> por </w:t>
      </w:r>
      <w:r>
        <w:rPr>
          <w:rFonts w:ascii="Times New Roman" w:hAnsi="Times New Roman" w:cs="Times New Roman"/>
        </w:rPr>
        <w:t>shoqërohet me rritje të ekspozimit ndaj</w:t>
      </w:r>
      <w:r w:rsidRPr="009033A6">
        <w:rPr>
          <w:rFonts w:ascii="Times New Roman" w:hAnsi="Times New Roman" w:cs="Times New Roman"/>
        </w:rPr>
        <w:t xml:space="preserve"> risku</w:t>
      </w:r>
      <w:r>
        <w:rPr>
          <w:rFonts w:ascii="Times New Roman" w:hAnsi="Times New Roman" w:cs="Times New Roman"/>
        </w:rPr>
        <w:t>t</w:t>
      </w:r>
      <w:r w:rsidRPr="009033A6">
        <w:rPr>
          <w:rFonts w:ascii="Times New Roman" w:hAnsi="Times New Roman" w:cs="Times New Roman"/>
        </w:rPr>
        <w:t xml:space="preserve"> </w:t>
      </w:r>
      <w:r>
        <w:rPr>
          <w:rFonts w:ascii="Times New Roman" w:hAnsi="Times New Roman" w:cs="Times New Roman"/>
        </w:rPr>
        <w:t>të</w:t>
      </w:r>
      <w:r w:rsidRPr="009033A6">
        <w:rPr>
          <w:rFonts w:ascii="Times New Roman" w:hAnsi="Times New Roman" w:cs="Times New Roman"/>
        </w:rPr>
        <w:t xml:space="preserve"> kursit t</w:t>
      </w:r>
      <w:r>
        <w:rPr>
          <w:rFonts w:ascii="Times New Roman" w:hAnsi="Times New Roman" w:cs="Times New Roman"/>
        </w:rPr>
        <w:t>ë</w:t>
      </w:r>
      <w:r w:rsidRPr="009033A6">
        <w:rPr>
          <w:rFonts w:ascii="Times New Roman" w:hAnsi="Times New Roman" w:cs="Times New Roman"/>
        </w:rPr>
        <w:t xml:space="preserve"> k</w:t>
      </w:r>
      <w:r>
        <w:rPr>
          <w:rFonts w:ascii="Times New Roman" w:hAnsi="Times New Roman" w:cs="Times New Roman"/>
        </w:rPr>
        <w:t>ë</w:t>
      </w:r>
      <w:r w:rsidRPr="009033A6">
        <w:rPr>
          <w:rFonts w:ascii="Times New Roman" w:hAnsi="Times New Roman" w:cs="Times New Roman"/>
        </w:rPr>
        <w:t>mbimit,</w:t>
      </w:r>
      <w:r w:rsidRPr="00E873C6">
        <w:rPr>
          <w:rFonts w:ascii="Times New Roman" w:hAnsi="Times New Roman" w:cs="Times New Roman"/>
        </w:rPr>
        <w:t xml:space="preserve"> </w:t>
      </w:r>
      <w:r>
        <w:rPr>
          <w:rFonts w:ascii="Times New Roman" w:hAnsi="Times New Roman" w:cs="Times New Roman"/>
        </w:rPr>
        <w:t xml:space="preserve">materializimi </w:t>
      </w:r>
      <w:r w:rsidRPr="00E873C6">
        <w:rPr>
          <w:rFonts w:ascii="Times New Roman" w:hAnsi="Times New Roman" w:cs="Times New Roman"/>
        </w:rPr>
        <w:t>i</w:t>
      </w:r>
      <w:r>
        <w:rPr>
          <w:rFonts w:ascii="Times New Roman" w:hAnsi="Times New Roman" w:cs="Times New Roman"/>
        </w:rPr>
        <w:t xml:space="preserve"> të</w:t>
      </w:r>
      <w:r w:rsidRPr="00E873C6">
        <w:rPr>
          <w:rFonts w:ascii="Times New Roman" w:hAnsi="Times New Roman" w:cs="Times New Roman"/>
        </w:rPr>
        <w:t xml:space="preserve"> cili</w:t>
      </w:r>
      <w:r>
        <w:rPr>
          <w:rFonts w:ascii="Times New Roman" w:hAnsi="Times New Roman" w:cs="Times New Roman"/>
        </w:rPr>
        <w:t>t</w:t>
      </w:r>
      <w:r w:rsidRPr="00E873C6">
        <w:rPr>
          <w:rFonts w:ascii="Times New Roman" w:hAnsi="Times New Roman" w:cs="Times New Roman"/>
        </w:rPr>
        <w:t xml:space="preserve"> </w:t>
      </w:r>
      <w:r>
        <w:rPr>
          <w:rFonts w:ascii="Times New Roman" w:hAnsi="Times New Roman" w:cs="Times New Roman"/>
        </w:rPr>
        <w:t>mund të rezultojë</w:t>
      </w:r>
      <w:r w:rsidRPr="00E873C6">
        <w:rPr>
          <w:rFonts w:ascii="Times New Roman" w:hAnsi="Times New Roman" w:cs="Times New Roman"/>
        </w:rPr>
        <w:t xml:space="preserve"> në kosto shtesë.</w:t>
      </w:r>
    </w:p>
  </w:footnote>
  <w:footnote w:id="10">
    <w:p w14:paraId="71DF5FBE" w14:textId="77777777" w:rsidR="00D235BC" w:rsidRPr="00782DA2" w:rsidRDefault="00D235BC" w:rsidP="004B6C45">
      <w:pPr>
        <w:pStyle w:val="FootnoteText"/>
        <w:ind w:left="284" w:right="237" w:hanging="284"/>
        <w:jc w:val="both"/>
        <w:rPr>
          <w:rFonts w:ascii="Times New Roman" w:hAnsi="Times New Roman" w:cs="Times New Roman"/>
          <w:lang w:val="en-US"/>
        </w:rPr>
      </w:pPr>
      <w:r w:rsidRPr="00782DA2">
        <w:rPr>
          <w:rStyle w:val="FootnoteReference"/>
          <w:rFonts w:ascii="Times New Roman" w:hAnsi="Times New Roman" w:cs="Times New Roman"/>
        </w:rPr>
        <w:footnoteRef/>
      </w:r>
      <w:r>
        <w:rPr>
          <w:rFonts w:ascii="Times New Roman" w:hAnsi="Times New Roman" w:cs="Times New Roman"/>
        </w:rPr>
        <w:t xml:space="preserve">  </w:t>
      </w:r>
      <w:r w:rsidRPr="00782DA2">
        <w:rPr>
          <w:rFonts w:ascii="Times New Roman" w:hAnsi="Times New Roman" w:cs="Times New Roman"/>
        </w:rPr>
        <w:t xml:space="preserve">Kryesisht </w:t>
      </w:r>
      <w:r w:rsidRPr="00782DA2">
        <w:rPr>
          <w:rFonts w:ascii="Times New Roman" w:hAnsi="Times New Roman" w:cs="Times New Roman"/>
        </w:rPr>
        <w:t>përfshihen projekte zhvillimore</w:t>
      </w:r>
      <w:r w:rsidRPr="00782DA2">
        <w:rPr>
          <w:rFonts w:ascii="Times New Roman" w:eastAsia="Times New Roman" w:hAnsi="Times New Roman" w:cs="Times New Roman"/>
        </w:rPr>
        <w:t xml:space="preserve">, të cilat janë përcaktuar si prioritare nga </w:t>
      </w:r>
      <w:r>
        <w:rPr>
          <w:rFonts w:ascii="Times New Roman" w:eastAsia="Times New Roman" w:hAnsi="Times New Roman" w:cs="Times New Roman"/>
        </w:rPr>
        <w:t>q</w:t>
      </w:r>
      <w:r w:rsidRPr="00782DA2">
        <w:rPr>
          <w:rFonts w:ascii="Times New Roman" w:eastAsia="Times New Roman" w:hAnsi="Times New Roman" w:cs="Times New Roman"/>
        </w:rPr>
        <w:t>everia, me qëllim zhvillimin e mëtejshëm ekonomik të vendit.</w:t>
      </w:r>
    </w:p>
  </w:footnote>
  <w:footnote w:id="11">
    <w:p w14:paraId="71DF5FBF" w14:textId="77777777" w:rsidR="00D235BC" w:rsidRPr="0083467B" w:rsidRDefault="00D235BC" w:rsidP="004B6C45">
      <w:pPr>
        <w:pStyle w:val="FootnoteText"/>
        <w:ind w:left="284" w:hanging="284"/>
        <w:rPr>
          <w:rFonts w:ascii="Times New Roman" w:hAnsi="Times New Roman" w:cs="Times New Roman"/>
          <w:lang w:val="en-US"/>
        </w:rPr>
      </w:pPr>
      <w:r w:rsidRPr="00476E98">
        <w:rPr>
          <w:rStyle w:val="FootnoteReference"/>
          <w:rFonts w:ascii="Times New Roman" w:hAnsi="Times New Roman" w:cs="Times New Roman"/>
        </w:rPr>
        <w:footnoteRef/>
      </w:r>
      <w:r>
        <w:rPr>
          <w:rFonts w:ascii="Times New Roman" w:hAnsi="Times New Roman" w:cs="Times New Roman"/>
          <w:b/>
        </w:rPr>
        <w:t xml:space="preserve"> </w:t>
      </w:r>
      <w:r w:rsidRPr="0083467B">
        <w:rPr>
          <w:rFonts w:ascii="Times New Roman" w:hAnsi="Times New Roman" w:cs="Times New Roman"/>
          <w:b/>
        </w:rPr>
        <w:t xml:space="preserve"> </w:t>
      </w:r>
      <w:r>
        <w:rPr>
          <w:rFonts w:ascii="Times New Roman" w:hAnsi="Times New Roman" w:cs="Times New Roman"/>
          <w:b/>
        </w:rPr>
        <w:t xml:space="preserve"> </w:t>
      </w:r>
      <w:r w:rsidRPr="00E27D8F">
        <w:rPr>
          <w:rFonts w:ascii="Times New Roman" w:hAnsi="Times New Roman" w:cs="Times New Roman"/>
        </w:rPr>
        <w:t xml:space="preserve">Burim </w:t>
      </w:r>
      <w:r w:rsidRPr="00E27D8F">
        <w:rPr>
          <w:rFonts w:ascii="Times New Roman" w:hAnsi="Times New Roman" w:cs="Times New Roman"/>
        </w:rPr>
        <w:t xml:space="preserve">financimi me terma të favorshme </w:t>
      </w:r>
      <w:r w:rsidRPr="003B3384">
        <w:rPr>
          <w:rFonts w:ascii="Times New Roman" w:hAnsi="Times New Roman" w:cs="Times New Roman"/>
        </w:rPr>
        <w:t>(koncesionale).</w:t>
      </w:r>
    </w:p>
  </w:footnote>
  <w:footnote w:id="12">
    <w:p w14:paraId="71DF5FC0" w14:textId="77777777" w:rsidR="00D235BC" w:rsidRPr="00002DD6" w:rsidRDefault="00D235BC" w:rsidP="004B6C45">
      <w:pPr>
        <w:pStyle w:val="FootnoteText"/>
        <w:tabs>
          <w:tab w:val="left" w:pos="8789"/>
        </w:tabs>
        <w:ind w:left="284" w:right="237" w:hanging="284"/>
        <w:jc w:val="both"/>
        <w:rPr>
          <w:rFonts w:ascii="Times New Roman" w:hAnsi="Times New Roman" w:cs="Times New Roman"/>
          <w:lang w:val="en-US"/>
        </w:rPr>
      </w:pPr>
      <w:r w:rsidRPr="00782DA2">
        <w:rPr>
          <w:rStyle w:val="FootnoteReference"/>
          <w:rFonts w:ascii="Times New Roman" w:hAnsi="Times New Roman" w:cs="Times New Roman"/>
        </w:rPr>
        <w:footnoteRef/>
      </w:r>
      <w:r w:rsidRPr="00782DA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I referohet</w:t>
      </w:r>
      <w:r w:rsidRPr="004949E7">
        <w:rPr>
          <w:rFonts w:ascii="Times New Roman" w:hAnsi="Times New Roman" w:cs="Times New Roman"/>
        </w:rPr>
        <w:t xml:space="preserve"> </w:t>
      </w:r>
      <w:r>
        <w:rPr>
          <w:rFonts w:ascii="Times New Roman" w:hAnsi="Times New Roman" w:cs="Times New Roman"/>
        </w:rPr>
        <w:t>ris</w:t>
      </w:r>
      <w:r w:rsidRPr="004949E7">
        <w:rPr>
          <w:rFonts w:ascii="Times New Roman" w:hAnsi="Times New Roman" w:cs="Times New Roman"/>
        </w:rPr>
        <w:t>qe</w:t>
      </w:r>
      <w:r>
        <w:rPr>
          <w:rFonts w:ascii="Times New Roman" w:hAnsi="Times New Roman" w:cs="Times New Roman"/>
        </w:rPr>
        <w:t>ve</w:t>
      </w:r>
      <w:r w:rsidRPr="004949E7">
        <w:rPr>
          <w:rFonts w:ascii="Times New Roman" w:hAnsi="Times New Roman" w:cs="Times New Roman"/>
        </w:rPr>
        <w:t xml:space="preserve"> të tilla si: 1</w:t>
      </w:r>
      <w:r w:rsidRPr="008A050C">
        <w:rPr>
          <w:rFonts w:ascii="Times New Roman" w:hAnsi="Times New Roman" w:cs="Times New Roman"/>
        </w:rPr>
        <w:t>) R</w:t>
      </w:r>
      <w:r>
        <w:rPr>
          <w:rFonts w:ascii="Times New Roman" w:hAnsi="Times New Roman" w:cs="Times New Roman"/>
        </w:rPr>
        <w:t>isku i rifinancimit; 2) Ris</w:t>
      </w:r>
      <w:r w:rsidRPr="008A050C">
        <w:rPr>
          <w:rFonts w:ascii="Times New Roman" w:hAnsi="Times New Roman" w:cs="Times New Roman"/>
        </w:rPr>
        <w:t xml:space="preserve">ku i normave të </w:t>
      </w:r>
      <w:r>
        <w:rPr>
          <w:rFonts w:ascii="Times New Roman" w:hAnsi="Times New Roman" w:cs="Times New Roman"/>
          <w:color w:val="FFFFFF" w:themeColor="background1"/>
        </w:rPr>
        <w:t>.</w:t>
      </w:r>
      <w:r w:rsidRPr="008A050C">
        <w:rPr>
          <w:rFonts w:ascii="Times New Roman" w:hAnsi="Times New Roman" w:cs="Times New Roman"/>
        </w:rPr>
        <w:t>interesit; 3) R</w:t>
      </w:r>
      <w:r>
        <w:rPr>
          <w:rFonts w:ascii="Times New Roman" w:hAnsi="Times New Roman" w:cs="Times New Roman"/>
        </w:rPr>
        <w:t>is</w:t>
      </w:r>
      <w:r w:rsidRPr="008A050C">
        <w:rPr>
          <w:rFonts w:ascii="Times New Roman" w:hAnsi="Times New Roman" w:cs="Times New Roman"/>
        </w:rPr>
        <w:t xml:space="preserve">ku i kursit të </w:t>
      </w:r>
      <w:r>
        <w:rPr>
          <w:rFonts w:ascii="Times New Roman" w:hAnsi="Times New Roman" w:cs="Times New Roman"/>
        </w:rPr>
        <w:t xml:space="preserve">  </w:t>
      </w:r>
      <w:r w:rsidRPr="008A050C">
        <w:rPr>
          <w:rFonts w:ascii="Times New Roman" w:hAnsi="Times New Roman" w:cs="Times New Roman"/>
        </w:rPr>
        <w:t>këmbimit; 4) R</w:t>
      </w:r>
      <w:r>
        <w:rPr>
          <w:rFonts w:ascii="Times New Roman" w:hAnsi="Times New Roman" w:cs="Times New Roman"/>
        </w:rPr>
        <w:t>isku</w:t>
      </w:r>
      <w:r w:rsidRPr="008A050C">
        <w:rPr>
          <w:rFonts w:ascii="Times New Roman" w:hAnsi="Times New Roman" w:cs="Times New Roman"/>
        </w:rPr>
        <w:t xml:space="preserve"> i likuiditetit; 5) R</w:t>
      </w:r>
      <w:r>
        <w:rPr>
          <w:rFonts w:ascii="Times New Roman" w:hAnsi="Times New Roman" w:cs="Times New Roman"/>
        </w:rPr>
        <w:t xml:space="preserve">isku </w:t>
      </w:r>
      <w:r w:rsidRPr="008A050C">
        <w:rPr>
          <w:rFonts w:ascii="Times New Roman" w:hAnsi="Times New Roman" w:cs="Times New Roman"/>
        </w:rPr>
        <w:t xml:space="preserve">i </w:t>
      </w:r>
      <w:r>
        <w:rPr>
          <w:rFonts w:ascii="Times New Roman" w:hAnsi="Times New Roman" w:cs="Times New Roman"/>
          <w:color w:val="FFFFFF" w:themeColor="background1"/>
        </w:rPr>
        <w:t>.</w:t>
      </w:r>
      <w:r w:rsidRPr="008A050C">
        <w:rPr>
          <w:rFonts w:ascii="Times New Roman" w:hAnsi="Times New Roman" w:cs="Times New Roman"/>
        </w:rPr>
        <w:t>kreditit</w:t>
      </w:r>
      <w:r>
        <w:rPr>
          <w:rFonts w:ascii="Times New Roman" w:hAnsi="Times New Roman" w:cs="Times New Roman"/>
        </w:rPr>
        <w:t>, etj.</w:t>
      </w:r>
      <w:r w:rsidRPr="008A050C">
        <w:rPr>
          <w:rFonts w:ascii="Times New Roman" w:hAnsi="Times New Roman" w:cs="Times New Roman"/>
        </w:rPr>
        <w:t>.</w:t>
      </w:r>
    </w:p>
  </w:footnote>
  <w:footnote w:id="13">
    <w:p w14:paraId="71DF5FC1" w14:textId="77777777" w:rsidR="00D235BC" w:rsidRPr="00913489" w:rsidRDefault="00D235BC" w:rsidP="00913489">
      <w:pPr>
        <w:pStyle w:val="FootnoteText"/>
        <w:ind w:left="284" w:hanging="284"/>
        <w:rPr>
          <w:rFonts w:ascii="Times New Roman" w:hAnsi="Times New Roman" w:cs="Times New Roman"/>
          <w:lang w:val="en-US"/>
        </w:rPr>
      </w:pPr>
      <w:r w:rsidRPr="00913489">
        <w:rPr>
          <w:rStyle w:val="FootnoteReference"/>
          <w:rFonts w:ascii="Times New Roman" w:hAnsi="Times New Roman" w:cs="Times New Roman"/>
        </w:rPr>
        <w:footnoteRef/>
      </w:r>
      <w:r w:rsidRPr="00913489">
        <w:rPr>
          <w:rFonts w:ascii="Times New Roman" w:hAnsi="Times New Roman" w:cs="Times New Roman"/>
        </w:rPr>
        <w:t xml:space="preserve"> </w:t>
      </w:r>
      <w:r w:rsidR="00913489">
        <w:rPr>
          <w:rFonts w:ascii="Times New Roman" w:hAnsi="Times New Roman" w:cs="Times New Roman"/>
        </w:rPr>
        <w:t xml:space="preserve">  </w:t>
      </w:r>
      <w:r w:rsidRPr="00913489">
        <w:rPr>
          <w:rFonts w:ascii="Times New Roman" w:hAnsi="Times New Roman" w:cs="Times New Roman"/>
        </w:rPr>
        <w:t>Nuk i referohet titujve afatshkurt</w:t>
      </w:r>
      <w:r w:rsidR="00913489">
        <w:rPr>
          <w:rFonts w:ascii="Times New Roman" w:hAnsi="Times New Roman" w:cs="Times New Roman"/>
        </w:rPr>
        <w:t>ë</w:t>
      </w:r>
      <w:r w:rsidRPr="00913489">
        <w:rPr>
          <w:rFonts w:ascii="Times New Roman" w:hAnsi="Times New Roman" w:cs="Times New Roman"/>
        </w:rPr>
        <w:t>r t</w:t>
      </w:r>
      <w:r w:rsidR="00913489">
        <w:rPr>
          <w:rFonts w:ascii="Times New Roman" w:hAnsi="Times New Roman" w:cs="Times New Roman"/>
        </w:rPr>
        <w:t>ë</w:t>
      </w:r>
      <w:r w:rsidRPr="00913489">
        <w:rPr>
          <w:rFonts w:ascii="Times New Roman" w:hAnsi="Times New Roman" w:cs="Times New Roman"/>
        </w:rPr>
        <w:t xml:space="preserve"> cil</w:t>
      </w:r>
      <w:r w:rsidR="00913489">
        <w:rPr>
          <w:rFonts w:ascii="Times New Roman" w:hAnsi="Times New Roman" w:cs="Times New Roman"/>
        </w:rPr>
        <w:t>ë</w:t>
      </w:r>
      <w:r w:rsidRPr="00913489">
        <w:rPr>
          <w:rFonts w:ascii="Times New Roman" w:hAnsi="Times New Roman" w:cs="Times New Roman"/>
        </w:rPr>
        <w:t xml:space="preserve">t </w:t>
      </w:r>
      <w:r w:rsidR="0075348B">
        <w:rPr>
          <w:rFonts w:ascii="Times New Roman" w:hAnsi="Times New Roman" w:cs="Times New Roman"/>
        </w:rPr>
        <w:t xml:space="preserve">mund të </w:t>
      </w:r>
      <w:r w:rsidRPr="00913489">
        <w:rPr>
          <w:rFonts w:ascii="Times New Roman" w:hAnsi="Times New Roman" w:cs="Times New Roman"/>
        </w:rPr>
        <w:t xml:space="preserve">emetohen dhe maturohen brenda </w:t>
      </w:r>
      <w:r w:rsidR="00913489" w:rsidRPr="00913489">
        <w:rPr>
          <w:rFonts w:ascii="Times New Roman" w:hAnsi="Times New Roman" w:cs="Times New Roman"/>
        </w:rPr>
        <w:t>t</w:t>
      </w:r>
      <w:r w:rsidR="00913489">
        <w:rPr>
          <w:rFonts w:ascii="Times New Roman" w:hAnsi="Times New Roman" w:cs="Times New Roman"/>
        </w:rPr>
        <w:t>ë</w:t>
      </w:r>
      <w:r w:rsidR="00913489" w:rsidRPr="00913489">
        <w:rPr>
          <w:rFonts w:ascii="Times New Roman" w:hAnsi="Times New Roman" w:cs="Times New Roman"/>
        </w:rPr>
        <w:t xml:space="preserve"> nj</w:t>
      </w:r>
      <w:r w:rsidR="00913489">
        <w:rPr>
          <w:rFonts w:ascii="Times New Roman" w:hAnsi="Times New Roman" w:cs="Times New Roman"/>
        </w:rPr>
        <w:t>ë</w:t>
      </w:r>
      <w:r w:rsidR="00913489" w:rsidRPr="00913489">
        <w:rPr>
          <w:rFonts w:ascii="Times New Roman" w:hAnsi="Times New Roman" w:cs="Times New Roman"/>
        </w:rPr>
        <w:t>jtit vit fiskal me q</w:t>
      </w:r>
      <w:r w:rsidR="00913489">
        <w:rPr>
          <w:rFonts w:ascii="Times New Roman" w:hAnsi="Times New Roman" w:cs="Times New Roman"/>
        </w:rPr>
        <w:t>ë</w:t>
      </w:r>
      <w:r w:rsidR="00913489" w:rsidRPr="00913489">
        <w:rPr>
          <w:rFonts w:ascii="Times New Roman" w:hAnsi="Times New Roman" w:cs="Times New Roman"/>
        </w:rPr>
        <w:t>llim menaxhimimin e likuiditetit n</w:t>
      </w:r>
      <w:r w:rsidR="00913489">
        <w:rPr>
          <w:rFonts w:ascii="Times New Roman" w:hAnsi="Times New Roman" w:cs="Times New Roman"/>
        </w:rPr>
        <w:t>ë</w:t>
      </w:r>
      <w:r w:rsidR="00913489" w:rsidRPr="00913489">
        <w:rPr>
          <w:rFonts w:ascii="Times New Roman" w:hAnsi="Times New Roman" w:cs="Times New Roman"/>
        </w:rPr>
        <w:t xml:space="preserve"> valut</w:t>
      </w:r>
      <w:r w:rsidR="00913489">
        <w:rPr>
          <w:rFonts w:ascii="Times New Roman" w:hAnsi="Times New Roman" w:cs="Times New Roman"/>
        </w:rPr>
        <w:t>ë</w:t>
      </w:r>
      <w:r w:rsidR="00913489" w:rsidRPr="00913489">
        <w:rPr>
          <w:rFonts w:ascii="Times New Roman" w:hAnsi="Times New Roman" w:cs="Times New Roman"/>
        </w:rPr>
        <w:t>.</w:t>
      </w:r>
    </w:p>
  </w:footnote>
  <w:footnote w:id="14">
    <w:p w14:paraId="71DF5FC2" w14:textId="77777777" w:rsidR="00D235BC" w:rsidRPr="00524EF9" w:rsidRDefault="00D235BC" w:rsidP="00BA3F06">
      <w:pPr>
        <w:pStyle w:val="FootnoteText"/>
        <w:ind w:left="284" w:hanging="284"/>
        <w:rPr>
          <w:rFonts w:ascii="Times New Roman" w:hAnsi="Times New Roman" w:cs="Times New Roman"/>
          <w:lang w:val="en-US"/>
        </w:rPr>
      </w:pPr>
      <w:r w:rsidRPr="002E03A0">
        <w:rPr>
          <w:rStyle w:val="FootnoteReference"/>
          <w:rFonts w:ascii="Times New Roman" w:hAnsi="Times New Roman" w:cs="Times New Roman"/>
        </w:rPr>
        <w:footnoteRef/>
      </w:r>
      <w:r w:rsidRPr="002E03A0">
        <w:rPr>
          <w:rFonts w:ascii="Times New Roman" w:hAnsi="Times New Roman" w:cs="Times New Roman"/>
        </w:rPr>
        <w:t xml:space="preserve"> </w:t>
      </w:r>
      <w:r>
        <w:rPr>
          <w:rFonts w:ascii="Times New Roman" w:hAnsi="Times New Roman" w:cs="Times New Roman"/>
        </w:rPr>
        <w:t xml:space="preserve">  </w:t>
      </w:r>
      <w:proofErr w:type="spellStart"/>
      <w:r w:rsidRPr="00524EF9">
        <w:rPr>
          <w:rFonts w:ascii="Times New Roman" w:hAnsi="Times New Roman" w:cs="Times New Roman"/>
          <w:lang w:val="en-US"/>
        </w:rPr>
        <w:t>Proces</w:t>
      </w:r>
      <w:proofErr w:type="spellEnd"/>
      <w:r w:rsidRPr="00524EF9">
        <w:rPr>
          <w:rFonts w:ascii="Times New Roman" w:hAnsi="Times New Roman" w:cs="Times New Roman"/>
          <w:lang w:val="en-US"/>
        </w:rPr>
        <w:t xml:space="preserve"> </w:t>
      </w:r>
      <w:proofErr w:type="spellStart"/>
      <w:r w:rsidRPr="00524EF9">
        <w:rPr>
          <w:rFonts w:ascii="Times New Roman" w:hAnsi="Times New Roman" w:cs="Times New Roman"/>
          <w:lang w:val="en-US"/>
        </w:rPr>
        <w:t>n</w:t>
      </w:r>
      <w:r>
        <w:rPr>
          <w:rFonts w:ascii="Times New Roman" w:hAnsi="Times New Roman" w:cs="Times New Roman"/>
          <w:lang w:val="en-US"/>
        </w:rPr>
        <w:t>ë</w:t>
      </w:r>
      <w:proofErr w:type="spellEnd"/>
      <w:r w:rsidRPr="00524EF9">
        <w:rPr>
          <w:rFonts w:ascii="Times New Roman" w:hAnsi="Times New Roman" w:cs="Times New Roman"/>
          <w:lang w:val="en-US"/>
        </w:rPr>
        <w:t xml:space="preserve"> </w:t>
      </w:r>
      <w:proofErr w:type="spellStart"/>
      <w:r w:rsidRPr="00524EF9">
        <w:rPr>
          <w:rFonts w:ascii="Times New Roman" w:hAnsi="Times New Roman" w:cs="Times New Roman"/>
          <w:lang w:val="en-US"/>
        </w:rPr>
        <w:t>vazhdim</w:t>
      </w:r>
      <w:r>
        <w:rPr>
          <w:rFonts w:ascii="Times New Roman" w:hAnsi="Times New Roman" w:cs="Times New Roman"/>
          <w:lang w:val="en-US"/>
        </w:rPr>
        <w:t>ë</w:t>
      </w:r>
      <w:r w:rsidRPr="00524EF9">
        <w:rPr>
          <w:rFonts w:ascii="Times New Roman" w:hAnsi="Times New Roman" w:cs="Times New Roman"/>
          <w:lang w:val="en-US"/>
        </w:rPr>
        <w:t>si</w:t>
      </w:r>
      <w:proofErr w:type="spellEnd"/>
      <w:r>
        <w:rPr>
          <w:rFonts w:ascii="Times New Roman" w:hAnsi="Times New Roman" w:cs="Times New Roman"/>
          <w:lang w:val="en-US"/>
        </w:rPr>
        <w:t>.</w:t>
      </w:r>
    </w:p>
  </w:footnote>
  <w:footnote w:id="15">
    <w:p w14:paraId="71DF5FC3" w14:textId="77777777" w:rsidR="00D235BC" w:rsidRPr="007D4ED8" w:rsidRDefault="00D235BC" w:rsidP="00880363">
      <w:pPr>
        <w:pStyle w:val="FootnoteText"/>
        <w:ind w:left="284" w:right="237" w:hanging="284"/>
        <w:jc w:val="both"/>
        <w:rPr>
          <w:rFonts w:ascii="Times New Roman" w:hAnsi="Times New Roman" w:cs="Times New Roman"/>
          <w:lang w:val="en-US"/>
        </w:rPr>
      </w:pPr>
      <w:r w:rsidRPr="007D4ED8">
        <w:rPr>
          <w:rStyle w:val="FootnoteReference"/>
          <w:rFonts w:ascii="Times New Roman" w:hAnsi="Times New Roman" w:cs="Times New Roman"/>
        </w:rPr>
        <w:footnoteRef/>
      </w:r>
      <w:r w:rsidRPr="007D4ED8">
        <w:rPr>
          <w:rFonts w:ascii="Times New Roman" w:hAnsi="Times New Roman" w:cs="Times New Roman"/>
        </w:rPr>
        <w:t xml:space="preserve"> </w:t>
      </w:r>
      <w:r>
        <w:rPr>
          <w:rFonts w:ascii="Times New Roman" w:hAnsi="Times New Roman" w:cs="Times New Roman"/>
        </w:rPr>
        <w:t xml:space="preserve">  </w:t>
      </w:r>
      <w:r w:rsidRPr="007D4ED8">
        <w:rPr>
          <w:rFonts w:ascii="Times New Roman" w:hAnsi="Times New Roman" w:cs="Times New Roman"/>
          <w:lang w:val="en-US"/>
        </w:rPr>
        <w:t xml:space="preserve">I </w:t>
      </w:r>
      <w:proofErr w:type="spellStart"/>
      <w:r w:rsidRPr="007D4ED8">
        <w:rPr>
          <w:rFonts w:ascii="Times New Roman" w:hAnsi="Times New Roman" w:cs="Times New Roman"/>
          <w:lang w:val="en-US"/>
        </w:rPr>
        <w:t>referohet</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pagesave</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të</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interesave</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të</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borxhit</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shtetëror</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dhe</w:t>
      </w:r>
      <w:proofErr w:type="spellEnd"/>
      <w:r w:rsidRPr="007D4ED8">
        <w:rPr>
          <w:rFonts w:ascii="Times New Roman" w:hAnsi="Times New Roman" w:cs="Times New Roman"/>
          <w:lang w:val="en-US"/>
        </w:rPr>
        <w:t xml:space="preserve"> </w:t>
      </w:r>
      <w:proofErr w:type="spellStart"/>
      <w:r>
        <w:rPr>
          <w:rFonts w:ascii="Times New Roman" w:hAnsi="Times New Roman" w:cs="Times New Roman"/>
          <w:lang w:val="en-US"/>
        </w:rPr>
        <w:t>atyre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të</w:t>
      </w:r>
      <w:proofErr w:type="spellEnd"/>
      <w:r>
        <w:rPr>
          <w:rFonts w:ascii="Times New Roman" w:hAnsi="Times New Roman" w:cs="Times New Roman"/>
          <w:lang w:val="en-US"/>
        </w:rPr>
        <w:t xml:space="preserve"> </w:t>
      </w:r>
      <w:proofErr w:type="spellStart"/>
      <w:r w:rsidRPr="007D4ED8">
        <w:rPr>
          <w:rFonts w:ascii="Times New Roman" w:hAnsi="Times New Roman" w:cs="Times New Roman"/>
          <w:lang w:val="en-US"/>
        </w:rPr>
        <w:t>borxhit</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shtetëror</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të</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garantuar</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që</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paguhen</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nga</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buxheti</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i</w:t>
      </w:r>
      <w:proofErr w:type="spellEnd"/>
      <w:r w:rsidRPr="007D4ED8">
        <w:rPr>
          <w:rFonts w:ascii="Times New Roman" w:hAnsi="Times New Roman" w:cs="Times New Roman"/>
          <w:lang w:val="en-US"/>
        </w:rPr>
        <w:t xml:space="preserve"> </w:t>
      </w:r>
      <w:proofErr w:type="spellStart"/>
      <w:r w:rsidRPr="007D4ED8">
        <w:rPr>
          <w:rFonts w:ascii="Times New Roman" w:hAnsi="Times New Roman" w:cs="Times New Roman"/>
          <w:lang w:val="en-US"/>
        </w:rPr>
        <w:t>shtetit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pamundësi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për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paguar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subjektet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për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cilat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është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emetuar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garanci</w:t>
      </w:r>
      <w:proofErr w:type="spellEnd"/>
      <w:r>
        <w:rPr>
          <w:rFonts w:ascii="Times New Roman" w:hAnsi="Times New Roman" w:cs="Times New Roman"/>
          <w:lang w:val="en-US"/>
        </w:rPr>
        <w:t>.</w:t>
      </w:r>
      <w:r w:rsidRPr="007D4ED8">
        <w:rPr>
          <w:rFonts w:ascii="Times New Roman" w:hAnsi="Times New Roman" w:cs="Times New Roman"/>
          <w:lang w:val="en-US"/>
        </w:rPr>
        <w:t xml:space="preserve"> </w:t>
      </w:r>
    </w:p>
  </w:footnote>
  <w:footnote w:id="16">
    <w:p w14:paraId="71DF5FC4" w14:textId="77777777" w:rsidR="00D235BC" w:rsidRPr="00DE52DD" w:rsidRDefault="00D235BC" w:rsidP="00FC2173">
      <w:pPr>
        <w:pStyle w:val="FootnoteText"/>
        <w:ind w:left="284" w:right="238" w:hanging="284"/>
        <w:jc w:val="both"/>
        <w:rPr>
          <w:rFonts w:ascii="Times New Roman" w:hAnsi="Times New Roman" w:cs="Times New Roman"/>
          <w:lang w:val="en-US"/>
        </w:rPr>
      </w:pPr>
      <w:r w:rsidRPr="00DE52DD">
        <w:rPr>
          <w:rStyle w:val="FootnoteReference"/>
          <w:rFonts w:ascii="Times New Roman" w:hAnsi="Times New Roman" w:cs="Times New Roman"/>
        </w:rPr>
        <w:footnoteRef/>
      </w:r>
      <w:r>
        <w:rPr>
          <w:rFonts w:ascii="Times New Roman" w:hAnsi="Times New Roman" w:cs="Times New Roman"/>
        </w:rPr>
        <w:t xml:space="preserve">  </w:t>
      </w:r>
      <w:proofErr w:type="spellStart"/>
      <w:r w:rsidRPr="00DE52DD">
        <w:rPr>
          <w:rFonts w:ascii="Times New Roman" w:hAnsi="Times New Roman" w:cs="Times New Roman"/>
          <w:lang w:val="en-US"/>
        </w:rPr>
        <w:t>Kosto</w:t>
      </w:r>
      <w:proofErr w:type="spellEnd"/>
      <w:r w:rsidRPr="00DE52DD">
        <w:rPr>
          <w:rFonts w:ascii="Times New Roman" w:hAnsi="Times New Roman" w:cs="Times New Roman"/>
          <w:lang w:val="en-US"/>
        </w:rPr>
        <w:t xml:space="preserve"> </w:t>
      </w:r>
      <w:proofErr w:type="spellStart"/>
      <w:proofErr w:type="gramStart"/>
      <w:r w:rsidRPr="00DE52DD">
        <w:rPr>
          <w:rFonts w:ascii="Times New Roman" w:hAnsi="Times New Roman" w:cs="Times New Roman"/>
          <w:lang w:val="en-US"/>
        </w:rPr>
        <w:t>jo</w:t>
      </w:r>
      <w:proofErr w:type="spellEnd"/>
      <w:proofErr w:type="gram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shum</w:t>
      </w:r>
      <w:r>
        <w:rPr>
          <w:rFonts w:ascii="Times New Roman" w:hAnsi="Times New Roman" w:cs="Times New Roman"/>
          <w:lang w:val="en-US"/>
        </w:rPr>
        <w:t>ë</w:t>
      </w:r>
      <w:proofErr w:type="spellEnd"/>
      <w:r w:rsidRPr="00DE52DD">
        <w:rPr>
          <w:rFonts w:ascii="Times New Roman" w:hAnsi="Times New Roman" w:cs="Times New Roman"/>
          <w:lang w:val="en-US"/>
        </w:rPr>
        <w:t xml:space="preserve"> e </w:t>
      </w:r>
      <w:proofErr w:type="spellStart"/>
      <w:r w:rsidRPr="00DE52DD">
        <w:rPr>
          <w:rFonts w:ascii="Times New Roman" w:hAnsi="Times New Roman" w:cs="Times New Roman"/>
          <w:lang w:val="en-US"/>
        </w:rPr>
        <w:t>lart</w:t>
      </w:r>
      <w:r>
        <w:rPr>
          <w:rFonts w:ascii="Times New Roman" w:hAnsi="Times New Roman" w:cs="Times New Roman"/>
          <w:lang w:val="en-US"/>
        </w:rPr>
        <w:t>ë</w:t>
      </w:r>
      <w:proofErr w:type="spellEnd"/>
      <w:r w:rsidRPr="00DE52DD">
        <w:rPr>
          <w:rFonts w:ascii="Times New Roman" w:hAnsi="Times New Roman" w:cs="Times New Roman"/>
          <w:lang w:val="en-US"/>
        </w:rPr>
        <w:t xml:space="preserve"> e </w:t>
      </w:r>
      <w:proofErr w:type="spellStart"/>
      <w:r w:rsidRPr="00DE52DD">
        <w:rPr>
          <w:rFonts w:ascii="Times New Roman" w:hAnsi="Times New Roman" w:cs="Times New Roman"/>
          <w:lang w:val="en-US"/>
        </w:rPr>
        <w:t>k</w:t>
      </w:r>
      <w:r>
        <w:rPr>
          <w:rFonts w:ascii="Times New Roman" w:hAnsi="Times New Roman" w:cs="Times New Roman"/>
          <w:lang w:val="en-US"/>
        </w:rPr>
        <w:t>ë</w:t>
      </w:r>
      <w:r w:rsidRPr="00DE52DD">
        <w:rPr>
          <w:rFonts w:ascii="Times New Roman" w:hAnsi="Times New Roman" w:cs="Times New Roman"/>
          <w:lang w:val="en-US"/>
        </w:rPr>
        <w:t>saj</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strategjie</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n</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raport</w:t>
      </w:r>
      <w:proofErr w:type="spellEnd"/>
      <w:r w:rsidRPr="00DE52DD">
        <w:rPr>
          <w:rFonts w:ascii="Times New Roman" w:hAnsi="Times New Roman" w:cs="Times New Roman"/>
          <w:lang w:val="en-US"/>
        </w:rPr>
        <w:t xml:space="preserve"> me </w:t>
      </w:r>
      <w:proofErr w:type="spellStart"/>
      <w:r w:rsidRPr="00DE52DD">
        <w:rPr>
          <w:rFonts w:ascii="Times New Roman" w:hAnsi="Times New Roman" w:cs="Times New Roman"/>
          <w:lang w:val="en-US"/>
        </w:rPr>
        <w:t>Strategjin</w:t>
      </w:r>
      <w:r>
        <w:rPr>
          <w:rFonts w:ascii="Times New Roman" w:hAnsi="Times New Roman" w:cs="Times New Roman"/>
          <w:lang w:val="en-US"/>
        </w:rPr>
        <w:t>ë</w:t>
      </w:r>
      <w:proofErr w:type="spellEnd"/>
      <w:r w:rsidRPr="00DE52DD">
        <w:rPr>
          <w:rFonts w:ascii="Times New Roman" w:hAnsi="Times New Roman" w:cs="Times New Roman"/>
          <w:lang w:val="en-US"/>
        </w:rPr>
        <w:t xml:space="preserve"> 1 (</w:t>
      </w:r>
      <w:proofErr w:type="spellStart"/>
      <w:r w:rsidRPr="00DE52DD">
        <w:rPr>
          <w:rFonts w:ascii="Times New Roman" w:hAnsi="Times New Roman" w:cs="Times New Roman"/>
          <w:lang w:val="en-US"/>
        </w:rPr>
        <w:t>baz</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Pr>
          <w:rFonts w:ascii="Times New Roman" w:hAnsi="Times New Roman" w:cs="Times New Roman"/>
          <w:lang w:val="en-US"/>
        </w:rPr>
        <w:t>ë</w:t>
      </w:r>
      <w:r w:rsidRPr="00DE52DD">
        <w:rPr>
          <w:rFonts w:ascii="Times New Roman" w:hAnsi="Times New Roman" w:cs="Times New Roman"/>
          <w:lang w:val="en-US"/>
        </w:rPr>
        <w:t>sht</w:t>
      </w:r>
      <w:r>
        <w:rPr>
          <w:rFonts w:ascii="Times New Roman" w:hAnsi="Times New Roman" w:cs="Times New Roman"/>
          <w:lang w:val="en-US"/>
        </w:rPr>
        <w:t>ë</w:t>
      </w:r>
      <w:proofErr w:type="spellEnd"/>
      <w:r w:rsidRPr="00DE52DD">
        <w:rPr>
          <w:rFonts w:ascii="Times New Roman" w:hAnsi="Times New Roman" w:cs="Times New Roman"/>
          <w:lang w:val="en-US"/>
        </w:rPr>
        <w:t xml:space="preserve"> e </w:t>
      </w:r>
      <w:proofErr w:type="spellStart"/>
      <w:r w:rsidRPr="00DE52DD">
        <w:rPr>
          <w:rFonts w:ascii="Times New Roman" w:hAnsi="Times New Roman" w:cs="Times New Roman"/>
          <w:lang w:val="en-US"/>
        </w:rPr>
        <w:t>lidhur</w:t>
      </w:r>
      <w:proofErr w:type="spellEnd"/>
      <w:r w:rsidRPr="00DE52DD">
        <w:rPr>
          <w:rFonts w:ascii="Times New Roman" w:hAnsi="Times New Roman" w:cs="Times New Roman"/>
          <w:lang w:val="en-US"/>
        </w:rPr>
        <w:t xml:space="preserve"> me </w:t>
      </w:r>
      <w:proofErr w:type="spellStart"/>
      <w:r w:rsidRPr="00DE52DD">
        <w:rPr>
          <w:rFonts w:ascii="Times New Roman" w:hAnsi="Times New Roman" w:cs="Times New Roman"/>
          <w:lang w:val="en-US"/>
        </w:rPr>
        <w:t>faktin</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q</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Pr>
          <w:rFonts w:ascii="Times New Roman" w:hAnsi="Times New Roman" w:cs="Times New Roman"/>
          <w:lang w:val="en-US"/>
        </w:rPr>
        <w:t>humarrja</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shtes</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n</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tregun</w:t>
      </w:r>
      <w:proofErr w:type="spellEnd"/>
      <w:r w:rsidRPr="00DE52DD">
        <w:rPr>
          <w:rFonts w:ascii="Times New Roman" w:hAnsi="Times New Roman" w:cs="Times New Roman"/>
          <w:lang w:val="en-US"/>
        </w:rPr>
        <w:t xml:space="preserve"> e </w:t>
      </w:r>
      <w:proofErr w:type="spellStart"/>
      <w:r w:rsidRPr="00DE52DD">
        <w:rPr>
          <w:rFonts w:ascii="Times New Roman" w:hAnsi="Times New Roman" w:cs="Times New Roman"/>
          <w:lang w:val="en-US"/>
        </w:rPr>
        <w:t>brendsh</w:t>
      </w:r>
      <w:r>
        <w:rPr>
          <w:rFonts w:ascii="Times New Roman" w:hAnsi="Times New Roman" w:cs="Times New Roman"/>
          <w:lang w:val="en-US"/>
        </w:rPr>
        <w:t>ë</w:t>
      </w:r>
      <w:r w:rsidRPr="00DE52DD">
        <w:rPr>
          <w:rFonts w:ascii="Times New Roman" w:hAnsi="Times New Roman" w:cs="Times New Roman"/>
          <w:lang w:val="en-US"/>
        </w:rPr>
        <w:t>m</w:t>
      </w:r>
      <w:proofErr w:type="spellEnd"/>
      <w:r w:rsidRPr="00DE52DD">
        <w:rPr>
          <w:rFonts w:ascii="Times New Roman" w:hAnsi="Times New Roman" w:cs="Times New Roman"/>
          <w:lang w:val="en-US"/>
        </w:rPr>
        <w:t xml:space="preserve"> do </w:t>
      </w:r>
      <w:proofErr w:type="spellStart"/>
      <w:r w:rsidRPr="00DE52DD">
        <w:rPr>
          <w:rFonts w:ascii="Times New Roman" w:hAnsi="Times New Roman" w:cs="Times New Roman"/>
          <w:lang w:val="en-US"/>
        </w:rPr>
        <w:t>t</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realizohet</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pjes</w:t>
      </w:r>
      <w:r>
        <w:rPr>
          <w:rFonts w:ascii="Times New Roman" w:hAnsi="Times New Roman" w:cs="Times New Roman"/>
          <w:lang w:val="en-US"/>
        </w:rPr>
        <w:t>ë</w:t>
      </w:r>
      <w:r w:rsidRPr="00DE52DD">
        <w:rPr>
          <w:rFonts w:ascii="Times New Roman" w:hAnsi="Times New Roman" w:cs="Times New Roman"/>
          <w:lang w:val="en-US"/>
        </w:rPr>
        <w:t>risht</w:t>
      </w:r>
      <w:proofErr w:type="spellEnd"/>
      <w:r w:rsidRPr="00DE52DD">
        <w:rPr>
          <w:rFonts w:ascii="Times New Roman" w:hAnsi="Times New Roman" w:cs="Times New Roman"/>
          <w:lang w:val="en-US"/>
        </w:rPr>
        <w:t xml:space="preserve"> me </w:t>
      </w:r>
      <w:proofErr w:type="spellStart"/>
      <w:r w:rsidRPr="00DE52DD">
        <w:rPr>
          <w:rFonts w:ascii="Times New Roman" w:hAnsi="Times New Roman" w:cs="Times New Roman"/>
          <w:lang w:val="en-US"/>
        </w:rPr>
        <w:t>instrumente</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afatshkurtra</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nd</w:t>
      </w:r>
      <w:r>
        <w:rPr>
          <w:rFonts w:ascii="Times New Roman" w:hAnsi="Times New Roman" w:cs="Times New Roman"/>
          <w:lang w:val="en-US"/>
        </w:rPr>
        <w:t>ë</w:t>
      </w:r>
      <w:r w:rsidRPr="00DE52DD">
        <w:rPr>
          <w:rFonts w:ascii="Times New Roman" w:hAnsi="Times New Roman" w:cs="Times New Roman"/>
          <w:lang w:val="en-US"/>
        </w:rPr>
        <w:t>rkoh</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q</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n</w:t>
      </w:r>
      <w:r>
        <w:rPr>
          <w:rFonts w:ascii="Times New Roman" w:hAnsi="Times New Roman" w:cs="Times New Roman"/>
          <w:lang w:val="en-US"/>
        </w:rPr>
        <w:t>ë</w:t>
      </w:r>
      <w:proofErr w:type="spellEnd"/>
      <w:r w:rsidRPr="00DE52DD">
        <w:rPr>
          <w:rFonts w:ascii="Times New Roman" w:hAnsi="Times New Roman" w:cs="Times New Roman"/>
          <w:lang w:val="en-US"/>
        </w:rPr>
        <w:t xml:space="preserve"> </w:t>
      </w:r>
      <w:proofErr w:type="spellStart"/>
      <w:r w:rsidRPr="00B24465">
        <w:rPr>
          <w:rFonts w:ascii="Times New Roman" w:hAnsi="Times New Roman" w:cs="Times New Roman"/>
          <w:i/>
          <w:lang w:val="en-US"/>
        </w:rPr>
        <w:t>Strategjinë</w:t>
      </w:r>
      <w:proofErr w:type="spellEnd"/>
      <w:r w:rsidRPr="00B24465">
        <w:rPr>
          <w:rFonts w:ascii="Times New Roman" w:hAnsi="Times New Roman" w:cs="Times New Roman"/>
          <w:i/>
          <w:lang w:val="en-US"/>
        </w:rPr>
        <w:t xml:space="preserve"> 1 (</w:t>
      </w:r>
      <w:proofErr w:type="spellStart"/>
      <w:r w:rsidRPr="00B24465">
        <w:rPr>
          <w:rFonts w:ascii="Times New Roman" w:hAnsi="Times New Roman" w:cs="Times New Roman"/>
          <w:i/>
          <w:lang w:val="en-US"/>
        </w:rPr>
        <w:t>bazë</w:t>
      </w:r>
      <w:proofErr w:type="spellEnd"/>
      <w:r w:rsidRPr="00B24465">
        <w:rPr>
          <w:rFonts w:ascii="Times New Roman" w:hAnsi="Times New Roman" w:cs="Times New Roman"/>
          <w:i/>
          <w:lang w:val="en-US"/>
        </w:rPr>
        <w:t>)</w:t>
      </w:r>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realizohet</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t</w:t>
      </w:r>
      <w:r>
        <w:rPr>
          <w:rFonts w:ascii="Times New Roman" w:hAnsi="Times New Roman" w:cs="Times New Roman"/>
          <w:lang w:val="en-US"/>
        </w:rPr>
        <w:t>ë</w:t>
      </w:r>
      <w:r w:rsidRPr="00DE52DD">
        <w:rPr>
          <w:rFonts w:ascii="Times New Roman" w:hAnsi="Times New Roman" w:cs="Times New Roman"/>
          <w:lang w:val="en-US"/>
        </w:rPr>
        <w:t>r</w:t>
      </w:r>
      <w:r>
        <w:rPr>
          <w:rFonts w:ascii="Times New Roman" w:hAnsi="Times New Roman" w:cs="Times New Roman"/>
          <w:lang w:val="en-US"/>
        </w:rPr>
        <w:t>ë</w:t>
      </w:r>
      <w:r w:rsidRPr="00DE52DD">
        <w:rPr>
          <w:rFonts w:ascii="Times New Roman" w:hAnsi="Times New Roman" w:cs="Times New Roman"/>
          <w:lang w:val="en-US"/>
        </w:rPr>
        <w:t>sisht</w:t>
      </w:r>
      <w:proofErr w:type="spellEnd"/>
      <w:r w:rsidRPr="00DE52DD">
        <w:rPr>
          <w:rFonts w:ascii="Times New Roman" w:hAnsi="Times New Roman" w:cs="Times New Roman"/>
          <w:lang w:val="en-US"/>
        </w:rPr>
        <w:t xml:space="preserve"> me </w:t>
      </w:r>
      <w:proofErr w:type="spellStart"/>
      <w:r w:rsidRPr="00DE52DD">
        <w:rPr>
          <w:rFonts w:ascii="Times New Roman" w:hAnsi="Times New Roman" w:cs="Times New Roman"/>
          <w:lang w:val="en-US"/>
        </w:rPr>
        <w:t>instrumente</w:t>
      </w:r>
      <w:proofErr w:type="spellEnd"/>
      <w:r w:rsidRPr="00DE52DD">
        <w:rPr>
          <w:rFonts w:ascii="Times New Roman" w:hAnsi="Times New Roman" w:cs="Times New Roman"/>
          <w:lang w:val="en-US"/>
        </w:rPr>
        <w:t xml:space="preserve"> </w:t>
      </w:r>
      <w:proofErr w:type="spellStart"/>
      <w:r w:rsidRPr="00DE52DD">
        <w:rPr>
          <w:rFonts w:ascii="Times New Roman" w:hAnsi="Times New Roman" w:cs="Times New Roman"/>
          <w:lang w:val="en-US"/>
        </w:rPr>
        <w:t>afatgjata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përputhje</w:t>
      </w:r>
      <w:proofErr w:type="spellEnd"/>
      <w:r>
        <w:rPr>
          <w:rFonts w:ascii="Times New Roman" w:hAnsi="Times New Roman" w:cs="Times New Roman"/>
          <w:lang w:val="en-US"/>
        </w:rPr>
        <w:t xml:space="preserve"> me </w:t>
      </w:r>
      <w:proofErr w:type="spellStart"/>
      <w:r>
        <w:rPr>
          <w:rFonts w:ascii="Times New Roman" w:hAnsi="Times New Roman" w:cs="Times New Roman"/>
          <w:lang w:val="en-US"/>
        </w:rPr>
        <w:t>objektivat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strategjikë</w:t>
      </w:r>
      <w:proofErr w:type="spellEnd"/>
      <w:r w:rsidRPr="00DE52DD">
        <w:rPr>
          <w:rFonts w:ascii="Times New Roman" w:hAnsi="Times New Roman" w:cs="Times New Roman"/>
          <w:lang w:val="en-US"/>
        </w:rPr>
        <w:t>.</w:t>
      </w:r>
    </w:p>
  </w:footnote>
  <w:footnote w:id="17">
    <w:p w14:paraId="71DF5FC5" w14:textId="77777777" w:rsidR="00D235BC" w:rsidRPr="0043584B" w:rsidRDefault="00D235BC" w:rsidP="00FC2173">
      <w:pPr>
        <w:pStyle w:val="FootnoteText"/>
        <w:ind w:left="284" w:right="238" w:hanging="284"/>
        <w:jc w:val="both"/>
        <w:rPr>
          <w:lang w:val="en-US"/>
        </w:rPr>
      </w:pPr>
      <w:r w:rsidRPr="00DE52DD">
        <w:rPr>
          <w:rStyle w:val="FootnoteReference"/>
          <w:rFonts w:ascii="Times New Roman" w:hAnsi="Times New Roman" w:cs="Times New Roman"/>
        </w:rPr>
        <w:footnoteRef/>
      </w:r>
      <w:r w:rsidRPr="00DE52DD">
        <w:rPr>
          <w:rFonts w:ascii="Times New Roman" w:hAnsi="Times New Roman" w:cs="Times New Roman"/>
        </w:rPr>
        <w:t xml:space="preserve">   </w:t>
      </w:r>
      <w:r w:rsidRPr="00DE52DD">
        <w:rPr>
          <w:rFonts w:ascii="Times New Roman" w:hAnsi="Times New Roman" w:cs="Times New Roman"/>
        </w:rPr>
        <w:t>P.sh. nj</w:t>
      </w:r>
      <w:r>
        <w:rPr>
          <w:rFonts w:ascii="Times New Roman" w:hAnsi="Times New Roman" w:cs="Times New Roman"/>
        </w:rPr>
        <w:t>ë</w:t>
      </w:r>
      <w:r w:rsidRPr="00DE52DD">
        <w:rPr>
          <w:rFonts w:ascii="Times New Roman" w:hAnsi="Times New Roman" w:cs="Times New Roman"/>
        </w:rPr>
        <w:t xml:space="preserve"> kriz</w:t>
      </w:r>
      <w:r>
        <w:rPr>
          <w:rFonts w:ascii="Times New Roman" w:hAnsi="Times New Roman" w:cs="Times New Roman"/>
        </w:rPr>
        <w:t>ë</w:t>
      </w:r>
      <w:r w:rsidRPr="00DE52DD">
        <w:rPr>
          <w:rFonts w:ascii="Times New Roman" w:hAnsi="Times New Roman" w:cs="Times New Roman"/>
        </w:rPr>
        <w:t xml:space="preserve"> e nj</w:t>
      </w:r>
      <w:r>
        <w:rPr>
          <w:rFonts w:ascii="Times New Roman" w:hAnsi="Times New Roman" w:cs="Times New Roman"/>
        </w:rPr>
        <w:t>ë</w:t>
      </w:r>
      <w:r w:rsidRPr="00DE52DD">
        <w:rPr>
          <w:rFonts w:ascii="Times New Roman" w:hAnsi="Times New Roman" w:cs="Times New Roman"/>
        </w:rPr>
        <w:t xml:space="preserve"> ose disa bankave t</w:t>
      </w:r>
      <w:r>
        <w:rPr>
          <w:rFonts w:ascii="Times New Roman" w:hAnsi="Times New Roman" w:cs="Times New Roman"/>
        </w:rPr>
        <w:t>ë</w:t>
      </w:r>
      <w:r w:rsidRPr="00DE52DD">
        <w:rPr>
          <w:rFonts w:ascii="Times New Roman" w:hAnsi="Times New Roman" w:cs="Times New Roman"/>
        </w:rPr>
        <w:t xml:space="preserve"> cilat zot</w:t>
      </w:r>
      <w:r>
        <w:rPr>
          <w:rFonts w:ascii="Times New Roman" w:hAnsi="Times New Roman" w:cs="Times New Roman"/>
        </w:rPr>
        <w:t>ë</w:t>
      </w:r>
      <w:r w:rsidRPr="00DE52DD">
        <w:rPr>
          <w:rFonts w:ascii="Times New Roman" w:hAnsi="Times New Roman" w:cs="Times New Roman"/>
        </w:rPr>
        <w:t>rojn</w:t>
      </w:r>
      <w:r>
        <w:rPr>
          <w:rFonts w:ascii="Times New Roman" w:hAnsi="Times New Roman" w:cs="Times New Roman"/>
        </w:rPr>
        <w:t>ë</w:t>
      </w:r>
      <w:r w:rsidRPr="00DE52DD">
        <w:rPr>
          <w:rFonts w:ascii="Times New Roman" w:hAnsi="Times New Roman" w:cs="Times New Roman"/>
        </w:rPr>
        <w:t xml:space="preserve"> </w:t>
      </w:r>
      <w:r>
        <w:rPr>
          <w:rFonts w:ascii="Times New Roman" w:hAnsi="Times New Roman" w:cs="Times New Roman"/>
        </w:rPr>
        <w:t xml:space="preserve">një </w:t>
      </w:r>
      <w:r w:rsidRPr="00DE52DD">
        <w:rPr>
          <w:rFonts w:ascii="Times New Roman" w:hAnsi="Times New Roman" w:cs="Times New Roman"/>
        </w:rPr>
        <w:t>pjes</w:t>
      </w:r>
      <w:r>
        <w:rPr>
          <w:rFonts w:ascii="Times New Roman" w:hAnsi="Times New Roman" w:cs="Times New Roman"/>
        </w:rPr>
        <w:t>ë</w:t>
      </w:r>
      <w:r w:rsidRPr="00DE52DD">
        <w:rPr>
          <w:rFonts w:ascii="Times New Roman" w:hAnsi="Times New Roman" w:cs="Times New Roman"/>
        </w:rPr>
        <w:t xml:space="preserve"> t</w:t>
      </w:r>
      <w:r>
        <w:rPr>
          <w:rFonts w:ascii="Times New Roman" w:hAnsi="Times New Roman" w:cs="Times New Roman"/>
        </w:rPr>
        <w:t>ë</w:t>
      </w:r>
      <w:r w:rsidRPr="00DE52DD">
        <w:rPr>
          <w:rFonts w:ascii="Times New Roman" w:hAnsi="Times New Roman" w:cs="Times New Roman"/>
        </w:rPr>
        <w:t xml:space="preserve"> konsiderueshme t</w:t>
      </w:r>
      <w:r>
        <w:rPr>
          <w:rFonts w:ascii="Times New Roman" w:hAnsi="Times New Roman" w:cs="Times New Roman"/>
        </w:rPr>
        <w:t>ë</w:t>
      </w:r>
      <w:r w:rsidRPr="00DE52DD">
        <w:rPr>
          <w:rFonts w:ascii="Times New Roman" w:hAnsi="Times New Roman" w:cs="Times New Roman"/>
        </w:rPr>
        <w:t xml:space="preserve"> titujve shtet</w:t>
      </w:r>
      <w:r>
        <w:rPr>
          <w:rFonts w:ascii="Times New Roman" w:hAnsi="Times New Roman" w:cs="Times New Roman"/>
        </w:rPr>
        <w:t>ë</w:t>
      </w:r>
      <w:r w:rsidRPr="00DE52DD">
        <w:rPr>
          <w:rFonts w:ascii="Times New Roman" w:hAnsi="Times New Roman" w:cs="Times New Roman"/>
        </w:rPr>
        <w:t>ror</w:t>
      </w:r>
      <w:r>
        <w:rPr>
          <w:rFonts w:ascii="Times New Roman" w:hAnsi="Times New Roman" w:cs="Times New Roman"/>
        </w:rPr>
        <w:t>ë</w:t>
      </w:r>
      <w:r w:rsidRPr="00DE52DD">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54" w:type="pct"/>
      <w:tblBorders>
        <w:bottom w:val="single" w:sz="12" w:space="0" w:color="A6A6A6"/>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6748"/>
      <w:gridCol w:w="2015"/>
    </w:tblGrid>
    <w:tr w:rsidR="00D235BC" w:rsidRPr="005C71DC" w14:paraId="71DF5FAB" w14:textId="77777777" w:rsidTr="006E4D8A">
      <w:trPr>
        <w:trHeight w:val="272"/>
      </w:trPr>
      <w:tc>
        <w:tcPr>
          <w:tcW w:w="6749" w:type="dxa"/>
          <w:tcBorders>
            <w:right w:val="single" w:sz="12" w:space="0" w:color="A6A6A6"/>
          </w:tcBorders>
          <w:shd w:val="clear" w:color="auto" w:fill="auto"/>
        </w:tcPr>
        <w:p w14:paraId="71DF5FA9" w14:textId="77777777" w:rsidR="00D235BC" w:rsidRPr="005C71DC" w:rsidRDefault="00D235BC" w:rsidP="00DD0D28">
          <w:pPr>
            <w:pStyle w:val="Header"/>
            <w:jc w:val="right"/>
            <w:rPr>
              <w:rFonts w:ascii="Cambria" w:eastAsia="Times New Roman" w:hAnsi="Cambria"/>
              <w:b/>
              <w:sz w:val="20"/>
              <w:szCs w:val="20"/>
            </w:rPr>
          </w:pPr>
          <w:r w:rsidRPr="005C71DC">
            <w:rPr>
              <w:rFonts w:ascii="Cambria" w:eastAsia="Times New Roman" w:hAnsi="Cambria"/>
              <w:b/>
              <w:sz w:val="20"/>
              <w:szCs w:val="20"/>
            </w:rPr>
            <w:t xml:space="preserve">STRATEGJIA AFATMESME E MENAXHIMIT TË BORXHIT </w:t>
          </w:r>
        </w:p>
      </w:tc>
      <w:tc>
        <w:tcPr>
          <w:tcW w:w="2015" w:type="dxa"/>
          <w:tcBorders>
            <w:left w:val="single" w:sz="12" w:space="0" w:color="A6A6A6"/>
          </w:tcBorders>
          <w:shd w:val="clear" w:color="auto" w:fill="auto"/>
        </w:tcPr>
        <w:p w14:paraId="71DF5FAA" w14:textId="77777777" w:rsidR="00D235BC" w:rsidRPr="005C71DC" w:rsidRDefault="00D235BC" w:rsidP="00A442CD">
          <w:pPr>
            <w:pStyle w:val="Header"/>
            <w:rPr>
              <w:rFonts w:ascii="Cambria" w:eastAsia="Times New Roman" w:hAnsi="Cambria"/>
              <w:b/>
              <w:bCs/>
              <w:sz w:val="20"/>
              <w:szCs w:val="20"/>
            </w:rPr>
          </w:pPr>
          <w:r w:rsidRPr="005C71DC">
            <w:rPr>
              <w:rFonts w:ascii="Cambria" w:eastAsia="Times New Roman" w:hAnsi="Cambria"/>
              <w:b/>
              <w:bCs/>
              <w:sz w:val="20"/>
              <w:szCs w:val="20"/>
            </w:rPr>
            <w:t>2020-2022</w:t>
          </w:r>
        </w:p>
      </w:tc>
    </w:tr>
  </w:tbl>
  <w:p w14:paraId="71DF5FAC" w14:textId="77777777" w:rsidR="00D235BC" w:rsidRPr="00062C61" w:rsidRDefault="00D235BC" w:rsidP="00062C61">
    <w:pPr>
      <w:pStyle w:val="Header"/>
      <w:tabs>
        <w:tab w:val="clear" w:pos="4680"/>
        <w:tab w:val="clear" w:pos="9360"/>
      </w:tab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5EF0"/>
    <w:multiLevelType w:val="hybridMultilevel"/>
    <w:tmpl w:val="C020FEA4"/>
    <w:lvl w:ilvl="0" w:tplc="6450EF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E53CF"/>
    <w:multiLevelType w:val="multilevel"/>
    <w:tmpl w:val="9B745F6E"/>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7032347"/>
    <w:multiLevelType w:val="hybridMultilevel"/>
    <w:tmpl w:val="ADB6B3D2"/>
    <w:lvl w:ilvl="0" w:tplc="01D0C3C0">
      <w:start w:val="4"/>
      <w:numFmt w:val="bullet"/>
      <w:lvlText w:val="-"/>
      <w:lvlJc w:val="left"/>
      <w:pPr>
        <w:tabs>
          <w:tab w:val="num" w:pos="4897"/>
        </w:tabs>
        <w:ind w:left="4897"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CF718E3"/>
    <w:multiLevelType w:val="hybridMultilevel"/>
    <w:tmpl w:val="C5A25966"/>
    <w:lvl w:ilvl="0" w:tplc="A33826F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D1812"/>
    <w:multiLevelType w:val="multilevel"/>
    <w:tmpl w:val="5C965AB6"/>
    <w:lvl w:ilvl="0">
      <w:start w:val="1"/>
      <w:numFmt w:val="upperRoman"/>
      <w:lvlText w:val="%1."/>
      <w:lvlJc w:val="left"/>
      <w:pPr>
        <w:ind w:left="1080" w:hanging="720"/>
      </w:pPr>
      <w:rPr>
        <w:rFonts w:hint="default"/>
      </w:rPr>
    </w:lvl>
    <w:lvl w:ilvl="1">
      <w:start w:val="1"/>
      <w:numFmt w:val="decimal"/>
      <w:isLgl/>
      <w:lvlText w:val="%1.%2."/>
      <w:lvlJc w:val="left"/>
      <w:pPr>
        <w:ind w:left="960" w:hanging="60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nsid w:val="181F25D4"/>
    <w:multiLevelType w:val="hybridMultilevel"/>
    <w:tmpl w:val="BB66BAA4"/>
    <w:lvl w:ilvl="0" w:tplc="74DEF424">
      <w:start w:val="5"/>
      <w:numFmt w:val="bullet"/>
      <w:lvlText w:val="-"/>
      <w:lvlJc w:val="left"/>
      <w:pPr>
        <w:ind w:left="1004" w:hanging="360"/>
      </w:pPr>
      <w:rPr>
        <w:rFonts w:ascii="Times New Roman" w:eastAsia="Batang"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9A74B47"/>
    <w:multiLevelType w:val="multilevel"/>
    <w:tmpl w:val="E28A7816"/>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eastAsia="Times New Roman" w:hint="default"/>
      </w:rPr>
    </w:lvl>
    <w:lvl w:ilvl="2">
      <w:start w:val="1"/>
      <w:numFmt w:val="decimal"/>
      <w:isLgl/>
      <w:lvlText w:val="%1.%2.%3."/>
      <w:lvlJc w:val="left"/>
      <w:pPr>
        <w:ind w:left="990" w:hanging="720"/>
      </w:pPr>
      <w:rPr>
        <w:rFonts w:ascii="Cambria" w:eastAsia="Times New Roman" w:hAnsi="Cambria" w:hint="default"/>
      </w:rPr>
    </w:lvl>
    <w:lvl w:ilvl="3">
      <w:start w:val="1"/>
      <w:numFmt w:val="decimal"/>
      <w:isLgl/>
      <w:lvlText w:val="%1.%2.%3.%4."/>
      <w:lvlJc w:val="left"/>
      <w:pPr>
        <w:ind w:left="1350" w:hanging="1080"/>
      </w:pPr>
      <w:rPr>
        <w:rFonts w:eastAsia="Times New Roman" w:hint="default"/>
      </w:rPr>
    </w:lvl>
    <w:lvl w:ilvl="4">
      <w:start w:val="1"/>
      <w:numFmt w:val="decimal"/>
      <w:isLgl/>
      <w:lvlText w:val="%1.%2.%3.%4.%5."/>
      <w:lvlJc w:val="left"/>
      <w:pPr>
        <w:ind w:left="1350" w:hanging="1080"/>
      </w:pPr>
      <w:rPr>
        <w:rFonts w:eastAsia="Times New Roman" w:hint="default"/>
      </w:rPr>
    </w:lvl>
    <w:lvl w:ilvl="5">
      <w:start w:val="1"/>
      <w:numFmt w:val="decimal"/>
      <w:isLgl/>
      <w:lvlText w:val="%1.%2.%3.%4.%5.%6."/>
      <w:lvlJc w:val="left"/>
      <w:pPr>
        <w:ind w:left="1710" w:hanging="1440"/>
      </w:pPr>
      <w:rPr>
        <w:rFonts w:eastAsia="Times New Roman" w:hint="default"/>
      </w:rPr>
    </w:lvl>
    <w:lvl w:ilvl="6">
      <w:start w:val="1"/>
      <w:numFmt w:val="decimal"/>
      <w:isLgl/>
      <w:lvlText w:val="%1.%2.%3.%4.%5.%6.%7."/>
      <w:lvlJc w:val="left"/>
      <w:pPr>
        <w:ind w:left="1710" w:hanging="1440"/>
      </w:pPr>
      <w:rPr>
        <w:rFonts w:eastAsia="Times New Roman" w:hint="default"/>
      </w:rPr>
    </w:lvl>
    <w:lvl w:ilvl="7">
      <w:start w:val="1"/>
      <w:numFmt w:val="decimal"/>
      <w:isLgl/>
      <w:lvlText w:val="%1.%2.%3.%4.%5.%6.%7.%8."/>
      <w:lvlJc w:val="left"/>
      <w:pPr>
        <w:ind w:left="2070" w:hanging="1800"/>
      </w:pPr>
      <w:rPr>
        <w:rFonts w:eastAsia="Times New Roman" w:hint="default"/>
      </w:rPr>
    </w:lvl>
    <w:lvl w:ilvl="8">
      <w:start w:val="1"/>
      <w:numFmt w:val="decimal"/>
      <w:isLgl/>
      <w:lvlText w:val="%1.%2.%3.%4.%5.%6.%7.%8.%9."/>
      <w:lvlJc w:val="left"/>
      <w:pPr>
        <w:ind w:left="2430" w:hanging="2160"/>
      </w:pPr>
      <w:rPr>
        <w:rFonts w:eastAsia="Times New Roman" w:hint="default"/>
      </w:rPr>
    </w:lvl>
  </w:abstractNum>
  <w:abstractNum w:abstractNumId="7">
    <w:nsid w:val="20493FDD"/>
    <w:multiLevelType w:val="hybridMultilevel"/>
    <w:tmpl w:val="635E9032"/>
    <w:lvl w:ilvl="0" w:tplc="4CC4936C">
      <w:start w:val="5"/>
      <w:numFmt w:val="bullet"/>
      <w:lvlText w:val="-"/>
      <w:lvlJc w:val="left"/>
      <w:pPr>
        <w:ind w:left="810" w:hanging="450"/>
      </w:pPr>
      <w:rPr>
        <w:rFonts w:ascii="Times New Roman" w:eastAsia="Batang"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46CD7"/>
    <w:multiLevelType w:val="hybridMultilevel"/>
    <w:tmpl w:val="F1A4BCE8"/>
    <w:lvl w:ilvl="0" w:tplc="74DEF424">
      <w:start w:val="5"/>
      <w:numFmt w:val="bullet"/>
      <w:lvlText w:val="-"/>
      <w:lvlJc w:val="left"/>
      <w:pPr>
        <w:ind w:left="720" w:hanging="360"/>
      </w:pPr>
      <w:rPr>
        <w:rFonts w:ascii="Times New Roman" w:eastAsia="Batang"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3616B5A"/>
    <w:multiLevelType w:val="hybridMultilevel"/>
    <w:tmpl w:val="80B64456"/>
    <w:lvl w:ilvl="0" w:tplc="FB522518">
      <w:start w:val="1"/>
      <w:numFmt w:val="decimal"/>
      <w:pStyle w:val="Heading4"/>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45789"/>
    <w:multiLevelType w:val="hybridMultilevel"/>
    <w:tmpl w:val="C9822920"/>
    <w:lvl w:ilvl="0" w:tplc="A33826FE">
      <w:start w:val="1"/>
      <w:numFmt w:val="bullet"/>
      <w:lvlText w:val=""/>
      <w:lvlJc w:val="left"/>
      <w:pPr>
        <w:ind w:left="1440" w:hanging="360"/>
      </w:pPr>
      <w:rPr>
        <w:rFonts w:ascii="Symbol" w:hAnsi="Symbol" w:hint="default"/>
        <w:b w:val="0"/>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1">
    <w:nsid w:val="2AA65787"/>
    <w:multiLevelType w:val="hybridMultilevel"/>
    <w:tmpl w:val="ED0EC50A"/>
    <w:lvl w:ilvl="0" w:tplc="85B6FC88">
      <w:start w:val="5"/>
      <w:numFmt w:val="bullet"/>
      <w:lvlText w:val="-"/>
      <w:lvlJc w:val="left"/>
      <w:pPr>
        <w:ind w:left="720" w:hanging="360"/>
      </w:pPr>
      <w:rPr>
        <w:rFonts w:ascii="Times New Roman" w:eastAsia="Batang"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F6946"/>
    <w:multiLevelType w:val="multilevel"/>
    <w:tmpl w:val="D9786A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3DB1002"/>
    <w:multiLevelType w:val="hybridMultilevel"/>
    <w:tmpl w:val="ACA2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0746C"/>
    <w:multiLevelType w:val="hybridMultilevel"/>
    <w:tmpl w:val="891A13B2"/>
    <w:lvl w:ilvl="0" w:tplc="54FA5202">
      <w:start w:val="2"/>
      <w:numFmt w:val="bullet"/>
      <w:lvlText w:val=""/>
      <w:lvlJc w:val="left"/>
      <w:pPr>
        <w:ind w:left="720" w:hanging="360"/>
      </w:pPr>
      <w:rPr>
        <w:rFonts w:ascii="Symbol" w:eastAsia="Batang"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2D11CD"/>
    <w:multiLevelType w:val="hybridMultilevel"/>
    <w:tmpl w:val="862491EA"/>
    <w:lvl w:ilvl="0" w:tplc="6450EF42">
      <w:start w:val="1"/>
      <w:numFmt w:val="bullet"/>
      <w:lvlText w:val="-"/>
      <w:lvlJc w:val="left"/>
      <w:pPr>
        <w:ind w:left="502" w:hanging="360"/>
      </w:pPr>
      <w:rPr>
        <w:rFonts w:ascii="Times New Roman" w:eastAsia="Times New Roman" w:hAnsi="Times New Roman"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48605C38"/>
    <w:multiLevelType w:val="hybridMultilevel"/>
    <w:tmpl w:val="21F04256"/>
    <w:lvl w:ilvl="0" w:tplc="A33826FE">
      <w:start w:val="1"/>
      <w:numFmt w:val="bullet"/>
      <w:lvlText w:val=""/>
      <w:lvlJc w:val="left"/>
      <w:pPr>
        <w:ind w:left="1440" w:hanging="360"/>
      </w:pPr>
      <w:rPr>
        <w:rFonts w:ascii="Symbol" w:hAnsi="Symbol" w:hint="default"/>
        <w:b w:val="0"/>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7">
    <w:nsid w:val="4AE74FD3"/>
    <w:multiLevelType w:val="hybridMultilevel"/>
    <w:tmpl w:val="30D6DEF0"/>
    <w:lvl w:ilvl="0" w:tplc="6450EF42">
      <w:start w:val="1"/>
      <w:numFmt w:val="bullet"/>
      <w:lvlText w:val="-"/>
      <w:lvlJc w:val="left"/>
      <w:pPr>
        <w:ind w:left="1004" w:hanging="360"/>
      </w:pPr>
      <w:rPr>
        <w:rFonts w:ascii="Times New Roman" w:eastAsia="Times New Roman" w:hAnsi="Times New Roman" w:cs="Times New Roman" w:hint="default"/>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51306E24"/>
    <w:multiLevelType w:val="hybridMultilevel"/>
    <w:tmpl w:val="B8867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B674B"/>
    <w:multiLevelType w:val="hybridMultilevel"/>
    <w:tmpl w:val="EC9CAB9C"/>
    <w:lvl w:ilvl="0" w:tplc="4CC4936C">
      <w:start w:val="5"/>
      <w:numFmt w:val="bullet"/>
      <w:lvlText w:val="-"/>
      <w:lvlJc w:val="left"/>
      <w:pPr>
        <w:ind w:left="1440" w:hanging="360"/>
      </w:pPr>
      <w:rPr>
        <w:rFonts w:ascii="Times New Roman" w:eastAsia="Batang" w:hAnsi="Times New Roman" w:cs="Times New Roman" w:hint="default"/>
        <w:b w:val="0"/>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0">
    <w:nsid w:val="55527394"/>
    <w:multiLevelType w:val="multilevel"/>
    <w:tmpl w:val="D1A2C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7EE7C99"/>
    <w:multiLevelType w:val="hybridMultilevel"/>
    <w:tmpl w:val="44422608"/>
    <w:lvl w:ilvl="0" w:tplc="6450EF42">
      <w:start w:val="1"/>
      <w:numFmt w:val="bullet"/>
      <w:lvlText w:val="-"/>
      <w:lvlJc w:val="left"/>
      <w:pPr>
        <w:ind w:left="765" w:hanging="405"/>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4C6B67"/>
    <w:multiLevelType w:val="hybridMultilevel"/>
    <w:tmpl w:val="1EB2FF44"/>
    <w:lvl w:ilvl="0" w:tplc="6450EF42">
      <w:start w:val="1"/>
      <w:numFmt w:val="bullet"/>
      <w:lvlText w:val="-"/>
      <w:lvlJc w:val="left"/>
      <w:pPr>
        <w:ind w:left="1080" w:hanging="72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BE7C4D"/>
    <w:multiLevelType w:val="hybridMultilevel"/>
    <w:tmpl w:val="EBE2C232"/>
    <w:lvl w:ilvl="0" w:tplc="71F4379C">
      <w:start w:val="5"/>
      <w:numFmt w:val="bullet"/>
      <w:lvlText w:val="-"/>
      <w:lvlJc w:val="left"/>
      <w:pPr>
        <w:ind w:left="720" w:hanging="360"/>
      </w:pPr>
      <w:rPr>
        <w:rFonts w:ascii="Times New Roman" w:eastAsia="Batang" w:hAnsi="Times New Roman" w:cs="Times New Roman" w:hint="default"/>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648A5008"/>
    <w:multiLevelType w:val="hybridMultilevel"/>
    <w:tmpl w:val="2AA441FE"/>
    <w:lvl w:ilvl="0" w:tplc="05504A8C">
      <w:start w:val="1"/>
      <w:numFmt w:val="lowerRoman"/>
      <w:lvlText w:val="%1."/>
      <w:lvlJc w:val="right"/>
      <w:pPr>
        <w:ind w:left="1440" w:hanging="360"/>
      </w:pPr>
      <w:rPr>
        <w:rFonts w:hint="default"/>
        <w:b w:val="0"/>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5">
    <w:nsid w:val="7B7E61A5"/>
    <w:multiLevelType w:val="multilevel"/>
    <w:tmpl w:val="B57262DA"/>
    <w:lvl w:ilvl="0">
      <w:start w:val="1"/>
      <w:numFmt w:val="upperRoman"/>
      <w:lvlText w:val="%1."/>
      <w:lvlJc w:val="righ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BB47273"/>
    <w:multiLevelType w:val="multilevel"/>
    <w:tmpl w:val="90B0425E"/>
    <w:lvl w:ilvl="0">
      <w:start w:val="1"/>
      <w:numFmt w:val="decimal"/>
      <w:pStyle w:val="Heading3"/>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360"/>
      </w:pPr>
      <w:rPr>
        <w:rFonts w:hint="default"/>
      </w:rPr>
    </w:lvl>
    <w:lvl w:ilvl="2">
      <w:start w:val="1"/>
      <w:numFmt w:val="decimal"/>
      <w:isLgl/>
      <w:lvlText w:val="%1.1.%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7"/>
  </w:num>
  <w:num w:numId="3">
    <w:abstractNumId w:val="11"/>
  </w:num>
  <w:num w:numId="4">
    <w:abstractNumId w:val="23"/>
  </w:num>
  <w:num w:numId="5">
    <w:abstractNumId w:val="12"/>
  </w:num>
  <w:num w:numId="6">
    <w:abstractNumId w:val="26"/>
  </w:num>
  <w:num w:numId="7">
    <w:abstractNumId w:val="9"/>
  </w:num>
  <w:num w:numId="8">
    <w:abstractNumId w:val="20"/>
  </w:num>
  <w:num w:numId="9">
    <w:abstractNumId w:val="25"/>
  </w:num>
  <w:num w:numId="10">
    <w:abstractNumId w:val="5"/>
  </w:num>
  <w:num w:numId="11">
    <w:abstractNumId w:val="17"/>
  </w:num>
  <w:num w:numId="12">
    <w:abstractNumId w:val="13"/>
  </w:num>
  <w:num w:numId="13">
    <w:abstractNumId w:val="22"/>
  </w:num>
  <w:num w:numId="14">
    <w:abstractNumId w:val="2"/>
  </w:num>
  <w:num w:numId="15">
    <w:abstractNumId w:val="21"/>
  </w:num>
  <w:num w:numId="16">
    <w:abstractNumId w:val="0"/>
  </w:num>
  <w:num w:numId="17">
    <w:abstractNumId w:val="1"/>
  </w:num>
  <w:num w:numId="18">
    <w:abstractNumId w:val="15"/>
  </w:num>
  <w:num w:numId="19">
    <w:abstractNumId w:val="18"/>
  </w:num>
  <w:num w:numId="20">
    <w:abstractNumId w:val="8"/>
  </w:num>
  <w:num w:numId="21">
    <w:abstractNumId w:val="6"/>
  </w:num>
  <w:num w:numId="22">
    <w:abstractNumId w:val="4"/>
  </w:num>
  <w:num w:numId="23">
    <w:abstractNumId w:val="26"/>
  </w:num>
  <w:num w:numId="24">
    <w:abstractNumId w:val="14"/>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6"/>
  </w:num>
  <w:num w:numId="30">
    <w:abstractNumId w:val="10"/>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AB"/>
    <w:rsid w:val="00000623"/>
    <w:rsid w:val="00000723"/>
    <w:rsid w:val="00000798"/>
    <w:rsid w:val="00001A7F"/>
    <w:rsid w:val="00002034"/>
    <w:rsid w:val="00002331"/>
    <w:rsid w:val="0000371F"/>
    <w:rsid w:val="00004538"/>
    <w:rsid w:val="000051E5"/>
    <w:rsid w:val="00005374"/>
    <w:rsid w:val="00005885"/>
    <w:rsid w:val="000067AF"/>
    <w:rsid w:val="00006C72"/>
    <w:rsid w:val="00007330"/>
    <w:rsid w:val="000079CE"/>
    <w:rsid w:val="00010C36"/>
    <w:rsid w:val="00011BC0"/>
    <w:rsid w:val="00011C42"/>
    <w:rsid w:val="00011F54"/>
    <w:rsid w:val="00011FDD"/>
    <w:rsid w:val="00012591"/>
    <w:rsid w:val="00013CEE"/>
    <w:rsid w:val="00014538"/>
    <w:rsid w:val="000147F5"/>
    <w:rsid w:val="00015967"/>
    <w:rsid w:val="000160D6"/>
    <w:rsid w:val="0001769B"/>
    <w:rsid w:val="000178BC"/>
    <w:rsid w:val="0002017F"/>
    <w:rsid w:val="000206B0"/>
    <w:rsid w:val="00020887"/>
    <w:rsid w:val="000211C8"/>
    <w:rsid w:val="00021229"/>
    <w:rsid w:val="00021D67"/>
    <w:rsid w:val="00021DC3"/>
    <w:rsid w:val="00021E5E"/>
    <w:rsid w:val="0002210F"/>
    <w:rsid w:val="00024775"/>
    <w:rsid w:val="00024FE5"/>
    <w:rsid w:val="000257AD"/>
    <w:rsid w:val="000269AE"/>
    <w:rsid w:val="00026AF5"/>
    <w:rsid w:val="00026DAD"/>
    <w:rsid w:val="00030D96"/>
    <w:rsid w:val="0003164C"/>
    <w:rsid w:val="00031F37"/>
    <w:rsid w:val="0003235F"/>
    <w:rsid w:val="0003277B"/>
    <w:rsid w:val="00032F14"/>
    <w:rsid w:val="000333E3"/>
    <w:rsid w:val="00033ABF"/>
    <w:rsid w:val="00033B4F"/>
    <w:rsid w:val="00035C3C"/>
    <w:rsid w:val="000362A4"/>
    <w:rsid w:val="00037697"/>
    <w:rsid w:val="000377BB"/>
    <w:rsid w:val="00041C3E"/>
    <w:rsid w:val="00042035"/>
    <w:rsid w:val="00042C6F"/>
    <w:rsid w:val="00045192"/>
    <w:rsid w:val="00045AB5"/>
    <w:rsid w:val="00045AE5"/>
    <w:rsid w:val="00045D56"/>
    <w:rsid w:val="00045E35"/>
    <w:rsid w:val="0004736E"/>
    <w:rsid w:val="00050B79"/>
    <w:rsid w:val="00050D3D"/>
    <w:rsid w:val="00051873"/>
    <w:rsid w:val="00051EB9"/>
    <w:rsid w:val="00052F0B"/>
    <w:rsid w:val="0005312B"/>
    <w:rsid w:val="00053447"/>
    <w:rsid w:val="00053BD8"/>
    <w:rsid w:val="00053C22"/>
    <w:rsid w:val="00054895"/>
    <w:rsid w:val="00055555"/>
    <w:rsid w:val="0005562E"/>
    <w:rsid w:val="000556FC"/>
    <w:rsid w:val="00056287"/>
    <w:rsid w:val="00056701"/>
    <w:rsid w:val="00056D57"/>
    <w:rsid w:val="00056E6D"/>
    <w:rsid w:val="00056F7F"/>
    <w:rsid w:val="00057BA9"/>
    <w:rsid w:val="000618C2"/>
    <w:rsid w:val="00062C61"/>
    <w:rsid w:val="00062F3A"/>
    <w:rsid w:val="00062FC6"/>
    <w:rsid w:val="000640CE"/>
    <w:rsid w:val="0006437C"/>
    <w:rsid w:val="00066D17"/>
    <w:rsid w:val="00066EED"/>
    <w:rsid w:val="000712B8"/>
    <w:rsid w:val="00071C26"/>
    <w:rsid w:val="00072587"/>
    <w:rsid w:val="00072BE5"/>
    <w:rsid w:val="00073198"/>
    <w:rsid w:val="00073D5E"/>
    <w:rsid w:val="0007434C"/>
    <w:rsid w:val="000743A9"/>
    <w:rsid w:val="00074FB6"/>
    <w:rsid w:val="00075029"/>
    <w:rsid w:val="00075201"/>
    <w:rsid w:val="0007530E"/>
    <w:rsid w:val="000757B9"/>
    <w:rsid w:val="000758B7"/>
    <w:rsid w:val="00076F2C"/>
    <w:rsid w:val="00077067"/>
    <w:rsid w:val="00077492"/>
    <w:rsid w:val="00077CF2"/>
    <w:rsid w:val="000801F0"/>
    <w:rsid w:val="00080307"/>
    <w:rsid w:val="0008050A"/>
    <w:rsid w:val="00080643"/>
    <w:rsid w:val="00080BEB"/>
    <w:rsid w:val="0008198F"/>
    <w:rsid w:val="00081C90"/>
    <w:rsid w:val="0008205B"/>
    <w:rsid w:val="0008230D"/>
    <w:rsid w:val="00082F78"/>
    <w:rsid w:val="000835ED"/>
    <w:rsid w:val="00083B58"/>
    <w:rsid w:val="0008486D"/>
    <w:rsid w:val="0008502C"/>
    <w:rsid w:val="000852F1"/>
    <w:rsid w:val="0008558F"/>
    <w:rsid w:val="000863BB"/>
    <w:rsid w:val="00086626"/>
    <w:rsid w:val="00086869"/>
    <w:rsid w:val="00087142"/>
    <w:rsid w:val="00087890"/>
    <w:rsid w:val="000878C6"/>
    <w:rsid w:val="0009045D"/>
    <w:rsid w:val="00090C65"/>
    <w:rsid w:val="0009144C"/>
    <w:rsid w:val="00091A81"/>
    <w:rsid w:val="000927F8"/>
    <w:rsid w:val="00092892"/>
    <w:rsid w:val="00093AC7"/>
    <w:rsid w:val="00093C10"/>
    <w:rsid w:val="0009495A"/>
    <w:rsid w:val="00095067"/>
    <w:rsid w:val="00096060"/>
    <w:rsid w:val="0009673B"/>
    <w:rsid w:val="00097511"/>
    <w:rsid w:val="00097DF3"/>
    <w:rsid w:val="000A122C"/>
    <w:rsid w:val="000A1B37"/>
    <w:rsid w:val="000A1D86"/>
    <w:rsid w:val="000A31E4"/>
    <w:rsid w:val="000A3BFF"/>
    <w:rsid w:val="000A40FB"/>
    <w:rsid w:val="000A464F"/>
    <w:rsid w:val="000A4DED"/>
    <w:rsid w:val="000A62DF"/>
    <w:rsid w:val="000A6563"/>
    <w:rsid w:val="000A71AC"/>
    <w:rsid w:val="000A7EE5"/>
    <w:rsid w:val="000B050F"/>
    <w:rsid w:val="000B0799"/>
    <w:rsid w:val="000B1BC5"/>
    <w:rsid w:val="000B2788"/>
    <w:rsid w:val="000B3691"/>
    <w:rsid w:val="000B4D9F"/>
    <w:rsid w:val="000B5654"/>
    <w:rsid w:val="000B589A"/>
    <w:rsid w:val="000B59E9"/>
    <w:rsid w:val="000B617F"/>
    <w:rsid w:val="000B658D"/>
    <w:rsid w:val="000C0C9B"/>
    <w:rsid w:val="000C16BE"/>
    <w:rsid w:val="000C1A5C"/>
    <w:rsid w:val="000C1E6E"/>
    <w:rsid w:val="000C23AC"/>
    <w:rsid w:val="000C23CE"/>
    <w:rsid w:val="000C45E9"/>
    <w:rsid w:val="000C51A5"/>
    <w:rsid w:val="000C533D"/>
    <w:rsid w:val="000C54FC"/>
    <w:rsid w:val="000C5CBC"/>
    <w:rsid w:val="000C688D"/>
    <w:rsid w:val="000C6B20"/>
    <w:rsid w:val="000C7375"/>
    <w:rsid w:val="000C79BE"/>
    <w:rsid w:val="000D064E"/>
    <w:rsid w:val="000D07CF"/>
    <w:rsid w:val="000D0963"/>
    <w:rsid w:val="000D1420"/>
    <w:rsid w:val="000D1BEF"/>
    <w:rsid w:val="000D20CE"/>
    <w:rsid w:val="000D239F"/>
    <w:rsid w:val="000D30DE"/>
    <w:rsid w:val="000D3D13"/>
    <w:rsid w:val="000D4FA1"/>
    <w:rsid w:val="000D4FBE"/>
    <w:rsid w:val="000D5121"/>
    <w:rsid w:val="000D5C95"/>
    <w:rsid w:val="000D5CFB"/>
    <w:rsid w:val="000D6384"/>
    <w:rsid w:val="000D7062"/>
    <w:rsid w:val="000D79D8"/>
    <w:rsid w:val="000E2901"/>
    <w:rsid w:val="000E2F6B"/>
    <w:rsid w:val="000E320B"/>
    <w:rsid w:val="000E3827"/>
    <w:rsid w:val="000E3D6C"/>
    <w:rsid w:val="000E3F4D"/>
    <w:rsid w:val="000E4002"/>
    <w:rsid w:val="000E47EE"/>
    <w:rsid w:val="000E4BDF"/>
    <w:rsid w:val="000E665D"/>
    <w:rsid w:val="000E78BE"/>
    <w:rsid w:val="000E7C46"/>
    <w:rsid w:val="000F05A9"/>
    <w:rsid w:val="000F0818"/>
    <w:rsid w:val="000F0A76"/>
    <w:rsid w:val="000F11CE"/>
    <w:rsid w:val="000F1EC1"/>
    <w:rsid w:val="000F2193"/>
    <w:rsid w:val="000F2325"/>
    <w:rsid w:val="000F2369"/>
    <w:rsid w:val="000F2469"/>
    <w:rsid w:val="000F2AAC"/>
    <w:rsid w:val="000F2EA8"/>
    <w:rsid w:val="000F361F"/>
    <w:rsid w:val="000F36C3"/>
    <w:rsid w:val="000F38EF"/>
    <w:rsid w:val="000F5C13"/>
    <w:rsid w:val="000F62E3"/>
    <w:rsid w:val="000F6AAE"/>
    <w:rsid w:val="000F6AB3"/>
    <w:rsid w:val="000F70D1"/>
    <w:rsid w:val="000F73ED"/>
    <w:rsid w:val="00100974"/>
    <w:rsid w:val="00101073"/>
    <w:rsid w:val="00101EE6"/>
    <w:rsid w:val="00101F31"/>
    <w:rsid w:val="00102082"/>
    <w:rsid w:val="00102EE0"/>
    <w:rsid w:val="00102F57"/>
    <w:rsid w:val="001036C8"/>
    <w:rsid w:val="001039A7"/>
    <w:rsid w:val="0010432A"/>
    <w:rsid w:val="00107290"/>
    <w:rsid w:val="00107534"/>
    <w:rsid w:val="001076B3"/>
    <w:rsid w:val="00107DB9"/>
    <w:rsid w:val="001107B3"/>
    <w:rsid w:val="0011091C"/>
    <w:rsid w:val="00110E86"/>
    <w:rsid w:val="00113904"/>
    <w:rsid w:val="00113A38"/>
    <w:rsid w:val="001140FD"/>
    <w:rsid w:val="001141E4"/>
    <w:rsid w:val="00114228"/>
    <w:rsid w:val="00114967"/>
    <w:rsid w:val="00115B9F"/>
    <w:rsid w:val="00116917"/>
    <w:rsid w:val="001169F1"/>
    <w:rsid w:val="00117E4F"/>
    <w:rsid w:val="00117F59"/>
    <w:rsid w:val="0012039B"/>
    <w:rsid w:val="00122A2B"/>
    <w:rsid w:val="00122A34"/>
    <w:rsid w:val="001238B6"/>
    <w:rsid w:val="001241C0"/>
    <w:rsid w:val="00124E38"/>
    <w:rsid w:val="001250FD"/>
    <w:rsid w:val="001266E6"/>
    <w:rsid w:val="00127847"/>
    <w:rsid w:val="001278E4"/>
    <w:rsid w:val="001279B2"/>
    <w:rsid w:val="0013012A"/>
    <w:rsid w:val="00130E02"/>
    <w:rsid w:val="00131796"/>
    <w:rsid w:val="001318F2"/>
    <w:rsid w:val="00131990"/>
    <w:rsid w:val="00131BDC"/>
    <w:rsid w:val="00132E9C"/>
    <w:rsid w:val="00134053"/>
    <w:rsid w:val="00134505"/>
    <w:rsid w:val="001346AB"/>
    <w:rsid w:val="001354B8"/>
    <w:rsid w:val="00135B40"/>
    <w:rsid w:val="00137105"/>
    <w:rsid w:val="00137429"/>
    <w:rsid w:val="00137587"/>
    <w:rsid w:val="001377BE"/>
    <w:rsid w:val="00137E6A"/>
    <w:rsid w:val="0014002F"/>
    <w:rsid w:val="001400F4"/>
    <w:rsid w:val="0014112F"/>
    <w:rsid w:val="00141591"/>
    <w:rsid w:val="00143067"/>
    <w:rsid w:val="00143534"/>
    <w:rsid w:val="001435EE"/>
    <w:rsid w:val="00144B86"/>
    <w:rsid w:val="001455EC"/>
    <w:rsid w:val="00146007"/>
    <w:rsid w:val="0014603F"/>
    <w:rsid w:val="00146D24"/>
    <w:rsid w:val="00147940"/>
    <w:rsid w:val="00150396"/>
    <w:rsid w:val="00151F21"/>
    <w:rsid w:val="00152BD9"/>
    <w:rsid w:val="0015411F"/>
    <w:rsid w:val="00154482"/>
    <w:rsid w:val="00154B3C"/>
    <w:rsid w:val="00155854"/>
    <w:rsid w:val="00155FD9"/>
    <w:rsid w:val="00157138"/>
    <w:rsid w:val="001600DB"/>
    <w:rsid w:val="001603B2"/>
    <w:rsid w:val="001611BF"/>
    <w:rsid w:val="00161954"/>
    <w:rsid w:val="0016197C"/>
    <w:rsid w:val="00162D5D"/>
    <w:rsid w:val="00163C9E"/>
    <w:rsid w:val="00163E1C"/>
    <w:rsid w:val="001642DB"/>
    <w:rsid w:val="00165438"/>
    <w:rsid w:val="001655F6"/>
    <w:rsid w:val="0016670D"/>
    <w:rsid w:val="00167683"/>
    <w:rsid w:val="001678B3"/>
    <w:rsid w:val="001700EF"/>
    <w:rsid w:val="00170ACF"/>
    <w:rsid w:val="00170E05"/>
    <w:rsid w:val="00170E81"/>
    <w:rsid w:val="00171B41"/>
    <w:rsid w:val="00171ED2"/>
    <w:rsid w:val="00172069"/>
    <w:rsid w:val="00172117"/>
    <w:rsid w:val="00172A44"/>
    <w:rsid w:val="00172A6D"/>
    <w:rsid w:val="0017365D"/>
    <w:rsid w:val="00173852"/>
    <w:rsid w:val="00174CB8"/>
    <w:rsid w:val="0017570C"/>
    <w:rsid w:val="00177E03"/>
    <w:rsid w:val="00181382"/>
    <w:rsid w:val="00181838"/>
    <w:rsid w:val="001818CD"/>
    <w:rsid w:val="00181C98"/>
    <w:rsid w:val="0018242C"/>
    <w:rsid w:val="00182B72"/>
    <w:rsid w:val="00182D89"/>
    <w:rsid w:val="00184560"/>
    <w:rsid w:val="0018505E"/>
    <w:rsid w:val="001858DE"/>
    <w:rsid w:val="00187209"/>
    <w:rsid w:val="001900D4"/>
    <w:rsid w:val="00190B65"/>
    <w:rsid w:val="00193704"/>
    <w:rsid w:val="00193BD4"/>
    <w:rsid w:val="00193EFD"/>
    <w:rsid w:val="00194670"/>
    <w:rsid w:val="001946DE"/>
    <w:rsid w:val="001953EC"/>
    <w:rsid w:val="0019540A"/>
    <w:rsid w:val="00195F29"/>
    <w:rsid w:val="0019686C"/>
    <w:rsid w:val="001968CE"/>
    <w:rsid w:val="00196B7D"/>
    <w:rsid w:val="00196E32"/>
    <w:rsid w:val="001970B9"/>
    <w:rsid w:val="001A058C"/>
    <w:rsid w:val="001A0774"/>
    <w:rsid w:val="001A0934"/>
    <w:rsid w:val="001A15D3"/>
    <w:rsid w:val="001A180F"/>
    <w:rsid w:val="001A2AA2"/>
    <w:rsid w:val="001A2BE4"/>
    <w:rsid w:val="001A30E2"/>
    <w:rsid w:val="001A3640"/>
    <w:rsid w:val="001A3EBD"/>
    <w:rsid w:val="001A4288"/>
    <w:rsid w:val="001A44B2"/>
    <w:rsid w:val="001A4B2A"/>
    <w:rsid w:val="001A703A"/>
    <w:rsid w:val="001B0686"/>
    <w:rsid w:val="001B0FB0"/>
    <w:rsid w:val="001B1C0B"/>
    <w:rsid w:val="001B2167"/>
    <w:rsid w:val="001B36B3"/>
    <w:rsid w:val="001B40F7"/>
    <w:rsid w:val="001B5193"/>
    <w:rsid w:val="001B5377"/>
    <w:rsid w:val="001B5730"/>
    <w:rsid w:val="001B69F0"/>
    <w:rsid w:val="001B6C25"/>
    <w:rsid w:val="001B7183"/>
    <w:rsid w:val="001B78D4"/>
    <w:rsid w:val="001C2141"/>
    <w:rsid w:val="001C2B4C"/>
    <w:rsid w:val="001C317B"/>
    <w:rsid w:val="001C353B"/>
    <w:rsid w:val="001C403F"/>
    <w:rsid w:val="001C4310"/>
    <w:rsid w:val="001C45D8"/>
    <w:rsid w:val="001C4784"/>
    <w:rsid w:val="001C5753"/>
    <w:rsid w:val="001C6BCE"/>
    <w:rsid w:val="001C6D78"/>
    <w:rsid w:val="001C71DF"/>
    <w:rsid w:val="001C7C7A"/>
    <w:rsid w:val="001C7D59"/>
    <w:rsid w:val="001D06D7"/>
    <w:rsid w:val="001D078E"/>
    <w:rsid w:val="001D15CA"/>
    <w:rsid w:val="001D2024"/>
    <w:rsid w:val="001D27EB"/>
    <w:rsid w:val="001D2AA9"/>
    <w:rsid w:val="001D380E"/>
    <w:rsid w:val="001D43A4"/>
    <w:rsid w:val="001D449A"/>
    <w:rsid w:val="001D4D5E"/>
    <w:rsid w:val="001D4E2B"/>
    <w:rsid w:val="001D5476"/>
    <w:rsid w:val="001D6308"/>
    <w:rsid w:val="001D6A00"/>
    <w:rsid w:val="001D6B5A"/>
    <w:rsid w:val="001D7746"/>
    <w:rsid w:val="001D794E"/>
    <w:rsid w:val="001E03B6"/>
    <w:rsid w:val="001E067D"/>
    <w:rsid w:val="001E1CD5"/>
    <w:rsid w:val="001E1F46"/>
    <w:rsid w:val="001E3A67"/>
    <w:rsid w:val="001E4D79"/>
    <w:rsid w:val="001E4E89"/>
    <w:rsid w:val="001E5D96"/>
    <w:rsid w:val="001E6274"/>
    <w:rsid w:val="001E68BA"/>
    <w:rsid w:val="001E6FFF"/>
    <w:rsid w:val="001F0196"/>
    <w:rsid w:val="001F1089"/>
    <w:rsid w:val="001F1548"/>
    <w:rsid w:val="001F1680"/>
    <w:rsid w:val="001F1770"/>
    <w:rsid w:val="001F23F5"/>
    <w:rsid w:val="001F27E7"/>
    <w:rsid w:val="001F3444"/>
    <w:rsid w:val="001F4764"/>
    <w:rsid w:val="001F5B55"/>
    <w:rsid w:val="001F5BC7"/>
    <w:rsid w:val="001F61FE"/>
    <w:rsid w:val="001F67E8"/>
    <w:rsid w:val="0020070B"/>
    <w:rsid w:val="0020099D"/>
    <w:rsid w:val="00201A37"/>
    <w:rsid w:val="00201E57"/>
    <w:rsid w:val="00202BAF"/>
    <w:rsid w:val="00202FE7"/>
    <w:rsid w:val="002035DA"/>
    <w:rsid w:val="00203F67"/>
    <w:rsid w:val="00203FA8"/>
    <w:rsid w:val="00204059"/>
    <w:rsid w:val="00204451"/>
    <w:rsid w:val="002045C8"/>
    <w:rsid w:val="00204AB1"/>
    <w:rsid w:val="00204D52"/>
    <w:rsid w:val="00205ABE"/>
    <w:rsid w:val="0020770B"/>
    <w:rsid w:val="00207EB8"/>
    <w:rsid w:val="00210448"/>
    <w:rsid w:val="00211313"/>
    <w:rsid w:val="00211C00"/>
    <w:rsid w:val="00211D9D"/>
    <w:rsid w:val="00212D74"/>
    <w:rsid w:val="00212EC5"/>
    <w:rsid w:val="00213656"/>
    <w:rsid w:val="00214252"/>
    <w:rsid w:val="0021442C"/>
    <w:rsid w:val="00214FD0"/>
    <w:rsid w:val="002162F3"/>
    <w:rsid w:val="00217468"/>
    <w:rsid w:val="00217CA1"/>
    <w:rsid w:val="00217F40"/>
    <w:rsid w:val="0022004D"/>
    <w:rsid w:val="002201AA"/>
    <w:rsid w:val="00221257"/>
    <w:rsid w:val="002220FE"/>
    <w:rsid w:val="002226D5"/>
    <w:rsid w:val="002232E3"/>
    <w:rsid w:val="00224BB1"/>
    <w:rsid w:val="00224DF5"/>
    <w:rsid w:val="00224E67"/>
    <w:rsid w:val="002258BF"/>
    <w:rsid w:val="002259B3"/>
    <w:rsid w:val="00226107"/>
    <w:rsid w:val="002267DD"/>
    <w:rsid w:val="00226AF3"/>
    <w:rsid w:val="002274D0"/>
    <w:rsid w:val="00231332"/>
    <w:rsid w:val="00231BF0"/>
    <w:rsid w:val="0023283C"/>
    <w:rsid w:val="00232DD9"/>
    <w:rsid w:val="00233233"/>
    <w:rsid w:val="002332CB"/>
    <w:rsid w:val="00233529"/>
    <w:rsid w:val="00233846"/>
    <w:rsid w:val="00233CD8"/>
    <w:rsid w:val="00234B0C"/>
    <w:rsid w:val="00234BEF"/>
    <w:rsid w:val="002357B9"/>
    <w:rsid w:val="0023620E"/>
    <w:rsid w:val="00236CC5"/>
    <w:rsid w:val="00236CFE"/>
    <w:rsid w:val="0023750A"/>
    <w:rsid w:val="00237874"/>
    <w:rsid w:val="002379B6"/>
    <w:rsid w:val="00240296"/>
    <w:rsid w:val="002404B6"/>
    <w:rsid w:val="0024071C"/>
    <w:rsid w:val="002408AD"/>
    <w:rsid w:val="00241722"/>
    <w:rsid w:val="00241C12"/>
    <w:rsid w:val="00241E9A"/>
    <w:rsid w:val="00242281"/>
    <w:rsid w:val="00242483"/>
    <w:rsid w:val="00242EE2"/>
    <w:rsid w:val="00243440"/>
    <w:rsid w:val="0024366D"/>
    <w:rsid w:val="00243A54"/>
    <w:rsid w:val="0024404C"/>
    <w:rsid w:val="00245B48"/>
    <w:rsid w:val="0024650B"/>
    <w:rsid w:val="0024656B"/>
    <w:rsid w:val="00246D26"/>
    <w:rsid w:val="00247ACF"/>
    <w:rsid w:val="0025063B"/>
    <w:rsid w:val="00250C4C"/>
    <w:rsid w:val="00250D35"/>
    <w:rsid w:val="00251312"/>
    <w:rsid w:val="00251B08"/>
    <w:rsid w:val="00251E13"/>
    <w:rsid w:val="00253961"/>
    <w:rsid w:val="00253BC6"/>
    <w:rsid w:val="002541D5"/>
    <w:rsid w:val="0025432F"/>
    <w:rsid w:val="0025471D"/>
    <w:rsid w:val="00254B33"/>
    <w:rsid w:val="00256DAE"/>
    <w:rsid w:val="00257964"/>
    <w:rsid w:val="00257BF0"/>
    <w:rsid w:val="00260009"/>
    <w:rsid w:val="0026150A"/>
    <w:rsid w:val="00261DF5"/>
    <w:rsid w:val="00261F30"/>
    <w:rsid w:val="002623AD"/>
    <w:rsid w:val="002626EE"/>
    <w:rsid w:val="00262726"/>
    <w:rsid w:val="00262E33"/>
    <w:rsid w:val="002632C6"/>
    <w:rsid w:val="002647C1"/>
    <w:rsid w:val="00264F8E"/>
    <w:rsid w:val="00265204"/>
    <w:rsid w:val="00265422"/>
    <w:rsid w:val="00265472"/>
    <w:rsid w:val="0026646C"/>
    <w:rsid w:val="002664B1"/>
    <w:rsid w:val="0026676E"/>
    <w:rsid w:val="002678A4"/>
    <w:rsid w:val="002704B6"/>
    <w:rsid w:val="00271661"/>
    <w:rsid w:val="00271DDD"/>
    <w:rsid w:val="00273274"/>
    <w:rsid w:val="00273EF6"/>
    <w:rsid w:val="00274057"/>
    <w:rsid w:val="00274D58"/>
    <w:rsid w:val="00274F2F"/>
    <w:rsid w:val="00274F84"/>
    <w:rsid w:val="002752C9"/>
    <w:rsid w:val="002755C8"/>
    <w:rsid w:val="00275D3B"/>
    <w:rsid w:val="00276D9F"/>
    <w:rsid w:val="00280FE6"/>
    <w:rsid w:val="002826DC"/>
    <w:rsid w:val="00284DDB"/>
    <w:rsid w:val="002857EE"/>
    <w:rsid w:val="00285B61"/>
    <w:rsid w:val="00286532"/>
    <w:rsid w:val="00287D0C"/>
    <w:rsid w:val="002900C0"/>
    <w:rsid w:val="0029060A"/>
    <w:rsid w:val="00290E69"/>
    <w:rsid w:val="00290F4E"/>
    <w:rsid w:val="00291349"/>
    <w:rsid w:val="00291911"/>
    <w:rsid w:val="002919E7"/>
    <w:rsid w:val="00291B75"/>
    <w:rsid w:val="00292537"/>
    <w:rsid w:val="002931A7"/>
    <w:rsid w:val="00293922"/>
    <w:rsid w:val="00293B51"/>
    <w:rsid w:val="00293EB2"/>
    <w:rsid w:val="00294D88"/>
    <w:rsid w:val="00294F95"/>
    <w:rsid w:val="00295956"/>
    <w:rsid w:val="00296209"/>
    <w:rsid w:val="002970B7"/>
    <w:rsid w:val="00297E74"/>
    <w:rsid w:val="002A0784"/>
    <w:rsid w:val="002A07D3"/>
    <w:rsid w:val="002A1625"/>
    <w:rsid w:val="002A2632"/>
    <w:rsid w:val="002A2C60"/>
    <w:rsid w:val="002A2D4B"/>
    <w:rsid w:val="002A4136"/>
    <w:rsid w:val="002A4A1C"/>
    <w:rsid w:val="002A4A8B"/>
    <w:rsid w:val="002A50CA"/>
    <w:rsid w:val="002A53E7"/>
    <w:rsid w:val="002A6452"/>
    <w:rsid w:val="002A7CB0"/>
    <w:rsid w:val="002B0F6B"/>
    <w:rsid w:val="002B104B"/>
    <w:rsid w:val="002B1D5E"/>
    <w:rsid w:val="002B2397"/>
    <w:rsid w:val="002B256E"/>
    <w:rsid w:val="002B30EB"/>
    <w:rsid w:val="002B3928"/>
    <w:rsid w:val="002B3A42"/>
    <w:rsid w:val="002B3D90"/>
    <w:rsid w:val="002B578C"/>
    <w:rsid w:val="002B6696"/>
    <w:rsid w:val="002B685F"/>
    <w:rsid w:val="002B6994"/>
    <w:rsid w:val="002B7543"/>
    <w:rsid w:val="002B7BAA"/>
    <w:rsid w:val="002C0614"/>
    <w:rsid w:val="002C0F00"/>
    <w:rsid w:val="002C19BE"/>
    <w:rsid w:val="002C1E7B"/>
    <w:rsid w:val="002C2BA0"/>
    <w:rsid w:val="002C3553"/>
    <w:rsid w:val="002C39F9"/>
    <w:rsid w:val="002C538A"/>
    <w:rsid w:val="002C5705"/>
    <w:rsid w:val="002C5763"/>
    <w:rsid w:val="002C5845"/>
    <w:rsid w:val="002C6120"/>
    <w:rsid w:val="002C628E"/>
    <w:rsid w:val="002C7923"/>
    <w:rsid w:val="002C7EDB"/>
    <w:rsid w:val="002D0027"/>
    <w:rsid w:val="002D0044"/>
    <w:rsid w:val="002D09CE"/>
    <w:rsid w:val="002D0B26"/>
    <w:rsid w:val="002D0B88"/>
    <w:rsid w:val="002D1157"/>
    <w:rsid w:val="002D1739"/>
    <w:rsid w:val="002D1783"/>
    <w:rsid w:val="002D17AD"/>
    <w:rsid w:val="002D184C"/>
    <w:rsid w:val="002D221C"/>
    <w:rsid w:val="002D39A7"/>
    <w:rsid w:val="002D5C8F"/>
    <w:rsid w:val="002D5DCA"/>
    <w:rsid w:val="002D711A"/>
    <w:rsid w:val="002D7263"/>
    <w:rsid w:val="002E06A8"/>
    <w:rsid w:val="002E1033"/>
    <w:rsid w:val="002E17BD"/>
    <w:rsid w:val="002E2EE3"/>
    <w:rsid w:val="002E35E7"/>
    <w:rsid w:val="002E4AE8"/>
    <w:rsid w:val="002E4E52"/>
    <w:rsid w:val="002E5D89"/>
    <w:rsid w:val="002E61D6"/>
    <w:rsid w:val="002E63BB"/>
    <w:rsid w:val="002E70C6"/>
    <w:rsid w:val="002E7A0A"/>
    <w:rsid w:val="002E7EF6"/>
    <w:rsid w:val="002F1657"/>
    <w:rsid w:val="002F33CD"/>
    <w:rsid w:val="002F36E2"/>
    <w:rsid w:val="002F3AAB"/>
    <w:rsid w:val="002F4C0C"/>
    <w:rsid w:val="002F5634"/>
    <w:rsid w:val="002F58BE"/>
    <w:rsid w:val="002F5F21"/>
    <w:rsid w:val="002F69D1"/>
    <w:rsid w:val="002F6BB5"/>
    <w:rsid w:val="002F6BDE"/>
    <w:rsid w:val="002F6D97"/>
    <w:rsid w:val="002F7286"/>
    <w:rsid w:val="002F74A5"/>
    <w:rsid w:val="002F794B"/>
    <w:rsid w:val="002F7EA1"/>
    <w:rsid w:val="0030011E"/>
    <w:rsid w:val="003001EA"/>
    <w:rsid w:val="003007AD"/>
    <w:rsid w:val="00300CBE"/>
    <w:rsid w:val="0030138C"/>
    <w:rsid w:val="00301D05"/>
    <w:rsid w:val="00301F25"/>
    <w:rsid w:val="00303BCB"/>
    <w:rsid w:val="00303BDA"/>
    <w:rsid w:val="003045BC"/>
    <w:rsid w:val="00304AA6"/>
    <w:rsid w:val="00304EDD"/>
    <w:rsid w:val="0030545E"/>
    <w:rsid w:val="003058EC"/>
    <w:rsid w:val="003062C8"/>
    <w:rsid w:val="003063F7"/>
    <w:rsid w:val="00312336"/>
    <w:rsid w:val="00312377"/>
    <w:rsid w:val="00312736"/>
    <w:rsid w:val="00313A83"/>
    <w:rsid w:val="00313C87"/>
    <w:rsid w:val="003147DB"/>
    <w:rsid w:val="00314CA5"/>
    <w:rsid w:val="003150BB"/>
    <w:rsid w:val="00315FB4"/>
    <w:rsid w:val="00315FE8"/>
    <w:rsid w:val="00316E41"/>
    <w:rsid w:val="00317264"/>
    <w:rsid w:val="003177D0"/>
    <w:rsid w:val="00317F04"/>
    <w:rsid w:val="0032081F"/>
    <w:rsid w:val="00320945"/>
    <w:rsid w:val="00321595"/>
    <w:rsid w:val="0032278B"/>
    <w:rsid w:val="00322AA9"/>
    <w:rsid w:val="00323A26"/>
    <w:rsid w:val="00323DA0"/>
    <w:rsid w:val="00324360"/>
    <w:rsid w:val="00324635"/>
    <w:rsid w:val="00324EEF"/>
    <w:rsid w:val="00325457"/>
    <w:rsid w:val="00325B30"/>
    <w:rsid w:val="00325CA2"/>
    <w:rsid w:val="00325EE9"/>
    <w:rsid w:val="003261B3"/>
    <w:rsid w:val="00326264"/>
    <w:rsid w:val="0032639B"/>
    <w:rsid w:val="0032639E"/>
    <w:rsid w:val="00326700"/>
    <w:rsid w:val="00326D54"/>
    <w:rsid w:val="00327DDA"/>
    <w:rsid w:val="0033086B"/>
    <w:rsid w:val="00330991"/>
    <w:rsid w:val="00332456"/>
    <w:rsid w:val="00332B1F"/>
    <w:rsid w:val="00332B47"/>
    <w:rsid w:val="00332C52"/>
    <w:rsid w:val="00332EB1"/>
    <w:rsid w:val="003343B4"/>
    <w:rsid w:val="0033499A"/>
    <w:rsid w:val="003353F4"/>
    <w:rsid w:val="00335E9E"/>
    <w:rsid w:val="003377D1"/>
    <w:rsid w:val="00337A1A"/>
    <w:rsid w:val="003400D4"/>
    <w:rsid w:val="00340218"/>
    <w:rsid w:val="00341612"/>
    <w:rsid w:val="00341AAB"/>
    <w:rsid w:val="0034277B"/>
    <w:rsid w:val="00342BCE"/>
    <w:rsid w:val="00342C4B"/>
    <w:rsid w:val="00343F9D"/>
    <w:rsid w:val="00345C37"/>
    <w:rsid w:val="00346576"/>
    <w:rsid w:val="0034668E"/>
    <w:rsid w:val="00346691"/>
    <w:rsid w:val="003466F9"/>
    <w:rsid w:val="0035112B"/>
    <w:rsid w:val="00352A89"/>
    <w:rsid w:val="00353152"/>
    <w:rsid w:val="00353514"/>
    <w:rsid w:val="00353735"/>
    <w:rsid w:val="003537FC"/>
    <w:rsid w:val="003543C2"/>
    <w:rsid w:val="0035488B"/>
    <w:rsid w:val="00355378"/>
    <w:rsid w:val="00356620"/>
    <w:rsid w:val="00356BFA"/>
    <w:rsid w:val="00357A31"/>
    <w:rsid w:val="00360C51"/>
    <w:rsid w:val="00361B04"/>
    <w:rsid w:val="00362A2A"/>
    <w:rsid w:val="00362E61"/>
    <w:rsid w:val="003640AD"/>
    <w:rsid w:val="00365EC9"/>
    <w:rsid w:val="0036628A"/>
    <w:rsid w:val="003671E5"/>
    <w:rsid w:val="003673C5"/>
    <w:rsid w:val="00367A9C"/>
    <w:rsid w:val="00370AC2"/>
    <w:rsid w:val="00370CB7"/>
    <w:rsid w:val="003727AB"/>
    <w:rsid w:val="00373CC2"/>
    <w:rsid w:val="00374F94"/>
    <w:rsid w:val="00375660"/>
    <w:rsid w:val="00375891"/>
    <w:rsid w:val="00376ACC"/>
    <w:rsid w:val="0037745D"/>
    <w:rsid w:val="00380185"/>
    <w:rsid w:val="00380B51"/>
    <w:rsid w:val="00380C7A"/>
    <w:rsid w:val="00380F86"/>
    <w:rsid w:val="00382261"/>
    <w:rsid w:val="00382904"/>
    <w:rsid w:val="00382AA9"/>
    <w:rsid w:val="00382CD4"/>
    <w:rsid w:val="00382CE0"/>
    <w:rsid w:val="00382E5D"/>
    <w:rsid w:val="00384006"/>
    <w:rsid w:val="00384978"/>
    <w:rsid w:val="00384AD7"/>
    <w:rsid w:val="00384CD0"/>
    <w:rsid w:val="003856D3"/>
    <w:rsid w:val="00386327"/>
    <w:rsid w:val="00386523"/>
    <w:rsid w:val="0038652D"/>
    <w:rsid w:val="003867A6"/>
    <w:rsid w:val="00386915"/>
    <w:rsid w:val="00387045"/>
    <w:rsid w:val="003878AE"/>
    <w:rsid w:val="00387B04"/>
    <w:rsid w:val="00390A4E"/>
    <w:rsid w:val="00391786"/>
    <w:rsid w:val="0039194F"/>
    <w:rsid w:val="00391B4A"/>
    <w:rsid w:val="0039243A"/>
    <w:rsid w:val="003929C1"/>
    <w:rsid w:val="003933BD"/>
    <w:rsid w:val="0039352F"/>
    <w:rsid w:val="0039389C"/>
    <w:rsid w:val="00396CA6"/>
    <w:rsid w:val="00397A89"/>
    <w:rsid w:val="003A0F26"/>
    <w:rsid w:val="003A10F2"/>
    <w:rsid w:val="003A18E2"/>
    <w:rsid w:val="003A28A6"/>
    <w:rsid w:val="003A3777"/>
    <w:rsid w:val="003A477C"/>
    <w:rsid w:val="003A49DF"/>
    <w:rsid w:val="003A4C06"/>
    <w:rsid w:val="003A4D8A"/>
    <w:rsid w:val="003A525F"/>
    <w:rsid w:val="003A6668"/>
    <w:rsid w:val="003A7820"/>
    <w:rsid w:val="003A7ED5"/>
    <w:rsid w:val="003B039C"/>
    <w:rsid w:val="003B23B9"/>
    <w:rsid w:val="003B2A60"/>
    <w:rsid w:val="003B3000"/>
    <w:rsid w:val="003B3222"/>
    <w:rsid w:val="003B3242"/>
    <w:rsid w:val="003B3384"/>
    <w:rsid w:val="003B37E2"/>
    <w:rsid w:val="003B40E1"/>
    <w:rsid w:val="003B4CED"/>
    <w:rsid w:val="003B5711"/>
    <w:rsid w:val="003B5BAA"/>
    <w:rsid w:val="003B5F58"/>
    <w:rsid w:val="003B63B4"/>
    <w:rsid w:val="003B69BD"/>
    <w:rsid w:val="003B6B9F"/>
    <w:rsid w:val="003B6FBB"/>
    <w:rsid w:val="003B7DF5"/>
    <w:rsid w:val="003B7EC6"/>
    <w:rsid w:val="003C0342"/>
    <w:rsid w:val="003C0626"/>
    <w:rsid w:val="003C20A8"/>
    <w:rsid w:val="003C344A"/>
    <w:rsid w:val="003C35A1"/>
    <w:rsid w:val="003C3D4E"/>
    <w:rsid w:val="003C6D8C"/>
    <w:rsid w:val="003C6FAD"/>
    <w:rsid w:val="003C75F3"/>
    <w:rsid w:val="003C76C2"/>
    <w:rsid w:val="003D0808"/>
    <w:rsid w:val="003D0B79"/>
    <w:rsid w:val="003D11EF"/>
    <w:rsid w:val="003D1BAC"/>
    <w:rsid w:val="003D28DA"/>
    <w:rsid w:val="003D3960"/>
    <w:rsid w:val="003D5D99"/>
    <w:rsid w:val="003D664A"/>
    <w:rsid w:val="003D7716"/>
    <w:rsid w:val="003E069F"/>
    <w:rsid w:val="003E06D2"/>
    <w:rsid w:val="003E0710"/>
    <w:rsid w:val="003E0D9F"/>
    <w:rsid w:val="003E12D2"/>
    <w:rsid w:val="003E2582"/>
    <w:rsid w:val="003E2A63"/>
    <w:rsid w:val="003E2D7E"/>
    <w:rsid w:val="003E385E"/>
    <w:rsid w:val="003E42C3"/>
    <w:rsid w:val="003E4381"/>
    <w:rsid w:val="003E4A86"/>
    <w:rsid w:val="003E4E64"/>
    <w:rsid w:val="003E5BB4"/>
    <w:rsid w:val="003E6D3C"/>
    <w:rsid w:val="003E6FF8"/>
    <w:rsid w:val="003E71B4"/>
    <w:rsid w:val="003E71C8"/>
    <w:rsid w:val="003E7FD3"/>
    <w:rsid w:val="003F0275"/>
    <w:rsid w:val="003F09D6"/>
    <w:rsid w:val="003F0C16"/>
    <w:rsid w:val="003F1120"/>
    <w:rsid w:val="003F1F2C"/>
    <w:rsid w:val="003F2809"/>
    <w:rsid w:val="003F34A7"/>
    <w:rsid w:val="003F435A"/>
    <w:rsid w:val="003F4D2D"/>
    <w:rsid w:val="003F4DBF"/>
    <w:rsid w:val="003F62ED"/>
    <w:rsid w:val="003F675E"/>
    <w:rsid w:val="003F6C6C"/>
    <w:rsid w:val="003F7A3B"/>
    <w:rsid w:val="003F7A64"/>
    <w:rsid w:val="003F7E77"/>
    <w:rsid w:val="004010DE"/>
    <w:rsid w:val="004011E4"/>
    <w:rsid w:val="00401222"/>
    <w:rsid w:val="004031F0"/>
    <w:rsid w:val="00403DC3"/>
    <w:rsid w:val="00404792"/>
    <w:rsid w:val="004048B4"/>
    <w:rsid w:val="00404BD9"/>
    <w:rsid w:val="00405020"/>
    <w:rsid w:val="00405076"/>
    <w:rsid w:val="004055DD"/>
    <w:rsid w:val="004070AB"/>
    <w:rsid w:val="004109B4"/>
    <w:rsid w:val="00410FBC"/>
    <w:rsid w:val="00411955"/>
    <w:rsid w:val="00412025"/>
    <w:rsid w:val="00412779"/>
    <w:rsid w:val="00414624"/>
    <w:rsid w:val="00414B96"/>
    <w:rsid w:val="00414D1B"/>
    <w:rsid w:val="00414D2C"/>
    <w:rsid w:val="00415508"/>
    <w:rsid w:val="00415A41"/>
    <w:rsid w:val="00415BB4"/>
    <w:rsid w:val="00416C7A"/>
    <w:rsid w:val="0041706C"/>
    <w:rsid w:val="00417E11"/>
    <w:rsid w:val="0042001B"/>
    <w:rsid w:val="0042041D"/>
    <w:rsid w:val="00420444"/>
    <w:rsid w:val="00420B6D"/>
    <w:rsid w:val="00420FC4"/>
    <w:rsid w:val="004210AD"/>
    <w:rsid w:val="00421250"/>
    <w:rsid w:val="00422584"/>
    <w:rsid w:val="00422BD8"/>
    <w:rsid w:val="004241F5"/>
    <w:rsid w:val="00424464"/>
    <w:rsid w:val="00424637"/>
    <w:rsid w:val="00425EF8"/>
    <w:rsid w:val="00426BD0"/>
    <w:rsid w:val="004276CC"/>
    <w:rsid w:val="00427BC7"/>
    <w:rsid w:val="00430096"/>
    <w:rsid w:val="004304E8"/>
    <w:rsid w:val="004307FA"/>
    <w:rsid w:val="00431358"/>
    <w:rsid w:val="00431B74"/>
    <w:rsid w:val="00431C17"/>
    <w:rsid w:val="004331E7"/>
    <w:rsid w:val="004339F0"/>
    <w:rsid w:val="00434637"/>
    <w:rsid w:val="004348ED"/>
    <w:rsid w:val="00434984"/>
    <w:rsid w:val="004349EE"/>
    <w:rsid w:val="00434C26"/>
    <w:rsid w:val="0043584B"/>
    <w:rsid w:val="00435901"/>
    <w:rsid w:val="00435B67"/>
    <w:rsid w:val="004372A4"/>
    <w:rsid w:val="004376B0"/>
    <w:rsid w:val="00440A41"/>
    <w:rsid w:val="0044198D"/>
    <w:rsid w:val="004422E1"/>
    <w:rsid w:val="0044260B"/>
    <w:rsid w:val="0044299F"/>
    <w:rsid w:val="00442BD0"/>
    <w:rsid w:val="0044361B"/>
    <w:rsid w:val="0044375E"/>
    <w:rsid w:val="00443EDA"/>
    <w:rsid w:val="00444A5F"/>
    <w:rsid w:val="00444BD8"/>
    <w:rsid w:val="00444FF2"/>
    <w:rsid w:val="00445374"/>
    <w:rsid w:val="0044538D"/>
    <w:rsid w:val="00445D68"/>
    <w:rsid w:val="00445EDE"/>
    <w:rsid w:val="004468E1"/>
    <w:rsid w:val="004468FD"/>
    <w:rsid w:val="00446B00"/>
    <w:rsid w:val="00446C56"/>
    <w:rsid w:val="004470F4"/>
    <w:rsid w:val="00447495"/>
    <w:rsid w:val="00447C64"/>
    <w:rsid w:val="00450344"/>
    <w:rsid w:val="00451153"/>
    <w:rsid w:val="00451B61"/>
    <w:rsid w:val="004521C1"/>
    <w:rsid w:val="00452332"/>
    <w:rsid w:val="00452903"/>
    <w:rsid w:val="00452DA4"/>
    <w:rsid w:val="00453FB2"/>
    <w:rsid w:val="004543B0"/>
    <w:rsid w:val="00454916"/>
    <w:rsid w:val="0045635E"/>
    <w:rsid w:val="004565A6"/>
    <w:rsid w:val="00456B20"/>
    <w:rsid w:val="00457447"/>
    <w:rsid w:val="00457830"/>
    <w:rsid w:val="0046018B"/>
    <w:rsid w:val="004615F9"/>
    <w:rsid w:val="0046163E"/>
    <w:rsid w:val="00461A52"/>
    <w:rsid w:val="00461A6E"/>
    <w:rsid w:val="00461EE4"/>
    <w:rsid w:val="004626F1"/>
    <w:rsid w:val="00462977"/>
    <w:rsid w:val="00462F1C"/>
    <w:rsid w:val="004637A8"/>
    <w:rsid w:val="004638C5"/>
    <w:rsid w:val="00464331"/>
    <w:rsid w:val="00464550"/>
    <w:rsid w:val="004648BA"/>
    <w:rsid w:val="00464BF2"/>
    <w:rsid w:val="00465057"/>
    <w:rsid w:val="00465516"/>
    <w:rsid w:val="004662D6"/>
    <w:rsid w:val="0046632E"/>
    <w:rsid w:val="0046650D"/>
    <w:rsid w:val="0046770E"/>
    <w:rsid w:val="0047072C"/>
    <w:rsid w:val="00470C82"/>
    <w:rsid w:val="004712FF"/>
    <w:rsid w:val="00471601"/>
    <w:rsid w:val="00471DDD"/>
    <w:rsid w:val="00472C5D"/>
    <w:rsid w:val="00474073"/>
    <w:rsid w:val="00474CD1"/>
    <w:rsid w:val="004751E6"/>
    <w:rsid w:val="00475507"/>
    <w:rsid w:val="0047577F"/>
    <w:rsid w:val="00476D78"/>
    <w:rsid w:val="00476E90"/>
    <w:rsid w:val="00480AB5"/>
    <w:rsid w:val="00480DD8"/>
    <w:rsid w:val="00481FEE"/>
    <w:rsid w:val="0048219F"/>
    <w:rsid w:val="00483DBE"/>
    <w:rsid w:val="004844D6"/>
    <w:rsid w:val="00484BF9"/>
    <w:rsid w:val="00485CF5"/>
    <w:rsid w:val="004873FD"/>
    <w:rsid w:val="00490BA9"/>
    <w:rsid w:val="00491074"/>
    <w:rsid w:val="00491B00"/>
    <w:rsid w:val="00491BC7"/>
    <w:rsid w:val="00491C23"/>
    <w:rsid w:val="00492446"/>
    <w:rsid w:val="00492AF6"/>
    <w:rsid w:val="00492EE6"/>
    <w:rsid w:val="00493202"/>
    <w:rsid w:val="004932A5"/>
    <w:rsid w:val="0049345F"/>
    <w:rsid w:val="00493465"/>
    <w:rsid w:val="0049388A"/>
    <w:rsid w:val="00493F9B"/>
    <w:rsid w:val="00496082"/>
    <w:rsid w:val="004965FC"/>
    <w:rsid w:val="004967EA"/>
    <w:rsid w:val="004968FB"/>
    <w:rsid w:val="00496B4D"/>
    <w:rsid w:val="0049747E"/>
    <w:rsid w:val="00497786"/>
    <w:rsid w:val="004A0542"/>
    <w:rsid w:val="004A0876"/>
    <w:rsid w:val="004A0EA2"/>
    <w:rsid w:val="004A12D4"/>
    <w:rsid w:val="004A1593"/>
    <w:rsid w:val="004A1DB7"/>
    <w:rsid w:val="004A2A7C"/>
    <w:rsid w:val="004A445F"/>
    <w:rsid w:val="004A4CCB"/>
    <w:rsid w:val="004A4DC5"/>
    <w:rsid w:val="004A581A"/>
    <w:rsid w:val="004A5B8C"/>
    <w:rsid w:val="004A5E8C"/>
    <w:rsid w:val="004A60EE"/>
    <w:rsid w:val="004A6570"/>
    <w:rsid w:val="004A68BF"/>
    <w:rsid w:val="004A70BC"/>
    <w:rsid w:val="004A7872"/>
    <w:rsid w:val="004A79B6"/>
    <w:rsid w:val="004A7D23"/>
    <w:rsid w:val="004B0428"/>
    <w:rsid w:val="004B12ED"/>
    <w:rsid w:val="004B18DB"/>
    <w:rsid w:val="004B24BF"/>
    <w:rsid w:val="004B2EA5"/>
    <w:rsid w:val="004B30C0"/>
    <w:rsid w:val="004B3A07"/>
    <w:rsid w:val="004B4A43"/>
    <w:rsid w:val="004B4D4D"/>
    <w:rsid w:val="004B5182"/>
    <w:rsid w:val="004B5585"/>
    <w:rsid w:val="004B59D9"/>
    <w:rsid w:val="004B6369"/>
    <w:rsid w:val="004B6C45"/>
    <w:rsid w:val="004B7454"/>
    <w:rsid w:val="004B7698"/>
    <w:rsid w:val="004C01D8"/>
    <w:rsid w:val="004C1356"/>
    <w:rsid w:val="004C1C31"/>
    <w:rsid w:val="004C2A15"/>
    <w:rsid w:val="004C3856"/>
    <w:rsid w:val="004C4264"/>
    <w:rsid w:val="004C6C9D"/>
    <w:rsid w:val="004C7586"/>
    <w:rsid w:val="004C7C9D"/>
    <w:rsid w:val="004D04AE"/>
    <w:rsid w:val="004D0605"/>
    <w:rsid w:val="004D06C0"/>
    <w:rsid w:val="004D1E37"/>
    <w:rsid w:val="004D296C"/>
    <w:rsid w:val="004D2F07"/>
    <w:rsid w:val="004D39C0"/>
    <w:rsid w:val="004D39E6"/>
    <w:rsid w:val="004D3E39"/>
    <w:rsid w:val="004D3E80"/>
    <w:rsid w:val="004D428C"/>
    <w:rsid w:val="004D47F2"/>
    <w:rsid w:val="004D4C55"/>
    <w:rsid w:val="004D58B6"/>
    <w:rsid w:val="004D6303"/>
    <w:rsid w:val="004D680A"/>
    <w:rsid w:val="004D6D31"/>
    <w:rsid w:val="004D6EA1"/>
    <w:rsid w:val="004D777C"/>
    <w:rsid w:val="004D7A5D"/>
    <w:rsid w:val="004E016D"/>
    <w:rsid w:val="004E0294"/>
    <w:rsid w:val="004E1A80"/>
    <w:rsid w:val="004E21AF"/>
    <w:rsid w:val="004E23FA"/>
    <w:rsid w:val="004E25B6"/>
    <w:rsid w:val="004E3D84"/>
    <w:rsid w:val="004E4E42"/>
    <w:rsid w:val="004E570B"/>
    <w:rsid w:val="004E5DE4"/>
    <w:rsid w:val="004E6643"/>
    <w:rsid w:val="004E6763"/>
    <w:rsid w:val="004E6FDA"/>
    <w:rsid w:val="004E7384"/>
    <w:rsid w:val="004E79DC"/>
    <w:rsid w:val="004F08C9"/>
    <w:rsid w:val="004F18CF"/>
    <w:rsid w:val="004F18E6"/>
    <w:rsid w:val="004F1AA1"/>
    <w:rsid w:val="004F1BAA"/>
    <w:rsid w:val="004F1EA9"/>
    <w:rsid w:val="004F2D76"/>
    <w:rsid w:val="004F2F91"/>
    <w:rsid w:val="004F42A4"/>
    <w:rsid w:val="004F461A"/>
    <w:rsid w:val="004F4849"/>
    <w:rsid w:val="004F747C"/>
    <w:rsid w:val="004F7546"/>
    <w:rsid w:val="0050020F"/>
    <w:rsid w:val="005002E1"/>
    <w:rsid w:val="0050089C"/>
    <w:rsid w:val="00500DB4"/>
    <w:rsid w:val="00501932"/>
    <w:rsid w:val="00501E5A"/>
    <w:rsid w:val="0050490A"/>
    <w:rsid w:val="00504927"/>
    <w:rsid w:val="00504965"/>
    <w:rsid w:val="00504FCA"/>
    <w:rsid w:val="005052F4"/>
    <w:rsid w:val="00505DB3"/>
    <w:rsid w:val="00506108"/>
    <w:rsid w:val="005067E0"/>
    <w:rsid w:val="00507168"/>
    <w:rsid w:val="005073B5"/>
    <w:rsid w:val="00511453"/>
    <w:rsid w:val="00511A7A"/>
    <w:rsid w:val="0051275D"/>
    <w:rsid w:val="0051302F"/>
    <w:rsid w:val="00513105"/>
    <w:rsid w:val="0051333F"/>
    <w:rsid w:val="005135B2"/>
    <w:rsid w:val="00514103"/>
    <w:rsid w:val="0051504A"/>
    <w:rsid w:val="00515D3E"/>
    <w:rsid w:val="00516C85"/>
    <w:rsid w:val="0052006B"/>
    <w:rsid w:val="00520273"/>
    <w:rsid w:val="00520CCE"/>
    <w:rsid w:val="00520EBE"/>
    <w:rsid w:val="0052211D"/>
    <w:rsid w:val="005221E6"/>
    <w:rsid w:val="005223E2"/>
    <w:rsid w:val="0052285B"/>
    <w:rsid w:val="0052364D"/>
    <w:rsid w:val="00523E2D"/>
    <w:rsid w:val="0052463C"/>
    <w:rsid w:val="00524669"/>
    <w:rsid w:val="005247A0"/>
    <w:rsid w:val="00524CC3"/>
    <w:rsid w:val="005262CD"/>
    <w:rsid w:val="0052752D"/>
    <w:rsid w:val="00527775"/>
    <w:rsid w:val="00530017"/>
    <w:rsid w:val="00530446"/>
    <w:rsid w:val="00530B39"/>
    <w:rsid w:val="00531003"/>
    <w:rsid w:val="005319C0"/>
    <w:rsid w:val="00531F58"/>
    <w:rsid w:val="005329D5"/>
    <w:rsid w:val="00533073"/>
    <w:rsid w:val="00533352"/>
    <w:rsid w:val="0053359B"/>
    <w:rsid w:val="005338F6"/>
    <w:rsid w:val="0053395F"/>
    <w:rsid w:val="00533C80"/>
    <w:rsid w:val="005361FB"/>
    <w:rsid w:val="005366EC"/>
    <w:rsid w:val="0053744D"/>
    <w:rsid w:val="00537729"/>
    <w:rsid w:val="00541CA7"/>
    <w:rsid w:val="00543147"/>
    <w:rsid w:val="00543457"/>
    <w:rsid w:val="0054360F"/>
    <w:rsid w:val="00543739"/>
    <w:rsid w:val="00543B8F"/>
    <w:rsid w:val="00544997"/>
    <w:rsid w:val="00544C08"/>
    <w:rsid w:val="00544DE1"/>
    <w:rsid w:val="00544F50"/>
    <w:rsid w:val="0054605D"/>
    <w:rsid w:val="005463EB"/>
    <w:rsid w:val="00546402"/>
    <w:rsid w:val="00546D64"/>
    <w:rsid w:val="00546D78"/>
    <w:rsid w:val="0054722D"/>
    <w:rsid w:val="00547CAA"/>
    <w:rsid w:val="00547CF8"/>
    <w:rsid w:val="0055123E"/>
    <w:rsid w:val="0055198C"/>
    <w:rsid w:val="00552995"/>
    <w:rsid w:val="0055320D"/>
    <w:rsid w:val="00553618"/>
    <w:rsid w:val="00553988"/>
    <w:rsid w:val="0055426A"/>
    <w:rsid w:val="005544FB"/>
    <w:rsid w:val="005545E5"/>
    <w:rsid w:val="00555059"/>
    <w:rsid w:val="0055506C"/>
    <w:rsid w:val="00555072"/>
    <w:rsid w:val="00555388"/>
    <w:rsid w:val="005563E1"/>
    <w:rsid w:val="00556CFC"/>
    <w:rsid w:val="00557143"/>
    <w:rsid w:val="00557801"/>
    <w:rsid w:val="00557929"/>
    <w:rsid w:val="00561B39"/>
    <w:rsid w:val="00561E36"/>
    <w:rsid w:val="00561E38"/>
    <w:rsid w:val="0056258F"/>
    <w:rsid w:val="0056304A"/>
    <w:rsid w:val="005632C0"/>
    <w:rsid w:val="00564976"/>
    <w:rsid w:val="00564C28"/>
    <w:rsid w:val="00565203"/>
    <w:rsid w:val="00567790"/>
    <w:rsid w:val="00567AF7"/>
    <w:rsid w:val="00571CDD"/>
    <w:rsid w:val="005729E5"/>
    <w:rsid w:val="00573C37"/>
    <w:rsid w:val="00574496"/>
    <w:rsid w:val="00575780"/>
    <w:rsid w:val="00575FF8"/>
    <w:rsid w:val="005768D7"/>
    <w:rsid w:val="00576904"/>
    <w:rsid w:val="00576960"/>
    <w:rsid w:val="005769C9"/>
    <w:rsid w:val="00577D0F"/>
    <w:rsid w:val="005803D3"/>
    <w:rsid w:val="00580852"/>
    <w:rsid w:val="00581CF2"/>
    <w:rsid w:val="00582170"/>
    <w:rsid w:val="00584563"/>
    <w:rsid w:val="00584854"/>
    <w:rsid w:val="00584B16"/>
    <w:rsid w:val="00584DE9"/>
    <w:rsid w:val="005865E3"/>
    <w:rsid w:val="0058691B"/>
    <w:rsid w:val="00587138"/>
    <w:rsid w:val="0059038D"/>
    <w:rsid w:val="00590710"/>
    <w:rsid w:val="0059075C"/>
    <w:rsid w:val="00590A1D"/>
    <w:rsid w:val="00590A5B"/>
    <w:rsid w:val="00590B71"/>
    <w:rsid w:val="00590C45"/>
    <w:rsid w:val="00591259"/>
    <w:rsid w:val="005913CD"/>
    <w:rsid w:val="005914BE"/>
    <w:rsid w:val="005915CA"/>
    <w:rsid w:val="0059177C"/>
    <w:rsid w:val="005933ED"/>
    <w:rsid w:val="00593484"/>
    <w:rsid w:val="00593DAB"/>
    <w:rsid w:val="00594232"/>
    <w:rsid w:val="00594635"/>
    <w:rsid w:val="00594ADD"/>
    <w:rsid w:val="00596042"/>
    <w:rsid w:val="005A1490"/>
    <w:rsid w:val="005A1884"/>
    <w:rsid w:val="005A1A7F"/>
    <w:rsid w:val="005A1FCF"/>
    <w:rsid w:val="005A2E4E"/>
    <w:rsid w:val="005A3A21"/>
    <w:rsid w:val="005A4890"/>
    <w:rsid w:val="005A4A0C"/>
    <w:rsid w:val="005A4F8B"/>
    <w:rsid w:val="005A4FB2"/>
    <w:rsid w:val="005A60A4"/>
    <w:rsid w:val="005A6271"/>
    <w:rsid w:val="005A7572"/>
    <w:rsid w:val="005A7DFC"/>
    <w:rsid w:val="005A7E6F"/>
    <w:rsid w:val="005B1E5C"/>
    <w:rsid w:val="005B2AA2"/>
    <w:rsid w:val="005B2B61"/>
    <w:rsid w:val="005B3ACF"/>
    <w:rsid w:val="005B44D3"/>
    <w:rsid w:val="005B5F09"/>
    <w:rsid w:val="005B667B"/>
    <w:rsid w:val="005B6E99"/>
    <w:rsid w:val="005B6FBD"/>
    <w:rsid w:val="005B7BB7"/>
    <w:rsid w:val="005B7D24"/>
    <w:rsid w:val="005B7FF5"/>
    <w:rsid w:val="005C0266"/>
    <w:rsid w:val="005C0F50"/>
    <w:rsid w:val="005C0FF1"/>
    <w:rsid w:val="005C27AC"/>
    <w:rsid w:val="005C29EB"/>
    <w:rsid w:val="005C2B18"/>
    <w:rsid w:val="005C2F45"/>
    <w:rsid w:val="005C3F61"/>
    <w:rsid w:val="005C4578"/>
    <w:rsid w:val="005C469A"/>
    <w:rsid w:val="005C67C7"/>
    <w:rsid w:val="005C6FE1"/>
    <w:rsid w:val="005C71DC"/>
    <w:rsid w:val="005C73F0"/>
    <w:rsid w:val="005D019D"/>
    <w:rsid w:val="005D0335"/>
    <w:rsid w:val="005D07BC"/>
    <w:rsid w:val="005D0892"/>
    <w:rsid w:val="005D09AA"/>
    <w:rsid w:val="005D0FDC"/>
    <w:rsid w:val="005D2042"/>
    <w:rsid w:val="005D27FE"/>
    <w:rsid w:val="005D293A"/>
    <w:rsid w:val="005D2ACB"/>
    <w:rsid w:val="005D4BA7"/>
    <w:rsid w:val="005D509B"/>
    <w:rsid w:val="005D52E6"/>
    <w:rsid w:val="005D7137"/>
    <w:rsid w:val="005D74CD"/>
    <w:rsid w:val="005D77F3"/>
    <w:rsid w:val="005E0E5E"/>
    <w:rsid w:val="005E13CF"/>
    <w:rsid w:val="005E1DEC"/>
    <w:rsid w:val="005E2BBD"/>
    <w:rsid w:val="005E35D3"/>
    <w:rsid w:val="005E3D16"/>
    <w:rsid w:val="005E44E0"/>
    <w:rsid w:val="005E486D"/>
    <w:rsid w:val="005E5A44"/>
    <w:rsid w:val="005E623A"/>
    <w:rsid w:val="005E6246"/>
    <w:rsid w:val="005E624E"/>
    <w:rsid w:val="005E6433"/>
    <w:rsid w:val="005E6788"/>
    <w:rsid w:val="005E6B54"/>
    <w:rsid w:val="005F013B"/>
    <w:rsid w:val="005F0659"/>
    <w:rsid w:val="005F12D9"/>
    <w:rsid w:val="005F21A5"/>
    <w:rsid w:val="005F243C"/>
    <w:rsid w:val="005F28C8"/>
    <w:rsid w:val="005F3083"/>
    <w:rsid w:val="005F332D"/>
    <w:rsid w:val="005F3C49"/>
    <w:rsid w:val="005F3FAD"/>
    <w:rsid w:val="005F4E20"/>
    <w:rsid w:val="005F4EB9"/>
    <w:rsid w:val="005F53F8"/>
    <w:rsid w:val="005F6355"/>
    <w:rsid w:val="005F701E"/>
    <w:rsid w:val="005F71EA"/>
    <w:rsid w:val="0060008D"/>
    <w:rsid w:val="006010DC"/>
    <w:rsid w:val="0060138D"/>
    <w:rsid w:val="0060154D"/>
    <w:rsid w:val="00601A62"/>
    <w:rsid w:val="00601CEE"/>
    <w:rsid w:val="00602070"/>
    <w:rsid w:val="00603D66"/>
    <w:rsid w:val="006041A8"/>
    <w:rsid w:val="00604583"/>
    <w:rsid w:val="00604908"/>
    <w:rsid w:val="00604C34"/>
    <w:rsid w:val="00604C6D"/>
    <w:rsid w:val="00605DF8"/>
    <w:rsid w:val="00606283"/>
    <w:rsid w:val="00606859"/>
    <w:rsid w:val="00606A2B"/>
    <w:rsid w:val="00606AC7"/>
    <w:rsid w:val="00606C3A"/>
    <w:rsid w:val="006071A6"/>
    <w:rsid w:val="00607BF8"/>
    <w:rsid w:val="00610265"/>
    <w:rsid w:val="006107D1"/>
    <w:rsid w:val="0061088D"/>
    <w:rsid w:val="00610BA5"/>
    <w:rsid w:val="00610ED2"/>
    <w:rsid w:val="00611643"/>
    <w:rsid w:val="00611F83"/>
    <w:rsid w:val="006123E2"/>
    <w:rsid w:val="00612566"/>
    <w:rsid w:val="00612B17"/>
    <w:rsid w:val="006135B4"/>
    <w:rsid w:val="006150A2"/>
    <w:rsid w:val="0061567E"/>
    <w:rsid w:val="00615F28"/>
    <w:rsid w:val="00617140"/>
    <w:rsid w:val="00617BF3"/>
    <w:rsid w:val="00617D81"/>
    <w:rsid w:val="00620167"/>
    <w:rsid w:val="00620B36"/>
    <w:rsid w:val="00621496"/>
    <w:rsid w:val="00621E8E"/>
    <w:rsid w:val="006224A8"/>
    <w:rsid w:val="006225CF"/>
    <w:rsid w:val="00622AF0"/>
    <w:rsid w:val="00624C2A"/>
    <w:rsid w:val="00625319"/>
    <w:rsid w:val="00625B66"/>
    <w:rsid w:val="00625E67"/>
    <w:rsid w:val="00626164"/>
    <w:rsid w:val="00626196"/>
    <w:rsid w:val="00626237"/>
    <w:rsid w:val="0063000D"/>
    <w:rsid w:val="00631F22"/>
    <w:rsid w:val="00631F69"/>
    <w:rsid w:val="0063362B"/>
    <w:rsid w:val="0063375D"/>
    <w:rsid w:val="00633F45"/>
    <w:rsid w:val="00633FFA"/>
    <w:rsid w:val="0063464C"/>
    <w:rsid w:val="00635AA3"/>
    <w:rsid w:val="006375BC"/>
    <w:rsid w:val="00640C7B"/>
    <w:rsid w:val="00640D30"/>
    <w:rsid w:val="0064191A"/>
    <w:rsid w:val="00641DE8"/>
    <w:rsid w:val="00642165"/>
    <w:rsid w:val="0064322D"/>
    <w:rsid w:val="00643541"/>
    <w:rsid w:val="0064378F"/>
    <w:rsid w:val="00643D06"/>
    <w:rsid w:val="00643E7A"/>
    <w:rsid w:val="0064565F"/>
    <w:rsid w:val="0064650B"/>
    <w:rsid w:val="00646927"/>
    <w:rsid w:val="00650D82"/>
    <w:rsid w:val="0065217C"/>
    <w:rsid w:val="006527C2"/>
    <w:rsid w:val="00652C9E"/>
    <w:rsid w:val="00652D61"/>
    <w:rsid w:val="00652DEF"/>
    <w:rsid w:val="00653334"/>
    <w:rsid w:val="00654CAD"/>
    <w:rsid w:val="00655052"/>
    <w:rsid w:val="0065521D"/>
    <w:rsid w:val="006554BA"/>
    <w:rsid w:val="00655C76"/>
    <w:rsid w:val="0065637B"/>
    <w:rsid w:val="0065676B"/>
    <w:rsid w:val="00656823"/>
    <w:rsid w:val="00656883"/>
    <w:rsid w:val="00656D56"/>
    <w:rsid w:val="0065746E"/>
    <w:rsid w:val="00657656"/>
    <w:rsid w:val="0066028A"/>
    <w:rsid w:val="00660C66"/>
    <w:rsid w:val="006611B4"/>
    <w:rsid w:val="0066121E"/>
    <w:rsid w:val="00661AC9"/>
    <w:rsid w:val="00662BA4"/>
    <w:rsid w:val="0066302D"/>
    <w:rsid w:val="0066460A"/>
    <w:rsid w:val="00664661"/>
    <w:rsid w:val="0066491A"/>
    <w:rsid w:val="00664CD3"/>
    <w:rsid w:val="0066593A"/>
    <w:rsid w:val="006669D0"/>
    <w:rsid w:val="00667EC6"/>
    <w:rsid w:val="0067088E"/>
    <w:rsid w:val="00670C66"/>
    <w:rsid w:val="00671589"/>
    <w:rsid w:val="006717A0"/>
    <w:rsid w:val="00671C07"/>
    <w:rsid w:val="00672060"/>
    <w:rsid w:val="006726D8"/>
    <w:rsid w:val="00672C50"/>
    <w:rsid w:val="006737B0"/>
    <w:rsid w:val="0067382D"/>
    <w:rsid w:val="0067522C"/>
    <w:rsid w:val="00675F46"/>
    <w:rsid w:val="006767FC"/>
    <w:rsid w:val="0067686A"/>
    <w:rsid w:val="006779B6"/>
    <w:rsid w:val="00680142"/>
    <w:rsid w:val="006802A6"/>
    <w:rsid w:val="006802C1"/>
    <w:rsid w:val="00680E19"/>
    <w:rsid w:val="006816C3"/>
    <w:rsid w:val="00681B93"/>
    <w:rsid w:val="00681E0D"/>
    <w:rsid w:val="006820CD"/>
    <w:rsid w:val="00683215"/>
    <w:rsid w:val="00683806"/>
    <w:rsid w:val="00683FE1"/>
    <w:rsid w:val="0068505E"/>
    <w:rsid w:val="0068519E"/>
    <w:rsid w:val="006851A6"/>
    <w:rsid w:val="006851A7"/>
    <w:rsid w:val="006858E6"/>
    <w:rsid w:val="00685F3E"/>
    <w:rsid w:val="006867EB"/>
    <w:rsid w:val="00686ACB"/>
    <w:rsid w:val="00686DE2"/>
    <w:rsid w:val="0068726B"/>
    <w:rsid w:val="006876DD"/>
    <w:rsid w:val="006904DD"/>
    <w:rsid w:val="00690C41"/>
    <w:rsid w:val="0069183A"/>
    <w:rsid w:val="00691CEA"/>
    <w:rsid w:val="0069325B"/>
    <w:rsid w:val="006932B3"/>
    <w:rsid w:val="00693652"/>
    <w:rsid w:val="00694B3D"/>
    <w:rsid w:val="006953E4"/>
    <w:rsid w:val="006956DC"/>
    <w:rsid w:val="00696139"/>
    <w:rsid w:val="006964A0"/>
    <w:rsid w:val="00696A0B"/>
    <w:rsid w:val="00697702"/>
    <w:rsid w:val="006977EB"/>
    <w:rsid w:val="00697A11"/>
    <w:rsid w:val="006A04CF"/>
    <w:rsid w:val="006A07A2"/>
    <w:rsid w:val="006A0A07"/>
    <w:rsid w:val="006A0D71"/>
    <w:rsid w:val="006A18EB"/>
    <w:rsid w:val="006A1C14"/>
    <w:rsid w:val="006A2425"/>
    <w:rsid w:val="006A27DE"/>
    <w:rsid w:val="006A3262"/>
    <w:rsid w:val="006A3E0B"/>
    <w:rsid w:val="006A56E9"/>
    <w:rsid w:val="006A7B3E"/>
    <w:rsid w:val="006B08D6"/>
    <w:rsid w:val="006B1231"/>
    <w:rsid w:val="006B1AF1"/>
    <w:rsid w:val="006B1F3A"/>
    <w:rsid w:val="006B26CA"/>
    <w:rsid w:val="006B3184"/>
    <w:rsid w:val="006B3530"/>
    <w:rsid w:val="006B3798"/>
    <w:rsid w:val="006B3A7E"/>
    <w:rsid w:val="006B4016"/>
    <w:rsid w:val="006B49FA"/>
    <w:rsid w:val="006B4EEF"/>
    <w:rsid w:val="006B519A"/>
    <w:rsid w:val="006B5F3A"/>
    <w:rsid w:val="006B7345"/>
    <w:rsid w:val="006C0894"/>
    <w:rsid w:val="006C08DE"/>
    <w:rsid w:val="006C0E20"/>
    <w:rsid w:val="006C10DB"/>
    <w:rsid w:val="006C1667"/>
    <w:rsid w:val="006C2CC9"/>
    <w:rsid w:val="006C3D6A"/>
    <w:rsid w:val="006C4357"/>
    <w:rsid w:val="006C4F21"/>
    <w:rsid w:val="006C5320"/>
    <w:rsid w:val="006C55D4"/>
    <w:rsid w:val="006C56F9"/>
    <w:rsid w:val="006C5E63"/>
    <w:rsid w:val="006C6DE7"/>
    <w:rsid w:val="006C74DD"/>
    <w:rsid w:val="006C752A"/>
    <w:rsid w:val="006C7665"/>
    <w:rsid w:val="006D05FE"/>
    <w:rsid w:val="006D0B40"/>
    <w:rsid w:val="006D1DB6"/>
    <w:rsid w:val="006D27E8"/>
    <w:rsid w:val="006D2DC6"/>
    <w:rsid w:val="006D30CB"/>
    <w:rsid w:val="006D3B93"/>
    <w:rsid w:val="006D4084"/>
    <w:rsid w:val="006D5934"/>
    <w:rsid w:val="006D5B56"/>
    <w:rsid w:val="006D759A"/>
    <w:rsid w:val="006D76D2"/>
    <w:rsid w:val="006D7BEE"/>
    <w:rsid w:val="006E0154"/>
    <w:rsid w:val="006E0F49"/>
    <w:rsid w:val="006E137E"/>
    <w:rsid w:val="006E1BA4"/>
    <w:rsid w:val="006E2089"/>
    <w:rsid w:val="006E2914"/>
    <w:rsid w:val="006E2DC9"/>
    <w:rsid w:val="006E30B4"/>
    <w:rsid w:val="006E34BA"/>
    <w:rsid w:val="006E386F"/>
    <w:rsid w:val="006E3E7C"/>
    <w:rsid w:val="006E48E9"/>
    <w:rsid w:val="006E4C70"/>
    <w:rsid w:val="006E4D5C"/>
    <w:rsid w:val="006E4D8A"/>
    <w:rsid w:val="006E51BF"/>
    <w:rsid w:val="006E546B"/>
    <w:rsid w:val="006E577C"/>
    <w:rsid w:val="006E5AFD"/>
    <w:rsid w:val="006E5B38"/>
    <w:rsid w:val="006E6ED6"/>
    <w:rsid w:val="006E743F"/>
    <w:rsid w:val="006E7964"/>
    <w:rsid w:val="006E7BDD"/>
    <w:rsid w:val="006E7EF4"/>
    <w:rsid w:val="006F0232"/>
    <w:rsid w:val="006F068C"/>
    <w:rsid w:val="006F0BCC"/>
    <w:rsid w:val="006F1242"/>
    <w:rsid w:val="006F3F43"/>
    <w:rsid w:val="006F403B"/>
    <w:rsid w:val="006F41D1"/>
    <w:rsid w:val="006F5A39"/>
    <w:rsid w:val="006F6087"/>
    <w:rsid w:val="006F65CF"/>
    <w:rsid w:val="006F6B74"/>
    <w:rsid w:val="006F7178"/>
    <w:rsid w:val="006F72FF"/>
    <w:rsid w:val="006F7D50"/>
    <w:rsid w:val="00700507"/>
    <w:rsid w:val="00700CDE"/>
    <w:rsid w:val="00701207"/>
    <w:rsid w:val="007012A2"/>
    <w:rsid w:val="00701B0E"/>
    <w:rsid w:val="00701C3F"/>
    <w:rsid w:val="00701EA9"/>
    <w:rsid w:val="00701FFA"/>
    <w:rsid w:val="0070243C"/>
    <w:rsid w:val="00702883"/>
    <w:rsid w:val="00703921"/>
    <w:rsid w:val="00704175"/>
    <w:rsid w:val="0070423D"/>
    <w:rsid w:val="007043D6"/>
    <w:rsid w:val="0070449B"/>
    <w:rsid w:val="007058B9"/>
    <w:rsid w:val="007067BB"/>
    <w:rsid w:val="007067D1"/>
    <w:rsid w:val="00706A28"/>
    <w:rsid w:val="00706F13"/>
    <w:rsid w:val="007075BC"/>
    <w:rsid w:val="00707D74"/>
    <w:rsid w:val="00710085"/>
    <w:rsid w:val="0071022F"/>
    <w:rsid w:val="0071057D"/>
    <w:rsid w:val="007106C9"/>
    <w:rsid w:val="00711239"/>
    <w:rsid w:val="00711A48"/>
    <w:rsid w:val="00712632"/>
    <w:rsid w:val="00712D2E"/>
    <w:rsid w:val="0071398F"/>
    <w:rsid w:val="007139EB"/>
    <w:rsid w:val="00713F8B"/>
    <w:rsid w:val="00714BC5"/>
    <w:rsid w:val="0071591E"/>
    <w:rsid w:val="0071613C"/>
    <w:rsid w:val="00716684"/>
    <w:rsid w:val="00716895"/>
    <w:rsid w:val="007201A6"/>
    <w:rsid w:val="00720442"/>
    <w:rsid w:val="0072048E"/>
    <w:rsid w:val="00720961"/>
    <w:rsid w:val="00720AC5"/>
    <w:rsid w:val="007239E2"/>
    <w:rsid w:val="00723B78"/>
    <w:rsid w:val="00723E92"/>
    <w:rsid w:val="007243EC"/>
    <w:rsid w:val="007244CD"/>
    <w:rsid w:val="007266BE"/>
    <w:rsid w:val="0072707E"/>
    <w:rsid w:val="00730763"/>
    <w:rsid w:val="00731066"/>
    <w:rsid w:val="00731558"/>
    <w:rsid w:val="00731560"/>
    <w:rsid w:val="00733697"/>
    <w:rsid w:val="007336DD"/>
    <w:rsid w:val="00734A2F"/>
    <w:rsid w:val="00734C40"/>
    <w:rsid w:val="00734FBF"/>
    <w:rsid w:val="00735D60"/>
    <w:rsid w:val="007363BD"/>
    <w:rsid w:val="0073644D"/>
    <w:rsid w:val="007372D8"/>
    <w:rsid w:val="00737695"/>
    <w:rsid w:val="00740117"/>
    <w:rsid w:val="007401BF"/>
    <w:rsid w:val="007403D6"/>
    <w:rsid w:val="007406D8"/>
    <w:rsid w:val="00740932"/>
    <w:rsid w:val="00740A24"/>
    <w:rsid w:val="00741196"/>
    <w:rsid w:val="00741959"/>
    <w:rsid w:val="00741ABD"/>
    <w:rsid w:val="00743D49"/>
    <w:rsid w:val="00744649"/>
    <w:rsid w:val="00744CAD"/>
    <w:rsid w:val="007454F9"/>
    <w:rsid w:val="007465B9"/>
    <w:rsid w:val="007467E8"/>
    <w:rsid w:val="00750561"/>
    <w:rsid w:val="00750ED6"/>
    <w:rsid w:val="00750F32"/>
    <w:rsid w:val="00750F66"/>
    <w:rsid w:val="007514E6"/>
    <w:rsid w:val="00752FD6"/>
    <w:rsid w:val="0075348B"/>
    <w:rsid w:val="007535E5"/>
    <w:rsid w:val="00754633"/>
    <w:rsid w:val="0075473D"/>
    <w:rsid w:val="00754CBC"/>
    <w:rsid w:val="007550F9"/>
    <w:rsid w:val="00755BF6"/>
    <w:rsid w:val="00755FFF"/>
    <w:rsid w:val="007566FF"/>
    <w:rsid w:val="00756850"/>
    <w:rsid w:val="00756F8C"/>
    <w:rsid w:val="00760CD8"/>
    <w:rsid w:val="00762581"/>
    <w:rsid w:val="00762AE4"/>
    <w:rsid w:val="00762C1B"/>
    <w:rsid w:val="007637A5"/>
    <w:rsid w:val="007640B6"/>
    <w:rsid w:val="00764804"/>
    <w:rsid w:val="00765445"/>
    <w:rsid w:val="007673CB"/>
    <w:rsid w:val="00771040"/>
    <w:rsid w:val="00771A32"/>
    <w:rsid w:val="00771D50"/>
    <w:rsid w:val="00772FAD"/>
    <w:rsid w:val="0077343B"/>
    <w:rsid w:val="00773E86"/>
    <w:rsid w:val="007748BF"/>
    <w:rsid w:val="00774A4F"/>
    <w:rsid w:val="00774DA4"/>
    <w:rsid w:val="0077520F"/>
    <w:rsid w:val="00775D0C"/>
    <w:rsid w:val="0077617A"/>
    <w:rsid w:val="00776D5D"/>
    <w:rsid w:val="00777FBB"/>
    <w:rsid w:val="0078034A"/>
    <w:rsid w:val="00780B24"/>
    <w:rsid w:val="00781174"/>
    <w:rsid w:val="007815A5"/>
    <w:rsid w:val="007816F6"/>
    <w:rsid w:val="00781D91"/>
    <w:rsid w:val="00782309"/>
    <w:rsid w:val="00782E54"/>
    <w:rsid w:val="007844EF"/>
    <w:rsid w:val="00784689"/>
    <w:rsid w:val="00785675"/>
    <w:rsid w:val="00785FF8"/>
    <w:rsid w:val="00786348"/>
    <w:rsid w:val="00786767"/>
    <w:rsid w:val="00787747"/>
    <w:rsid w:val="00787C44"/>
    <w:rsid w:val="00787E88"/>
    <w:rsid w:val="007905AB"/>
    <w:rsid w:val="007905CB"/>
    <w:rsid w:val="00791131"/>
    <w:rsid w:val="0079133B"/>
    <w:rsid w:val="007924AC"/>
    <w:rsid w:val="00792FF3"/>
    <w:rsid w:val="00793C65"/>
    <w:rsid w:val="00794CCB"/>
    <w:rsid w:val="00794E35"/>
    <w:rsid w:val="0079530B"/>
    <w:rsid w:val="0079588B"/>
    <w:rsid w:val="00795A5B"/>
    <w:rsid w:val="0079608D"/>
    <w:rsid w:val="00796091"/>
    <w:rsid w:val="007971E2"/>
    <w:rsid w:val="00797B08"/>
    <w:rsid w:val="00797DC0"/>
    <w:rsid w:val="00797E5A"/>
    <w:rsid w:val="00797E79"/>
    <w:rsid w:val="007A06A3"/>
    <w:rsid w:val="007A1166"/>
    <w:rsid w:val="007A147A"/>
    <w:rsid w:val="007A1DB3"/>
    <w:rsid w:val="007A2055"/>
    <w:rsid w:val="007A307E"/>
    <w:rsid w:val="007A3376"/>
    <w:rsid w:val="007A391A"/>
    <w:rsid w:val="007A4C93"/>
    <w:rsid w:val="007A4CD1"/>
    <w:rsid w:val="007A6AE2"/>
    <w:rsid w:val="007A7F72"/>
    <w:rsid w:val="007A7FB9"/>
    <w:rsid w:val="007B0251"/>
    <w:rsid w:val="007B052F"/>
    <w:rsid w:val="007B067D"/>
    <w:rsid w:val="007B072D"/>
    <w:rsid w:val="007B124F"/>
    <w:rsid w:val="007B1912"/>
    <w:rsid w:val="007B21FE"/>
    <w:rsid w:val="007B226D"/>
    <w:rsid w:val="007B4204"/>
    <w:rsid w:val="007B4E40"/>
    <w:rsid w:val="007B54C3"/>
    <w:rsid w:val="007B55AD"/>
    <w:rsid w:val="007B63B3"/>
    <w:rsid w:val="007B6754"/>
    <w:rsid w:val="007B70B3"/>
    <w:rsid w:val="007B7DDC"/>
    <w:rsid w:val="007C0157"/>
    <w:rsid w:val="007C1548"/>
    <w:rsid w:val="007C2A0C"/>
    <w:rsid w:val="007C2A3C"/>
    <w:rsid w:val="007C2B44"/>
    <w:rsid w:val="007C3A7D"/>
    <w:rsid w:val="007C3D14"/>
    <w:rsid w:val="007C4B83"/>
    <w:rsid w:val="007C4BE2"/>
    <w:rsid w:val="007C5DFA"/>
    <w:rsid w:val="007D0490"/>
    <w:rsid w:val="007D0548"/>
    <w:rsid w:val="007D0AB6"/>
    <w:rsid w:val="007D12DE"/>
    <w:rsid w:val="007D210B"/>
    <w:rsid w:val="007D268F"/>
    <w:rsid w:val="007D35CC"/>
    <w:rsid w:val="007D3894"/>
    <w:rsid w:val="007D458C"/>
    <w:rsid w:val="007D50A1"/>
    <w:rsid w:val="007D5222"/>
    <w:rsid w:val="007D54DC"/>
    <w:rsid w:val="007D5B87"/>
    <w:rsid w:val="007D60C0"/>
    <w:rsid w:val="007D6AE8"/>
    <w:rsid w:val="007E0C53"/>
    <w:rsid w:val="007E11A9"/>
    <w:rsid w:val="007E28CB"/>
    <w:rsid w:val="007E2BA4"/>
    <w:rsid w:val="007E3227"/>
    <w:rsid w:val="007E3573"/>
    <w:rsid w:val="007E3618"/>
    <w:rsid w:val="007E3701"/>
    <w:rsid w:val="007E4B1B"/>
    <w:rsid w:val="007E4CA3"/>
    <w:rsid w:val="007E5BD8"/>
    <w:rsid w:val="007E6638"/>
    <w:rsid w:val="007E6C19"/>
    <w:rsid w:val="007E6C9E"/>
    <w:rsid w:val="007E6E1F"/>
    <w:rsid w:val="007E7531"/>
    <w:rsid w:val="007E7C5C"/>
    <w:rsid w:val="007F06A9"/>
    <w:rsid w:val="007F0857"/>
    <w:rsid w:val="007F0EA1"/>
    <w:rsid w:val="007F1037"/>
    <w:rsid w:val="007F1351"/>
    <w:rsid w:val="007F1C26"/>
    <w:rsid w:val="007F23CC"/>
    <w:rsid w:val="007F4516"/>
    <w:rsid w:val="007F49B3"/>
    <w:rsid w:val="007F4D8B"/>
    <w:rsid w:val="007F7D19"/>
    <w:rsid w:val="007F7FBD"/>
    <w:rsid w:val="00801275"/>
    <w:rsid w:val="00801998"/>
    <w:rsid w:val="008023CF"/>
    <w:rsid w:val="00802420"/>
    <w:rsid w:val="008026DB"/>
    <w:rsid w:val="00802B18"/>
    <w:rsid w:val="00803364"/>
    <w:rsid w:val="008035AD"/>
    <w:rsid w:val="00804425"/>
    <w:rsid w:val="00804C0F"/>
    <w:rsid w:val="0080544E"/>
    <w:rsid w:val="00805754"/>
    <w:rsid w:val="00805A12"/>
    <w:rsid w:val="0080662E"/>
    <w:rsid w:val="00806722"/>
    <w:rsid w:val="00806739"/>
    <w:rsid w:val="008067BD"/>
    <w:rsid w:val="00806E85"/>
    <w:rsid w:val="00807DA9"/>
    <w:rsid w:val="008106AF"/>
    <w:rsid w:val="00811341"/>
    <w:rsid w:val="00811C11"/>
    <w:rsid w:val="00813A60"/>
    <w:rsid w:val="00813AC1"/>
    <w:rsid w:val="00813FF0"/>
    <w:rsid w:val="008148A8"/>
    <w:rsid w:val="00816F91"/>
    <w:rsid w:val="00817705"/>
    <w:rsid w:val="008178B1"/>
    <w:rsid w:val="00820129"/>
    <w:rsid w:val="00820749"/>
    <w:rsid w:val="008209F7"/>
    <w:rsid w:val="0082125A"/>
    <w:rsid w:val="008217C1"/>
    <w:rsid w:val="00823889"/>
    <w:rsid w:val="0082529C"/>
    <w:rsid w:val="00826370"/>
    <w:rsid w:val="00826D56"/>
    <w:rsid w:val="0083005F"/>
    <w:rsid w:val="008302D2"/>
    <w:rsid w:val="008319A5"/>
    <w:rsid w:val="0083273A"/>
    <w:rsid w:val="00833A55"/>
    <w:rsid w:val="00834102"/>
    <w:rsid w:val="0083584D"/>
    <w:rsid w:val="0083633D"/>
    <w:rsid w:val="0083739E"/>
    <w:rsid w:val="008411C0"/>
    <w:rsid w:val="008415F4"/>
    <w:rsid w:val="00842C1B"/>
    <w:rsid w:val="00843A01"/>
    <w:rsid w:val="008443A3"/>
    <w:rsid w:val="00844ACB"/>
    <w:rsid w:val="00844CCC"/>
    <w:rsid w:val="00845172"/>
    <w:rsid w:val="00845414"/>
    <w:rsid w:val="008456B5"/>
    <w:rsid w:val="00845DCD"/>
    <w:rsid w:val="008469BE"/>
    <w:rsid w:val="00847107"/>
    <w:rsid w:val="00847F46"/>
    <w:rsid w:val="008521AF"/>
    <w:rsid w:val="008522A1"/>
    <w:rsid w:val="008539DE"/>
    <w:rsid w:val="00853F3B"/>
    <w:rsid w:val="00854071"/>
    <w:rsid w:val="008545B3"/>
    <w:rsid w:val="00855E8C"/>
    <w:rsid w:val="008564EF"/>
    <w:rsid w:val="0085667C"/>
    <w:rsid w:val="0085691C"/>
    <w:rsid w:val="00856F6A"/>
    <w:rsid w:val="00857923"/>
    <w:rsid w:val="00857DA3"/>
    <w:rsid w:val="008639FB"/>
    <w:rsid w:val="0086425F"/>
    <w:rsid w:val="00864DAF"/>
    <w:rsid w:val="008708E6"/>
    <w:rsid w:val="00870D57"/>
    <w:rsid w:val="0087156B"/>
    <w:rsid w:val="008716AF"/>
    <w:rsid w:val="00871AC1"/>
    <w:rsid w:val="00872978"/>
    <w:rsid w:val="00872B40"/>
    <w:rsid w:val="00873B71"/>
    <w:rsid w:val="00874847"/>
    <w:rsid w:val="008754F9"/>
    <w:rsid w:val="0087693F"/>
    <w:rsid w:val="008769B8"/>
    <w:rsid w:val="00876E94"/>
    <w:rsid w:val="00880363"/>
    <w:rsid w:val="0088216C"/>
    <w:rsid w:val="00884801"/>
    <w:rsid w:val="00884B70"/>
    <w:rsid w:val="00886CF1"/>
    <w:rsid w:val="00886EBB"/>
    <w:rsid w:val="008875B6"/>
    <w:rsid w:val="00887C96"/>
    <w:rsid w:val="00887D1E"/>
    <w:rsid w:val="008902DE"/>
    <w:rsid w:val="00890903"/>
    <w:rsid w:val="00893214"/>
    <w:rsid w:val="008935EA"/>
    <w:rsid w:val="0089478B"/>
    <w:rsid w:val="00896595"/>
    <w:rsid w:val="00897552"/>
    <w:rsid w:val="008A012C"/>
    <w:rsid w:val="008A0B5D"/>
    <w:rsid w:val="008A1538"/>
    <w:rsid w:val="008A191B"/>
    <w:rsid w:val="008A1FC6"/>
    <w:rsid w:val="008A277F"/>
    <w:rsid w:val="008A299F"/>
    <w:rsid w:val="008A4037"/>
    <w:rsid w:val="008A5DC1"/>
    <w:rsid w:val="008A6393"/>
    <w:rsid w:val="008A6421"/>
    <w:rsid w:val="008A696F"/>
    <w:rsid w:val="008A6E2D"/>
    <w:rsid w:val="008A7030"/>
    <w:rsid w:val="008A7F2D"/>
    <w:rsid w:val="008A7F8B"/>
    <w:rsid w:val="008B0815"/>
    <w:rsid w:val="008B0CE7"/>
    <w:rsid w:val="008B1130"/>
    <w:rsid w:val="008B1D91"/>
    <w:rsid w:val="008B30B8"/>
    <w:rsid w:val="008B32B8"/>
    <w:rsid w:val="008B3CAF"/>
    <w:rsid w:val="008B4186"/>
    <w:rsid w:val="008B4435"/>
    <w:rsid w:val="008B4548"/>
    <w:rsid w:val="008B4594"/>
    <w:rsid w:val="008B4B0B"/>
    <w:rsid w:val="008B61FF"/>
    <w:rsid w:val="008B6EF7"/>
    <w:rsid w:val="008B7B97"/>
    <w:rsid w:val="008C0084"/>
    <w:rsid w:val="008C04FA"/>
    <w:rsid w:val="008C13A1"/>
    <w:rsid w:val="008C219C"/>
    <w:rsid w:val="008C24E1"/>
    <w:rsid w:val="008C2B10"/>
    <w:rsid w:val="008C41A3"/>
    <w:rsid w:val="008C5CCA"/>
    <w:rsid w:val="008C707C"/>
    <w:rsid w:val="008C7BEB"/>
    <w:rsid w:val="008C7DBB"/>
    <w:rsid w:val="008D08F7"/>
    <w:rsid w:val="008D1EC2"/>
    <w:rsid w:val="008D2A93"/>
    <w:rsid w:val="008D2AF7"/>
    <w:rsid w:val="008D2FCB"/>
    <w:rsid w:val="008D375D"/>
    <w:rsid w:val="008D4555"/>
    <w:rsid w:val="008D4934"/>
    <w:rsid w:val="008D5536"/>
    <w:rsid w:val="008D5ACF"/>
    <w:rsid w:val="008D6312"/>
    <w:rsid w:val="008D6D37"/>
    <w:rsid w:val="008D7493"/>
    <w:rsid w:val="008D7CBC"/>
    <w:rsid w:val="008E08A0"/>
    <w:rsid w:val="008E0E6B"/>
    <w:rsid w:val="008E17F4"/>
    <w:rsid w:val="008E1BDC"/>
    <w:rsid w:val="008E2194"/>
    <w:rsid w:val="008E233B"/>
    <w:rsid w:val="008E32B8"/>
    <w:rsid w:val="008E4663"/>
    <w:rsid w:val="008E5E27"/>
    <w:rsid w:val="008E6B37"/>
    <w:rsid w:val="008E724D"/>
    <w:rsid w:val="008E73DC"/>
    <w:rsid w:val="008E77C0"/>
    <w:rsid w:val="008E7CA7"/>
    <w:rsid w:val="008F025A"/>
    <w:rsid w:val="008F0C82"/>
    <w:rsid w:val="008F0E68"/>
    <w:rsid w:val="008F15C5"/>
    <w:rsid w:val="008F1E5B"/>
    <w:rsid w:val="008F3EC6"/>
    <w:rsid w:val="008F45C5"/>
    <w:rsid w:val="008F4897"/>
    <w:rsid w:val="008F4B90"/>
    <w:rsid w:val="008F516B"/>
    <w:rsid w:val="008F5959"/>
    <w:rsid w:val="008F59CF"/>
    <w:rsid w:val="008F5C90"/>
    <w:rsid w:val="008F638F"/>
    <w:rsid w:val="008F65DC"/>
    <w:rsid w:val="008F67CE"/>
    <w:rsid w:val="008F6EBB"/>
    <w:rsid w:val="008F735C"/>
    <w:rsid w:val="008F7B2C"/>
    <w:rsid w:val="009001F2"/>
    <w:rsid w:val="00900D5F"/>
    <w:rsid w:val="00901280"/>
    <w:rsid w:val="00901394"/>
    <w:rsid w:val="009013FB"/>
    <w:rsid w:val="009016C5"/>
    <w:rsid w:val="009018D1"/>
    <w:rsid w:val="0090242C"/>
    <w:rsid w:val="009032CE"/>
    <w:rsid w:val="00903340"/>
    <w:rsid w:val="009033A6"/>
    <w:rsid w:val="00903C38"/>
    <w:rsid w:val="009053CD"/>
    <w:rsid w:val="00905688"/>
    <w:rsid w:val="009061AD"/>
    <w:rsid w:val="009063F1"/>
    <w:rsid w:val="00906709"/>
    <w:rsid w:val="00907942"/>
    <w:rsid w:val="0091044D"/>
    <w:rsid w:val="00911597"/>
    <w:rsid w:val="009126A4"/>
    <w:rsid w:val="00913489"/>
    <w:rsid w:val="00913922"/>
    <w:rsid w:val="0091436D"/>
    <w:rsid w:val="0091491B"/>
    <w:rsid w:val="009149D0"/>
    <w:rsid w:val="0091522E"/>
    <w:rsid w:val="0091654F"/>
    <w:rsid w:val="009168E9"/>
    <w:rsid w:val="0091793F"/>
    <w:rsid w:val="00917B87"/>
    <w:rsid w:val="009203E0"/>
    <w:rsid w:val="0092044B"/>
    <w:rsid w:val="00920E05"/>
    <w:rsid w:val="009226A5"/>
    <w:rsid w:val="00922EE5"/>
    <w:rsid w:val="00923B8E"/>
    <w:rsid w:val="0092495F"/>
    <w:rsid w:val="00925289"/>
    <w:rsid w:val="009256B7"/>
    <w:rsid w:val="00925C0D"/>
    <w:rsid w:val="0092638E"/>
    <w:rsid w:val="00926D18"/>
    <w:rsid w:val="00927DCC"/>
    <w:rsid w:val="009306DE"/>
    <w:rsid w:val="0093098B"/>
    <w:rsid w:val="00931136"/>
    <w:rsid w:val="00931317"/>
    <w:rsid w:val="00931B4B"/>
    <w:rsid w:val="00931FBB"/>
    <w:rsid w:val="00932827"/>
    <w:rsid w:val="00932F58"/>
    <w:rsid w:val="0093399B"/>
    <w:rsid w:val="00933A72"/>
    <w:rsid w:val="00933C29"/>
    <w:rsid w:val="00933FAD"/>
    <w:rsid w:val="009341B7"/>
    <w:rsid w:val="009343D1"/>
    <w:rsid w:val="009347DD"/>
    <w:rsid w:val="009348D5"/>
    <w:rsid w:val="00936670"/>
    <w:rsid w:val="00936F45"/>
    <w:rsid w:val="00937246"/>
    <w:rsid w:val="009374B2"/>
    <w:rsid w:val="00937984"/>
    <w:rsid w:val="00937F4E"/>
    <w:rsid w:val="00937FEA"/>
    <w:rsid w:val="009408BB"/>
    <w:rsid w:val="00940B7E"/>
    <w:rsid w:val="009413D8"/>
    <w:rsid w:val="009416D2"/>
    <w:rsid w:val="009418B5"/>
    <w:rsid w:val="00942E2C"/>
    <w:rsid w:val="009442CC"/>
    <w:rsid w:val="00944454"/>
    <w:rsid w:val="00944516"/>
    <w:rsid w:val="00944E4F"/>
    <w:rsid w:val="009450FC"/>
    <w:rsid w:val="00945564"/>
    <w:rsid w:val="0094652A"/>
    <w:rsid w:val="009502BF"/>
    <w:rsid w:val="00950336"/>
    <w:rsid w:val="009506A0"/>
    <w:rsid w:val="00951108"/>
    <w:rsid w:val="009517CE"/>
    <w:rsid w:val="009522A7"/>
    <w:rsid w:val="00952967"/>
    <w:rsid w:val="00952986"/>
    <w:rsid w:val="00953C1E"/>
    <w:rsid w:val="00954134"/>
    <w:rsid w:val="0095424E"/>
    <w:rsid w:val="009544D2"/>
    <w:rsid w:val="00954A96"/>
    <w:rsid w:val="009559BB"/>
    <w:rsid w:val="00955B1B"/>
    <w:rsid w:val="00955E17"/>
    <w:rsid w:val="00955F46"/>
    <w:rsid w:val="009568E5"/>
    <w:rsid w:val="00956D67"/>
    <w:rsid w:val="009579E0"/>
    <w:rsid w:val="00960372"/>
    <w:rsid w:val="00960665"/>
    <w:rsid w:val="00960F94"/>
    <w:rsid w:val="00961A65"/>
    <w:rsid w:val="00961BE0"/>
    <w:rsid w:val="00962003"/>
    <w:rsid w:val="0096256A"/>
    <w:rsid w:val="00963711"/>
    <w:rsid w:val="0096373A"/>
    <w:rsid w:val="00963821"/>
    <w:rsid w:val="009649E4"/>
    <w:rsid w:val="00964CC5"/>
    <w:rsid w:val="0096528C"/>
    <w:rsid w:val="0096551A"/>
    <w:rsid w:val="0096616A"/>
    <w:rsid w:val="0096711F"/>
    <w:rsid w:val="00967D4C"/>
    <w:rsid w:val="0097024F"/>
    <w:rsid w:val="009705BD"/>
    <w:rsid w:val="009710CF"/>
    <w:rsid w:val="00971A94"/>
    <w:rsid w:val="009726A1"/>
    <w:rsid w:val="00972739"/>
    <w:rsid w:val="0097589D"/>
    <w:rsid w:val="00975ABC"/>
    <w:rsid w:val="009766DB"/>
    <w:rsid w:val="00976EE4"/>
    <w:rsid w:val="009771B3"/>
    <w:rsid w:val="00977602"/>
    <w:rsid w:val="009800BC"/>
    <w:rsid w:val="00980CDF"/>
    <w:rsid w:val="0098116A"/>
    <w:rsid w:val="00981AF2"/>
    <w:rsid w:val="00982338"/>
    <w:rsid w:val="0098337B"/>
    <w:rsid w:val="0098479C"/>
    <w:rsid w:val="00984CBC"/>
    <w:rsid w:val="009860DC"/>
    <w:rsid w:val="009867C2"/>
    <w:rsid w:val="009867F4"/>
    <w:rsid w:val="00987E83"/>
    <w:rsid w:val="0099011D"/>
    <w:rsid w:val="00991968"/>
    <w:rsid w:val="009919FA"/>
    <w:rsid w:val="00991C19"/>
    <w:rsid w:val="00991F66"/>
    <w:rsid w:val="00992292"/>
    <w:rsid w:val="0099229A"/>
    <w:rsid w:val="00992665"/>
    <w:rsid w:val="00993FBA"/>
    <w:rsid w:val="009951F5"/>
    <w:rsid w:val="00995F54"/>
    <w:rsid w:val="00996551"/>
    <w:rsid w:val="009965B3"/>
    <w:rsid w:val="009968C0"/>
    <w:rsid w:val="0099741D"/>
    <w:rsid w:val="009979AA"/>
    <w:rsid w:val="00997C7F"/>
    <w:rsid w:val="00997DD1"/>
    <w:rsid w:val="00997F06"/>
    <w:rsid w:val="009A07CC"/>
    <w:rsid w:val="009A1018"/>
    <w:rsid w:val="009A1684"/>
    <w:rsid w:val="009A1DA8"/>
    <w:rsid w:val="009A1F7B"/>
    <w:rsid w:val="009A25EF"/>
    <w:rsid w:val="009A2E0D"/>
    <w:rsid w:val="009A3C2E"/>
    <w:rsid w:val="009A3E79"/>
    <w:rsid w:val="009A3FF2"/>
    <w:rsid w:val="009A4DA7"/>
    <w:rsid w:val="009A4FBB"/>
    <w:rsid w:val="009A5504"/>
    <w:rsid w:val="009A586E"/>
    <w:rsid w:val="009A59E4"/>
    <w:rsid w:val="009A6B15"/>
    <w:rsid w:val="009A726E"/>
    <w:rsid w:val="009A79B0"/>
    <w:rsid w:val="009A7D5C"/>
    <w:rsid w:val="009A7F30"/>
    <w:rsid w:val="009B03E7"/>
    <w:rsid w:val="009B0759"/>
    <w:rsid w:val="009B09EB"/>
    <w:rsid w:val="009B103A"/>
    <w:rsid w:val="009B1891"/>
    <w:rsid w:val="009B24CE"/>
    <w:rsid w:val="009B3C71"/>
    <w:rsid w:val="009B469E"/>
    <w:rsid w:val="009B52BB"/>
    <w:rsid w:val="009B5BCB"/>
    <w:rsid w:val="009B5F75"/>
    <w:rsid w:val="009B6861"/>
    <w:rsid w:val="009B6C2F"/>
    <w:rsid w:val="009B6C60"/>
    <w:rsid w:val="009B7335"/>
    <w:rsid w:val="009C039D"/>
    <w:rsid w:val="009C0623"/>
    <w:rsid w:val="009C0CA6"/>
    <w:rsid w:val="009C0D8C"/>
    <w:rsid w:val="009C0ED2"/>
    <w:rsid w:val="009C172A"/>
    <w:rsid w:val="009C24D6"/>
    <w:rsid w:val="009C255A"/>
    <w:rsid w:val="009C2A4E"/>
    <w:rsid w:val="009C5306"/>
    <w:rsid w:val="009C57FC"/>
    <w:rsid w:val="009C60DA"/>
    <w:rsid w:val="009C631F"/>
    <w:rsid w:val="009C685F"/>
    <w:rsid w:val="009C7E5A"/>
    <w:rsid w:val="009D1777"/>
    <w:rsid w:val="009D2A47"/>
    <w:rsid w:val="009D308A"/>
    <w:rsid w:val="009D3B86"/>
    <w:rsid w:val="009D3F0B"/>
    <w:rsid w:val="009D5E87"/>
    <w:rsid w:val="009D6314"/>
    <w:rsid w:val="009D6FE6"/>
    <w:rsid w:val="009D7B84"/>
    <w:rsid w:val="009E11C6"/>
    <w:rsid w:val="009E1F2E"/>
    <w:rsid w:val="009E271F"/>
    <w:rsid w:val="009E35D2"/>
    <w:rsid w:val="009E36AC"/>
    <w:rsid w:val="009E382D"/>
    <w:rsid w:val="009E3D64"/>
    <w:rsid w:val="009E42E3"/>
    <w:rsid w:val="009E4BED"/>
    <w:rsid w:val="009E4E99"/>
    <w:rsid w:val="009E578D"/>
    <w:rsid w:val="009E6841"/>
    <w:rsid w:val="009E6AD6"/>
    <w:rsid w:val="009E7373"/>
    <w:rsid w:val="009E7448"/>
    <w:rsid w:val="009F0C3B"/>
    <w:rsid w:val="009F0F19"/>
    <w:rsid w:val="009F1415"/>
    <w:rsid w:val="009F1817"/>
    <w:rsid w:val="009F1CFA"/>
    <w:rsid w:val="009F310E"/>
    <w:rsid w:val="009F3C93"/>
    <w:rsid w:val="009F3EE1"/>
    <w:rsid w:val="009F45FD"/>
    <w:rsid w:val="009F516C"/>
    <w:rsid w:val="009F5373"/>
    <w:rsid w:val="009F5660"/>
    <w:rsid w:val="009F6A1E"/>
    <w:rsid w:val="009F6B33"/>
    <w:rsid w:val="009F7ED2"/>
    <w:rsid w:val="00A003D0"/>
    <w:rsid w:val="00A00707"/>
    <w:rsid w:val="00A014F3"/>
    <w:rsid w:val="00A019D2"/>
    <w:rsid w:val="00A01F74"/>
    <w:rsid w:val="00A021EF"/>
    <w:rsid w:val="00A024C8"/>
    <w:rsid w:val="00A02BCC"/>
    <w:rsid w:val="00A03496"/>
    <w:rsid w:val="00A0390D"/>
    <w:rsid w:val="00A03CE9"/>
    <w:rsid w:val="00A0489A"/>
    <w:rsid w:val="00A04DD6"/>
    <w:rsid w:val="00A05BD0"/>
    <w:rsid w:val="00A0645C"/>
    <w:rsid w:val="00A07952"/>
    <w:rsid w:val="00A07E6A"/>
    <w:rsid w:val="00A07F0D"/>
    <w:rsid w:val="00A07FA0"/>
    <w:rsid w:val="00A10397"/>
    <w:rsid w:val="00A105C2"/>
    <w:rsid w:val="00A1186C"/>
    <w:rsid w:val="00A11D41"/>
    <w:rsid w:val="00A12341"/>
    <w:rsid w:val="00A12407"/>
    <w:rsid w:val="00A128C0"/>
    <w:rsid w:val="00A140FC"/>
    <w:rsid w:val="00A175C6"/>
    <w:rsid w:val="00A17743"/>
    <w:rsid w:val="00A2249A"/>
    <w:rsid w:val="00A226B8"/>
    <w:rsid w:val="00A2287B"/>
    <w:rsid w:val="00A22CE3"/>
    <w:rsid w:val="00A234B9"/>
    <w:rsid w:val="00A23976"/>
    <w:rsid w:val="00A25880"/>
    <w:rsid w:val="00A262A8"/>
    <w:rsid w:val="00A2773B"/>
    <w:rsid w:val="00A313C5"/>
    <w:rsid w:val="00A31662"/>
    <w:rsid w:val="00A31808"/>
    <w:rsid w:val="00A3227F"/>
    <w:rsid w:val="00A329FB"/>
    <w:rsid w:val="00A333A7"/>
    <w:rsid w:val="00A33DB0"/>
    <w:rsid w:val="00A3501D"/>
    <w:rsid w:val="00A3565D"/>
    <w:rsid w:val="00A35A7E"/>
    <w:rsid w:val="00A35B84"/>
    <w:rsid w:val="00A36535"/>
    <w:rsid w:val="00A367C6"/>
    <w:rsid w:val="00A367EA"/>
    <w:rsid w:val="00A36AEE"/>
    <w:rsid w:val="00A36BB8"/>
    <w:rsid w:val="00A40569"/>
    <w:rsid w:val="00A40A11"/>
    <w:rsid w:val="00A40EF5"/>
    <w:rsid w:val="00A414F6"/>
    <w:rsid w:val="00A42328"/>
    <w:rsid w:val="00A424AC"/>
    <w:rsid w:val="00A42986"/>
    <w:rsid w:val="00A439A3"/>
    <w:rsid w:val="00A43AB9"/>
    <w:rsid w:val="00A442CD"/>
    <w:rsid w:val="00A44628"/>
    <w:rsid w:val="00A45B21"/>
    <w:rsid w:val="00A45B78"/>
    <w:rsid w:val="00A45EFD"/>
    <w:rsid w:val="00A45F8C"/>
    <w:rsid w:val="00A46A36"/>
    <w:rsid w:val="00A47053"/>
    <w:rsid w:val="00A47AB7"/>
    <w:rsid w:val="00A47FE8"/>
    <w:rsid w:val="00A505CB"/>
    <w:rsid w:val="00A50675"/>
    <w:rsid w:val="00A52477"/>
    <w:rsid w:val="00A5317E"/>
    <w:rsid w:val="00A53836"/>
    <w:rsid w:val="00A551A7"/>
    <w:rsid w:val="00A559D7"/>
    <w:rsid w:val="00A55D93"/>
    <w:rsid w:val="00A561AF"/>
    <w:rsid w:val="00A56903"/>
    <w:rsid w:val="00A57745"/>
    <w:rsid w:val="00A5776B"/>
    <w:rsid w:val="00A57B40"/>
    <w:rsid w:val="00A61366"/>
    <w:rsid w:val="00A615EA"/>
    <w:rsid w:val="00A617D4"/>
    <w:rsid w:val="00A61A88"/>
    <w:rsid w:val="00A61D4D"/>
    <w:rsid w:val="00A61E54"/>
    <w:rsid w:val="00A628A0"/>
    <w:rsid w:val="00A63F7C"/>
    <w:rsid w:val="00A655E4"/>
    <w:rsid w:val="00A66B27"/>
    <w:rsid w:val="00A66FE9"/>
    <w:rsid w:val="00A66FF1"/>
    <w:rsid w:val="00A70B9A"/>
    <w:rsid w:val="00A70DBF"/>
    <w:rsid w:val="00A73182"/>
    <w:rsid w:val="00A732C5"/>
    <w:rsid w:val="00A73E27"/>
    <w:rsid w:val="00A7405B"/>
    <w:rsid w:val="00A745C2"/>
    <w:rsid w:val="00A7499E"/>
    <w:rsid w:val="00A757E7"/>
    <w:rsid w:val="00A75A63"/>
    <w:rsid w:val="00A76856"/>
    <w:rsid w:val="00A77781"/>
    <w:rsid w:val="00A77A5E"/>
    <w:rsid w:val="00A77BF8"/>
    <w:rsid w:val="00A8042F"/>
    <w:rsid w:val="00A80C08"/>
    <w:rsid w:val="00A80EAB"/>
    <w:rsid w:val="00A81412"/>
    <w:rsid w:val="00A81F34"/>
    <w:rsid w:val="00A823CB"/>
    <w:rsid w:val="00A82D82"/>
    <w:rsid w:val="00A83342"/>
    <w:rsid w:val="00A83369"/>
    <w:rsid w:val="00A83386"/>
    <w:rsid w:val="00A835C9"/>
    <w:rsid w:val="00A84971"/>
    <w:rsid w:val="00A8637F"/>
    <w:rsid w:val="00A87E46"/>
    <w:rsid w:val="00A90100"/>
    <w:rsid w:val="00A90561"/>
    <w:rsid w:val="00A9158A"/>
    <w:rsid w:val="00A91878"/>
    <w:rsid w:val="00A93B40"/>
    <w:rsid w:val="00A94105"/>
    <w:rsid w:val="00A9444E"/>
    <w:rsid w:val="00A944F2"/>
    <w:rsid w:val="00A954EF"/>
    <w:rsid w:val="00A96300"/>
    <w:rsid w:val="00A9767A"/>
    <w:rsid w:val="00A9771D"/>
    <w:rsid w:val="00AA09D3"/>
    <w:rsid w:val="00AA1BDE"/>
    <w:rsid w:val="00AA2021"/>
    <w:rsid w:val="00AA22B4"/>
    <w:rsid w:val="00AA2BBC"/>
    <w:rsid w:val="00AA38F6"/>
    <w:rsid w:val="00AA3E11"/>
    <w:rsid w:val="00AA3E68"/>
    <w:rsid w:val="00AA42D9"/>
    <w:rsid w:val="00AA4D9A"/>
    <w:rsid w:val="00AA4FE8"/>
    <w:rsid w:val="00AA57BC"/>
    <w:rsid w:val="00AA5848"/>
    <w:rsid w:val="00AA59DC"/>
    <w:rsid w:val="00AA7162"/>
    <w:rsid w:val="00AB09CE"/>
    <w:rsid w:val="00AB0B2F"/>
    <w:rsid w:val="00AB0D66"/>
    <w:rsid w:val="00AB1033"/>
    <w:rsid w:val="00AB105C"/>
    <w:rsid w:val="00AB1A4D"/>
    <w:rsid w:val="00AB2657"/>
    <w:rsid w:val="00AB275F"/>
    <w:rsid w:val="00AB279A"/>
    <w:rsid w:val="00AB2982"/>
    <w:rsid w:val="00AB3961"/>
    <w:rsid w:val="00AB3FAD"/>
    <w:rsid w:val="00AB4AE8"/>
    <w:rsid w:val="00AB50C8"/>
    <w:rsid w:val="00AB5F7F"/>
    <w:rsid w:val="00AB68B9"/>
    <w:rsid w:val="00AB78E7"/>
    <w:rsid w:val="00AB79A5"/>
    <w:rsid w:val="00AB7DD8"/>
    <w:rsid w:val="00AB7FBA"/>
    <w:rsid w:val="00AC0276"/>
    <w:rsid w:val="00AC1B0D"/>
    <w:rsid w:val="00AC359D"/>
    <w:rsid w:val="00AC3D5E"/>
    <w:rsid w:val="00AC4094"/>
    <w:rsid w:val="00AC4305"/>
    <w:rsid w:val="00AC43FE"/>
    <w:rsid w:val="00AC4BD1"/>
    <w:rsid w:val="00AC5069"/>
    <w:rsid w:val="00AC5C70"/>
    <w:rsid w:val="00AC7BA7"/>
    <w:rsid w:val="00AD09E8"/>
    <w:rsid w:val="00AD0E7D"/>
    <w:rsid w:val="00AD0E84"/>
    <w:rsid w:val="00AD1036"/>
    <w:rsid w:val="00AD103E"/>
    <w:rsid w:val="00AD13A8"/>
    <w:rsid w:val="00AD15DE"/>
    <w:rsid w:val="00AD18FF"/>
    <w:rsid w:val="00AD25D5"/>
    <w:rsid w:val="00AD283A"/>
    <w:rsid w:val="00AD2CAB"/>
    <w:rsid w:val="00AD3279"/>
    <w:rsid w:val="00AD3B6A"/>
    <w:rsid w:val="00AD4CB6"/>
    <w:rsid w:val="00AD5497"/>
    <w:rsid w:val="00AD577F"/>
    <w:rsid w:val="00AD6C77"/>
    <w:rsid w:val="00AD7066"/>
    <w:rsid w:val="00AD779E"/>
    <w:rsid w:val="00AE0860"/>
    <w:rsid w:val="00AE0915"/>
    <w:rsid w:val="00AE0BC7"/>
    <w:rsid w:val="00AE1373"/>
    <w:rsid w:val="00AE1734"/>
    <w:rsid w:val="00AE19BF"/>
    <w:rsid w:val="00AE1A27"/>
    <w:rsid w:val="00AE3677"/>
    <w:rsid w:val="00AE3F36"/>
    <w:rsid w:val="00AE5327"/>
    <w:rsid w:val="00AE5908"/>
    <w:rsid w:val="00AE6F03"/>
    <w:rsid w:val="00AE7214"/>
    <w:rsid w:val="00AE7D06"/>
    <w:rsid w:val="00AE7E6B"/>
    <w:rsid w:val="00AF0237"/>
    <w:rsid w:val="00AF0A67"/>
    <w:rsid w:val="00AF0FD1"/>
    <w:rsid w:val="00AF110F"/>
    <w:rsid w:val="00AF1C10"/>
    <w:rsid w:val="00AF1CBE"/>
    <w:rsid w:val="00AF1DD6"/>
    <w:rsid w:val="00AF2265"/>
    <w:rsid w:val="00AF2A81"/>
    <w:rsid w:val="00AF2F42"/>
    <w:rsid w:val="00AF3DAE"/>
    <w:rsid w:val="00AF3F71"/>
    <w:rsid w:val="00AF41BE"/>
    <w:rsid w:val="00AF4D43"/>
    <w:rsid w:val="00AF5536"/>
    <w:rsid w:val="00AF6FD1"/>
    <w:rsid w:val="00AF7BA1"/>
    <w:rsid w:val="00B00E3C"/>
    <w:rsid w:val="00B01003"/>
    <w:rsid w:val="00B010D4"/>
    <w:rsid w:val="00B0163D"/>
    <w:rsid w:val="00B01B86"/>
    <w:rsid w:val="00B01DB9"/>
    <w:rsid w:val="00B023DC"/>
    <w:rsid w:val="00B02F41"/>
    <w:rsid w:val="00B02FA8"/>
    <w:rsid w:val="00B03DBE"/>
    <w:rsid w:val="00B03FED"/>
    <w:rsid w:val="00B04C23"/>
    <w:rsid w:val="00B04E23"/>
    <w:rsid w:val="00B050A6"/>
    <w:rsid w:val="00B0551F"/>
    <w:rsid w:val="00B05A8E"/>
    <w:rsid w:val="00B064FE"/>
    <w:rsid w:val="00B074FA"/>
    <w:rsid w:val="00B07D2C"/>
    <w:rsid w:val="00B10F53"/>
    <w:rsid w:val="00B112B2"/>
    <w:rsid w:val="00B11C1B"/>
    <w:rsid w:val="00B13954"/>
    <w:rsid w:val="00B14C67"/>
    <w:rsid w:val="00B15F67"/>
    <w:rsid w:val="00B168CF"/>
    <w:rsid w:val="00B17611"/>
    <w:rsid w:val="00B17D3C"/>
    <w:rsid w:val="00B22154"/>
    <w:rsid w:val="00B229FE"/>
    <w:rsid w:val="00B22F8F"/>
    <w:rsid w:val="00B23002"/>
    <w:rsid w:val="00B230C0"/>
    <w:rsid w:val="00B24465"/>
    <w:rsid w:val="00B24649"/>
    <w:rsid w:val="00B24E15"/>
    <w:rsid w:val="00B25071"/>
    <w:rsid w:val="00B25108"/>
    <w:rsid w:val="00B25173"/>
    <w:rsid w:val="00B26FB1"/>
    <w:rsid w:val="00B27401"/>
    <w:rsid w:val="00B275D0"/>
    <w:rsid w:val="00B31089"/>
    <w:rsid w:val="00B318BB"/>
    <w:rsid w:val="00B318CB"/>
    <w:rsid w:val="00B31F78"/>
    <w:rsid w:val="00B32172"/>
    <w:rsid w:val="00B32803"/>
    <w:rsid w:val="00B32A80"/>
    <w:rsid w:val="00B334E6"/>
    <w:rsid w:val="00B34D2A"/>
    <w:rsid w:val="00B365C4"/>
    <w:rsid w:val="00B368F2"/>
    <w:rsid w:val="00B401B5"/>
    <w:rsid w:val="00B408EB"/>
    <w:rsid w:val="00B411A4"/>
    <w:rsid w:val="00B41C88"/>
    <w:rsid w:val="00B42E83"/>
    <w:rsid w:val="00B44AF8"/>
    <w:rsid w:val="00B473F8"/>
    <w:rsid w:val="00B479DC"/>
    <w:rsid w:val="00B5172A"/>
    <w:rsid w:val="00B52A8C"/>
    <w:rsid w:val="00B52EE6"/>
    <w:rsid w:val="00B531CE"/>
    <w:rsid w:val="00B545D2"/>
    <w:rsid w:val="00B54E75"/>
    <w:rsid w:val="00B54EEA"/>
    <w:rsid w:val="00B5512A"/>
    <w:rsid w:val="00B553BC"/>
    <w:rsid w:val="00B55792"/>
    <w:rsid w:val="00B55DB1"/>
    <w:rsid w:val="00B563D9"/>
    <w:rsid w:val="00B5735A"/>
    <w:rsid w:val="00B577B3"/>
    <w:rsid w:val="00B5799D"/>
    <w:rsid w:val="00B57B01"/>
    <w:rsid w:val="00B57CAC"/>
    <w:rsid w:val="00B57F52"/>
    <w:rsid w:val="00B57F62"/>
    <w:rsid w:val="00B60031"/>
    <w:rsid w:val="00B60819"/>
    <w:rsid w:val="00B60EB1"/>
    <w:rsid w:val="00B615B5"/>
    <w:rsid w:val="00B62690"/>
    <w:rsid w:val="00B64990"/>
    <w:rsid w:val="00B65A66"/>
    <w:rsid w:val="00B65D13"/>
    <w:rsid w:val="00B65E30"/>
    <w:rsid w:val="00B66521"/>
    <w:rsid w:val="00B67115"/>
    <w:rsid w:val="00B6758C"/>
    <w:rsid w:val="00B67AC7"/>
    <w:rsid w:val="00B723AF"/>
    <w:rsid w:val="00B729B1"/>
    <w:rsid w:val="00B73BAA"/>
    <w:rsid w:val="00B747A8"/>
    <w:rsid w:val="00B750CE"/>
    <w:rsid w:val="00B75505"/>
    <w:rsid w:val="00B75FA1"/>
    <w:rsid w:val="00B7630E"/>
    <w:rsid w:val="00B7737E"/>
    <w:rsid w:val="00B779CB"/>
    <w:rsid w:val="00B77A2D"/>
    <w:rsid w:val="00B8011C"/>
    <w:rsid w:val="00B80CD0"/>
    <w:rsid w:val="00B81119"/>
    <w:rsid w:val="00B8229F"/>
    <w:rsid w:val="00B836E9"/>
    <w:rsid w:val="00B83FE4"/>
    <w:rsid w:val="00B843CB"/>
    <w:rsid w:val="00B8448B"/>
    <w:rsid w:val="00B85786"/>
    <w:rsid w:val="00B859FB"/>
    <w:rsid w:val="00B85AF7"/>
    <w:rsid w:val="00B85E25"/>
    <w:rsid w:val="00B865D5"/>
    <w:rsid w:val="00B87479"/>
    <w:rsid w:val="00B8796D"/>
    <w:rsid w:val="00B903C2"/>
    <w:rsid w:val="00B90600"/>
    <w:rsid w:val="00B914C4"/>
    <w:rsid w:val="00B91BDB"/>
    <w:rsid w:val="00B91C45"/>
    <w:rsid w:val="00B9274F"/>
    <w:rsid w:val="00B92822"/>
    <w:rsid w:val="00B92908"/>
    <w:rsid w:val="00B92EF8"/>
    <w:rsid w:val="00B930DF"/>
    <w:rsid w:val="00B935CC"/>
    <w:rsid w:val="00B935D7"/>
    <w:rsid w:val="00B936BB"/>
    <w:rsid w:val="00B93EA2"/>
    <w:rsid w:val="00B941D3"/>
    <w:rsid w:val="00B94352"/>
    <w:rsid w:val="00B953A4"/>
    <w:rsid w:val="00B969F9"/>
    <w:rsid w:val="00B973FC"/>
    <w:rsid w:val="00BA0A9F"/>
    <w:rsid w:val="00BA151F"/>
    <w:rsid w:val="00BA26D1"/>
    <w:rsid w:val="00BA2CC4"/>
    <w:rsid w:val="00BA3461"/>
    <w:rsid w:val="00BA38A9"/>
    <w:rsid w:val="00BA3C7E"/>
    <w:rsid w:val="00BA3F06"/>
    <w:rsid w:val="00BA3FB8"/>
    <w:rsid w:val="00BA416F"/>
    <w:rsid w:val="00BA4B34"/>
    <w:rsid w:val="00BA4C5F"/>
    <w:rsid w:val="00BA4DA5"/>
    <w:rsid w:val="00BA4F82"/>
    <w:rsid w:val="00BA526D"/>
    <w:rsid w:val="00BA550E"/>
    <w:rsid w:val="00BA5904"/>
    <w:rsid w:val="00BA5FB7"/>
    <w:rsid w:val="00BA5FE0"/>
    <w:rsid w:val="00BA614C"/>
    <w:rsid w:val="00BA6B5D"/>
    <w:rsid w:val="00BA6F8C"/>
    <w:rsid w:val="00BA73D7"/>
    <w:rsid w:val="00BA79DA"/>
    <w:rsid w:val="00BA7C48"/>
    <w:rsid w:val="00BA7D32"/>
    <w:rsid w:val="00BB1E81"/>
    <w:rsid w:val="00BB29E1"/>
    <w:rsid w:val="00BB3352"/>
    <w:rsid w:val="00BB3AA7"/>
    <w:rsid w:val="00BB4134"/>
    <w:rsid w:val="00BB4DCB"/>
    <w:rsid w:val="00BB5BF9"/>
    <w:rsid w:val="00BB6946"/>
    <w:rsid w:val="00BC15E9"/>
    <w:rsid w:val="00BC1C51"/>
    <w:rsid w:val="00BC1E91"/>
    <w:rsid w:val="00BC1F12"/>
    <w:rsid w:val="00BC2BF1"/>
    <w:rsid w:val="00BC3E42"/>
    <w:rsid w:val="00BC3E9B"/>
    <w:rsid w:val="00BC3F74"/>
    <w:rsid w:val="00BC41D5"/>
    <w:rsid w:val="00BC45B7"/>
    <w:rsid w:val="00BC47A4"/>
    <w:rsid w:val="00BC639A"/>
    <w:rsid w:val="00BC6C9A"/>
    <w:rsid w:val="00BC6E6F"/>
    <w:rsid w:val="00BC7211"/>
    <w:rsid w:val="00BC7F04"/>
    <w:rsid w:val="00BD082D"/>
    <w:rsid w:val="00BD095F"/>
    <w:rsid w:val="00BD0F01"/>
    <w:rsid w:val="00BD1DA4"/>
    <w:rsid w:val="00BD1E41"/>
    <w:rsid w:val="00BD2962"/>
    <w:rsid w:val="00BD302B"/>
    <w:rsid w:val="00BD3356"/>
    <w:rsid w:val="00BD4975"/>
    <w:rsid w:val="00BD49C2"/>
    <w:rsid w:val="00BD4FBB"/>
    <w:rsid w:val="00BD5259"/>
    <w:rsid w:val="00BD538A"/>
    <w:rsid w:val="00BD57E0"/>
    <w:rsid w:val="00BD5B00"/>
    <w:rsid w:val="00BD5CF2"/>
    <w:rsid w:val="00BD6C5A"/>
    <w:rsid w:val="00BD6DE9"/>
    <w:rsid w:val="00BD6ED2"/>
    <w:rsid w:val="00BD6F1A"/>
    <w:rsid w:val="00BD7221"/>
    <w:rsid w:val="00BD7256"/>
    <w:rsid w:val="00BE066C"/>
    <w:rsid w:val="00BE16A6"/>
    <w:rsid w:val="00BE1915"/>
    <w:rsid w:val="00BE299A"/>
    <w:rsid w:val="00BE325B"/>
    <w:rsid w:val="00BE38C2"/>
    <w:rsid w:val="00BE38FB"/>
    <w:rsid w:val="00BE3D5E"/>
    <w:rsid w:val="00BE5550"/>
    <w:rsid w:val="00BE567C"/>
    <w:rsid w:val="00BE59E1"/>
    <w:rsid w:val="00BE5BC3"/>
    <w:rsid w:val="00BE6D21"/>
    <w:rsid w:val="00BE6DE2"/>
    <w:rsid w:val="00BE730E"/>
    <w:rsid w:val="00BE7909"/>
    <w:rsid w:val="00BE7E0C"/>
    <w:rsid w:val="00BF0224"/>
    <w:rsid w:val="00BF0A40"/>
    <w:rsid w:val="00BF0F2F"/>
    <w:rsid w:val="00BF1856"/>
    <w:rsid w:val="00BF3996"/>
    <w:rsid w:val="00BF3BA0"/>
    <w:rsid w:val="00BF3D56"/>
    <w:rsid w:val="00BF4A30"/>
    <w:rsid w:val="00BF667E"/>
    <w:rsid w:val="00BF71B1"/>
    <w:rsid w:val="00BF766B"/>
    <w:rsid w:val="00C00F12"/>
    <w:rsid w:val="00C01911"/>
    <w:rsid w:val="00C02429"/>
    <w:rsid w:val="00C02439"/>
    <w:rsid w:val="00C0287D"/>
    <w:rsid w:val="00C02B56"/>
    <w:rsid w:val="00C02E1A"/>
    <w:rsid w:val="00C0305C"/>
    <w:rsid w:val="00C0338F"/>
    <w:rsid w:val="00C03AAB"/>
    <w:rsid w:val="00C03FCA"/>
    <w:rsid w:val="00C045F2"/>
    <w:rsid w:val="00C04AF9"/>
    <w:rsid w:val="00C04C02"/>
    <w:rsid w:val="00C05215"/>
    <w:rsid w:val="00C05937"/>
    <w:rsid w:val="00C05E08"/>
    <w:rsid w:val="00C05F9F"/>
    <w:rsid w:val="00C06138"/>
    <w:rsid w:val="00C06DD9"/>
    <w:rsid w:val="00C07672"/>
    <w:rsid w:val="00C108FC"/>
    <w:rsid w:val="00C13419"/>
    <w:rsid w:val="00C1450F"/>
    <w:rsid w:val="00C152A9"/>
    <w:rsid w:val="00C15454"/>
    <w:rsid w:val="00C15493"/>
    <w:rsid w:val="00C15603"/>
    <w:rsid w:val="00C15BD5"/>
    <w:rsid w:val="00C15C8D"/>
    <w:rsid w:val="00C15E90"/>
    <w:rsid w:val="00C161C6"/>
    <w:rsid w:val="00C16FD0"/>
    <w:rsid w:val="00C17959"/>
    <w:rsid w:val="00C215C7"/>
    <w:rsid w:val="00C21727"/>
    <w:rsid w:val="00C21BD4"/>
    <w:rsid w:val="00C220AC"/>
    <w:rsid w:val="00C235A2"/>
    <w:rsid w:val="00C23A09"/>
    <w:rsid w:val="00C23C94"/>
    <w:rsid w:val="00C24315"/>
    <w:rsid w:val="00C24D1D"/>
    <w:rsid w:val="00C25057"/>
    <w:rsid w:val="00C2521D"/>
    <w:rsid w:val="00C25331"/>
    <w:rsid w:val="00C26692"/>
    <w:rsid w:val="00C26BC1"/>
    <w:rsid w:val="00C27159"/>
    <w:rsid w:val="00C27330"/>
    <w:rsid w:val="00C275D4"/>
    <w:rsid w:val="00C3014C"/>
    <w:rsid w:val="00C308B4"/>
    <w:rsid w:val="00C3092E"/>
    <w:rsid w:val="00C31597"/>
    <w:rsid w:val="00C3258A"/>
    <w:rsid w:val="00C32728"/>
    <w:rsid w:val="00C32764"/>
    <w:rsid w:val="00C32E90"/>
    <w:rsid w:val="00C33559"/>
    <w:rsid w:val="00C33B8B"/>
    <w:rsid w:val="00C3582F"/>
    <w:rsid w:val="00C37756"/>
    <w:rsid w:val="00C37A73"/>
    <w:rsid w:val="00C40339"/>
    <w:rsid w:val="00C40456"/>
    <w:rsid w:val="00C40947"/>
    <w:rsid w:val="00C40B56"/>
    <w:rsid w:val="00C40D8F"/>
    <w:rsid w:val="00C41E31"/>
    <w:rsid w:val="00C41FA1"/>
    <w:rsid w:val="00C42AC5"/>
    <w:rsid w:val="00C4393C"/>
    <w:rsid w:val="00C43A8C"/>
    <w:rsid w:val="00C43C4B"/>
    <w:rsid w:val="00C43D87"/>
    <w:rsid w:val="00C4447A"/>
    <w:rsid w:val="00C44B17"/>
    <w:rsid w:val="00C45CCE"/>
    <w:rsid w:val="00C462F6"/>
    <w:rsid w:val="00C46328"/>
    <w:rsid w:val="00C46346"/>
    <w:rsid w:val="00C4728F"/>
    <w:rsid w:val="00C475E5"/>
    <w:rsid w:val="00C47C54"/>
    <w:rsid w:val="00C5083C"/>
    <w:rsid w:val="00C519DD"/>
    <w:rsid w:val="00C51A17"/>
    <w:rsid w:val="00C52807"/>
    <w:rsid w:val="00C52A31"/>
    <w:rsid w:val="00C52F4A"/>
    <w:rsid w:val="00C532FB"/>
    <w:rsid w:val="00C53560"/>
    <w:rsid w:val="00C54076"/>
    <w:rsid w:val="00C54195"/>
    <w:rsid w:val="00C54C7D"/>
    <w:rsid w:val="00C55428"/>
    <w:rsid w:val="00C55E21"/>
    <w:rsid w:val="00C57569"/>
    <w:rsid w:val="00C57808"/>
    <w:rsid w:val="00C5786A"/>
    <w:rsid w:val="00C57A74"/>
    <w:rsid w:val="00C606C6"/>
    <w:rsid w:val="00C60DE3"/>
    <w:rsid w:val="00C61E2C"/>
    <w:rsid w:val="00C61FDD"/>
    <w:rsid w:val="00C62672"/>
    <w:rsid w:val="00C63252"/>
    <w:rsid w:val="00C636EB"/>
    <w:rsid w:val="00C63AAC"/>
    <w:rsid w:val="00C64434"/>
    <w:rsid w:val="00C662E6"/>
    <w:rsid w:val="00C67407"/>
    <w:rsid w:val="00C67DE5"/>
    <w:rsid w:val="00C70D20"/>
    <w:rsid w:val="00C7199D"/>
    <w:rsid w:val="00C71F8E"/>
    <w:rsid w:val="00C720F4"/>
    <w:rsid w:val="00C726C5"/>
    <w:rsid w:val="00C72E0F"/>
    <w:rsid w:val="00C73503"/>
    <w:rsid w:val="00C73DE7"/>
    <w:rsid w:val="00C75064"/>
    <w:rsid w:val="00C76624"/>
    <w:rsid w:val="00C7679F"/>
    <w:rsid w:val="00C76B9D"/>
    <w:rsid w:val="00C771DD"/>
    <w:rsid w:val="00C77271"/>
    <w:rsid w:val="00C77853"/>
    <w:rsid w:val="00C7794C"/>
    <w:rsid w:val="00C80C37"/>
    <w:rsid w:val="00C82FAF"/>
    <w:rsid w:val="00C8328F"/>
    <w:rsid w:val="00C83557"/>
    <w:rsid w:val="00C83A1F"/>
    <w:rsid w:val="00C83C86"/>
    <w:rsid w:val="00C847FB"/>
    <w:rsid w:val="00C85414"/>
    <w:rsid w:val="00C85465"/>
    <w:rsid w:val="00C864E4"/>
    <w:rsid w:val="00C870B6"/>
    <w:rsid w:val="00C872C3"/>
    <w:rsid w:val="00C87812"/>
    <w:rsid w:val="00C87AD6"/>
    <w:rsid w:val="00C90081"/>
    <w:rsid w:val="00C90A2E"/>
    <w:rsid w:val="00C922D1"/>
    <w:rsid w:val="00C92BAD"/>
    <w:rsid w:val="00C935FA"/>
    <w:rsid w:val="00C939C7"/>
    <w:rsid w:val="00C93E95"/>
    <w:rsid w:val="00C9444C"/>
    <w:rsid w:val="00C95099"/>
    <w:rsid w:val="00C954E8"/>
    <w:rsid w:val="00C954FD"/>
    <w:rsid w:val="00C9550F"/>
    <w:rsid w:val="00C958CA"/>
    <w:rsid w:val="00C960B8"/>
    <w:rsid w:val="00C960F9"/>
    <w:rsid w:val="00C966FF"/>
    <w:rsid w:val="00C96998"/>
    <w:rsid w:val="00C96DBD"/>
    <w:rsid w:val="00C971FB"/>
    <w:rsid w:val="00C977D0"/>
    <w:rsid w:val="00C978B2"/>
    <w:rsid w:val="00CA00EA"/>
    <w:rsid w:val="00CA02E4"/>
    <w:rsid w:val="00CA1782"/>
    <w:rsid w:val="00CA19E7"/>
    <w:rsid w:val="00CA1FC2"/>
    <w:rsid w:val="00CA2763"/>
    <w:rsid w:val="00CA36C9"/>
    <w:rsid w:val="00CA4B5F"/>
    <w:rsid w:val="00CA5CC3"/>
    <w:rsid w:val="00CA5F86"/>
    <w:rsid w:val="00CA5FB7"/>
    <w:rsid w:val="00CA749B"/>
    <w:rsid w:val="00CA75E3"/>
    <w:rsid w:val="00CA7813"/>
    <w:rsid w:val="00CB01E3"/>
    <w:rsid w:val="00CB0ADE"/>
    <w:rsid w:val="00CB0AFF"/>
    <w:rsid w:val="00CB166C"/>
    <w:rsid w:val="00CB2043"/>
    <w:rsid w:val="00CB2BAB"/>
    <w:rsid w:val="00CB40FF"/>
    <w:rsid w:val="00CB5458"/>
    <w:rsid w:val="00CB5740"/>
    <w:rsid w:val="00CB598A"/>
    <w:rsid w:val="00CB5DFC"/>
    <w:rsid w:val="00CB6956"/>
    <w:rsid w:val="00CB6FC6"/>
    <w:rsid w:val="00CC0BFE"/>
    <w:rsid w:val="00CC183E"/>
    <w:rsid w:val="00CC1915"/>
    <w:rsid w:val="00CC2615"/>
    <w:rsid w:val="00CC31A9"/>
    <w:rsid w:val="00CC3FD6"/>
    <w:rsid w:val="00CC4AAA"/>
    <w:rsid w:val="00CC574B"/>
    <w:rsid w:val="00CC5F96"/>
    <w:rsid w:val="00CC6977"/>
    <w:rsid w:val="00CC705F"/>
    <w:rsid w:val="00CC79FB"/>
    <w:rsid w:val="00CC7A81"/>
    <w:rsid w:val="00CC7A98"/>
    <w:rsid w:val="00CC7B80"/>
    <w:rsid w:val="00CD05F4"/>
    <w:rsid w:val="00CD0616"/>
    <w:rsid w:val="00CD1737"/>
    <w:rsid w:val="00CD19DA"/>
    <w:rsid w:val="00CD222E"/>
    <w:rsid w:val="00CD2433"/>
    <w:rsid w:val="00CD2652"/>
    <w:rsid w:val="00CD354F"/>
    <w:rsid w:val="00CD3FEB"/>
    <w:rsid w:val="00CD48D7"/>
    <w:rsid w:val="00CD5854"/>
    <w:rsid w:val="00CD58BD"/>
    <w:rsid w:val="00CD6469"/>
    <w:rsid w:val="00CD6CF4"/>
    <w:rsid w:val="00CD75BA"/>
    <w:rsid w:val="00CD7B7D"/>
    <w:rsid w:val="00CE04F5"/>
    <w:rsid w:val="00CE09FB"/>
    <w:rsid w:val="00CE0F16"/>
    <w:rsid w:val="00CE269B"/>
    <w:rsid w:val="00CE2880"/>
    <w:rsid w:val="00CE2EE1"/>
    <w:rsid w:val="00CE3377"/>
    <w:rsid w:val="00CE3559"/>
    <w:rsid w:val="00CE3CBF"/>
    <w:rsid w:val="00CE4FEE"/>
    <w:rsid w:val="00CE54B0"/>
    <w:rsid w:val="00CE5952"/>
    <w:rsid w:val="00CE627E"/>
    <w:rsid w:val="00CE6820"/>
    <w:rsid w:val="00CE69AC"/>
    <w:rsid w:val="00CE714C"/>
    <w:rsid w:val="00CE758B"/>
    <w:rsid w:val="00CE7F11"/>
    <w:rsid w:val="00CF027B"/>
    <w:rsid w:val="00CF030F"/>
    <w:rsid w:val="00CF0478"/>
    <w:rsid w:val="00CF0D9C"/>
    <w:rsid w:val="00CF1A16"/>
    <w:rsid w:val="00CF2896"/>
    <w:rsid w:val="00CF29B1"/>
    <w:rsid w:val="00CF3EC9"/>
    <w:rsid w:val="00CF460F"/>
    <w:rsid w:val="00CF5291"/>
    <w:rsid w:val="00CF553B"/>
    <w:rsid w:val="00CF5D09"/>
    <w:rsid w:val="00CF7323"/>
    <w:rsid w:val="00D00043"/>
    <w:rsid w:val="00D0008F"/>
    <w:rsid w:val="00D00214"/>
    <w:rsid w:val="00D016D4"/>
    <w:rsid w:val="00D01CE7"/>
    <w:rsid w:val="00D0493D"/>
    <w:rsid w:val="00D05787"/>
    <w:rsid w:val="00D05D74"/>
    <w:rsid w:val="00D05E56"/>
    <w:rsid w:val="00D06186"/>
    <w:rsid w:val="00D06341"/>
    <w:rsid w:val="00D0670D"/>
    <w:rsid w:val="00D07BA3"/>
    <w:rsid w:val="00D10799"/>
    <w:rsid w:val="00D11602"/>
    <w:rsid w:val="00D11708"/>
    <w:rsid w:val="00D11C06"/>
    <w:rsid w:val="00D12E6B"/>
    <w:rsid w:val="00D12FB0"/>
    <w:rsid w:val="00D137E7"/>
    <w:rsid w:val="00D1443F"/>
    <w:rsid w:val="00D1479A"/>
    <w:rsid w:val="00D15E5D"/>
    <w:rsid w:val="00D16168"/>
    <w:rsid w:val="00D16A62"/>
    <w:rsid w:val="00D16C80"/>
    <w:rsid w:val="00D177F9"/>
    <w:rsid w:val="00D17A2B"/>
    <w:rsid w:val="00D2027C"/>
    <w:rsid w:val="00D20C89"/>
    <w:rsid w:val="00D211C1"/>
    <w:rsid w:val="00D21931"/>
    <w:rsid w:val="00D22726"/>
    <w:rsid w:val="00D22B0C"/>
    <w:rsid w:val="00D22FA6"/>
    <w:rsid w:val="00D233E8"/>
    <w:rsid w:val="00D23573"/>
    <w:rsid w:val="00D235BC"/>
    <w:rsid w:val="00D23D03"/>
    <w:rsid w:val="00D24D63"/>
    <w:rsid w:val="00D25608"/>
    <w:rsid w:val="00D26285"/>
    <w:rsid w:val="00D26703"/>
    <w:rsid w:val="00D26786"/>
    <w:rsid w:val="00D26990"/>
    <w:rsid w:val="00D26D04"/>
    <w:rsid w:val="00D26F55"/>
    <w:rsid w:val="00D273FE"/>
    <w:rsid w:val="00D2753A"/>
    <w:rsid w:val="00D278C0"/>
    <w:rsid w:val="00D301EF"/>
    <w:rsid w:val="00D30F79"/>
    <w:rsid w:val="00D319BB"/>
    <w:rsid w:val="00D31B62"/>
    <w:rsid w:val="00D3221C"/>
    <w:rsid w:val="00D32C35"/>
    <w:rsid w:val="00D344C1"/>
    <w:rsid w:val="00D35161"/>
    <w:rsid w:val="00D355F9"/>
    <w:rsid w:val="00D356A1"/>
    <w:rsid w:val="00D35B5B"/>
    <w:rsid w:val="00D4019A"/>
    <w:rsid w:val="00D41C8B"/>
    <w:rsid w:val="00D42A25"/>
    <w:rsid w:val="00D43026"/>
    <w:rsid w:val="00D43529"/>
    <w:rsid w:val="00D43530"/>
    <w:rsid w:val="00D444F9"/>
    <w:rsid w:val="00D44BD7"/>
    <w:rsid w:val="00D45DA7"/>
    <w:rsid w:val="00D46648"/>
    <w:rsid w:val="00D4671A"/>
    <w:rsid w:val="00D46D6F"/>
    <w:rsid w:val="00D4715F"/>
    <w:rsid w:val="00D4744F"/>
    <w:rsid w:val="00D478A6"/>
    <w:rsid w:val="00D50F53"/>
    <w:rsid w:val="00D5153B"/>
    <w:rsid w:val="00D518DD"/>
    <w:rsid w:val="00D519EB"/>
    <w:rsid w:val="00D52952"/>
    <w:rsid w:val="00D535C4"/>
    <w:rsid w:val="00D53AE2"/>
    <w:rsid w:val="00D54055"/>
    <w:rsid w:val="00D54CF0"/>
    <w:rsid w:val="00D54E2F"/>
    <w:rsid w:val="00D57D63"/>
    <w:rsid w:val="00D60B6E"/>
    <w:rsid w:val="00D61ADC"/>
    <w:rsid w:val="00D6373A"/>
    <w:rsid w:val="00D63A4E"/>
    <w:rsid w:val="00D63CD9"/>
    <w:rsid w:val="00D63DA5"/>
    <w:rsid w:val="00D657A9"/>
    <w:rsid w:val="00D663D2"/>
    <w:rsid w:val="00D66A18"/>
    <w:rsid w:val="00D67BDB"/>
    <w:rsid w:val="00D70652"/>
    <w:rsid w:val="00D71C67"/>
    <w:rsid w:val="00D71E07"/>
    <w:rsid w:val="00D72EE2"/>
    <w:rsid w:val="00D73356"/>
    <w:rsid w:val="00D73939"/>
    <w:rsid w:val="00D73D9A"/>
    <w:rsid w:val="00D73F95"/>
    <w:rsid w:val="00D75461"/>
    <w:rsid w:val="00D756A6"/>
    <w:rsid w:val="00D76065"/>
    <w:rsid w:val="00D7693A"/>
    <w:rsid w:val="00D7785D"/>
    <w:rsid w:val="00D802DE"/>
    <w:rsid w:val="00D80441"/>
    <w:rsid w:val="00D80ADA"/>
    <w:rsid w:val="00D80E0B"/>
    <w:rsid w:val="00D81279"/>
    <w:rsid w:val="00D81FF7"/>
    <w:rsid w:val="00D82839"/>
    <w:rsid w:val="00D833FD"/>
    <w:rsid w:val="00D83774"/>
    <w:rsid w:val="00D83C92"/>
    <w:rsid w:val="00D83D44"/>
    <w:rsid w:val="00D83FB2"/>
    <w:rsid w:val="00D85323"/>
    <w:rsid w:val="00D85559"/>
    <w:rsid w:val="00D8571B"/>
    <w:rsid w:val="00D86D98"/>
    <w:rsid w:val="00D86FB0"/>
    <w:rsid w:val="00D876A2"/>
    <w:rsid w:val="00D87BD5"/>
    <w:rsid w:val="00D87E4F"/>
    <w:rsid w:val="00D90026"/>
    <w:rsid w:val="00D9015F"/>
    <w:rsid w:val="00D90610"/>
    <w:rsid w:val="00D911CE"/>
    <w:rsid w:val="00D91EFF"/>
    <w:rsid w:val="00D92471"/>
    <w:rsid w:val="00D929DB"/>
    <w:rsid w:val="00D92B62"/>
    <w:rsid w:val="00D92F49"/>
    <w:rsid w:val="00D9315C"/>
    <w:rsid w:val="00D933C9"/>
    <w:rsid w:val="00D93DE0"/>
    <w:rsid w:val="00D953C0"/>
    <w:rsid w:val="00D95F7D"/>
    <w:rsid w:val="00D968D1"/>
    <w:rsid w:val="00D96B42"/>
    <w:rsid w:val="00D96B83"/>
    <w:rsid w:val="00DA0225"/>
    <w:rsid w:val="00DA293A"/>
    <w:rsid w:val="00DA3DCF"/>
    <w:rsid w:val="00DA3DDC"/>
    <w:rsid w:val="00DA41EC"/>
    <w:rsid w:val="00DA4D35"/>
    <w:rsid w:val="00DA4E30"/>
    <w:rsid w:val="00DA56BA"/>
    <w:rsid w:val="00DA5BA8"/>
    <w:rsid w:val="00DA679A"/>
    <w:rsid w:val="00DA7A4D"/>
    <w:rsid w:val="00DB0489"/>
    <w:rsid w:val="00DB05E1"/>
    <w:rsid w:val="00DB0BE9"/>
    <w:rsid w:val="00DB0EF3"/>
    <w:rsid w:val="00DB119C"/>
    <w:rsid w:val="00DB1545"/>
    <w:rsid w:val="00DB4AE5"/>
    <w:rsid w:val="00DB620D"/>
    <w:rsid w:val="00DB66C2"/>
    <w:rsid w:val="00DB76B1"/>
    <w:rsid w:val="00DC01EF"/>
    <w:rsid w:val="00DC0A68"/>
    <w:rsid w:val="00DC16E2"/>
    <w:rsid w:val="00DC24D0"/>
    <w:rsid w:val="00DC2B2B"/>
    <w:rsid w:val="00DC42D1"/>
    <w:rsid w:val="00DC437E"/>
    <w:rsid w:val="00DC492A"/>
    <w:rsid w:val="00DC499A"/>
    <w:rsid w:val="00DC4C98"/>
    <w:rsid w:val="00DC6211"/>
    <w:rsid w:val="00DC648E"/>
    <w:rsid w:val="00DC6561"/>
    <w:rsid w:val="00DC717F"/>
    <w:rsid w:val="00DC71BD"/>
    <w:rsid w:val="00DC7DB0"/>
    <w:rsid w:val="00DD0D28"/>
    <w:rsid w:val="00DD0E9F"/>
    <w:rsid w:val="00DD2747"/>
    <w:rsid w:val="00DD3755"/>
    <w:rsid w:val="00DD4085"/>
    <w:rsid w:val="00DD55C6"/>
    <w:rsid w:val="00DD62B3"/>
    <w:rsid w:val="00DD6831"/>
    <w:rsid w:val="00DD6AF0"/>
    <w:rsid w:val="00DE0166"/>
    <w:rsid w:val="00DE0AC7"/>
    <w:rsid w:val="00DE0F5D"/>
    <w:rsid w:val="00DE1276"/>
    <w:rsid w:val="00DE1560"/>
    <w:rsid w:val="00DE192E"/>
    <w:rsid w:val="00DE2947"/>
    <w:rsid w:val="00DE2D01"/>
    <w:rsid w:val="00DE33A4"/>
    <w:rsid w:val="00DE3656"/>
    <w:rsid w:val="00DE3E4A"/>
    <w:rsid w:val="00DE41E0"/>
    <w:rsid w:val="00DE52DD"/>
    <w:rsid w:val="00DE5FE4"/>
    <w:rsid w:val="00DE6B0E"/>
    <w:rsid w:val="00DE7754"/>
    <w:rsid w:val="00DE778F"/>
    <w:rsid w:val="00DE7948"/>
    <w:rsid w:val="00DF029F"/>
    <w:rsid w:val="00DF0451"/>
    <w:rsid w:val="00DF069D"/>
    <w:rsid w:val="00DF0BE3"/>
    <w:rsid w:val="00DF100F"/>
    <w:rsid w:val="00DF1490"/>
    <w:rsid w:val="00DF2059"/>
    <w:rsid w:val="00DF3E2D"/>
    <w:rsid w:val="00DF3EEE"/>
    <w:rsid w:val="00DF3F87"/>
    <w:rsid w:val="00DF50FD"/>
    <w:rsid w:val="00DF5516"/>
    <w:rsid w:val="00DF5909"/>
    <w:rsid w:val="00DF66D2"/>
    <w:rsid w:val="00DF731D"/>
    <w:rsid w:val="00DF747B"/>
    <w:rsid w:val="00E00041"/>
    <w:rsid w:val="00E0078E"/>
    <w:rsid w:val="00E00A16"/>
    <w:rsid w:val="00E020E2"/>
    <w:rsid w:val="00E02311"/>
    <w:rsid w:val="00E0250B"/>
    <w:rsid w:val="00E02667"/>
    <w:rsid w:val="00E02870"/>
    <w:rsid w:val="00E02EE7"/>
    <w:rsid w:val="00E0403C"/>
    <w:rsid w:val="00E04090"/>
    <w:rsid w:val="00E04F0A"/>
    <w:rsid w:val="00E0508A"/>
    <w:rsid w:val="00E057F2"/>
    <w:rsid w:val="00E066F8"/>
    <w:rsid w:val="00E068F3"/>
    <w:rsid w:val="00E076E5"/>
    <w:rsid w:val="00E07713"/>
    <w:rsid w:val="00E077D6"/>
    <w:rsid w:val="00E07BDF"/>
    <w:rsid w:val="00E07F99"/>
    <w:rsid w:val="00E102F9"/>
    <w:rsid w:val="00E11F34"/>
    <w:rsid w:val="00E11F77"/>
    <w:rsid w:val="00E120BA"/>
    <w:rsid w:val="00E127DE"/>
    <w:rsid w:val="00E12A73"/>
    <w:rsid w:val="00E13224"/>
    <w:rsid w:val="00E14006"/>
    <w:rsid w:val="00E14562"/>
    <w:rsid w:val="00E1511C"/>
    <w:rsid w:val="00E16176"/>
    <w:rsid w:val="00E16680"/>
    <w:rsid w:val="00E171FC"/>
    <w:rsid w:val="00E1736E"/>
    <w:rsid w:val="00E17604"/>
    <w:rsid w:val="00E20095"/>
    <w:rsid w:val="00E20137"/>
    <w:rsid w:val="00E20C3C"/>
    <w:rsid w:val="00E20D0E"/>
    <w:rsid w:val="00E219E1"/>
    <w:rsid w:val="00E21B09"/>
    <w:rsid w:val="00E21D34"/>
    <w:rsid w:val="00E2230D"/>
    <w:rsid w:val="00E225BD"/>
    <w:rsid w:val="00E22811"/>
    <w:rsid w:val="00E2305C"/>
    <w:rsid w:val="00E23191"/>
    <w:rsid w:val="00E247D4"/>
    <w:rsid w:val="00E251E9"/>
    <w:rsid w:val="00E255F2"/>
    <w:rsid w:val="00E25654"/>
    <w:rsid w:val="00E25866"/>
    <w:rsid w:val="00E26AEC"/>
    <w:rsid w:val="00E27961"/>
    <w:rsid w:val="00E315F0"/>
    <w:rsid w:val="00E31E19"/>
    <w:rsid w:val="00E32503"/>
    <w:rsid w:val="00E32BAA"/>
    <w:rsid w:val="00E32C04"/>
    <w:rsid w:val="00E3327D"/>
    <w:rsid w:val="00E33CF9"/>
    <w:rsid w:val="00E34369"/>
    <w:rsid w:val="00E346AC"/>
    <w:rsid w:val="00E34A06"/>
    <w:rsid w:val="00E3563E"/>
    <w:rsid w:val="00E37136"/>
    <w:rsid w:val="00E37472"/>
    <w:rsid w:val="00E377CC"/>
    <w:rsid w:val="00E37B80"/>
    <w:rsid w:val="00E40973"/>
    <w:rsid w:val="00E41FF7"/>
    <w:rsid w:val="00E42094"/>
    <w:rsid w:val="00E434E7"/>
    <w:rsid w:val="00E438F7"/>
    <w:rsid w:val="00E43947"/>
    <w:rsid w:val="00E43F55"/>
    <w:rsid w:val="00E44BEF"/>
    <w:rsid w:val="00E44F0F"/>
    <w:rsid w:val="00E4532C"/>
    <w:rsid w:val="00E45CA3"/>
    <w:rsid w:val="00E45E9E"/>
    <w:rsid w:val="00E469A1"/>
    <w:rsid w:val="00E503DE"/>
    <w:rsid w:val="00E50969"/>
    <w:rsid w:val="00E50EF4"/>
    <w:rsid w:val="00E5138B"/>
    <w:rsid w:val="00E513C7"/>
    <w:rsid w:val="00E51AB4"/>
    <w:rsid w:val="00E52432"/>
    <w:rsid w:val="00E5251C"/>
    <w:rsid w:val="00E52906"/>
    <w:rsid w:val="00E52C6F"/>
    <w:rsid w:val="00E53067"/>
    <w:rsid w:val="00E53294"/>
    <w:rsid w:val="00E5357C"/>
    <w:rsid w:val="00E53D67"/>
    <w:rsid w:val="00E5528F"/>
    <w:rsid w:val="00E5616E"/>
    <w:rsid w:val="00E563C4"/>
    <w:rsid w:val="00E56E02"/>
    <w:rsid w:val="00E57623"/>
    <w:rsid w:val="00E576CA"/>
    <w:rsid w:val="00E57778"/>
    <w:rsid w:val="00E57AF4"/>
    <w:rsid w:val="00E60C21"/>
    <w:rsid w:val="00E62191"/>
    <w:rsid w:val="00E62293"/>
    <w:rsid w:val="00E62379"/>
    <w:rsid w:val="00E62C4A"/>
    <w:rsid w:val="00E63578"/>
    <w:rsid w:val="00E6383A"/>
    <w:rsid w:val="00E63913"/>
    <w:rsid w:val="00E63B4F"/>
    <w:rsid w:val="00E63DBC"/>
    <w:rsid w:val="00E64141"/>
    <w:rsid w:val="00E64285"/>
    <w:rsid w:val="00E647B3"/>
    <w:rsid w:val="00E64D52"/>
    <w:rsid w:val="00E64FD3"/>
    <w:rsid w:val="00E65572"/>
    <w:rsid w:val="00E666CA"/>
    <w:rsid w:val="00E66974"/>
    <w:rsid w:val="00E66A53"/>
    <w:rsid w:val="00E66D55"/>
    <w:rsid w:val="00E67C07"/>
    <w:rsid w:val="00E701EA"/>
    <w:rsid w:val="00E70D6A"/>
    <w:rsid w:val="00E7151A"/>
    <w:rsid w:val="00E725DF"/>
    <w:rsid w:val="00E72ACD"/>
    <w:rsid w:val="00E74B20"/>
    <w:rsid w:val="00E74F9F"/>
    <w:rsid w:val="00E75D7D"/>
    <w:rsid w:val="00E7752F"/>
    <w:rsid w:val="00E77A59"/>
    <w:rsid w:val="00E800F9"/>
    <w:rsid w:val="00E8029F"/>
    <w:rsid w:val="00E80796"/>
    <w:rsid w:val="00E808BB"/>
    <w:rsid w:val="00E80F42"/>
    <w:rsid w:val="00E80FC4"/>
    <w:rsid w:val="00E8142A"/>
    <w:rsid w:val="00E8147C"/>
    <w:rsid w:val="00E81615"/>
    <w:rsid w:val="00E820CD"/>
    <w:rsid w:val="00E8299E"/>
    <w:rsid w:val="00E832C9"/>
    <w:rsid w:val="00E83389"/>
    <w:rsid w:val="00E83971"/>
    <w:rsid w:val="00E84134"/>
    <w:rsid w:val="00E84AD4"/>
    <w:rsid w:val="00E85752"/>
    <w:rsid w:val="00E866B9"/>
    <w:rsid w:val="00E86E97"/>
    <w:rsid w:val="00E87410"/>
    <w:rsid w:val="00E877F0"/>
    <w:rsid w:val="00E90382"/>
    <w:rsid w:val="00E9072B"/>
    <w:rsid w:val="00E90A80"/>
    <w:rsid w:val="00E90B05"/>
    <w:rsid w:val="00E9181A"/>
    <w:rsid w:val="00E91963"/>
    <w:rsid w:val="00E91BEA"/>
    <w:rsid w:val="00E9202A"/>
    <w:rsid w:val="00E92D34"/>
    <w:rsid w:val="00E939B9"/>
    <w:rsid w:val="00E941B7"/>
    <w:rsid w:val="00E94643"/>
    <w:rsid w:val="00E9518C"/>
    <w:rsid w:val="00E95448"/>
    <w:rsid w:val="00E95A3E"/>
    <w:rsid w:val="00E95F4D"/>
    <w:rsid w:val="00E96380"/>
    <w:rsid w:val="00E965E9"/>
    <w:rsid w:val="00E972F1"/>
    <w:rsid w:val="00E97655"/>
    <w:rsid w:val="00E978B8"/>
    <w:rsid w:val="00E979CD"/>
    <w:rsid w:val="00EA1649"/>
    <w:rsid w:val="00EA1BC8"/>
    <w:rsid w:val="00EA229B"/>
    <w:rsid w:val="00EA299E"/>
    <w:rsid w:val="00EA3266"/>
    <w:rsid w:val="00EA41C7"/>
    <w:rsid w:val="00EA5047"/>
    <w:rsid w:val="00EA5091"/>
    <w:rsid w:val="00EA639B"/>
    <w:rsid w:val="00EA6637"/>
    <w:rsid w:val="00EA66A7"/>
    <w:rsid w:val="00EA6CE1"/>
    <w:rsid w:val="00EA7DD2"/>
    <w:rsid w:val="00EA7EE1"/>
    <w:rsid w:val="00EB0356"/>
    <w:rsid w:val="00EB04B5"/>
    <w:rsid w:val="00EB0560"/>
    <w:rsid w:val="00EB05D6"/>
    <w:rsid w:val="00EB1CD3"/>
    <w:rsid w:val="00EB214C"/>
    <w:rsid w:val="00EB2649"/>
    <w:rsid w:val="00EB280F"/>
    <w:rsid w:val="00EB2F8E"/>
    <w:rsid w:val="00EB3336"/>
    <w:rsid w:val="00EB33AB"/>
    <w:rsid w:val="00EB35D9"/>
    <w:rsid w:val="00EB4143"/>
    <w:rsid w:val="00EB4185"/>
    <w:rsid w:val="00EB4C06"/>
    <w:rsid w:val="00EB4D16"/>
    <w:rsid w:val="00EB5322"/>
    <w:rsid w:val="00EB6DAB"/>
    <w:rsid w:val="00EB7180"/>
    <w:rsid w:val="00EB73AA"/>
    <w:rsid w:val="00EB73B2"/>
    <w:rsid w:val="00EC0321"/>
    <w:rsid w:val="00EC06EF"/>
    <w:rsid w:val="00EC1019"/>
    <w:rsid w:val="00EC1083"/>
    <w:rsid w:val="00EC25CA"/>
    <w:rsid w:val="00EC25DB"/>
    <w:rsid w:val="00EC2610"/>
    <w:rsid w:val="00EC2B61"/>
    <w:rsid w:val="00EC35E2"/>
    <w:rsid w:val="00EC3760"/>
    <w:rsid w:val="00EC43C5"/>
    <w:rsid w:val="00EC453E"/>
    <w:rsid w:val="00EC52BA"/>
    <w:rsid w:val="00EC5B00"/>
    <w:rsid w:val="00EC5D11"/>
    <w:rsid w:val="00EC6FB4"/>
    <w:rsid w:val="00EC70FC"/>
    <w:rsid w:val="00EC7489"/>
    <w:rsid w:val="00ED000D"/>
    <w:rsid w:val="00ED03DE"/>
    <w:rsid w:val="00ED0479"/>
    <w:rsid w:val="00ED06CE"/>
    <w:rsid w:val="00ED07F8"/>
    <w:rsid w:val="00ED0C46"/>
    <w:rsid w:val="00ED0E89"/>
    <w:rsid w:val="00ED161B"/>
    <w:rsid w:val="00ED18D3"/>
    <w:rsid w:val="00ED1EEA"/>
    <w:rsid w:val="00ED279D"/>
    <w:rsid w:val="00ED2EE5"/>
    <w:rsid w:val="00ED5381"/>
    <w:rsid w:val="00ED5486"/>
    <w:rsid w:val="00ED54A5"/>
    <w:rsid w:val="00ED5959"/>
    <w:rsid w:val="00ED60EE"/>
    <w:rsid w:val="00ED6E80"/>
    <w:rsid w:val="00ED6FF6"/>
    <w:rsid w:val="00ED727A"/>
    <w:rsid w:val="00ED7353"/>
    <w:rsid w:val="00ED7A83"/>
    <w:rsid w:val="00ED7E67"/>
    <w:rsid w:val="00EE0579"/>
    <w:rsid w:val="00EE139E"/>
    <w:rsid w:val="00EE1662"/>
    <w:rsid w:val="00EE22D4"/>
    <w:rsid w:val="00EE24C7"/>
    <w:rsid w:val="00EE4689"/>
    <w:rsid w:val="00EE4DCB"/>
    <w:rsid w:val="00EE5BB2"/>
    <w:rsid w:val="00EE6450"/>
    <w:rsid w:val="00EE6F11"/>
    <w:rsid w:val="00EE7ECF"/>
    <w:rsid w:val="00EF0F28"/>
    <w:rsid w:val="00EF0F80"/>
    <w:rsid w:val="00EF1515"/>
    <w:rsid w:val="00EF1F12"/>
    <w:rsid w:val="00EF265B"/>
    <w:rsid w:val="00EF4058"/>
    <w:rsid w:val="00EF5108"/>
    <w:rsid w:val="00EF59D8"/>
    <w:rsid w:val="00EF5A7B"/>
    <w:rsid w:val="00EF5DB7"/>
    <w:rsid w:val="00EF6BE3"/>
    <w:rsid w:val="00EF7B93"/>
    <w:rsid w:val="00EF7BA7"/>
    <w:rsid w:val="00F00254"/>
    <w:rsid w:val="00F005A9"/>
    <w:rsid w:val="00F01C3D"/>
    <w:rsid w:val="00F02481"/>
    <w:rsid w:val="00F02801"/>
    <w:rsid w:val="00F02E87"/>
    <w:rsid w:val="00F03D82"/>
    <w:rsid w:val="00F04691"/>
    <w:rsid w:val="00F04842"/>
    <w:rsid w:val="00F04F2A"/>
    <w:rsid w:val="00F05072"/>
    <w:rsid w:val="00F059FE"/>
    <w:rsid w:val="00F05C41"/>
    <w:rsid w:val="00F0604F"/>
    <w:rsid w:val="00F07440"/>
    <w:rsid w:val="00F0789E"/>
    <w:rsid w:val="00F07AD6"/>
    <w:rsid w:val="00F07C44"/>
    <w:rsid w:val="00F07EFB"/>
    <w:rsid w:val="00F10177"/>
    <w:rsid w:val="00F10F54"/>
    <w:rsid w:val="00F112BC"/>
    <w:rsid w:val="00F115B3"/>
    <w:rsid w:val="00F11924"/>
    <w:rsid w:val="00F120D0"/>
    <w:rsid w:val="00F12581"/>
    <w:rsid w:val="00F129DA"/>
    <w:rsid w:val="00F13FFD"/>
    <w:rsid w:val="00F14DB5"/>
    <w:rsid w:val="00F14EAE"/>
    <w:rsid w:val="00F150D8"/>
    <w:rsid w:val="00F15698"/>
    <w:rsid w:val="00F16B9A"/>
    <w:rsid w:val="00F20A4C"/>
    <w:rsid w:val="00F20CBD"/>
    <w:rsid w:val="00F212E0"/>
    <w:rsid w:val="00F2183C"/>
    <w:rsid w:val="00F21F58"/>
    <w:rsid w:val="00F22FD9"/>
    <w:rsid w:val="00F2336B"/>
    <w:rsid w:val="00F235F5"/>
    <w:rsid w:val="00F23E06"/>
    <w:rsid w:val="00F2467D"/>
    <w:rsid w:val="00F25555"/>
    <w:rsid w:val="00F25DB8"/>
    <w:rsid w:val="00F26267"/>
    <w:rsid w:val="00F27BB2"/>
    <w:rsid w:val="00F27C1A"/>
    <w:rsid w:val="00F27CB8"/>
    <w:rsid w:val="00F27CE3"/>
    <w:rsid w:val="00F309E0"/>
    <w:rsid w:val="00F3180E"/>
    <w:rsid w:val="00F32418"/>
    <w:rsid w:val="00F325A7"/>
    <w:rsid w:val="00F3344D"/>
    <w:rsid w:val="00F339CD"/>
    <w:rsid w:val="00F34FE0"/>
    <w:rsid w:val="00F35400"/>
    <w:rsid w:val="00F358AC"/>
    <w:rsid w:val="00F35C0C"/>
    <w:rsid w:val="00F35D90"/>
    <w:rsid w:val="00F36751"/>
    <w:rsid w:val="00F41D4E"/>
    <w:rsid w:val="00F421F0"/>
    <w:rsid w:val="00F42360"/>
    <w:rsid w:val="00F42D22"/>
    <w:rsid w:val="00F43BCE"/>
    <w:rsid w:val="00F44384"/>
    <w:rsid w:val="00F44C75"/>
    <w:rsid w:val="00F4503A"/>
    <w:rsid w:val="00F451EB"/>
    <w:rsid w:val="00F45EE6"/>
    <w:rsid w:val="00F4643C"/>
    <w:rsid w:val="00F47312"/>
    <w:rsid w:val="00F473F7"/>
    <w:rsid w:val="00F4788A"/>
    <w:rsid w:val="00F47E5C"/>
    <w:rsid w:val="00F50756"/>
    <w:rsid w:val="00F5111C"/>
    <w:rsid w:val="00F513D1"/>
    <w:rsid w:val="00F51629"/>
    <w:rsid w:val="00F519D3"/>
    <w:rsid w:val="00F520F1"/>
    <w:rsid w:val="00F52389"/>
    <w:rsid w:val="00F5314C"/>
    <w:rsid w:val="00F533CF"/>
    <w:rsid w:val="00F5465D"/>
    <w:rsid w:val="00F54BA5"/>
    <w:rsid w:val="00F54D7E"/>
    <w:rsid w:val="00F55828"/>
    <w:rsid w:val="00F55A3D"/>
    <w:rsid w:val="00F55EDB"/>
    <w:rsid w:val="00F560A4"/>
    <w:rsid w:val="00F56670"/>
    <w:rsid w:val="00F5777F"/>
    <w:rsid w:val="00F57A1C"/>
    <w:rsid w:val="00F57D0C"/>
    <w:rsid w:val="00F60917"/>
    <w:rsid w:val="00F60BAE"/>
    <w:rsid w:val="00F611F9"/>
    <w:rsid w:val="00F623A4"/>
    <w:rsid w:val="00F62BFA"/>
    <w:rsid w:val="00F62C0D"/>
    <w:rsid w:val="00F62C99"/>
    <w:rsid w:val="00F62D03"/>
    <w:rsid w:val="00F6346E"/>
    <w:rsid w:val="00F63934"/>
    <w:rsid w:val="00F63A90"/>
    <w:rsid w:val="00F63CB0"/>
    <w:rsid w:val="00F64FBC"/>
    <w:rsid w:val="00F65555"/>
    <w:rsid w:val="00F65CDB"/>
    <w:rsid w:val="00F665FE"/>
    <w:rsid w:val="00F668CC"/>
    <w:rsid w:val="00F67D95"/>
    <w:rsid w:val="00F70FDB"/>
    <w:rsid w:val="00F72246"/>
    <w:rsid w:val="00F737FB"/>
    <w:rsid w:val="00F73D93"/>
    <w:rsid w:val="00F747CD"/>
    <w:rsid w:val="00F7553F"/>
    <w:rsid w:val="00F75870"/>
    <w:rsid w:val="00F75F50"/>
    <w:rsid w:val="00F77249"/>
    <w:rsid w:val="00F77D9C"/>
    <w:rsid w:val="00F802CF"/>
    <w:rsid w:val="00F827EE"/>
    <w:rsid w:val="00F849DF"/>
    <w:rsid w:val="00F86B18"/>
    <w:rsid w:val="00F907E6"/>
    <w:rsid w:val="00F90F43"/>
    <w:rsid w:val="00F9108F"/>
    <w:rsid w:val="00F91C91"/>
    <w:rsid w:val="00F91DBA"/>
    <w:rsid w:val="00F928B9"/>
    <w:rsid w:val="00F92BD2"/>
    <w:rsid w:val="00F93300"/>
    <w:rsid w:val="00F935C9"/>
    <w:rsid w:val="00F93BDF"/>
    <w:rsid w:val="00F97EA4"/>
    <w:rsid w:val="00F97F47"/>
    <w:rsid w:val="00FA0087"/>
    <w:rsid w:val="00FA0608"/>
    <w:rsid w:val="00FA26CA"/>
    <w:rsid w:val="00FA30EC"/>
    <w:rsid w:val="00FA3BEF"/>
    <w:rsid w:val="00FA3E4F"/>
    <w:rsid w:val="00FA4229"/>
    <w:rsid w:val="00FA4D79"/>
    <w:rsid w:val="00FA56D8"/>
    <w:rsid w:val="00FA5A29"/>
    <w:rsid w:val="00FA61E4"/>
    <w:rsid w:val="00FA74B1"/>
    <w:rsid w:val="00FB02A6"/>
    <w:rsid w:val="00FB0688"/>
    <w:rsid w:val="00FB08D6"/>
    <w:rsid w:val="00FB0B07"/>
    <w:rsid w:val="00FB1249"/>
    <w:rsid w:val="00FB134C"/>
    <w:rsid w:val="00FB14B3"/>
    <w:rsid w:val="00FB1C15"/>
    <w:rsid w:val="00FB1D91"/>
    <w:rsid w:val="00FB2477"/>
    <w:rsid w:val="00FB26D7"/>
    <w:rsid w:val="00FB2DD5"/>
    <w:rsid w:val="00FB4DB3"/>
    <w:rsid w:val="00FB4E12"/>
    <w:rsid w:val="00FB5234"/>
    <w:rsid w:val="00FB5A2F"/>
    <w:rsid w:val="00FB61A5"/>
    <w:rsid w:val="00FB6351"/>
    <w:rsid w:val="00FB760F"/>
    <w:rsid w:val="00FB7947"/>
    <w:rsid w:val="00FC05EA"/>
    <w:rsid w:val="00FC08B2"/>
    <w:rsid w:val="00FC0EA0"/>
    <w:rsid w:val="00FC1DB8"/>
    <w:rsid w:val="00FC2173"/>
    <w:rsid w:val="00FC2629"/>
    <w:rsid w:val="00FC3752"/>
    <w:rsid w:val="00FC3D63"/>
    <w:rsid w:val="00FC4254"/>
    <w:rsid w:val="00FC4C36"/>
    <w:rsid w:val="00FC4D88"/>
    <w:rsid w:val="00FC5318"/>
    <w:rsid w:val="00FC628E"/>
    <w:rsid w:val="00FC7BD3"/>
    <w:rsid w:val="00FC7FEE"/>
    <w:rsid w:val="00FD0315"/>
    <w:rsid w:val="00FD049E"/>
    <w:rsid w:val="00FD05AA"/>
    <w:rsid w:val="00FD1715"/>
    <w:rsid w:val="00FD32CB"/>
    <w:rsid w:val="00FD3785"/>
    <w:rsid w:val="00FD4E81"/>
    <w:rsid w:val="00FD52DF"/>
    <w:rsid w:val="00FD5B1F"/>
    <w:rsid w:val="00FD5FF2"/>
    <w:rsid w:val="00FD687C"/>
    <w:rsid w:val="00FD7BF7"/>
    <w:rsid w:val="00FE03D3"/>
    <w:rsid w:val="00FE12D8"/>
    <w:rsid w:val="00FE16D9"/>
    <w:rsid w:val="00FE1AC2"/>
    <w:rsid w:val="00FE1E9F"/>
    <w:rsid w:val="00FE1F64"/>
    <w:rsid w:val="00FE255F"/>
    <w:rsid w:val="00FE33C6"/>
    <w:rsid w:val="00FE3682"/>
    <w:rsid w:val="00FE39CF"/>
    <w:rsid w:val="00FE3C8D"/>
    <w:rsid w:val="00FE4296"/>
    <w:rsid w:val="00FE54DE"/>
    <w:rsid w:val="00FE5517"/>
    <w:rsid w:val="00FE615F"/>
    <w:rsid w:val="00FE6D9F"/>
    <w:rsid w:val="00FE72F8"/>
    <w:rsid w:val="00FE7A67"/>
    <w:rsid w:val="00FE7C65"/>
    <w:rsid w:val="00FF00B5"/>
    <w:rsid w:val="00FF05EF"/>
    <w:rsid w:val="00FF09F8"/>
    <w:rsid w:val="00FF2AF9"/>
    <w:rsid w:val="00FF35CF"/>
    <w:rsid w:val="00FF410B"/>
    <w:rsid w:val="00FF4AC4"/>
    <w:rsid w:val="00FF52EC"/>
    <w:rsid w:val="00FF56C0"/>
    <w:rsid w:val="00FF6AE2"/>
    <w:rsid w:val="00FF6CD5"/>
    <w:rsid w:val="00FF6F18"/>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F5B29"/>
  <w15:chartTrackingRefBased/>
  <w15:docId w15:val="{A5A209E7-8437-48AA-A1D8-F5E9F6D7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1C"/>
  </w:style>
  <w:style w:type="paragraph" w:styleId="Heading1">
    <w:name w:val="heading 1"/>
    <w:basedOn w:val="Normal"/>
    <w:next w:val="Normal"/>
    <w:link w:val="Heading1Char"/>
    <w:uiPriority w:val="9"/>
    <w:qFormat/>
    <w:rsid w:val="00C64434"/>
    <w:pPr>
      <w:keepNext/>
      <w:keepLines/>
      <w:spacing w:before="240" w:after="0"/>
      <w:outlineLvl w:val="0"/>
    </w:pPr>
    <w:rPr>
      <w:rFonts w:ascii="Cambria" w:eastAsiaTheme="majorEastAsia" w:hAnsi="Cambria" w:cstheme="majorBidi"/>
      <w:b/>
      <w:color w:val="000000" w:themeColor="text1"/>
      <w:sz w:val="24"/>
      <w:szCs w:val="32"/>
    </w:rPr>
  </w:style>
  <w:style w:type="paragraph" w:styleId="Heading2">
    <w:name w:val="heading 2"/>
    <w:basedOn w:val="Normal"/>
    <w:next w:val="Normal"/>
    <w:link w:val="Heading2Char"/>
    <w:unhideWhenUsed/>
    <w:qFormat/>
    <w:rsid w:val="00C64434"/>
    <w:pPr>
      <w:keepNext/>
      <w:keepLines/>
      <w:spacing w:before="40" w:after="0"/>
      <w:outlineLvl w:val="1"/>
    </w:pPr>
    <w:rPr>
      <w:rFonts w:ascii="Cambria" w:eastAsiaTheme="majorEastAsia" w:hAnsi="Cambria" w:cstheme="majorBidi"/>
      <w:b/>
      <w:color w:val="000000" w:themeColor="text1"/>
      <w:sz w:val="24"/>
      <w:szCs w:val="26"/>
    </w:rPr>
  </w:style>
  <w:style w:type="paragraph" w:styleId="Heading3">
    <w:name w:val="heading 3"/>
    <w:basedOn w:val="Normal"/>
    <w:next w:val="Normal"/>
    <w:link w:val="Heading3Char"/>
    <w:unhideWhenUsed/>
    <w:qFormat/>
    <w:rsid w:val="00793C65"/>
    <w:pPr>
      <w:keepNext/>
      <w:keepLines/>
      <w:numPr>
        <w:numId w:val="6"/>
      </w:numPr>
      <w:spacing w:before="40" w:after="0"/>
      <w:outlineLvl w:val="2"/>
    </w:pPr>
    <w:rPr>
      <w:rFonts w:ascii="Cambria" w:eastAsiaTheme="majorEastAsia" w:hAnsi="Cambria" w:cstheme="majorBidi"/>
      <w:color w:val="000000" w:themeColor="text1"/>
      <w:sz w:val="24"/>
      <w:szCs w:val="24"/>
      <w:lang w:val="sq-AL"/>
    </w:rPr>
  </w:style>
  <w:style w:type="paragraph" w:styleId="Heading4">
    <w:name w:val="heading 4"/>
    <w:basedOn w:val="Normal"/>
    <w:next w:val="Normal"/>
    <w:link w:val="Heading4Char"/>
    <w:uiPriority w:val="9"/>
    <w:unhideWhenUsed/>
    <w:qFormat/>
    <w:rsid w:val="00C64434"/>
    <w:pPr>
      <w:keepNext/>
      <w:keepLines/>
      <w:numPr>
        <w:numId w:val="7"/>
      </w:numPr>
      <w:spacing w:before="40" w:after="0"/>
      <w:outlineLvl w:val="3"/>
    </w:pPr>
    <w:rPr>
      <w:rFonts w:ascii="Cambria" w:eastAsiaTheme="majorEastAsia" w:hAnsi="Cambria" w:cstheme="majorBidi"/>
      <w:iCs/>
      <w:color w:val="000000" w:themeColor="text1"/>
      <w:sz w:val="24"/>
      <w:lang w:val="sq-AL"/>
    </w:rPr>
  </w:style>
  <w:style w:type="paragraph" w:styleId="Heading5">
    <w:name w:val="heading 5"/>
    <w:basedOn w:val="Normal"/>
    <w:next w:val="Normal"/>
    <w:link w:val="Heading5Char"/>
    <w:uiPriority w:val="9"/>
    <w:unhideWhenUsed/>
    <w:qFormat/>
    <w:rsid w:val="00A655E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3C65"/>
    <w:rPr>
      <w:rFonts w:ascii="Cambria" w:eastAsiaTheme="majorEastAsia" w:hAnsi="Cambria" w:cstheme="majorBidi"/>
      <w:color w:val="000000" w:themeColor="text1"/>
      <w:sz w:val="24"/>
      <w:szCs w:val="24"/>
      <w:lang w:val="sq-AL"/>
    </w:rPr>
  </w:style>
  <w:style w:type="character" w:customStyle="1" w:styleId="Heading4Char">
    <w:name w:val="Heading 4 Char"/>
    <w:basedOn w:val="DefaultParagraphFont"/>
    <w:link w:val="Heading4"/>
    <w:uiPriority w:val="9"/>
    <w:rsid w:val="00C64434"/>
    <w:rPr>
      <w:rFonts w:ascii="Cambria" w:eastAsiaTheme="majorEastAsia" w:hAnsi="Cambria" w:cstheme="majorBidi"/>
      <w:iCs/>
      <w:color w:val="000000" w:themeColor="text1"/>
      <w:sz w:val="24"/>
      <w:lang w:val="sq-AL"/>
    </w:rPr>
  </w:style>
  <w:style w:type="paragraph" w:styleId="FootnoteText">
    <w:name w:val="footnote text"/>
    <w:basedOn w:val="Normal"/>
    <w:link w:val="FootnoteTextChar"/>
    <w:uiPriority w:val="99"/>
    <w:unhideWhenUsed/>
    <w:rsid w:val="009B24CE"/>
    <w:pPr>
      <w:spacing w:after="0" w:line="240" w:lineRule="auto"/>
    </w:pPr>
    <w:rPr>
      <w:rFonts w:eastAsia="Batang"/>
      <w:sz w:val="20"/>
      <w:szCs w:val="20"/>
      <w:lang w:val="sq-AL"/>
    </w:rPr>
  </w:style>
  <w:style w:type="character" w:customStyle="1" w:styleId="FootnoteTextChar">
    <w:name w:val="Footnote Text Char"/>
    <w:basedOn w:val="DefaultParagraphFont"/>
    <w:link w:val="FootnoteText"/>
    <w:uiPriority w:val="99"/>
    <w:rsid w:val="009B24CE"/>
    <w:rPr>
      <w:rFonts w:eastAsia="Batang"/>
      <w:sz w:val="20"/>
      <w:szCs w:val="20"/>
      <w:lang w:val="sq-AL"/>
    </w:rPr>
  </w:style>
  <w:style w:type="character" w:styleId="FootnoteReference">
    <w:name w:val="footnote reference"/>
    <w:basedOn w:val="DefaultParagraphFont"/>
    <w:uiPriority w:val="99"/>
    <w:unhideWhenUsed/>
    <w:rsid w:val="009B24CE"/>
    <w:rPr>
      <w:vertAlign w:val="superscript"/>
    </w:rPr>
  </w:style>
  <w:style w:type="paragraph" w:styleId="Header">
    <w:name w:val="header"/>
    <w:basedOn w:val="Normal"/>
    <w:link w:val="HeaderChar"/>
    <w:uiPriority w:val="99"/>
    <w:unhideWhenUsed/>
    <w:rsid w:val="00304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5BC"/>
  </w:style>
  <w:style w:type="paragraph" w:styleId="Footer">
    <w:name w:val="footer"/>
    <w:basedOn w:val="Normal"/>
    <w:link w:val="FooterChar"/>
    <w:uiPriority w:val="99"/>
    <w:unhideWhenUsed/>
    <w:rsid w:val="00304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5BC"/>
  </w:style>
  <w:style w:type="character" w:customStyle="1" w:styleId="Heading2Char">
    <w:name w:val="Heading 2 Char"/>
    <w:basedOn w:val="DefaultParagraphFont"/>
    <w:link w:val="Heading2"/>
    <w:rsid w:val="00C64434"/>
    <w:rPr>
      <w:rFonts w:ascii="Cambria" w:eastAsiaTheme="majorEastAsia" w:hAnsi="Cambria" w:cstheme="majorBidi"/>
      <w:b/>
      <w:color w:val="000000" w:themeColor="text1"/>
      <w:sz w:val="24"/>
      <w:szCs w:val="26"/>
    </w:rPr>
  </w:style>
  <w:style w:type="paragraph" w:styleId="ListParagraph">
    <w:name w:val="List Paragraph"/>
    <w:basedOn w:val="Normal"/>
    <w:uiPriority w:val="99"/>
    <w:qFormat/>
    <w:rsid w:val="00097511"/>
    <w:pPr>
      <w:ind w:left="720"/>
      <w:contextualSpacing/>
    </w:pPr>
  </w:style>
  <w:style w:type="character" w:styleId="CommentReference">
    <w:name w:val="annotation reference"/>
    <w:basedOn w:val="DefaultParagraphFont"/>
    <w:uiPriority w:val="99"/>
    <w:semiHidden/>
    <w:unhideWhenUsed/>
    <w:rsid w:val="00B77A2D"/>
    <w:rPr>
      <w:sz w:val="16"/>
      <w:szCs w:val="16"/>
    </w:rPr>
  </w:style>
  <w:style w:type="paragraph" w:styleId="CommentText">
    <w:name w:val="annotation text"/>
    <w:basedOn w:val="Normal"/>
    <w:link w:val="CommentTextChar"/>
    <w:uiPriority w:val="99"/>
    <w:semiHidden/>
    <w:unhideWhenUsed/>
    <w:rsid w:val="00B77A2D"/>
    <w:pPr>
      <w:spacing w:line="240" w:lineRule="auto"/>
    </w:pPr>
    <w:rPr>
      <w:sz w:val="20"/>
      <w:szCs w:val="20"/>
    </w:rPr>
  </w:style>
  <w:style w:type="character" w:customStyle="1" w:styleId="CommentTextChar">
    <w:name w:val="Comment Text Char"/>
    <w:basedOn w:val="DefaultParagraphFont"/>
    <w:link w:val="CommentText"/>
    <w:uiPriority w:val="99"/>
    <w:semiHidden/>
    <w:rsid w:val="00B77A2D"/>
    <w:rPr>
      <w:sz w:val="20"/>
      <w:szCs w:val="20"/>
    </w:rPr>
  </w:style>
  <w:style w:type="paragraph" w:styleId="CommentSubject">
    <w:name w:val="annotation subject"/>
    <w:basedOn w:val="CommentText"/>
    <w:next w:val="CommentText"/>
    <w:link w:val="CommentSubjectChar"/>
    <w:uiPriority w:val="99"/>
    <w:semiHidden/>
    <w:unhideWhenUsed/>
    <w:rsid w:val="00B77A2D"/>
    <w:rPr>
      <w:b/>
      <w:bCs/>
    </w:rPr>
  </w:style>
  <w:style w:type="character" w:customStyle="1" w:styleId="CommentSubjectChar">
    <w:name w:val="Comment Subject Char"/>
    <w:basedOn w:val="CommentTextChar"/>
    <w:link w:val="CommentSubject"/>
    <w:uiPriority w:val="99"/>
    <w:semiHidden/>
    <w:rsid w:val="00B77A2D"/>
    <w:rPr>
      <w:b/>
      <w:bCs/>
      <w:sz w:val="20"/>
      <w:szCs w:val="20"/>
    </w:rPr>
  </w:style>
  <w:style w:type="paragraph" w:styleId="BalloonText">
    <w:name w:val="Balloon Text"/>
    <w:basedOn w:val="Normal"/>
    <w:link w:val="BalloonTextChar"/>
    <w:uiPriority w:val="99"/>
    <w:semiHidden/>
    <w:unhideWhenUsed/>
    <w:rsid w:val="00B77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2D"/>
    <w:rPr>
      <w:rFonts w:ascii="Segoe UI" w:hAnsi="Segoe UI" w:cs="Segoe UI"/>
      <w:sz w:val="18"/>
      <w:szCs w:val="18"/>
    </w:rPr>
  </w:style>
  <w:style w:type="character" w:customStyle="1" w:styleId="Heading1Char">
    <w:name w:val="Heading 1 Char"/>
    <w:basedOn w:val="DefaultParagraphFont"/>
    <w:link w:val="Heading1"/>
    <w:uiPriority w:val="9"/>
    <w:rsid w:val="00C64434"/>
    <w:rPr>
      <w:rFonts w:ascii="Cambria" w:eastAsiaTheme="majorEastAsia" w:hAnsi="Cambria" w:cstheme="majorBidi"/>
      <w:b/>
      <w:color w:val="000000" w:themeColor="text1"/>
      <w:sz w:val="24"/>
      <w:szCs w:val="32"/>
    </w:rPr>
  </w:style>
  <w:style w:type="paragraph" w:styleId="Title">
    <w:name w:val="Title"/>
    <w:basedOn w:val="Normal"/>
    <w:next w:val="Normal"/>
    <w:link w:val="TitleChar"/>
    <w:uiPriority w:val="10"/>
    <w:qFormat/>
    <w:rsid w:val="00C64434"/>
    <w:pPr>
      <w:spacing w:after="0" w:line="240" w:lineRule="auto"/>
      <w:contextualSpacing/>
    </w:pPr>
    <w:rPr>
      <w:rFonts w:ascii="Cambria" w:eastAsiaTheme="majorEastAsia" w:hAnsi="Cambria" w:cstheme="majorBidi"/>
      <w:b/>
      <w:color w:val="C00000"/>
      <w:spacing w:val="-10"/>
      <w:kern w:val="28"/>
      <w:sz w:val="24"/>
      <w:szCs w:val="56"/>
    </w:rPr>
  </w:style>
  <w:style w:type="character" w:customStyle="1" w:styleId="TitleChar">
    <w:name w:val="Title Char"/>
    <w:basedOn w:val="DefaultParagraphFont"/>
    <w:link w:val="Title"/>
    <w:uiPriority w:val="10"/>
    <w:rsid w:val="00C64434"/>
    <w:rPr>
      <w:rFonts w:ascii="Cambria" w:eastAsiaTheme="majorEastAsia" w:hAnsi="Cambria" w:cstheme="majorBidi"/>
      <w:b/>
      <w:color w:val="C00000"/>
      <w:spacing w:val="-10"/>
      <w:kern w:val="28"/>
      <w:sz w:val="24"/>
      <w:szCs w:val="56"/>
    </w:rPr>
  </w:style>
  <w:style w:type="paragraph" w:styleId="TOCHeading">
    <w:name w:val="TOC Heading"/>
    <w:basedOn w:val="Heading1"/>
    <w:next w:val="Normal"/>
    <w:uiPriority w:val="39"/>
    <w:unhideWhenUsed/>
    <w:qFormat/>
    <w:rsid w:val="00C64434"/>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64434"/>
    <w:pPr>
      <w:spacing w:after="100"/>
    </w:pPr>
  </w:style>
  <w:style w:type="paragraph" w:styleId="TOC2">
    <w:name w:val="toc 2"/>
    <w:basedOn w:val="Normal"/>
    <w:next w:val="Normal"/>
    <w:autoRedefine/>
    <w:uiPriority w:val="39"/>
    <w:unhideWhenUsed/>
    <w:rsid w:val="005C0FF1"/>
    <w:pPr>
      <w:tabs>
        <w:tab w:val="left" w:pos="880"/>
        <w:tab w:val="right" w:leader="dot" w:pos="9017"/>
      </w:tabs>
      <w:spacing w:after="100"/>
      <w:ind w:left="851" w:hanging="401"/>
    </w:pPr>
  </w:style>
  <w:style w:type="paragraph" w:styleId="TOC3">
    <w:name w:val="toc 3"/>
    <w:basedOn w:val="Normal"/>
    <w:next w:val="Normal"/>
    <w:autoRedefine/>
    <w:uiPriority w:val="39"/>
    <w:unhideWhenUsed/>
    <w:rsid w:val="00720AC5"/>
    <w:pPr>
      <w:tabs>
        <w:tab w:val="left" w:pos="1320"/>
        <w:tab w:val="left" w:pos="1620"/>
        <w:tab w:val="right" w:leader="dot" w:pos="9017"/>
      </w:tabs>
      <w:spacing w:after="100"/>
      <w:ind w:left="440"/>
    </w:pPr>
  </w:style>
  <w:style w:type="character" w:styleId="Hyperlink">
    <w:name w:val="Hyperlink"/>
    <w:basedOn w:val="DefaultParagraphFont"/>
    <w:uiPriority w:val="99"/>
    <w:unhideWhenUsed/>
    <w:rsid w:val="00C64434"/>
    <w:rPr>
      <w:color w:val="0563C1" w:themeColor="hyperlink"/>
      <w:u w:val="single"/>
    </w:rPr>
  </w:style>
  <w:style w:type="paragraph" w:styleId="Subtitle">
    <w:name w:val="Subtitle"/>
    <w:basedOn w:val="Normal"/>
    <w:next w:val="Normal"/>
    <w:link w:val="SubtitleChar"/>
    <w:uiPriority w:val="11"/>
    <w:qFormat/>
    <w:rsid w:val="00781D91"/>
    <w:pPr>
      <w:numPr>
        <w:ilvl w:val="1"/>
      </w:numPr>
    </w:pPr>
    <w:rPr>
      <w:rFonts w:ascii="Cambria" w:eastAsiaTheme="minorEastAsia" w:hAnsi="Cambria"/>
      <w:b/>
      <w:color w:val="C00000"/>
      <w:spacing w:val="15"/>
      <w:sz w:val="24"/>
    </w:rPr>
  </w:style>
  <w:style w:type="character" w:customStyle="1" w:styleId="SubtitleChar">
    <w:name w:val="Subtitle Char"/>
    <w:basedOn w:val="DefaultParagraphFont"/>
    <w:link w:val="Subtitle"/>
    <w:uiPriority w:val="11"/>
    <w:rsid w:val="00781D91"/>
    <w:rPr>
      <w:rFonts w:ascii="Cambria" w:eastAsiaTheme="minorEastAsia" w:hAnsi="Cambria"/>
      <w:b/>
      <w:color w:val="C00000"/>
      <w:spacing w:val="15"/>
      <w:sz w:val="24"/>
    </w:rPr>
  </w:style>
  <w:style w:type="character" w:styleId="PlaceholderText">
    <w:name w:val="Placeholder Text"/>
    <w:basedOn w:val="DefaultParagraphFont"/>
    <w:uiPriority w:val="99"/>
    <w:semiHidden/>
    <w:rsid w:val="00062C61"/>
    <w:rPr>
      <w:color w:val="808080"/>
    </w:rPr>
  </w:style>
  <w:style w:type="paragraph" w:styleId="NoSpacing">
    <w:name w:val="No Spacing"/>
    <w:uiPriority w:val="1"/>
    <w:qFormat/>
    <w:rsid w:val="00062C61"/>
    <w:pPr>
      <w:spacing w:after="0" w:line="240" w:lineRule="auto"/>
    </w:pPr>
    <w:rPr>
      <w:color w:val="44546A" w:themeColor="text2"/>
      <w:sz w:val="20"/>
      <w:szCs w:val="20"/>
    </w:rPr>
  </w:style>
  <w:style w:type="paragraph" w:styleId="Revision">
    <w:name w:val="Revision"/>
    <w:hidden/>
    <w:uiPriority w:val="99"/>
    <w:semiHidden/>
    <w:rsid w:val="00107534"/>
    <w:pPr>
      <w:spacing w:after="0" w:line="240" w:lineRule="auto"/>
    </w:pPr>
  </w:style>
  <w:style w:type="character" w:customStyle="1" w:styleId="Heading5Char">
    <w:name w:val="Heading 5 Char"/>
    <w:basedOn w:val="DefaultParagraphFont"/>
    <w:link w:val="Heading5"/>
    <w:uiPriority w:val="9"/>
    <w:rsid w:val="00A655E4"/>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A655E4"/>
  </w:style>
  <w:style w:type="paragraph" w:styleId="NormalWeb">
    <w:name w:val="Normal (Web)"/>
    <w:basedOn w:val="Normal"/>
    <w:uiPriority w:val="99"/>
    <w:semiHidden/>
    <w:unhideWhenUsed/>
    <w:rsid w:val="00A655E4"/>
    <w:pPr>
      <w:spacing w:before="100" w:beforeAutospacing="1" w:after="100" w:afterAutospacing="1" w:line="240" w:lineRule="auto"/>
    </w:pPr>
    <w:rPr>
      <w:rFonts w:ascii="Times New Roman" w:eastAsiaTheme="minorEastAsia" w:hAnsi="Times New Roman" w:cs="Times New Roman"/>
      <w:sz w:val="24"/>
      <w:szCs w:val="24"/>
    </w:rPr>
  </w:style>
  <w:style w:type="paragraph" w:styleId="TOC4">
    <w:name w:val="toc 4"/>
    <w:basedOn w:val="Normal"/>
    <w:next w:val="Normal"/>
    <w:autoRedefine/>
    <w:uiPriority w:val="39"/>
    <w:unhideWhenUsed/>
    <w:rsid w:val="00A655E4"/>
    <w:pPr>
      <w:tabs>
        <w:tab w:val="left" w:pos="880"/>
        <w:tab w:val="right" w:leader="dot" w:pos="9360"/>
      </w:tabs>
      <w:spacing w:after="100"/>
      <w:ind w:left="900" w:hanging="450"/>
    </w:pPr>
    <w:rPr>
      <w:rFonts w:eastAsia="Batang"/>
      <w:lang w:val="sq-AL"/>
    </w:rPr>
  </w:style>
  <w:style w:type="paragraph" w:styleId="TOC5">
    <w:name w:val="toc 5"/>
    <w:basedOn w:val="Normal"/>
    <w:next w:val="Normal"/>
    <w:autoRedefine/>
    <w:uiPriority w:val="39"/>
    <w:unhideWhenUsed/>
    <w:rsid w:val="00A655E4"/>
    <w:pPr>
      <w:spacing w:after="100"/>
      <w:ind w:left="880"/>
    </w:pPr>
    <w:rPr>
      <w:rFonts w:eastAsia="Batang"/>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0963">
      <w:bodyDiv w:val="1"/>
      <w:marLeft w:val="0"/>
      <w:marRight w:val="0"/>
      <w:marTop w:val="0"/>
      <w:marBottom w:val="0"/>
      <w:divBdr>
        <w:top w:val="none" w:sz="0" w:space="0" w:color="auto"/>
        <w:left w:val="none" w:sz="0" w:space="0" w:color="auto"/>
        <w:bottom w:val="none" w:sz="0" w:space="0" w:color="auto"/>
        <w:right w:val="none" w:sz="0" w:space="0" w:color="auto"/>
      </w:divBdr>
    </w:div>
    <w:div w:id="454715953">
      <w:bodyDiv w:val="1"/>
      <w:marLeft w:val="0"/>
      <w:marRight w:val="0"/>
      <w:marTop w:val="0"/>
      <w:marBottom w:val="0"/>
      <w:divBdr>
        <w:top w:val="none" w:sz="0" w:space="0" w:color="auto"/>
        <w:left w:val="none" w:sz="0" w:space="0" w:color="auto"/>
        <w:bottom w:val="none" w:sz="0" w:space="0" w:color="auto"/>
        <w:right w:val="none" w:sz="0" w:space="0" w:color="auto"/>
      </w:divBdr>
    </w:div>
    <w:div w:id="591865055">
      <w:bodyDiv w:val="1"/>
      <w:marLeft w:val="0"/>
      <w:marRight w:val="0"/>
      <w:marTop w:val="0"/>
      <w:marBottom w:val="0"/>
      <w:divBdr>
        <w:top w:val="none" w:sz="0" w:space="0" w:color="auto"/>
        <w:left w:val="none" w:sz="0" w:space="0" w:color="auto"/>
        <w:bottom w:val="none" w:sz="0" w:space="0" w:color="auto"/>
        <w:right w:val="none" w:sz="0" w:space="0" w:color="auto"/>
      </w:divBdr>
    </w:div>
    <w:div w:id="631446463">
      <w:bodyDiv w:val="1"/>
      <w:marLeft w:val="0"/>
      <w:marRight w:val="0"/>
      <w:marTop w:val="0"/>
      <w:marBottom w:val="0"/>
      <w:divBdr>
        <w:top w:val="none" w:sz="0" w:space="0" w:color="auto"/>
        <w:left w:val="none" w:sz="0" w:space="0" w:color="auto"/>
        <w:bottom w:val="none" w:sz="0" w:space="0" w:color="auto"/>
        <w:right w:val="none" w:sz="0" w:space="0" w:color="auto"/>
      </w:divBdr>
    </w:div>
    <w:div w:id="716662970">
      <w:bodyDiv w:val="1"/>
      <w:marLeft w:val="0"/>
      <w:marRight w:val="0"/>
      <w:marTop w:val="0"/>
      <w:marBottom w:val="0"/>
      <w:divBdr>
        <w:top w:val="none" w:sz="0" w:space="0" w:color="auto"/>
        <w:left w:val="none" w:sz="0" w:space="0" w:color="auto"/>
        <w:bottom w:val="none" w:sz="0" w:space="0" w:color="auto"/>
        <w:right w:val="none" w:sz="0" w:space="0" w:color="auto"/>
      </w:divBdr>
    </w:div>
    <w:div w:id="720517578">
      <w:bodyDiv w:val="1"/>
      <w:marLeft w:val="0"/>
      <w:marRight w:val="0"/>
      <w:marTop w:val="0"/>
      <w:marBottom w:val="0"/>
      <w:divBdr>
        <w:top w:val="none" w:sz="0" w:space="0" w:color="auto"/>
        <w:left w:val="none" w:sz="0" w:space="0" w:color="auto"/>
        <w:bottom w:val="none" w:sz="0" w:space="0" w:color="auto"/>
        <w:right w:val="none" w:sz="0" w:space="0" w:color="auto"/>
      </w:divBdr>
    </w:div>
    <w:div w:id="760297619">
      <w:bodyDiv w:val="1"/>
      <w:marLeft w:val="0"/>
      <w:marRight w:val="0"/>
      <w:marTop w:val="0"/>
      <w:marBottom w:val="0"/>
      <w:divBdr>
        <w:top w:val="none" w:sz="0" w:space="0" w:color="auto"/>
        <w:left w:val="none" w:sz="0" w:space="0" w:color="auto"/>
        <w:bottom w:val="none" w:sz="0" w:space="0" w:color="auto"/>
        <w:right w:val="none" w:sz="0" w:space="0" w:color="auto"/>
      </w:divBdr>
    </w:div>
    <w:div w:id="817957929">
      <w:bodyDiv w:val="1"/>
      <w:marLeft w:val="0"/>
      <w:marRight w:val="0"/>
      <w:marTop w:val="0"/>
      <w:marBottom w:val="0"/>
      <w:divBdr>
        <w:top w:val="none" w:sz="0" w:space="0" w:color="auto"/>
        <w:left w:val="none" w:sz="0" w:space="0" w:color="auto"/>
        <w:bottom w:val="none" w:sz="0" w:space="0" w:color="auto"/>
        <w:right w:val="none" w:sz="0" w:space="0" w:color="auto"/>
      </w:divBdr>
    </w:div>
    <w:div w:id="918439184">
      <w:bodyDiv w:val="1"/>
      <w:marLeft w:val="0"/>
      <w:marRight w:val="0"/>
      <w:marTop w:val="0"/>
      <w:marBottom w:val="0"/>
      <w:divBdr>
        <w:top w:val="none" w:sz="0" w:space="0" w:color="auto"/>
        <w:left w:val="none" w:sz="0" w:space="0" w:color="auto"/>
        <w:bottom w:val="none" w:sz="0" w:space="0" w:color="auto"/>
        <w:right w:val="none" w:sz="0" w:space="0" w:color="auto"/>
      </w:divBdr>
    </w:div>
    <w:div w:id="1021473576">
      <w:bodyDiv w:val="1"/>
      <w:marLeft w:val="0"/>
      <w:marRight w:val="0"/>
      <w:marTop w:val="0"/>
      <w:marBottom w:val="0"/>
      <w:divBdr>
        <w:top w:val="none" w:sz="0" w:space="0" w:color="auto"/>
        <w:left w:val="none" w:sz="0" w:space="0" w:color="auto"/>
        <w:bottom w:val="none" w:sz="0" w:space="0" w:color="auto"/>
        <w:right w:val="none" w:sz="0" w:space="0" w:color="auto"/>
      </w:divBdr>
    </w:div>
    <w:div w:id="1043097436">
      <w:bodyDiv w:val="1"/>
      <w:marLeft w:val="0"/>
      <w:marRight w:val="0"/>
      <w:marTop w:val="0"/>
      <w:marBottom w:val="0"/>
      <w:divBdr>
        <w:top w:val="none" w:sz="0" w:space="0" w:color="auto"/>
        <w:left w:val="none" w:sz="0" w:space="0" w:color="auto"/>
        <w:bottom w:val="none" w:sz="0" w:space="0" w:color="auto"/>
        <w:right w:val="none" w:sz="0" w:space="0" w:color="auto"/>
      </w:divBdr>
    </w:div>
    <w:div w:id="1103955935">
      <w:bodyDiv w:val="1"/>
      <w:marLeft w:val="0"/>
      <w:marRight w:val="0"/>
      <w:marTop w:val="0"/>
      <w:marBottom w:val="0"/>
      <w:divBdr>
        <w:top w:val="none" w:sz="0" w:space="0" w:color="auto"/>
        <w:left w:val="none" w:sz="0" w:space="0" w:color="auto"/>
        <w:bottom w:val="none" w:sz="0" w:space="0" w:color="auto"/>
        <w:right w:val="none" w:sz="0" w:space="0" w:color="auto"/>
      </w:divBdr>
    </w:div>
    <w:div w:id="1164392420">
      <w:bodyDiv w:val="1"/>
      <w:marLeft w:val="0"/>
      <w:marRight w:val="0"/>
      <w:marTop w:val="0"/>
      <w:marBottom w:val="0"/>
      <w:divBdr>
        <w:top w:val="none" w:sz="0" w:space="0" w:color="auto"/>
        <w:left w:val="none" w:sz="0" w:space="0" w:color="auto"/>
        <w:bottom w:val="none" w:sz="0" w:space="0" w:color="auto"/>
        <w:right w:val="none" w:sz="0" w:space="0" w:color="auto"/>
      </w:divBdr>
    </w:div>
    <w:div w:id="1259485524">
      <w:bodyDiv w:val="1"/>
      <w:marLeft w:val="0"/>
      <w:marRight w:val="0"/>
      <w:marTop w:val="0"/>
      <w:marBottom w:val="0"/>
      <w:divBdr>
        <w:top w:val="none" w:sz="0" w:space="0" w:color="auto"/>
        <w:left w:val="none" w:sz="0" w:space="0" w:color="auto"/>
        <w:bottom w:val="none" w:sz="0" w:space="0" w:color="auto"/>
        <w:right w:val="none" w:sz="0" w:space="0" w:color="auto"/>
      </w:divBdr>
    </w:div>
    <w:div w:id="1422528127">
      <w:bodyDiv w:val="1"/>
      <w:marLeft w:val="0"/>
      <w:marRight w:val="0"/>
      <w:marTop w:val="0"/>
      <w:marBottom w:val="0"/>
      <w:divBdr>
        <w:top w:val="none" w:sz="0" w:space="0" w:color="auto"/>
        <w:left w:val="none" w:sz="0" w:space="0" w:color="auto"/>
        <w:bottom w:val="none" w:sz="0" w:space="0" w:color="auto"/>
        <w:right w:val="none" w:sz="0" w:space="0" w:color="auto"/>
      </w:divBdr>
    </w:div>
    <w:div w:id="1426071408">
      <w:bodyDiv w:val="1"/>
      <w:marLeft w:val="0"/>
      <w:marRight w:val="0"/>
      <w:marTop w:val="0"/>
      <w:marBottom w:val="0"/>
      <w:divBdr>
        <w:top w:val="none" w:sz="0" w:space="0" w:color="auto"/>
        <w:left w:val="none" w:sz="0" w:space="0" w:color="auto"/>
        <w:bottom w:val="none" w:sz="0" w:space="0" w:color="auto"/>
        <w:right w:val="none" w:sz="0" w:space="0" w:color="auto"/>
      </w:divBdr>
    </w:div>
    <w:div w:id="1679116361">
      <w:bodyDiv w:val="1"/>
      <w:marLeft w:val="0"/>
      <w:marRight w:val="0"/>
      <w:marTop w:val="0"/>
      <w:marBottom w:val="0"/>
      <w:divBdr>
        <w:top w:val="none" w:sz="0" w:space="0" w:color="auto"/>
        <w:left w:val="none" w:sz="0" w:space="0" w:color="auto"/>
        <w:bottom w:val="none" w:sz="0" w:space="0" w:color="auto"/>
        <w:right w:val="none" w:sz="0" w:space="0" w:color="auto"/>
      </w:divBdr>
    </w:div>
    <w:div w:id="1732583932">
      <w:bodyDiv w:val="1"/>
      <w:marLeft w:val="0"/>
      <w:marRight w:val="0"/>
      <w:marTop w:val="0"/>
      <w:marBottom w:val="0"/>
      <w:divBdr>
        <w:top w:val="none" w:sz="0" w:space="0" w:color="auto"/>
        <w:left w:val="none" w:sz="0" w:space="0" w:color="auto"/>
        <w:bottom w:val="none" w:sz="0" w:space="0" w:color="auto"/>
        <w:right w:val="none" w:sz="0" w:space="0" w:color="auto"/>
      </w:divBdr>
    </w:div>
    <w:div w:id="1832983308">
      <w:bodyDiv w:val="1"/>
      <w:marLeft w:val="0"/>
      <w:marRight w:val="0"/>
      <w:marTop w:val="0"/>
      <w:marBottom w:val="0"/>
      <w:divBdr>
        <w:top w:val="none" w:sz="0" w:space="0" w:color="auto"/>
        <w:left w:val="none" w:sz="0" w:space="0" w:color="auto"/>
        <w:bottom w:val="none" w:sz="0" w:space="0" w:color="auto"/>
        <w:right w:val="none" w:sz="0" w:space="0" w:color="auto"/>
      </w:divBdr>
    </w:div>
    <w:div w:id="1849827361">
      <w:bodyDiv w:val="1"/>
      <w:marLeft w:val="0"/>
      <w:marRight w:val="0"/>
      <w:marTop w:val="0"/>
      <w:marBottom w:val="0"/>
      <w:divBdr>
        <w:top w:val="none" w:sz="0" w:space="0" w:color="auto"/>
        <w:left w:val="none" w:sz="0" w:space="0" w:color="auto"/>
        <w:bottom w:val="none" w:sz="0" w:space="0" w:color="auto"/>
        <w:right w:val="none" w:sz="0" w:space="0" w:color="auto"/>
      </w:divBdr>
    </w:div>
    <w:div w:id="2016152896">
      <w:bodyDiv w:val="1"/>
      <w:marLeft w:val="0"/>
      <w:marRight w:val="0"/>
      <w:marTop w:val="0"/>
      <w:marBottom w:val="0"/>
      <w:divBdr>
        <w:top w:val="none" w:sz="0" w:space="0" w:color="auto"/>
        <w:left w:val="none" w:sz="0" w:space="0" w:color="auto"/>
        <w:bottom w:val="none" w:sz="0" w:space="0" w:color="auto"/>
        <w:right w:val="none" w:sz="0" w:space="0" w:color="auto"/>
      </w:divBdr>
      <w:divsChild>
        <w:div w:id="1313372015">
          <w:marLeft w:val="0"/>
          <w:marRight w:val="0"/>
          <w:marTop w:val="0"/>
          <w:marBottom w:val="0"/>
          <w:divBdr>
            <w:top w:val="none" w:sz="0" w:space="0" w:color="auto"/>
            <w:left w:val="none" w:sz="0" w:space="0" w:color="auto"/>
            <w:bottom w:val="none" w:sz="0" w:space="0" w:color="auto"/>
            <w:right w:val="none" w:sz="0" w:space="0" w:color="auto"/>
          </w:divBdr>
          <w:divsChild>
            <w:div w:id="167671945">
              <w:marLeft w:val="0"/>
              <w:marRight w:val="0"/>
              <w:marTop w:val="0"/>
              <w:marBottom w:val="0"/>
              <w:divBdr>
                <w:top w:val="none" w:sz="0" w:space="0" w:color="auto"/>
                <w:left w:val="none" w:sz="0" w:space="0" w:color="auto"/>
                <w:bottom w:val="none" w:sz="0" w:space="0" w:color="auto"/>
                <w:right w:val="none" w:sz="0" w:space="0" w:color="auto"/>
              </w:divBdr>
              <w:divsChild>
                <w:div w:id="288165562">
                  <w:marLeft w:val="-225"/>
                  <w:marRight w:val="-225"/>
                  <w:marTop w:val="0"/>
                  <w:marBottom w:val="0"/>
                  <w:divBdr>
                    <w:top w:val="none" w:sz="0" w:space="0" w:color="auto"/>
                    <w:left w:val="none" w:sz="0" w:space="0" w:color="auto"/>
                    <w:bottom w:val="none" w:sz="0" w:space="0" w:color="auto"/>
                    <w:right w:val="none" w:sz="0" w:space="0" w:color="auto"/>
                  </w:divBdr>
                  <w:divsChild>
                    <w:div w:id="2138326905">
                      <w:marLeft w:val="0"/>
                      <w:marRight w:val="0"/>
                      <w:marTop w:val="0"/>
                      <w:marBottom w:val="0"/>
                      <w:divBdr>
                        <w:top w:val="none" w:sz="0" w:space="0" w:color="auto"/>
                        <w:left w:val="none" w:sz="0" w:space="0" w:color="auto"/>
                        <w:bottom w:val="none" w:sz="0" w:space="0" w:color="auto"/>
                        <w:right w:val="none" w:sz="0" w:space="0" w:color="auto"/>
                      </w:divBdr>
                      <w:divsChild>
                        <w:div w:id="15787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76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chart" Target="charts/chart1.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chart" Target="charts/chart4.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emf"/><Relationship Id="rId40" Type="http://schemas.openxmlformats.org/officeDocument/2006/relationships/chart" Target="charts/chart2.xml"/><Relationship Id="rId45" Type="http://schemas.openxmlformats.org/officeDocument/2006/relationships/hyperlink" Target="http://www.financa.gov.al/al/raportime/borxhi/regjistri-i-borxhit"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hyperlink" Target="http://www.financa.gov.al/al/raportime/borxhi/treguesit-e-borxh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chart" Target="charts/chart5.xm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jpg@01D4C9C9.A12AE760"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hyperlink" Target="http://www.financa.gov.al/al/raportime/borxhi/ankandet-e-emetimit-te-letrave-me-vlere-te-qeverise" TargetMode="External"/><Relationship Id="rId20" Type="http://schemas.openxmlformats.org/officeDocument/2006/relationships/image" Target="media/image9.png"/><Relationship Id="rId4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mf.org/en/Publications/CR/Issues/2019/01/28/Albania-2018-Article-IV-Consultation-Press-Release-Staff-Report-and-Statement-by-the-46556"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jus.borokoci\Desktop\WORD%20FILES\Strategjite\Strategjia%202020-2022\Tabelat%20dhe%20Grafiket%20e%20SAMB%202020-2022_dt_01.10.2019_Fina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arjus.borokoci\Desktop\WORD%20FILES\Strategjite\Strategjia%202020-2022\Tabelat%20dhe%20Grafiket%20e%20SAMB%202020-2022_dt_01.10.2019_Fina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arjus.borokoci\Desktop\WORD%20FILES\Strategjite\Strategjia%202020-2022\Tabelat%20dhe%20Grafiket%20e%20SAMB%202020-2022_dt_01.10.2019_Final.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arjus.borokoci\Desktop\WORD%20FILES\Strategjite\Strategjia%202020-2022\Tabelat%20dhe%20Grafiket%20e%20SAMB%202020-2022_dt_01.10.2019_Final.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marjus.borokoci\Desktop\WORD%20FILES\Strategjite\Strategjia%202020-2022\Tabelat%20dhe%20Grafiket%20e%20SAMB%202020-2022_dt_01.10.2019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50361182728265"/>
          <c:y val="5.1327059727290188E-2"/>
          <c:w val="0.8757215525050519"/>
          <c:h val="0.70289946226233901"/>
        </c:manualLayout>
      </c:layout>
      <c:lineChart>
        <c:grouping val="standard"/>
        <c:varyColors val="0"/>
        <c:ser>
          <c:idx val="0"/>
          <c:order val="0"/>
          <c:tx>
            <c:strRef>
              <c:f>'Analiza e ndjeshmerise '!$B$55</c:f>
              <c:strCache>
                <c:ptCount val="1"/>
                <c:pt idx="0">
                  <c:v>Skenar Bazë</c:v>
                </c:pt>
              </c:strCache>
            </c:strRef>
          </c:tx>
          <c:spPr>
            <a:ln w="25400">
              <a:solidFill>
                <a:schemeClr val="accent1">
                  <a:lumMod val="75000"/>
                </a:schemeClr>
              </a:solidFill>
            </a:ln>
          </c:spPr>
          <c:marker>
            <c:symbol val="circle"/>
            <c:size val="5"/>
            <c:spPr>
              <a:solidFill>
                <a:schemeClr val="accent1">
                  <a:lumMod val="75000"/>
                </a:schemeClr>
              </a:solidFill>
              <a:ln>
                <a:solidFill>
                  <a:srgbClr val="0070C0"/>
                </a:solidFill>
              </a:ln>
            </c:spPr>
          </c:marker>
          <c:dPt>
            <c:idx val="6"/>
            <c:bubble3D val="0"/>
            <c:spPr>
              <a:ln w="25400">
                <a:solidFill>
                  <a:schemeClr val="accent1">
                    <a:lumMod val="75000"/>
                  </a:schemeClr>
                </a:solidFill>
                <a:prstDash val="sysDash"/>
              </a:ln>
            </c:spPr>
          </c:dPt>
          <c:dPt>
            <c:idx val="7"/>
            <c:bubble3D val="0"/>
            <c:spPr>
              <a:ln w="25400">
                <a:solidFill>
                  <a:schemeClr val="accent1">
                    <a:lumMod val="75000"/>
                  </a:schemeClr>
                </a:solidFill>
                <a:prstDash val="sysDash"/>
              </a:ln>
            </c:spPr>
          </c:dPt>
          <c:dPt>
            <c:idx val="8"/>
            <c:bubble3D val="0"/>
            <c:spPr>
              <a:ln w="25400">
                <a:solidFill>
                  <a:schemeClr val="accent1">
                    <a:lumMod val="75000"/>
                  </a:schemeClr>
                </a:solidFill>
                <a:prstDash val="sysDash"/>
              </a:ln>
            </c:spPr>
          </c:dPt>
          <c:dLbls>
            <c:dLbl>
              <c:idx val="0"/>
              <c:layout>
                <c:manualLayout>
                  <c:x val="-3.1682809560309388E-2"/>
                  <c:y val="4.982262309523241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9825006387475903E-2"/>
                  <c:y val="4.431146299603153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2979954939260913E-2"/>
                  <c:y val="4.982262309523241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9708405918286805E-2"/>
                  <c:y val="4.805948581310223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649525004064757E-2"/>
                  <c:y val="4.1666540098029219E-2"/>
                </c:manualLayout>
              </c:layout>
              <c:showLegendKey val="0"/>
              <c:showVal val="1"/>
              <c:showCatName val="0"/>
              <c:showSerName val="0"/>
              <c:showPercent val="0"/>
              <c:showBubbleSize val="0"/>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5.0478619376117896E-2"/>
                  <c:y val="4.8059485813102237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1775486028848161E-2"/>
                  <c:y val="3.7918517280958505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2126216523819478E-2"/>
                  <c:y val="3.8800302896830646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wrap="square" lIns="38100" tIns="19050" rIns="38100" bIns="19050" anchor="ctr">
                <a:spAutoFit/>
              </a:bodyPr>
              <a:lstStyle/>
              <a:p>
                <a:pPr>
                  <a:defRPr sz="800" b="1">
                    <a:solidFill>
                      <a:srgbClr val="0070C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'Analiza e ndjeshmerise '!$C$54:$M$54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'!$C$55:$M$55</c:f>
              <c:numCache>
                <c:formatCode>0.0%</c:formatCode>
                <c:ptCount val="9"/>
                <c:pt idx="0" formatCode="0.00%">
                  <c:v>0.7002787469132844</c:v>
                </c:pt>
                <c:pt idx="1">
                  <c:v>0.72667278386202183</c:v>
                </c:pt>
                <c:pt idx="2">
                  <c:v>0.72239168452957392</c:v>
                </c:pt>
                <c:pt idx="3">
                  <c:v>0.7002152569953739</c:v>
                </c:pt>
                <c:pt idx="4">
                  <c:v>0.67161469212647507</c:v>
                </c:pt>
                <c:pt idx="5">
                  <c:v>0.65400000000000003</c:v>
                </c:pt>
                <c:pt idx="6">
                  <c:v>0.64200000000000002</c:v>
                </c:pt>
                <c:pt idx="7">
                  <c:v>0.59799999999999998</c:v>
                </c:pt>
                <c:pt idx="8">
                  <c:v>0.58199999999999996</c:v>
                </c:pt>
              </c:numCache>
            </c:numRef>
          </c:val>
          <c:smooth val="0"/>
        </c:ser>
        <c:ser>
          <c:idx val="1"/>
          <c:order val="1"/>
          <c:tx>
            <c:strRef>
              <c:f>'Analiza e ndjeshmerise '!$B$56</c:f>
              <c:strCache>
                <c:ptCount val="1"/>
                <c:pt idx="0">
                  <c:v>10% zhvlerësim</c:v>
                </c:pt>
              </c:strCache>
            </c:strRef>
          </c:tx>
          <c:spPr>
            <a:ln w="25400">
              <a:solidFill>
                <a:schemeClr val="accent2"/>
              </a:solidFill>
              <a:prstDash val="sysDash"/>
            </a:ln>
          </c:spPr>
          <c:marker>
            <c:symbol val="triangle"/>
            <c:size val="5"/>
            <c:spPr>
              <a:solidFill>
                <a:schemeClr val="accent2"/>
              </a:solidFill>
              <a:ln>
                <a:solidFill>
                  <a:schemeClr val="accent2"/>
                </a:solidFill>
              </a:ln>
            </c:spPr>
          </c:marker>
          <c:dPt>
            <c:idx val="6"/>
            <c:bubble3D val="0"/>
          </c:dPt>
          <c:dPt>
            <c:idx val="7"/>
            <c:bubble3D val="0"/>
          </c:dPt>
          <c:dPt>
            <c:idx val="8"/>
            <c:bubble3D val="0"/>
          </c:dPt>
          <c:dLbls>
            <c:dLbl>
              <c:idx val="5"/>
              <c:delete val="1"/>
              <c:extLst>
                <c:ext xmlns:c15="http://schemas.microsoft.com/office/drawing/2012/chart" uri="{CE6537A1-D6FC-4f65-9D91-7224C49458BB}"/>
              </c:extLst>
            </c:dLbl>
            <c:dLbl>
              <c:idx val="6"/>
              <c:layout>
                <c:manualLayout>
                  <c:x val="-3.6051378533435617E-2"/>
                  <c:y val="3.505184613014582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5105242375676493E-2"/>
                  <c:y val="3.571144954359354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8.7031333472698171E-3"/>
                  <c:y val="1.102232019840176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solidFill>
                      <a:schemeClr val="accent2"/>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'Analiza e ndjeshmerise '!$C$54:$M$54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'!$C$56:$M$56</c:f>
              <c:numCache>
                <c:formatCode>General</c:formatCode>
                <c:ptCount val="9"/>
                <c:pt idx="5" formatCode="0.0%">
                  <c:v>0.65400000000000003</c:v>
                </c:pt>
                <c:pt idx="6" formatCode="0.0%">
                  <c:v>0.67</c:v>
                </c:pt>
                <c:pt idx="7" formatCode="0.0%">
                  <c:v>0.62309999999999999</c:v>
                </c:pt>
                <c:pt idx="8" formatCode="0.0%">
                  <c:v>0.60459999999999992</c:v>
                </c:pt>
              </c:numCache>
            </c:numRef>
          </c:val>
          <c:smooth val="0"/>
        </c:ser>
        <c:ser>
          <c:idx val="2"/>
          <c:order val="2"/>
          <c:tx>
            <c:strRef>
              <c:f>'Analiza e ndjeshmerise '!$B$57</c:f>
              <c:strCache>
                <c:ptCount val="1"/>
                <c:pt idx="0">
                  <c:v>15% zhvlerësim </c:v>
                </c:pt>
              </c:strCache>
            </c:strRef>
          </c:tx>
          <c:spPr>
            <a:ln w="25400">
              <a:solidFill>
                <a:srgbClr val="C00000"/>
              </a:solidFill>
              <a:prstDash val="dash"/>
            </a:ln>
          </c:spPr>
          <c:marker>
            <c:symbol val="square"/>
            <c:size val="4"/>
            <c:spPr>
              <a:solidFill>
                <a:srgbClr val="C00000"/>
              </a:solidFill>
              <a:ln>
                <a:solidFill>
                  <a:srgbClr val="C00000"/>
                </a:solidFill>
              </a:ln>
            </c:spPr>
          </c:marker>
          <c:dPt>
            <c:idx val="5"/>
            <c:marker>
              <c:symbol val="circle"/>
              <c:size val="5"/>
              <c:spPr>
                <a:solidFill>
                  <a:srgbClr val="0070C0"/>
                </a:solidFill>
                <a:ln>
                  <a:solidFill>
                    <a:srgbClr val="0070C0"/>
                  </a:solidFill>
                </a:ln>
              </c:spPr>
            </c:marker>
            <c:bubble3D val="0"/>
            <c:spPr>
              <a:ln w="25400">
                <a:solidFill>
                  <a:srgbClr val="0070C0"/>
                </a:solidFill>
                <a:prstDash val="dash"/>
              </a:ln>
            </c:spPr>
          </c:dPt>
          <c:dLbls>
            <c:dLbl>
              <c:idx val="5"/>
              <c:layout>
                <c:manualLayout>
                  <c:x val="-5.1717092885513294E-2"/>
                  <c:y val="3.8800302896830598E-2"/>
                </c:manualLayout>
              </c:layout>
              <c:spPr>
                <a:noFill/>
                <a:ln>
                  <a:noFill/>
                </a:ln>
                <a:effectLst/>
              </c:spPr>
              <c:txPr>
                <a:bodyPr wrap="square" lIns="38100" tIns="19050" rIns="38100" bIns="19050" anchor="ctr">
                  <a:spAutoFit/>
                </a:bodyPr>
                <a:lstStyle/>
                <a:p>
                  <a:pPr>
                    <a:defRPr sz="800" b="1">
                      <a:solidFill>
                        <a:srgbClr val="0070C0"/>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6"/>
              <c:layout>
                <c:manualLayout>
                  <c:x val="-2.959094865100087E-2"/>
                  <c:y val="-4.166666666666668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0443864229765013E-2"/>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5.2219321148826341E-3"/>
                  <c:y val="-4.16666666666667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solidFill>
                      <a:srgbClr val="C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'!$C$54:$M$54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'!$C$57:$M$57</c:f>
              <c:numCache>
                <c:formatCode>General</c:formatCode>
                <c:ptCount val="9"/>
                <c:pt idx="5" formatCode="0.0%">
                  <c:v>0.65400000000000003</c:v>
                </c:pt>
                <c:pt idx="6" formatCode="0.0%">
                  <c:v>0.68400000000000005</c:v>
                </c:pt>
                <c:pt idx="7" formatCode="0.0%">
                  <c:v>0.63719999999999999</c:v>
                </c:pt>
                <c:pt idx="8" formatCode="0.0%">
                  <c:v>0.6177999999999999</c:v>
                </c:pt>
              </c:numCache>
            </c:numRef>
          </c:val>
          <c:smooth val="0"/>
        </c:ser>
        <c:dLbls>
          <c:showLegendKey val="0"/>
          <c:showVal val="0"/>
          <c:showCatName val="0"/>
          <c:showSerName val="0"/>
          <c:showPercent val="0"/>
          <c:showBubbleSize val="0"/>
        </c:dLbls>
        <c:marker val="1"/>
        <c:smooth val="0"/>
        <c:axId val="-1666101152"/>
        <c:axId val="-1666109856"/>
      </c:lineChart>
      <c:catAx>
        <c:axId val="-1666101152"/>
        <c:scaling>
          <c:orientation val="minMax"/>
        </c:scaling>
        <c:delete val="0"/>
        <c:axPos val="b"/>
        <c:numFmt formatCode="General" sourceLinked="1"/>
        <c:majorTickMark val="out"/>
        <c:minorTickMark val="none"/>
        <c:tickLblPos val="nextTo"/>
        <c:crossAx val="-1666109856"/>
        <c:crosses val="autoZero"/>
        <c:auto val="1"/>
        <c:lblAlgn val="ctr"/>
        <c:lblOffset val="100"/>
        <c:noMultiLvlLbl val="0"/>
      </c:catAx>
      <c:valAx>
        <c:axId val="-1666109856"/>
        <c:scaling>
          <c:orientation val="minMax"/>
          <c:min val="0.5"/>
        </c:scaling>
        <c:delete val="0"/>
        <c:axPos val="l"/>
        <c:title>
          <c:tx>
            <c:rich>
              <a:bodyPr/>
              <a:lstStyle/>
              <a:p>
                <a:pPr>
                  <a:defRPr sz="1000"/>
                </a:pPr>
                <a:r>
                  <a:rPr lang="en-US" sz="1000"/>
                  <a:t>në % të PBB</a:t>
                </a:r>
              </a:p>
            </c:rich>
          </c:tx>
          <c:layout>
            <c:manualLayout>
              <c:xMode val="edge"/>
              <c:yMode val="edge"/>
              <c:x val="1.4286484737353038E-3"/>
              <c:y val="0.23356923372383331"/>
            </c:manualLayout>
          </c:layout>
          <c:overlay val="0"/>
        </c:title>
        <c:numFmt formatCode="0%" sourceLinked="0"/>
        <c:majorTickMark val="out"/>
        <c:minorTickMark val="none"/>
        <c:tickLblPos val="nextTo"/>
        <c:crossAx val="-1666101152"/>
        <c:crosses val="autoZero"/>
        <c:crossBetween val="between"/>
      </c:valAx>
    </c:plotArea>
    <c:legend>
      <c:legendPos val="b"/>
      <c:layout>
        <c:manualLayout>
          <c:xMode val="edge"/>
          <c:yMode val="edge"/>
          <c:x val="0.14435732701553899"/>
          <c:y val="0.91620846936815836"/>
          <c:w val="0.74534243564382041"/>
          <c:h val="7.2694805406144286E-2"/>
        </c:manualLayout>
      </c:layout>
      <c:overlay val="0"/>
      <c:txPr>
        <a:bodyPr/>
        <a:lstStyle/>
        <a:p>
          <a:pPr>
            <a:defRPr b="0"/>
          </a:pPr>
          <a:endParaRPr lang="en-US"/>
        </a:p>
      </c:txPr>
    </c:legend>
    <c:plotVisOnly val="1"/>
    <c:dispBlanksAs val="gap"/>
    <c:showDLblsOverMax val="0"/>
  </c:chart>
  <c:spPr>
    <a:ln>
      <a:solidFill>
        <a:schemeClr val="bg1">
          <a:lumMod val="75000"/>
        </a:schemeClr>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553364457761359E-2"/>
          <c:y val="3.8231137749727299E-2"/>
          <c:w val="0.87343581167398321"/>
          <c:h val="0.72956411448272318"/>
        </c:manualLayout>
      </c:layout>
      <c:lineChart>
        <c:grouping val="standard"/>
        <c:varyColors val="0"/>
        <c:ser>
          <c:idx val="0"/>
          <c:order val="0"/>
          <c:tx>
            <c:strRef>
              <c:f>'Analiza e ndjeshmerise '!$O$5</c:f>
              <c:strCache>
                <c:ptCount val="1"/>
                <c:pt idx="0">
                  <c:v>Skenar Bazë</c:v>
                </c:pt>
              </c:strCache>
            </c:strRef>
          </c:tx>
          <c:spPr>
            <a:ln w="25400">
              <a:solidFill>
                <a:schemeClr val="accent1">
                  <a:lumMod val="75000"/>
                </a:schemeClr>
              </a:solidFill>
              <a:prstDash val="solid"/>
            </a:ln>
          </c:spPr>
          <c:marker>
            <c:symbol val="circle"/>
            <c:size val="5"/>
            <c:spPr>
              <a:solidFill>
                <a:srgbClr val="0070C0"/>
              </a:solidFill>
              <a:ln>
                <a:solidFill>
                  <a:srgbClr val="0070C0"/>
                </a:solidFill>
              </a:ln>
            </c:spPr>
          </c:marker>
          <c:dPt>
            <c:idx val="4"/>
            <c:bubble3D val="0"/>
          </c:dPt>
          <c:dPt>
            <c:idx val="5"/>
            <c:bubble3D val="0"/>
          </c:dPt>
          <c:dPt>
            <c:idx val="6"/>
            <c:bubble3D val="0"/>
            <c:spPr>
              <a:ln w="25400">
                <a:solidFill>
                  <a:schemeClr val="accent1">
                    <a:lumMod val="75000"/>
                  </a:schemeClr>
                </a:solidFill>
                <a:prstDash val="sysDash"/>
              </a:ln>
            </c:spPr>
          </c:dPt>
          <c:dPt>
            <c:idx val="7"/>
            <c:bubble3D val="0"/>
            <c:spPr>
              <a:ln w="25400">
                <a:solidFill>
                  <a:schemeClr val="accent1">
                    <a:lumMod val="75000"/>
                  </a:schemeClr>
                </a:solidFill>
                <a:prstDash val="sysDash"/>
              </a:ln>
            </c:spPr>
          </c:dPt>
          <c:dPt>
            <c:idx val="8"/>
            <c:bubble3D val="0"/>
            <c:spPr>
              <a:ln w="25400">
                <a:solidFill>
                  <a:schemeClr val="accent1">
                    <a:lumMod val="75000"/>
                  </a:schemeClr>
                </a:solidFill>
                <a:prstDash val="sysDash"/>
              </a:ln>
            </c:spPr>
          </c:dPt>
          <c:dLbls>
            <c:dLbl>
              <c:idx val="0"/>
              <c:layout>
                <c:manualLayout>
                  <c:x val="-3.6589611150980965E-2"/>
                  <c:y val="5.09259259259259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4501491152090532E-2"/>
                  <c:y val="4.557679325978640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1238585206759425E-2"/>
                  <c:y val="4.094721769983439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1293616961887741E-2"/>
                  <c:y val="2.38677744635228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428928704011254E-2"/>
                  <c:y val="6.341519051449123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4931600648622808E-2"/>
                  <c:y val="5.768189536972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5674029684342556E-2"/>
                  <c:y val="3.834045366103191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9890832230042042E-2"/>
                  <c:y val="4.7239656449054764E-2"/>
                </c:manualLayout>
              </c:layout>
              <c:showLegendKey val="0"/>
              <c:showVal val="1"/>
              <c:showCatName val="0"/>
              <c:showSerName val="0"/>
              <c:showPercent val="0"/>
              <c:showBubbleSize val="0"/>
              <c:extLst>
                <c:ext xmlns:c15="http://schemas.microsoft.com/office/drawing/2012/chart" uri="{CE6537A1-D6FC-4f65-9D91-7224C49458BB}">
                  <c15:layout>
                    <c:manualLayout>
                      <c:w val="5.4415720158873949E-2"/>
                      <c:h val="8.1667394660805331E-2"/>
                    </c:manualLayout>
                  </c15:layout>
                </c:ext>
              </c:extLst>
            </c:dLbl>
            <c:dLbl>
              <c:idx val="8"/>
              <c:layout>
                <c:manualLayout>
                  <c:x val="-4.4311509914700346E-3"/>
                  <c:y val="1.77988727380599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chemeClr val="accent1">
                        <a:lumMod val="75000"/>
                      </a:schemeClr>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'!$R$4:$Z$4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'!$R$5:$Z$5</c:f>
              <c:numCache>
                <c:formatCode>0.0</c:formatCode>
                <c:ptCount val="9"/>
                <c:pt idx="0">
                  <c:v>39.936999999999998</c:v>
                </c:pt>
                <c:pt idx="1">
                  <c:v>38.642352000000002</c:v>
                </c:pt>
                <c:pt idx="2">
                  <c:v>36.259</c:v>
                </c:pt>
                <c:pt idx="3">
                  <c:v>31.904</c:v>
                </c:pt>
                <c:pt idx="4">
                  <c:v>36.513000000000005</c:v>
                </c:pt>
                <c:pt idx="5">
                  <c:v>35.799999999999997</c:v>
                </c:pt>
                <c:pt idx="6">
                  <c:v>36.950000000000003</c:v>
                </c:pt>
                <c:pt idx="7">
                  <c:v>40.509</c:v>
                </c:pt>
                <c:pt idx="8">
                  <c:v>43.744999999999997</c:v>
                </c:pt>
              </c:numCache>
            </c:numRef>
          </c:val>
          <c:smooth val="0"/>
        </c:ser>
        <c:ser>
          <c:idx val="1"/>
          <c:order val="1"/>
          <c:tx>
            <c:strRef>
              <c:f>'Analiza e ndjeshmerise '!$O$6</c:f>
              <c:strCache>
                <c:ptCount val="1"/>
                <c:pt idx="0">
                  <c:v>10% zhvlerësim</c:v>
                </c:pt>
              </c:strCache>
            </c:strRef>
          </c:tx>
          <c:spPr>
            <a:ln w="25400">
              <a:solidFill>
                <a:schemeClr val="accent2"/>
              </a:solidFill>
              <a:prstDash val="sysDash"/>
            </a:ln>
          </c:spPr>
          <c:marker>
            <c:symbol val="triangle"/>
            <c:size val="4"/>
            <c:spPr>
              <a:solidFill>
                <a:schemeClr val="accent2"/>
              </a:solidFill>
              <a:ln>
                <a:solidFill>
                  <a:schemeClr val="accent2"/>
                </a:solidFill>
              </a:ln>
            </c:spPr>
          </c:marker>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layout>
                <c:manualLayout>
                  <c:x val="-8.7445210787857469E-3"/>
                  <c:y val="1.32890319097210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7.0183596777449965E-3"/>
                  <c:y val="-5.9992480012389146E-4"/>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6309016956132361E-3"/>
                  <c:y val="-7.3559330743698569E-3"/>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6542597187758478E-3"/>
                  <c:y val="-1.328903190972109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chemeClr val="accent2"/>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'!$R$4:$Z$4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'!$R$6:$Z$6</c:f>
              <c:numCache>
                <c:formatCode>General</c:formatCode>
                <c:ptCount val="9"/>
                <c:pt idx="5" formatCode="0.0">
                  <c:v>35.799999999999997</c:v>
                </c:pt>
                <c:pt idx="6" formatCode="0.0">
                  <c:v>38.204000000000001</c:v>
                </c:pt>
                <c:pt idx="7" formatCode="0.0">
                  <c:v>41.64</c:v>
                </c:pt>
                <c:pt idx="8" formatCode="0.0">
                  <c:v>44.830999999999996</c:v>
                </c:pt>
              </c:numCache>
            </c:numRef>
          </c:val>
          <c:smooth val="0"/>
        </c:ser>
        <c:ser>
          <c:idx val="2"/>
          <c:order val="2"/>
          <c:tx>
            <c:strRef>
              <c:f>'Analiza e ndjeshmerise '!$O$7</c:f>
              <c:strCache>
                <c:ptCount val="1"/>
                <c:pt idx="0">
                  <c:v>15% Zhvlerësim</c:v>
                </c:pt>
              </c:strCache>
            </c:strRef>
          </c:tx>
          <c:spPr>
            <a:ln w="25400">
              <a:solidFill>
                <a:srgbClr val="C00000"/>
              </a:solidFill>
              <a:prstDash val="sysDash"/>
            </a:ln>
          </c:spPr>
          <c:marker>
            <c:symbol val="square"/>
            <c:size val="4"/>
            <c:spPr>
              <a:solidFill>
                <a:srgbClr val="C00000"/>
              </a:solidFill>
              <a:ln>
                <a:solidFill>
                  <a:srgbClr val="C00000"/>
                </a:solidFill>
              </a:ln>
            </c:spPr>
          </c:marker>
          <c:dPt>
            <c:idx val="3"/>
            <c:bubble3D val="0"/>
          </c:dPt>
          <c:dPt>
            <c:idx val="4"/>
            <c:bubble3D val="0"/>
            <c:spPr>
              <a:ln w="25400">
                <a:solidFill>
                  <a:srgbClr val="C00000"/>
                </a:solidFill>
                <a:prstDash val="solid"/>
              </a:ln>
            </c:spPr>
          </c:dPt>
          <c:dPt>
            <c:idx val="5"/>
            <c:marker>
              <c:symbol val="circle"/>
              <c:size val="5"/>
            </c:marker>
            <c:bubble3D val="0"/>
          </c:dPt>
          <c:dLbls>
            <c:dLbl>
              <c:idx val="0"/>
              <c:layout>
                <c:manualLayout>
                  <c:x val="-3.1454783748361741E-2"/>
                  <c:y val="-5.09259259259259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6.9899519440803958E-3"/>
                  <c:y val="-1.851851851851854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271734381826129E-2"/>
                  <c:y val="-5.55555555555554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layout>
                <c:manualLayout>
                  <c:x val="-3.1454771627492092E-2"/>
                  <c:y val="-5.89855132112509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0878589079655171E-2"/>
                  <c:y val="-5.35325623602893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0362551889388865E-2"/>
                  <c:y val="-5.09257983214868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8196856906534446E-2"/>
                  <c:y val="-5.315612763888435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rgbClr val="C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'!$R$4:$Z$4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'!$R$7:$Z$7</c:f>
              <c:numCache>
                <c:formatCode>General</c:formatCode>
                <c:ptCount val="9"/>
                <c:pt idx="5" formatCode="0.0">
                  <c:v>35.799999999999997</c:v>
                </c:pt>
                <c:pt idx="6" formatCode="0.0">
                  <c:v>38.876000000000005</c:v>
                </c:pt>
                <c:pt idx="7" formatCode="0.0">
                  <c:v>42.273000000000003</c:v>
                </c:pt>
                <c:pt idx="8" formatCode="0.0">
                  <c:v>45.467999999999996</c:v>
                </c:pt>
              </c:numCache>
            </c:numRef>
          </c:val>
          <c:smooth val="0"/>
        </c:ser>
        <c:dLbls>
          <c:showLegendKey val="0"/>
          <c:showVal val="0"/>
          <c:showCatName val="0"/>
          <c:showSerName val="0"/>
          <c:showPercent val="0"/>
          <c:showBubbleSize val="0"/>
        </c:dLbls>
        <c:marker val="1"/>
        <c:smooth val="0"/>
        <c:axId val="-1666098432"/>
        <c:axId val="-1666097888"/>
      </c:lineChart>
      <c:catAx>
        <c:axId val="-166609843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66097888"/>
        <c:crosses val="autoZero"/>
        <c:auto val="1"/>
        <c:lblAlgn val="ctr"/>
        <c:lblOffset val="100"/>
        <c:noMultiLvlLbl val="0"/>
      </c:catAx>
      <c:valAx>
        <c:axId val="-1666097888"/>
        <c:scaling>
          <c:orientation val="minMax"/>
          <c:max val="50"/>
          <c:min val="30"/>
        </c:scaling>
        <c:delete val="0"/>
        <c:axPos val="l"/>
        <c:title>
          <c:tx>
            <c:rich>
              <a:bodyPr rot="-5400000" vert="horz"/>
              <a:lstStyle/>
              <a:p>
                <a:pPr>
                  <a:defRPr sz="1000"/>
                </a:pPr>
                <a:r>
                  <a:rPr lang="en-US" sz="1000" b="1"/>
                  <a:t>në miliard Lekë</a:t>
                </a:r>
              </a:p>
            </c:rich>
          </c:tx>
          <c:layout>
            <c:manualLayout>
              <c:xMode val="edge"/>
              <c:yMode val="edge"/>
              <c:x val="7.5813532158037762E-4"/>
              <c:y val="0.23287839539191388"/>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66098432"/>
        <c:crosses val="autoZero"/>
        <c:crossBetween val="between"/>
      </c:valAx>
    </c:plotArea>
    <c:legend>
      <c:legendPos val="b"/>
      <c:legendEntry>
        <c:idx val="0"/>
        <c:txPr>
          <a:bodyPr/>
          <a:lstStyle/>
          <a:p>
            <a:pPr>
              <a:defRPr sz="920" b="0" i="0" u="none" strike="noStrike" baseline="0">
                <a:solidFill>
                  <a:srgbClr val="000000"/>
                </a:solidFill>
                <a:latin typeface="Calibri"/>
                <a:ea typeface="Calibri"/>
                <a:cs typeface="Calibri"/>
              </a:defRPr>
            </a:pPr>
            <a:endParaRPr lang="en-US"/>
          </a:p>
        </c:txPr>
      </c:legendEntry>
      <c:legendEntry>
        <c:idx val="1"/>
        <c:txPr>
          <a:bodyPr/>
          <a:lstStyle/>
          <a:p>
            <a:pPr>
              <a:defRPr sz="920" b="0" i="0" u="none" strike="noStrike" baseline="0">
                <a:solidFill>
                  <a:srgbClr val="000000"/>
                </a:solidFill>
                <a:latin typeface="Calibri"/>
                <a:ea typeface="Calibri"/>
                <a:cs typeface="Calibri"/>
              </a:defRPr>
            </a:pPr>
            <a:endParaRPr lang="en-US"/>
          </a:p>
        </c:txPr>
      </c:legendEntry>
      <c:legendEntry>
        <c:idx val="2"/>
        <c:txPr>
          <a:bodyPr/>
          <a:lstStyle/>
          <a:p>
            <a:pPr>
              <a:defRPr sz="920" b="0" i="0" u="none" strike="noStrike" baseline="0">
                <a:solidFill>
                  <a:srgbClr val="000000"/>
                </a:solidFill>
                <a:latin typeface="Calibri"/>
                <a:ea typeface="Calibri"/>
                <a:cs typeface="Calibri"/>
              </a:defRPr>
            </a:pPr>
            <a:endParaRPr lang="en-US"/>
          </a:p>
        </c:txPr>
      </c:legendEntry>
      <c:layout>
        <c:manualLayout>
          <c:xMode val="edge"/>
          <c:yMode val="edge"/>
          <c:x val="0.14298952453952105"/>
          <c:y val="0.9141239427539668"/>
          <c:w val="0.69659778443187559"/>
          <c:h val="8.3717191601049845E-2"/>
        </c:manualLayout>
      </c:layout>
      <c:overlay val="0"/>
      <c:txPr>
        <a:bodyPr/>
        <a:lstStyle/>
        <a:p>
          <a:pPr>
            <a:defRPr sz="920" b="1"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474763663391638E-2"/>
          <c:y val="9.239370078740157E-2"/>
          <c:w val="0.88848628434720001"/>
          <c:h val="0.66391887377714154"/>
        </c:manualLayout>
      </c:layout>
      <c:lineChart>
        <c:grouping val="standard"/>
        <c:varyColors val="0"/>
        <c:ser>
          <c:idx val="0"/>
          <c:order val="0"/>
          <c:tx>
            <c:strRef>
              <c:f>'Analiza e ndjeshmerise '!$O$31</c:f>
              <c:strCache>
                <c:ptCount val="1"/>
                <c:pt idx="0">
                  <c:v>Skenar Bazë</c:v>
                </c:pt>
              </c:strCache>
            </c:strRef>
          </c:tx>
          <c:spPr>
            <a:ln w="25400">
              <a:solidFill>
                <a:schemeClr val="accent1">
                  <a:lumMod val="75000"/>
                </a:schemeClr>
              </a:solidFill>
              <a:prstDash val="solid"/>
            </a:ln>
          </c:spPr>
          <c:marker>
            <c:symbol val="circle"/>
            <c:size val="5"/>
            <c:spPr>
              <a:solidFill>
                <a:srgbClr val="0070C0"/>
              </a:solidFill>
              <a:ln>
                <a:solidFill>
                  <a:srgbClr val="0070C0"/>
                </a:solidFill>
              </a:ln>
            </c:spPr>
          </c:marker>
          <c:dPt>
            <c:idx val="5"/>
            <c:bubble3D val="0"/>
          </c:dPt>
          <c:dPt>
            <c:idx val="6"/>
            <c:bubble3D val="0"/>
            <c:spPr>
              <a:ln w="25400">
                <a:solidFill>
                  <a:schemeClr val="accent1">
                    <a:lumMod val="75000"/>
                  </a:schemeClr>
                </a:solidFill>
                <a:prstDash val="sysDash"/>
              </a:ln>
            </c:spPr>
          </c:dPt>
          <c:dPt>
            <c:idx val="7"/>
            <c:bubble3D val="0"/>
            <c:spPr>
              <a:ln w="25400">
                <a:solidFill>
                  <a:schemeClr val="accent1">
                    <a:lumMod val="75000"/>
                  </a:schemeClr>
                </a:solidFill>
                <a:prstDash val="sysDash"/>
              </a:ln>
            </c:spPr>
          </c:dPt>
          <c:dPt>
            <c:idx val="8"/>
            <c:bubble3D val="0"/>
            <c:spPr>
              <a:ln w="25400">
                <a:solidFill>
                  <a:schemeClr val="accent1">
                    <a:lumMod val="75000"/>
                  </a:schemeClr>
                </a:solidFill>
                <a:prstDash val="sysDash"/>
              </a:ln>
            </c:spPr>
          </c:dPt>
          <c:dLbls>
            <c:dLbl>
              <c:idx val="0"/>
              <c:layout>
                <c:manualLayout>
                  <c:x val="-3.2191424502430468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7433863367975898E-2"/>
                  <c:y val="4.62962962962962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867463876432486E-2"/>
                  <c:y val="4.166666666666658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5131645539823288E-2"/>
                  <c:y val="3.24074074074074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048492791612058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8243161054682293E-2"/>
                  <c:y val="4.567492821786538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0626483636448013E-2"/>
                  <c:y val="5.95118110236221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6088393225939698E-3"/>
                  <c:y val="4.026845637583892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9.4395280235989934E-3"/>
                  <c:y val="1.21212121212121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chemeClr val="accent1">
                        <a:lumMod val="75000"/>
                      </a:schemeClr>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'!$P$30:$Z$30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'!$P$31:$Z$31</c:f>
              <c:numCache>
                <c:formatCode>0.0</c:formatCode>
                <c:ptCount val="9"/>
                <c:pt idx="0">
                  <c:v>39.936999999999998</c:v>
                </c:pt>
                <c:pt idx="1">
                  <c:v>38.642352000000002</c:v>
                </c:pt>
                <c:pt idx="2">
                  <c:v>36.259</c:v>
                </c:pt>
                <c:pt idx="3">
                  <c:v>31.904</c:v>
                </c:pt>
                <c:pt idx="4">
                  <c:v>36.513000000000005</c:v>
                </c:pt>
                <c:pt idx="5">
                  <c:v>35.799999999999997</c:v>
                </c:pt>
                <c:pt idx="6">
                  <c:v>36.950000000000003</c:v>
                </c:pt>
                <c:pt idx="7">
                  <c:v>40.509</c:v>
                </c:pt>
                <c:pt idx="8">
                  <c:v>43.744999999999997</c:v>
                </c:pt>
              </c:numCache>
            </c:numRef>
          </c:val>
          <c:smooth val="0"/>
        </c:ser>
        <c:ser>
          <c:idx val="1"/>
          <c:order val="1"/>
          <c:tx>
            <c:strRef>
              <c:f>'Analiza e ndjeshmerise '!$O$32</c:f>
              <c:strCache>
                <c:ptCount val="1"/>
                <c:pt idx="0">
                  <c:v>1 pp goditje</c:v>
                </c:pt>
              </c:strCache>
            </c:strRef>
          </c:tx>
          <c:spPr>
            <a:ln w="25400">
              <a:solidFill>
                <a:schemeClr val="accent2"/>
              </a:solidFill>
              <a:prstDash val="sysDash"/>
            </a:ln>
          </c:spPr>
          <c:marker>
            <c:symbol val="triangle"/>
            <c:size val="5"/>
            <c:spPr>
              <a:solidFill>
                <a:schemeClr val="accent2"/>
              </a:solidFill>
              <a:ln>
                <a:solidFill>
                  <a:schemeClr val="accent2"/>
                </a:solidFill>
              </a:ln>
            </c:spPr>
          </c:marker>
          <c:dLbls>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6.8513368914387557E-3"/>
                  <c:y val="-4.1902219849638267E-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9.9651220727453912E-3"/>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8.3389310849419883E-3"/>
                  <c:y val="-1.212121212121214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chemeClr val="accent2"/>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'!$P$30:$Z$30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'!$P$32:$Z$32</c:f>
              <c:numCache>
                <c:formatCode>General</c:formatCode>
                <c:ptCount val="9"/>
                <c:pt idx="5" formatCode="0.0">
                  <c:v>35.799999999999997</c:v>
                </c:pt>
                <c:pt idx="6" formatCode="0.0">
                  <c:v>37.5</c:v>
                </c:pt>
                <c:pt idx="7" formatCode="0.0">
                  <c:v>46.909000000000006</c:v>
                </c:pt>
                <c:pt idx="8" formatCode="0.0">
                  <c:v>51.441000000000003</c:v>
                </c:pt>
              </c:numCache>
            </c:numRef>
          </c:val>
          <c:smooth val="0"/>
        </c:ser>
        <c:ser>
          <c:idx val="2"/>
          <c:order val="2"/>
          <c:tx>
            <c:strRef>
              <c:f>'Analiza e ndjeshmerise '!$O$33</c:f>
              <c:strCache>
                <c:ptCount val="1"/>
                <c:pt idx="0">
                  <c:v>2 pp goditje</c:v>
                </c:pt>
              </c:strCache>
            </c:strRef>
          </c:tx>
          <c:spPr>
            <a:ln w="25400">
              <a:solidFill>
                <a:srgbClr val="C00000"/>
              </a:solidFill>
              <a:prstDash val="sysDash"/>
            </a:ln>
          </c:spPr>
          <c:marker>
            <c:symbol val="square"/>
            <c:size val="4"/>
            <c:spPr>
              <a:solidFill>
                <a:srgbClr val="C00000"/>
              </a:solidFill>
              <a:ln>
                <a:solidFill>
                  <a:srgbClr val="C00000"/>
                </a:solidFill>
              </a:ln>
            </c:spPr>
          </c:marker>
          <c:dLbls>
            <c:dLbl>
              <c:idx val="0"/>
              <c:layout>
                <c:manualLayout>
                  <c:x val="-3.1454783748361741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1454783748361741E-2"/>
                  <c:y val="-5.09259259259259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6.9899519440803993E-3"/>
                  <c:y val="-1.85185185185185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27173438182613E-2"/>
                  <c:y val="-5.55555555555554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3.6411452285936501E-2"/>
                  <c:y val="-5.95261355042484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384653712007972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4072468817504005E-2"/>
                  <c:y val="-5.108804581245526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rgbClr val="C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'!$P$30:$Z$30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'!$P$33:$Z$33</c:f>
              <c:numCache>
                <c:formatCode>General</c:formatCode>
                <c:ptCount val="9"/>
                <c:pt idx="5" formatCode="0.0">
                  <c:v>35.799999999999997</c:v>
                </c:pt>
                <c:pt idx="6" formatCode="0.0">
                  <c:v>37.950000000000003</c:v>
                </c:pt>
                <c:pt idx="7" formatCode="0.0">
                  <c:v>53.349000000000004</c:v>
                </c:pt>
                <c:pt idx="8" formatCode="0.0">
                  <c:v>59.167999999999999</c:v>
                </c:pt>
              </c:numCache>
            </c:numRef>
          </c:val>
          <c:smooth val="0"/>
        </c:ser>
        <c:dLbls>
          <c:showLegendKey val="0"/>
          <c:showVal val="0"/>
          <c:showCatName val="0"/>
          <c:showSerName val="0"/>
          <c:showPercent val="0"/>
          <c:showBubbleSize val="0"/>
        </c:dLbls>
        <c:marker val="1"/>
        <c:smooth val="0"/>
        <c:axId val="-1666108768"/>
        <c:axId val="-1666110400"/>
      </c:lineChart>
      <c:catAx>
        <c:axId val="-1666108768"/>
        <c:scaling>
          <c:orientation val="minMax"/>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1666110400"/>
        <c:crosses val="autoZero"/>
        <c:auto val="1"/>
        <c:lblAlgn val="ctr"/>
        <c:lblOffset val="100"/>
        <c:noMultiLvlLbl val="0"/>
      </c:catAx>
      <c:valAx>
        <c:axId val="-1666110400"/>
        <c:scaling>
          <c:orientation val="minMax"/>
          <c:max val="60"/>
          <c:min val="25"/>
        </c:scaling>
        <c:delete val="0"/>
        <c:axPos val="l"/>
        <c:title>
          <c:tx>
            <c:rich>
              <a:bodyPr rot="-5400000" vert="horz"/>
              <a:lstStyle/>
              <a:p>
                <a:pPr>
                  <a:defRPr sz="1000"/>
                </a:pPr>
                <a:r>
                  <a:rPr lang="en-US" sz="1000" b="1"/>
                  <a:t>në miliard Lekë</a:t>
                </a:r>
              </a:p>
            </c:rich>
          </c:tx>
          <c:layout>
            <c:manualLayout>
              <c:xMode val="edge"/>
              <c:yMode val="edge"/>
              <c:x val="1.2143796083316104E-3"/>
              <c:y val="0.21921641612980192"/>
            </c:manualLayout>
          </c:layout>
          <c:overlay val="0"/>
        </c:title>
        <c:numFmt formatCode="0" sourceLinked="0"/>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1666108768"/>
        <c:crosses val="autoZero"/>
        <c:crossBetween val="between"/>
      </c:valAx>
    </c:plotArea>
    <c:legend>
      <c:legendPos val="b"/>
      <c:layout>
        <c:manualLayout>
          <c:xMode val="edge"/>
          <c:yMode val="edge"/>
          <c:x val="0.20305313281502824"/>
          <c:y val="0.90205726556907662"/>
          <c:w val="0.55828380196870009"/>
          <c:h val="8.3717191601049845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513598034288266E-2"/>
          <c:y val="8.0752327483728209E-2"/>
          <c:w val="0.87948753746207253"/>
          <c:h val="0.68930993491284442"/>
        </c:manualLayout>
      </c:layout>
      <c:lineChart>
        <c:grouping val="standard"/>
        <c:varyColors val="0"/>
        <c:ser>
          <c:idx val="0"/>
          <c:order val="0"/>
          <c:tx>
            <c:strRef>
              <c:f>'Analiza e ndjeshmerise '!$B$5</c:f>
              <c:strCache>
                <c:ptCount val="1"/>
                <c:pt idx="0">
                  <c:v>Skenar Bazë</c:v>
                </c:pt>
              </c:strCache>
            </c:strRef>
          </c:tx>
          <c:spPr>
            <a:ln w="25400">
              <a:solidFill>
                <a:schemeClr val="accent1">
                  <a:lumMod val="75000"/>
                </a:schemeClr>
              </a:solidFill>
              <a:prstDash val="solid"/>
            </a:ln>
          </c:spPr>
          <c:marker>
            <c:symbol val="square"/>
            <c:size val="4"/>
            <c:spPr>
              <a:solidFill>
                <a:schemeClr val="accent1">
                  <a:lumMod val="75000"/>
                </a:schemeClr>
              </a:solidFill>
              <a:ln>
                <a:solidFill>
                  <a:schemeClr val="accent1">
                    <a:lumMod val="75000"/>
                  </a:schemeClr>
                </a:solidFill>
              </a:ln>
            </c:spPr>
          </c:marker>
          <c:dPt>
            <c:idx val="4"/>
            <c:bubble3D val="0"/>
          </c:dPt>
          <c:dPt>
            <c:idx val="5"/>
            <c:bubble3D val="0"/>
          </c:dPt>
          <c:dPt>
            <c:idx val="6"/>
            <c:bubble3D val="0"/>
            <c:spPr>
              <a:ln w="25400">
                <a:solidFill>
                  <a:schemeClr val="accent1">
                    <a:lumMod val="75000"/>
                  </a:schemeClr>
                </a:solidFill>
                <a:prstDash val="sysDash"/>
              </a:ln>
            </c:spPr>
          </c:dPt>
          <c:dPt>
            <c:idx val="7"/>
            <c:bubble3D val="0"/>
            <c:spPr>
              <a:ln w="25400">
                <a:solidFill>
                  <a:schemeClr val="accent1">
                    <a:lumMod val="75000"/>
                  </a:schemeClr>
                </a:solidFill>
                <a:prstDash val="sysDash"/>
              </a:ln>
            </c:spPr>
          </c:dPt>
          <c:dPt>
            <c:idx val="8"/>
            <c:bubble3D val="0"/>
            <c:spPr>
              <a:ln w="25400">
                <a:solidFill>
                  <a:schemeClr val="accent1">
                    <a:lumMod val="75000"/>
                  </a:schemeClr>
                </a:solidFill>
                <a:prstDash val="sysDash"/>
              </a:ln>
            </c:spPr>
          </c:dPt>
          <c:dLbls>
            <c:dLbl>
              <c:idx val="0"/>
              <c:layout>
                <c:manualLayout>
                  <c:x val="-4.4223860315332923E-2"/>
                  <c:y val="5.44994201306232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0402635840732677E-2"/>
                  <c:y val="4.24825733992552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4151821447850931E-2"/>
                  <c:y val="3.54308734663980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5399216402297486E-2"/>
                  <c:y val="4.764940096773617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9388516032811443E-2"/>
                  <c:y val="4.255319148936170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4772807654362352E-2"/>
                  <c:y val="4.97354574864188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3867718876277588E-2"/>
                  <c:y val="6.4842966057814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38628031027893E-2"/>
                  <c:y val="3.30969267139479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rgbClr val="0070C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'!$E$4:$M$4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'!$E$5:$M$5</c:f>
              <c:numCache>
                <c:formatCode>0.0</c:formatCode>
                <c:ptCount val="9"/>
                <c:pt idx="0">
                  <c:v>31.696000000000002</c:v>
                </c:pt>
                <c:pt idx="1">
                  <c:v>27.384599999999999</c:v>
                </c:pt>
                <c:pt idx="2">
                  <c:v>25.526</c:v>
                </c:pt>
                <c:pt idx="3">
                  <c:v>21.414999999999999</c:v>
                </c:pt>
                <c:pt idx="4">
                  <c:v>23.158000000000001</c:v>
                </c:pt>
                <c:pt idx="5">
                  <c:v>23.1</c:v>
                </c:pt>
                <c:pt idx="6">
                  <c:v>23.5</c:v>
                </c:pt>
                <c:pt idx="7">
                  <c:v>26.809000000000001</c:v>
                </c:pt>
                <c:pt idx="8">
                  <c:v>29.763999999999999</c:v>
                </c:pt>
              </c:numCache>
            </c:numRef>
          </c:val>
          <c:smooth val="0"/>
        </c:ser>
        <c:ser>
          <c:idx val="1"/>
          <c:order val="1"/>
          <c:tx>
            <c:strRef>
              <c:f>'Analiza e ndjeshmerise '!$B$6</c:f>
              <c:strCache>
                <c:ptCount val="1"/>
                <c:pt idx="0">
                  <c:v>1 pp goditje</c:v>
                </c:pt>
              </c:strCache>
            </c:strRef>
          </c:tx>
          <c:spPr>
            <a:ln w="25400">
              <a:solidFill>
                <a:schemeClr val="accent2"/>
              </a:solidFill>
              <a:prstDash val="sysDash"/>
            </a:ln>
          </c:spPr>
          <c:marker>
            <c:symbol val="triangle"/>
            <c:size val="5"/>
            <c:spPr>
              <a:solidFill>
                <a:schemeClr val="accent2"/>
              </a:solidFill>
              <a:ln>
                <a:solidFill>
                  <a:schemeClr val="accent2"/>
                </a:solidFill>
              </a:ln>
            </c:spPr>
          </c:marker>
          <c:dLbls>
            <c:dLbl>
              <c:idx val="3"/>
              <c:delete val="1"/>
              <c:extLst>
                <c:ext xmlns:c15="http://schemas.microsoft.com/office/drawing/2012/chart" uri="{CE6537A1-D6FC-4f65-9D91-7224C49458BB}"/>
              </c:extLst>
            </c:dLbl>
            <c:dLbl>
              <c:idx val="4"/>
              <c:layout>
                <c:manualLayout>
                  <c:x val="-2.4464831804281339E-2"/>
                  <c:y val="-4.62962962962963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4.5490590271960686E-3"/>
                  <c:y val="1.4785326252822991E-2"/>
                </c:manualLayout>
              </c:layout>
              <c:showLegendKey val="0"/>
              <c:showVal val="1"/>
              <c:showCatName val="0"/>
              <c:showSerName val="0"/>
              <c:showPercent val="0"/>
              <c:showBubbleSize val="0"/>
              <c:extLst>
                <c:ext xmlns:c15="http://schemas.microsoft.com/office/drawing/2012/chart" uri="{CE6537A1-D6FC-4f65-9D91-7224C49458BB}">
                  <c15:layout>
                    <c:manualLayout>
                      <c:w val="5.646860631782729E-2"/>
                      <c:h val="7.1291948971494823E-2"/>
                    </c:manualLayout>
                  </c15:layout>
                </c:ext>
              </c:extLst>
            </c:dLbl>
            <c:dLbl>
              <c:idx val="7"/>
              <c:layout>
                <c:manualLayout>
                  <c:x val="-2.0904911969615837E-2"/>
                  <c:y val="2.894781009516667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chemeClr val="accent2"/>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'!$E$4:$M$4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'!$E$6:$M$6</c:f>
              <c:numCache>
                <c:formatCode>General</c:formatCode>
                <c:ptCount val="9"/>
                <c:pt idx="5" formatCode="0.0">
                  <c:v>23.1</c:v>
                </c:pt>
                <c:pt idx="6" formatCode="0.0">
                  <c:v>23.85</c:v>
                </c:pt>
                <c:pt idx="7" formatCode="0.0">
                  <c:v>29.909000000000002</c:v>
                </c:pt>
                <c:pt idx="8" formatCode="0.0">
                  <c:v>33.932000000000002</c:v>
                </c:pt>
              </c:numCache>
            </c:numRef>
          </c:val>
          <c:smooth val="0"/>
        </c:ser>
        <c:ser>
          <c:idx val="2"/>
          <c:order val="2"/>
          <c:tx>
            <c:strRef>
              <c:f>'Analiza e ndjeshmerise '!$B$7</c:f>
              <c:strCache>
                <c:ptCount val="1"/>
                <c:pt idx="0">
                  <c:v>2 pp goditje</c:v>
                </c:pt>
              </c:strCache>
            </c:strRef>
          </c:tx>
          <c:spPr>
            <a:ln w="25400">
              <a:solidFill>
                <a:srgbClr val="C00000"/>
              </a:solidFill>
              <a:prstDash val="sysDash"/>
            </a:ln>
          </c:spPr>
          <c:marker>
            <c:symbol val="square"/>
            <c:size val="4"/>
            <c:spPr>
              <a:solidFill>
                <a:srgbClr val="C00000"/>
              </a:solidFill>
              <a:ln>
                <a:solidFill>
                  <a:srgbClr val="C00000"/>
                </a:solidFill>
                <a:prstDash val="solid"/>
              </a:ln>
            </c:spPr>
          </c:marker>
          <c:dPt>
            <c:idx val="5"/>
            <c:bubble3D val="0"/>
          </c:dPt>
          <c:dPt>
            <c:idx val="6"/>
            <c:bubble3D val="0"/>
          </c:dPt>
          <c:dPt>
            <c:idx val="7"/>
            <c:bubble3D val="0"/>
          </c:dPt>
          <c:dPt>
            <c:idx val="8"/>
            <c:bubble3D val="0"/>
          </c:dPt>
          <c:dLbls>
            <c:dLbl>
              <c:idx val="6"/>
              <c:layout>
                <c:manualLayout>
                  <c:x val="-4.0671432028443338E-2"/>
                  <c:y val="-5.2009252268124022E-2"/>
                </c:manualLayout>
              </c:layout>
              <c:spPr>
                <a:noFill/>
                <a:ln>
                  <a:noFill/>
                </a:ln>
                <a:effectLst/>
              </c:spPr>
              <c:txPr>
                <a:bodyPr wrap="square" lIns="38100" tIns="19050" rIns="38100" bIns="19050" anchor="ctr">
                  <a:spAutoFit/>
                </a:bodyPr>
                <a:lstStyle/>
                <a:p>
                  <a:pPr>
                    <a:defRPr sz="800" b="1">
                      <a:solidFill>
                        <a:srgbClr val="C00000"/>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7"/>
              <c:layout>
                <c:manualLayout>
                  <c:x val="-5.6951099197706669E-2"/>
                  <c:y val="-6.0818082671172953E-2"/>
                </c:manualLayout>
              </c:layout>
              <c:spPr>
                <a:noFill/>
                <a:ln>
                  <a:noFill/>
                </a:ln>
                <a:effectLst/>
              </c:spPr>
              <c:txPr>
                <a:bodyPr wrap="square" lIns="38100" tIns="19050" rIns="38100" bIns="19050" anchor="ctr">
                  <a:spAutoFit/>
                </a:bodyPr>
                <a:lstStyle/>
                <a:p>
                  <a:pPr>
                    <a:defRPr sz="800" b="1">
                      <a:solidFill>
                        <a:srgbClr val="C00000"/>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8"/>
              <c:layout>
                <c:manualLayout>
                  <c:x val="-1.2571433889912697E-2"/>
                  <c:y val="-4.2553242488524552E-2"/>
                </c:manualLayout>
              </c:layout>
              <c:spPr>
                <a:noFill/>
                <a:ln>
                  <a:noFill/>
                </a:ln>
                <a:effectLst/>
              </c:spPr>
              <c:txPr>
                <a:bodyPr wrap="square" lIns="38100" tIns="19050" rIns="38100" bIns="19050" anchor="ctr">
                  <a:spAutoFit/>
                </a:bodyPr>
                <a:lstStyle/>
                <a:p>
                  <a:pPr>
                    <a:defRPr sz="800" b="1">
                      <a:solidFill>
                        <a:srgbClr val="C00000"/>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solidFill>
                      <a:srgbClr val="C00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'Analiza e ndjeshmerise '!$E$4:$M$4</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'!$E$7:$M$7</c:f>
              <c:numCache>
                <c:formatCode>General</c:formatCode>
                <c:ptCount val="9"/>
                <c:pt idx="5" formatCode="0.0">
                  <c:v>23.1</c:v>
                </c:pt>
                <c:pt idx="6" formatCode="0.0">
                  <c:v>24.2</c:v>
                </c:pt>
                <c:pt idx="7" formatCode="0.0">
                  <c:v>33.003</c:v>
                </c:pt>
                <c:pt idx="8" formatCode="0.0">
                  <c:v>38.204999999999998</c:v>
                </c:pt>
              </c:numCache>
            </c:numRef>
          </c:val>
          <c:smooth val="0"/>
        </c:ser>
        <c:dLbls>
          <c:showLegendKey val="0"/>
          <c:showVal val="0"/>
          <c:showCatName val="0"/>
          <c:showSerName val="0"/>
          <c:showPercent val="0"/>
          <c:showBubbleSize val="0"/>
        </c:dLbls>
        <c:marker val="1"/>
        <c:smooth val="0"/>
        <c:axId val="-1890928064"/>
        <c:axId val="-1890936224"/>
      </c:lineChart>
      <c:catAx>
        <c:axId val="-189092806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0936224"/>
        <c:crosses val="autoZero"/>
        <c:auto val="1"/>
        <c:lblAlgn val="ctr"/>
        <c:lblOffset val="100"/>
        <c:noMultiLvlLbl val="0"/>
      </c:catAx>
      <c:valAx>
        <c:axId val="-1890936224"/>
        <c:scaling>
          <c:orientation val="minMax"/>
          <c:min val="15"/>
        </c:scaling>
        <c:delete val="0"/>
        <c:axPos val="l"/>
        <c:title>
          <c:tx>
            <c:rich>
              <a:bodyPr rot="-5400000" vert="horz"/>
              <a:lstStyle/>
              <a:p>
                <a:pPr>
                  <a:defRPr sz="1000" b="1">
                    <a:solidFill>
                      <a:sysClr val="windowText" lastClr="000000"/>
                    </a:solidFill>
                  </a:defRPr>
                </a:pPr>
                <a:r>
                  <a:rPr lang="en-US" sz="1000" b="1">
                    <a:solidFill>
                      <a:sysClr val="windowText" lastClr="000000"/>
                    </a:solidFill>
                  </a:rPr>
                  <a:t>në miliard Lekë</a:t>
                </a:r>
              </a:p>
            </c:rich>
          </c:tx>
          <c:layout>
            <c:manualLayout>
              <c:xMode val="edge"/>
              <c:yMode val="edge"/>
              <c:x val="7.2541464231864626E-4"/>
              <c:y val="0.23122754816938207"/>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0928064"/>
        <c:crosses val="autoZero"/>
        <c:crossBetween val="between"/>
      </c:valAx>
    </c:plotArea>
    <c:legend>
      <c:legendPos val="b"/>
      <c:layout>
        <c:manualLayout>
          <c:xMode val="edge"/>
          <c:yMode val="edge"/>
          <c:x val="0.18780700284804822"/>
          <c:y val="0.9127363730696455"/>
          <c:w val="0.62212412278252449"/>
          <c:h val="8.3717191601049845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55970663241563E-2"/>
          <c:y val="4.339192198131632E-2"/>
          <c:w val="0.87231231734331083"/>
          <c:h val="0.71701987924155219"/>
        </c:manualLayout>
      </c:layout>
      <c:lineChart>
        <c:grouping val="standard"/>
        <c:varyColors val="0"/>
        <c:ser>
          <c:idx val="0"/>
          <c:order val="0"/>
          <c:tx>
            <c:strRef>
              <c:f>'Analiza e ndjeshmerise '!$B$31</c:f>
              <c:strCache>
                <c:ptCount val="1"/>
                <c:pt idx="0">
                  <c:v>Skenar Bazë</c:v>
                </c:pt>
              </c:strCache>
            </c:strRef>
          </c:tx>
          <c:spPr>
            <a:ln w="25400">
              <a:solidFill>
                <a:schemeClr val="accent1">
                  <a:lumMod val="75000"/>
                </a:schemeClr>
              </a:solidFill>
            </a:ln>
          </c:spPr>
          <c:marker>
            <c:symbol val="square"/>
            <c:size val="4"/>
          </c:marker>
          <c:dPt>
            <c:idx val="5"/>
            <c:bubble3D val="0"/>
            <c:spPr>
              <a:ln w="25400">
                <a:solidFill>
                  <a:schemeClr val="accent1">
                    <a:lumMod val="75000"/>
                  </a:schemeClr>
                </a:solidFill>
                <a:prstDash val="solid"/>
              </a:ln>
            </c:spPr>
          </c:dPt>
          <c:dPt>
            <c:idx val="6"/>
            <c:bubble3D val="0"/>
            <c:spPr>
              <a:ln w="25400">
                <a:solidFill>
                  <a:schemeClr val="accent1">
                    <a:lumMod val="75000"/>
                  </a:schemeClr>
                </a:solidFill>
                <a:prstDash val="sysDash"/>
              </a:ln>
            </c:spPr>
          </c:dPt>
          <c:dPt>
            <c:idx val="7"/>
            <c:bubble3D val="0"/>
            <c:spPr>
              <a:ln w="25400">
                <a:solidFill>
                  <a:schemeClr val="accent1">
                    <a:lumMod val="75000"/>
                  </a:schemeClr>
                </a:solidFill>
                <a:prstDash val="sysDash"/>
              </a:ln>
            </c:spPr>
          </c:dPt>
          <c:dPt>
            <c:idx val="8"/>
            <c:bubble3D val="0"/>
            <c:spPr>
              <a:ln w="25400">
                <a:solidFill>
                  <a:schemeClr val="accent1">
                    <a:lumMod val="75000"/>
                  </a:schemeClr>
                </a:solidFill>
                <a:prstDash val="sysDash"/>
              </a:ln>
            </c:spPr>
          </c:dPt>
          <c:dLbls>
            <c:dLbl>
              <c:idx val="0"/>
              <c:layout>
                <c:manualLayout>
                  <c:x val="-2.9175269757946924E-2"/>
                  <c:y val="4.039837486067666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4929915675434188E-2"/>
                  <c:y val="5.248355166366525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2210308817780757E-2"/>
                      <c:h val="7.1659428221696506E-2"/>
                    </c:manualLayout>
                  </c15:layout>
                </c:ext>
              </c:extLst>
            </c:dLbl>
            <c:dLbl>
              <c:idx val="2"/>
              <c:layout>
                <c:manualLayout>
                  <c:x val="-2.2585943423738701E-2"/>
                  <c:y val="4.6313808798963012E-2"/>
                </c:manualLayout>
              </c:layout>
              <c:showLegendKey val="0"/>
              <c:showVal val="1"/>
              <c:showCatName val="0"/>
              <c:showSerName val="0"/>
              <c:showPercent val="0"/>
              <c:showBubbleSize val="0"/>
              <c:extLst>
                <c:ext xmlns:c15="http://schemas.microsoft.com/office/drawing/2012/chart" uri="{CE6537A1-D6FC-4f65-9D91-7224C49458BB}">
                  <c15:layout>
                    <c:manualLayout>
                      <c:w val="5.2210308817780757E-2"/>
                      <c:h val="9.5575721196285449E-2"/>
                    </c:manualLayout>
                  </c15:layout>
                </c:ext>
              </c:extLst>
            </c:dLbl>
            <c:dLbl>
              <c:idx val="3"/>
              <c:layout>
                <c:manualLayout>
                  <c:x val="-2.6629809571675881E-2"/>
                  <c:y val="3.737203253180796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8893914856387634E-2"/>
                  <c:y val="5.38328448854206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5923242927967445E-2"/>
                  <c:y val="5.092582605256526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7792432985587994E-2"/>
                  <c:y val="3.70370370370370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764941837144003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5306853310002916E-2"/>
                  <c:y val="3.65929601265595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rgbClr val="0070C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'!$C$30:$M$30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'!$C$31:$M$31</c:f>
              <c:numCache>
                <c:formatCode>0.0</c:formatCode>
                <c:ptCount val="9"/>
                <c:pt idx="0">
                  <c:v>8.2409999999999997</c:v>
                </c:pt>
                <c:pt idx="1">
                  <c:v>11.257752</c:v>
                </c:pt>
                <c:pt idx="2">
                  <c:v>10.733000000000001</c:v>
                </c:pt>
                <c:pt idx="3">
                  <c:v>10.489000000000001</c:v>
                </c:pt>
                <c:pt idx="4">
                  <c:v>13.355</c:v>
                </c:pt>
                <c:pt idx="5">
                  <c:v>12.7</c:v>
                </c:pt>
                <c:pt idx="6">
                  <c:v>13.45</c:v>
                </c:pt>
                <c:pt idx="7">
                  <c:v>13.7</c:v>
                </c:pt>
                <c:pt idx="8">
                  <c:v>13.981</c:v>
                </c:pt>
              </c:numCache>
            </c:numRef>
          </c:val>
          <c:smooth val="0"/>
        </c:ser>
        <c:ser>
          <c:idx val="1"/>
          <c:order val="1"/>
          <c:tx>
            <c:strRef>
              <c:f>'Analiza e ndjeshmerise '!$B$32</c:f>
              <c:strCache>
                <c:ptCount val="1"/>
                <c:pt idx="0">
                  <c:v>1 pp goditje</c:v>
                </c:pt>
              </c:strCache>
            </c:strRef>
          </c:tx>
          <c:spPr>
            <a:ln w="25400">
              <a:solidFill>
                <a:schemeClr val="accent2"/>
              </a:solidFill>
              <a:prstDash val="sysDash"/>
            </a:ln>
          </c:spPr>
          <c:marker>
            <c:symbol val="square"/>
            <c:size val="4"/>
            <c:spPr>
              <a:solidFill>
                <a:schemeClr val="accent2"/>
              </a:solidFill>
              <a:ln>
                <a:solidFill>
                  <a:schemeClr val="accent2"/>
                </a:solidFill>
              </a:ln>
            </c:spPr>
          </c:marker>
          <c:dLbls>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3.526553861618448E-3"/>
                  <c:y val="-2.025917163941956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0794661305634669E-2"/>
                  <c:y val="3.612490142768028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5619217810539641E-3"/>
                  <c:y val="-6.5534409095729506E-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chemeClr val="accent2"/>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'!$C$30:$M$30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'!$C$32:$M$32</c:f>
              <c:numCache>
                <c:formatCode>General</c:formatCode>
                <c:ptCount val="9"/>
                <c:pt idx="5" formatCode="0.0">
                  <c:v>12.7</c:v>
                </c:pt>
                <c:pt idx="6" formatCode="0.0">
                  <c:v>13.649999999999999</c:v>
                </c:pt>
                <c:pt idx="7" formatCode="0.0">
                  <c:v>17</c:v>
                </c:pt>
                <c:pt idx="8" formatCode="0.0">
                  <c:v>17.509</c:v>
                </c:pt>
              </c:numCache>
            </c:numRef>
          </c:val>
          <c:smooth val="0"/>
        </c:ser>
        <c:ser>
          <c:idx val="2"/>
          <c:order val="2"/>
          <c:tx>
            <c:strRef>
              <c:f>'Analiza e ndjeshmerise '!$B$33</c:f>
              <c:strCache>
                <c:ptCount val="1"/>
                <c:pt idx="0">
                  <c:v>2 pp goditje</c:v>
                </c:pt>
              </c:strCache>
            </c:strRef>
          </c:tx>
          <c:spPr>
            <a:ln w="25400">
              <a:solidFill>
                <a:srgbClr val="C00000"/>
              </a:solidFill>
              <a:prstDash val="sysDash"/>
            </a:ln>
          </c:spPr>
          <c:marker>
            <c:symbol val="square"/>
            <c:size val="4"/>
            <c:spPr>
              <a:solidFill>
                <a:srgbClr val="C00000"/>
              </a:solidFill>
              <a:ln>
                <a:solidFill>
                  <a:srgbClr val="C00000"/>
                </a:solidFill>
              </a:ln>
            </c:spPr>
          </c:marker>
          <c:dLbls>
            <c:dLbl>
              <c:idx val="0"/>
              <c:layout>
                <c:manualLayout>
                  <c:x val="-3.1454783748361741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1454783748361741E-2"/>
                  <c:y val="-5.09259259259259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6.9899519440803958E-3"/>
                  <c:y val="-1.851851851851854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271734381826129E-2"/>
                  <c:y val="-5.55555555555554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5.0367267921297157E-2"/>
                  <c:y val="-6.40434071301625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2462896109105613E-2"/>
                  <c:y val="-5.55555555555555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9253910950661854E-2"/>
                  <c:y val="-4.166666666666667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i="0" u="none" strike="noStrike" baseline="0">
                    <a:solidFill>
                      <a:srgbClr val="C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e ndjeshmerise '!$C$30:$M$30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'Analiza e ndjeshmerise '!$C$33:$M$33</c:f>
              <c:numCache>
                <c:formatCode>General</c:formatCode>
                <c:ptCount val="9"/>
                <c:pt idx="5" formatCode="0.0">
                  <c:v>12.7</c:v>
                </c:pt>
                <c:pt idx="6" formatCode="0.0">
                  <c:v>13.75</c:v>
                </c:pt>
                <c:pt idx="7" formatCode="0.0">
                  <c:v>20.346</c:v>
                </c:pt>
                <c:pt idx="8" formatCode="0.0">
                  <c:v>20.963000000000001</c:v>
                </c:pt>
              </c:numCache>
            </c:numRef>
          </c:val>
          <c:smooth val="0"/>
        </c:ser>
        <c:dLbls>
          <c:showLegendKey val="0"/>
          <c:showVal val="0"/>
          <c:showCatName val="0"/>
          <c:showSerName val="0"/>
          <c:showPercent val="0"/>
          <c:showBubbleSize val="0"/>
        </c:dLbls>
        <c:marker val="1"/>
        <c:smooth val="0"/>
        <c:axId val="-1890933504"/>
        <c:axId val="-1890932960"/>
      </c:lineChart>
      <c:catAx>
        <c:axId val="-189093350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0932960"/>
        <c:crosses val="autoZero"/>
        <c:auto val="1"/>
        <c:lblAlgn val="ctr"/>
        <c:lblOffset val="100"/>
        <c:noMultiLvlLbl val="0"/>
      </c:catAx>
      <c:valAx>
        <c:axId val="-1890932960"/>
        <c:scaling>
          <c:orientation val="minMax"/>
          <c:max val="25"/>
          <c:min val="5"/>
        </c:scaling>
        <c:delete val="0"/>
        <c:axPos val="l"/>
        <c:title>
          <c:tx>
            <c:rich>
              <a:bodyPr rot="-5400000" vert="horz"/>
              <a:lstStyle/>
              <a:p>
                <a:pPr>
                  <a:defRPr sz="1000" b="1"/>
                </a:pPr>
                <a:r>
                  <a:rPr lang="en-US" sz="1000" b="1"/>
                  <a:t>në miliard Lekë</a:t>
                </a:r>
              </a:p>
            </c:rich>
          </c:tx>
          <c:layout>
            <c:manualLayout>
              <c:xMode val="edge"/>
              <c:yMode val="edge"/>
              <c:x val="5.8692131568660285E-4"/>
              <c:y val="0.23610603176972547"/>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0933504"/>
        <c:crosses val="autoZero"/>
        <c:crossBetween val="between"/>
      </c:valAx>
    </c:plotArea>
    <c:legend>
      <c:legendPos val="b"/>
      <c:layout>
        <c:manualLayout>
          <c:xMode val="edge"/>
          <c:yMode val="edge"/>
          <c:x val="0.1725619403957484"/>
          <c:y val="0.91435189435401298"/>
          <c:w val="0.62685225517023135"/>
          <c:h val="8.3717191601049845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0.57876</cdr:x>
      <cdr:y>0.04688</cdr:y>
    </cdr:from>
    <cdr:to>
      <cdr:x>0.99358</cdr:x>
      <cdr:y>0.88872</cdr:y>
    </cdr:to>
    <cdr:sp macro="" textlink="">
      <cdr:nvSpPr>
        <cdr:cNvPr id="2" name="Rounded Rectangle 1"/>
        <cdr:cNvSpPr/>
      </cdr:nvSpPr>
      <cdr:spPr>
        <a:xfrm xmlns:a="http://schemas.openxmlformats.org/drawingml/2006/main">
          <a:off x="3114675" y="97634"/>
          <a:ext cx="2232400" cy="1753398"/>
        </a:xfrm>
        <a:prstGeom xmlns:a="http://schemas.openxmlformats.org/drawingml/2006/main" prst="roundRect">
          <a:avLst/>
        </a:prstGeom>
        <a:noFill xmlns:a="http://schemas.openxmlformats.org/drawingml/2006/main"/>
        <a:ln xmlns:a="http://schemas.openxmlformats.org/drawingml/2006/main" w="15875">
          <a:solidFill>
            <a:schemeClr val="accent5">
              <a:lumMod val="75000"/>
            </a:schemeClr>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2.xml><?xml version="1.0" encoding="utf-8"?>
<c:userShapes xmlns:c="http://schemas.openxmlformats.org/drawingml/2006/chart">
  <cdr:relSizeAnchor xmlns:cdr="http://schemas.openxmlformats.org/drawingml/2006/chartDrawing">
    <cdr:from>
      <cdr:x>0.57456</cdr:x>
      <cdr:y>0.04895</cdr:y>
    </cdr:from>
    <cdr:to>
      <cdr:x>0.98938</cdr:x>
      <cdr:y>0.89736</cdr:y>
    </cdr:to>
    <cdr:sp macro="" textlink="">
      <cdr:nvSpPr>
        <cdr:cNvPr id="2" name="Rounded Rectangle 1"/>
        <cdr:cNvSpPr/>
      </cdr:nvSpPr>
      <cdr:spPr>
        <a:xfrm xmlns:a="http://schemas.openxmlformats.org/drawingml/2006/main">
          <a:off x="3092075" y="104775"/>
          <a:ext cx="2232400" cy="1816107"/>
        </a:xfrm>
        <a:prstGeom xmlns:a="http://schemas.openxmlformats.org/drawingml/2006/main" prst="roundRect">
          <a:avLst/>
        </a:prstGeom>
        <a:noFill xmlns:a="http://schemas.openxmlformats.org/drawingml/2006/main"/>
        <a:ln xmlns:a="http://schemas.openxmlformats.org/drawingml/2006/main" w="15875">
          <a:solidFill>
            <a:schemeClr val="accent5">
              <a:lumMod val="75000"/>
            </a:schemeClr>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3.xml><?xml version="1.0" encoding="utf-8"?>
<c:userShapes xmlns:c="http://schemas.openxmlformats.org/drawingml/2006/chart">
  <cdr:relSizeAnchor xmlns:cdr="http://schemas.openxmlformats.org/drawingml/2006/chartDrawing">
    <cdr:from>
      <cdr:x>0.58053</cdr:x>
      <cdr:y>0.02491</cdr:y>
    </cdr:from>
    <cdr:to>
      <cdr:x>0.98761</cdr:x>
      <cdr:y>0.89158</cdr:y>
    </cdr:to>
    <cdr:sp macro="" textlink="">
      <cdr:nvSpPr>
        <cdr:cNvPr id="2" name="Rounded Rectangle 1"/>
        <cdr:cNvSpPr/>
      </cdr:nvSpPr>
      <cdr:spPr>
        <a:xfrm xmlns:a="http://schemas.openxmlformats.org/drawingml/2006/main">
          <a:off x="3124201" y="50301"/>
          <a:ext cx="2190750" cy="1750067"/>
        </a:xfrm>
        <a:prstGeom xmlns:a="http://schemas.openxmlformats.org/drawingml/2006/main" prst="roundRect">
          <a:avLst/>
        </a:prstGeom>
        <a:noFill xmlns:a="http://schemas.openxmlformats.org/drawingml/2006/main"/>
        <a:ln xmlns:a="http://schemas.openxmlformats.org/drawingml/2006/main" w="15875">
          <a:solidFill>
            <a:srgbClr val="0070C0"/>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4.xml><?xml version="1.0" encoding="utf-8"?>
<c:userShapes xmlns:c="http://schemas.openxmlformats.org/drawingml/2006/chart">
  <cdr:relSizeAnchor xmlns:cdr="http://schemas.openxmlformats.org/drawingml/2006/chartDrawing">
    <cdr:from>
      <cdr:x>0.58333</cdr:x>
      <cdr:y>0.02691</cdr:y>
    </cdr:from>
    <cdr:to>
      <cdr:x>0.98759</cdr:x>
      <cdr:y>0.91247</cdr:y>
    </cdr:to>
    <cdr:sp macro="" textlink="">
      <cdr:nvSpPr>
        <cdr:cNvPr id="2" name="Rounded Rectangle 1"/>
        <cdr:cNvSpPr/>
      </cdr:nvSpPr>
      <cdr:spPr>
        <a:xfrm xmlns:a="http://schemas.openxmlformats.org/drawingml/2006/main">
          <a:off x="3133725" y="55611"/>
          <a:ext cx="2171700" cy="1830397"/>
        </a:xfrm>
        <a:prstGeom xmlns:a="http://schemas.openxmlformats.org/drawingml/2006/main" prst="roundRect">
          <a:avLst/>
        </a:prstGeom>
        <a:noFill xmlns:a="http://schemas.openxmlformats.org/drawingml/2006/main"/>
        <a:ln xmlns:a="http://schemas.openxmlformats.org/drawingml/2006/main" w="15875">
          <a:solidFill>
            <a:schemeClr val="accent1">
              <a:lumMod val="75000"/>
            </a:schemeClr>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5.xml><?xml version="1.0" encoding="utf-8"?>
<c:userShapes xmlns:c="http://schemas.openxmlformats.org/drawingml/2006/chart">
  <cdr:relSizeAnchor xmlns:cdr="http://schemas.openxmlformats.org/drawingml/2006/chartDrawing">
    <cdr:from>
      <cdr:x>0.56738</cdr:x>
      <cdr:y>0.02691</cdr:y>
    </cdr:from>
    <cdr:to>
      <cdr:x>0.98759</cdr:x>
      <cdr:y>0.91469</cdr:y>
    </cdr:to>
    <cdr:sp macro="" textlink="">
      <cdr:nvSpPr>
        <cdr:cNvPr id="2" name="Rounded Rectangle 1"/>
        <cdr:cNvSpPr/>
      </cdr:nvSpPr>
      <cdr:spPr>
        <a:xfrm xmlns:a="http://schemas.openxmlformats.org/drawingml/2006/main">
          <a:off x="3047999" y="54075"/>
          <a:ext cx="2257425" cy="1784250"/>
        </a:xfrm>
        <a:prstGeom xmlns:a="http://schemas.openxmlformats.org/drawingml/2006/main" prst="roundRect">
          <a:avLst/>
        </a:prstGeom>
        <a:noFill xmlns:a="http://schemas.openxmlformats.org/drawingml/2006/main"/>
        <a:ln xmlns:a="http://schemas.openxmlformats.org/drawingml/2006/main" w="15875">
          <a:solidFill>
            <a:schemeClr val="accent1">
              <a:lumMod val="75000"/>
            </a:schemeClr>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0x00EF04262C9B5CF24DAE036A971D0C2EB2</ContentTypeId>
    <TemplateUrl xmlns="http://schemas.microsoft.com/sharepoint/v3" xsi:nil="true"/>
    <ProtocolNumberIn xmlns="http://schemas.microsoft.com/sharepoint/v3" xsi:nil="true"/>
    <DocumentTypeId xmlns="http://schemas.microsoft.com/sharepoint/v3">1</DocumentTypeId>
    <ProtocolNumberOut xmlns="http://schemas.microsoft.com/sharepoint/v3">20490</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EF04262C9B5CF24DAE036A971D0C2EB2" ma:contentTypeVersion="" ma:contentTypeDescription="" ma:contentTypeScope="" ma:versionID="92547a3925fd68d87c445f80b5d671ed">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6F8993-6DE3-4AE6-AA87-7824406996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A03A2E-0514-489E-B646-054C3321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F9C23-C88B-4EE7-84EB-59B1C5EE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13949</Words>
  <Characters>79511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Strategjia Afatmesme e Menaxhimit te Borxhit 2020-2022</vt:lpstr>
    </vt:vector>
  </TitlesOfParts>
  <Company>Microsoft</Company>
  <LinksUpToDate>false</LinksUpToDate>
  <CharactersWithSpaces>93274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Afatmesme e Menaxhimit te Borxhit 2020-2022</dc:title>
  <dc:subject/>
  <dc:creator>Erla Kadiu</dc:creator>
  <cp:keywords/>
  <dc:description/>
  <cp:lastModifiedBy>Erla Kadiu</cp:lastModifiedBy>
  <cp:revision>3</cp:revision>
  <cp:lastPrinted>2019-11-07T15:10:00Z</cp:lastPrinted>
  <dcterms:created xsi:type="dcterms:W3CDTF">2020-01-07T09:16:00Z</dcterms:created>
  <dcterms:modified xsi:type="dcterms:W3CDTF">2020-01-07T09:21:00Z</dcterms:modified>
</cp:coreProperties>
</file>