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B0D" w:rsidRPr="00BA4F3A" w:rsidRDefault="00AC7B0D" w:rsidP="00735747">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KOMENTE DHE REKOMANDIME </w:t>
      </w:r>
    </w:p>
    <w:p w:rsidR="00AC7B0D" w:rsidRPr="00BA4F3A" w:rsidRDefault="00AC7B0D" w:rsidP="00735747">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MBI RAPORTIN E MONITORIMIT TË </w:t>
      </w:r>
      <w:r w:rsidR="009F08CF">
        <w:rPr>
          <w:rFonts w:asciiTheme="majorBidi" w:hAnsiTheme="majorBidi" w:cstheme="majorBidi"/>
          <w:b/>
          <w:color w:val="002060"/>
          <w:lang w:val="sq-AL"/>
        </w:rPr>
        <w:t>V</w:t>
      </w:r>
      <w:r w:rsidRPr="00BA4F3A">
        <w:rPr>
          <w:rFonts w:asciiTheme="majorBidi" w:hAnsiTheme="majorBidi" w:cstheme="majorBidi"/>
          <w:b/>
          <w:caps/>
          <w:color w:val="002060"/>
          <w:lang w:val="sq-AL"/>
        </w:rPr>
        <w:t>iti</w:t>
      </w:r>
      <w:r w:rsidR="009F08CF">
        <w:rPr>
          <w:rFonts w:asciiTheme="majorBidi" w:hAnsiTheme="majorBidi" w:cstheme="majorBidi"/>
          <w:b/>
          <w:caps/>
          <w:color w:val="002060"/>
          <w:lang w:val="sq-AL"/>
        </w:rPr>
        <w:t>t</w:t>
      </w:r>
      <w:r w:rsidRPr="00BA4F3A">
        <w:rPr>
          <w:rFonts w:asciiTheme="majorBidi" w:hAnsiTheme="majorBidi" w:cstheme="majorBidi"/>
          <w:b/>
          <w:caps/>
          <w:color w:val="002060"/>
          <w:lang w:val="sq-AL"/>
        </w:rPr>
        <w:t xml:space="preserve"> 201</w:t>
      </w:r>
      <w:r w:rsidR="00263154">
        <w:rPr>
          <w:rFonts w:asciiTheme="majorBidi" w:hAnsiTheme="majorBidi" w:cstheme="majorBidi"/>
          <w:b/>
          <w:caps/>
          <w:color w:val="002060"/>
          <w:lang w:val="sq-AL"/>
        </w:rPr>
        <w:t>9</w:t>
      </w:r>
      <w:r w:rsidRPr="00BA4F3A">
        <w:rPr>
          <w:rFonts w:asciiTheme="majorBidi" w:hAnsiTheme="majorBidi" w:cstheme="majorBidi"/>
          <w:b/>
          <w:color w:val="002060"/>
          <w:lang w:val="sq-AL"/>
        </w:rPr>
        <w:t xml:space="preserve"> </w:t>
      </w:r>
    </w:p>
    <w:p w:rsidR="00AC7B0D" w:rsidRPr="00BA4F3A" w:rsidRDefault="00AC7B0D" w:rsidP="00F04951">
      <w:pPr>
        <w:spacing w:line="276" w:lineRule="auto"/>
        <w:jc w:val="center"/>
        <w:rPr>
          <w:b/>
          <w:color w:val="002060"/>
          <w:sz w:val="28"/>
          <w:szCs w:val="28"/>
          <w:lang w:val="sq-AL"/>
        </w:rPr>
      </w:pPr>
      <w:r w:rsidRPr="00BA4F3A">
        <w:rPr>
          <w:rFonts w:asciiTheme="majorBidi" w:hAnsiTheme="majorBidi" w:cstheme="majorBidi"/>
          <w:b/>
          <w:color w:val="002060"/>
          <w:lang w:val="sq-AL"/>
        </w:rPr>
        <w:t xml:space="preserve">PËR </w:t>
      </w:r>
      <w:r w:rsidR="000228E4">
        <w:rPr>
          <w:rFonts w:asciiTheme="majorBidi" w:hAnsiTheme="majorBidi" w:cstheme="majorBidi"/>
          <w:b/>
          <w:caps/>
          <w:color w:val="002060"/>
          <w:lang w:val="sq-AL"/>
        </w:rPr>
        <w:t>Komisionin e Pavarur t</w:t>
      </w:r>
      <w:r w:rsidR="009319ED">
        <w:rPr>
          <w:rFonts w:asciiTheme="majorBidi" w:hAnsiTheme="majorBidi" w:cstheme="majorBidi"/>
          <w:b/>
          <w:caps/>
          <w:color w:val="002060"/>
          <w:lang w:val="sq-AL"/>
        </w:rPr>
        <w:t>ë</w:t>
      </w:r>
      <w:r w:rsidR="000228E4">
        <w:rPr>
          <w:rFonts w:asciiTheme="majorBidi" w:hAnsiTheme="majorBidi" w:cstheme="majorBidi"/>
          <w:b/>
          <w:caps/>
          <w:color w:val="002060"/>
          <w:lang w:val="sq-AL"/>
        </w:rPr>
        <w:t xml:space="preserve"> Kualifikimit</w:t>
      </w:r>
    </w:p>
    <w:p w:rsidR="00B61C60" w:rsidRPr="00BA4F3A" w:rsidRDefault="00B61C60" w:rsidP="00735747">
      <w:pPr>
        <w:tabs>
          <w:tab w:val="left" w:pos="2160"/>
        </w:tabs>
        <w:spacing w:line="276" w:lineRule="auto"/>
        <w:jc w:val="both"/>
        <w:rPr>
          <w:bCs/>
          <w:lang w:val="sq-AL"/>
        </w:rPr>
      </w:pPr>
    </w:p>
    <w:p w:rsidR="0037703F" w:rsidRPr="00BA4F3A" w:rsidRDefault="0037703F" w:rsidP="00735747">
      <w:pPr>
        <w:tabs>
          <w:tab w:val="left" w:pos="2160"/>
        </w:tabs>
        <w:spacing w:line="276" w:lineRule="auto"/>
        <w:jc w:val="both"/>
        <w:rPr>
          <w:bCs/>
          <w:lang w:val="sq-AL"/>
        </w:rPr>
      </w:pPr>
      <w:bookmarkStart w:id="0" w:name="_GoBack"/>
      <w:bookmarkEnd w:id="0"/>
    </w:p>
    <w:p w:rsidR="0037703F" w:rsidRPr="00BA4F3A" w:rsidRDefault="00410EC1" w:rsidP="00735747">
      <w:pPr>
        <w:numPr>
          <w:ilvl w:val="0"/>
          <w:numId w:val="2"/>
        </w:numPr>
        <w:tabs>
          <w:tab w:val="left" w:pos="2160"/>
        </w:tabs>
        <w:spacing w:after="200" w:line="276" w:lineRule="auto"/>
        <w:ind w:left="0" w:firstLine="720"/>
        <w:jc w:val="both"/>
        <w:rPr>
          <w:b/>
          <w:lang w:val="sq-AL"/>
        </w:rPr>
      </w:pPr>
      <w:r w:rsidRPr="00BA4F3A">
        <w:rPr>
          <w:rFonts w:asciiTheme="majorBidi" w:hAnsiTheme="majorBidi" w:cstheme="majorBidi"/>
          <w:b/>
          <w:color w:val="002060"/>
          <w:lang w:val="sq-AL"/>
        </w:rPr>
        <w:t xml:space="preserve">Vlerësim i përgjithshëm </w:t>
      </w:r>
    </w:p>
    <w:p w:rsidR="00B61C60" w:rsidRDefault="000228E4" w:rsidP="00F04951">
      <w:pPr>
        <w:tabs>
          <w:tab w:val="left" w:pos="2160"/>
        </w:tabs>
        <w:spacing w:after="200" w:line="276" w:lineRule="auto"/>
        <w:jc w:val="both"/>
        <w:rPr>
          <w:bCs/>
          <w:lang w:val="sq-AL"/>
        </w:rPr>
      </w:pPr>
      <w:r w:rsidRPr="000228E4">
        <w:rPr>
          <w:rFonts w:asciiTheme="majorBidi" w:hAnsiTheme="majorBidi" w:cstheme="majorBidi"/>
          <w:b/>
          <w:color w:val="002060"/>
          <w:lang w:val="sq-AL"/>
        </w:rPr>
        <w:t>Komisioni i Pavarur i Kualifikimit</w:t>
      </w:r>
      <w:r w:rsidR="00B25EEF" w:rsidRPr="00BA4F3A">
        <w:rPr>
          <w:bCs/>
          <w:lang w:val="sq-AL"/>
        </w:rPr>
        <w:t xml:space="preserve"> administroi dhe menaxhoi fondet publike sipas </w:t>
      </w:r>
      <w:r w:rsidR="008E71D5" w:rsidRPr="00BA4F3A">
        <w:rPr>
          <w:bCs/>
          <w:lang w:val="sq-AL"/>
        </w:rPr>
        <w:t>program</w:t>
      </w:r>
      <w:r w:rsidR="00267899">
        <w:rPr>
          <w:bCs/>
          <w:lang w:val="sq-AL"/>
        </w:rPr>
        <w:t>it “</w:t>
      </w:r>
      <w:r w:rsidRPr="000228E4">
        <w:rPr>
          <w:bCs/>
          <w:lang w:val="sq-AL"/>
        </w:rPr>
        <w:t>Veprimtaria e rivlerësimit kalimtar të magjistratit</w:t>
      </w:r>
      <w:r w:rsidR="00267899">
        <w:rPr>
          <w:bCs/>
          <w:lang w:val="sq-AL"/>
        </w:rPr>
        <w:t>”</w:t>
      </w:r>
      <w:r w:rsidR="00F04951">
        <w:rPr>
          <w:bCs/>
          <w:lang w:val="sq-AL"/>
        </w:rPr>
        <w:t>.</w:t>
      </w:r>
    </w:p>
    <w:p w:rsidR="00D66B65" w:rsidRPr="00D66B65" w:rsidRDefault="00D66B65" w:rsidP="00F04951">
      <w:pPr>
        <w:tabs>
          <w:tab w:val="left" w:pos="2160"/>
        </w:tabs>
        <w:spacing w:after="200" w:line="276" w:lineRule="auto"/>
        <w:jc w:val="both"/>
        <w:rPr>
          <w:bCs/>
          <w:sz w:val="6"/>
          <w:szCs w:val="6"/>
          <w:lang w:val="sq-AL"/>
        </w:rPr>
      </w:pPr>
    </w:p>
    <w:p w:rsidR="00410EC1" w:rsidRPr="00BA4F3A" w:rsidRDefault="00410EC1" w:rsidP="00735747">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BA4F3A">
        <w:rPr>
          <w:rFonts w:asciiTheme="majorBidi" w:hAnsiTheme="majorBidi" w:cstheme="majorBidi"/>
          <w:b/>
          <w:color w:val="002060"/>
          <w:lang w:val="sq-AL"/>
        </w:rPr>
        <w:t>Karakteristika kryesore të performancës së shpenzimeve</w:t>
      </w:r>
    </w:p>
    <w:p w:rsidR="00EB45AE" w:rsidRDefault="00410EC1" w:rsidP="00735747">
      <w:pPr>
        <w:tabs>
          <w:tab w:val="left" w:pos="2160"/>
        </w:tabs>
        <w:spacing w:line="276" w:lineRule="auto"/>
        <w:jc w:val="both"/>
        <w:rPr>
          <w:bCs/>
          <w:i/>
          <w:iCs/>
          <w:lang w:val="sq-AL"/>
        </w:rPr>
      </w:pPr>
      <w:r w:rsidRPr="00BA4F3A">
        <w:rPr>
          <w:rFonts w:asciiTheme="majorBidi" w:hAnsiTheme="majorBidi" w:cstheme="majorBidi"/>
          <w:bCs/>
          <w:lang w:val="sq-AL"/>
        </w:rPr>
        <w:t>Në fund të viti</w:t>
      </w:r>
      <w:r w:rsidR="009F08CF">
        <w:rPr>
          <w:rFonts w:asciiTheme="majorBidi" w:hAnsiTheme="majorBidi" w:cstheme="majorBidi"/>
          <w:bCs/>
          <w:lang w:val="sq-AL"/>
        </w:rPr>
        <w:t>t</w:t>
      </w:r>
      <w:r w:rsidRPr="00BA4F3A">
        <w:rPr>
          <w:rFonts w:asciiTheme="majorBidi" w:hAnsiTheme="majorBidi" w:cstheme="majorBidi"/>
          <w:bCs/>
          <w:lang w:val="sq-AL"/>
        </w:rPr>
        <w:t xml:space="preserve"> 201</w:t>
      </w:r>
      <w:r w:rsidR="00263154">
        <w:rPr>
          <w:rFonts w:asciiTheme="majorBidi" w:hAnsiTheme="majorBidi" w:cstheme="majorBidi"/>
          <w:bCs/>
          <w:lang w:val="sq-AL"/>
        </w:rPr>
        <w:t>9</w:t>
      </w:r>
      <w:r w:rsidRPr="00BA4F3A">
        <w:rPr>
          <w:rFonts w:asciiTheme="majorBidi" w:hAnsiTheme="majorBidi" w:cstheme="majorBidi"/>
          <w:bCs/>
          <w:lang w:val="sq-AL"/>
        </w:rPr>
        <w:t xml:space="preserve">, situata në lidhje me realizimin e shpenzimeve të buxhetit, </w:t>
      </w:r>
      <w:r w:rsidRPr="00263154">
        <w:rPr>
          <w:rFonts w:asciiTheme="majorBidi" w:hAnsiTheme="majorBidi" w:cstheme="majorBidi"/>
          <w:bCs/>
          <w:lang w:val="sq-AL"/>
        </w:rPr>
        <w:t xml:space="preserve">krahasuar me planin, sipas raportit të monitorimit të paraqitur nga ana e </w:t>
      </w:r>
      <w:r w:rsidR="0037703F" w:rsidRPr="00263154">
        <w:rPr>
          <w:rFonts w:asciiTheme="majorBidi" w:hAnsiTheme="majorBidi" w:cstheme="majorBidi"/>
          <w:bCs/>
          <w:lang w:val="sq-AL"/>
        </w:rPr>
        <w:t>institucionit</w:t>
      </w:r>
      <w:r w:rsidR="0029364F" w:rsidRPr="00263154">
        <w:rPr>
          <w:bCs/>
          <w:lang w:val="sq-AL"/>
        </w:rPr>
        <w:t xml:space="preserve"> dhe sipas të</w:t>
      </w:r>
      <w:r w:rsidR="0029364F" w:rsidRPr="00BA4F3A">
        <w:rPr>
          <w:bCs/>
          <w:lang w:val="sq-AL"/>
        </w:rPr>
        <w:t xml:space="preserve"> dhënave të Sistemit Financiar Informatik të Qeverisë</w:t>
      </w:r>
      <w:r w:rsidRPr="00BA4F3A">
        <w:rPr>
          <w:rFonts w:asciiTheme="majorBidi" w:hAnsiTheme="majorBidi" w:cstheme="majorBidi"/>
          <w:bCs/>
          <w:lang w:val="sq-AL"/>
        </w:rPr>
        <w:t>, paraqitet si më poshtë</w:t>
      </w:r>
      <w:r w:rsidR="0029364F" w:rsidRPr="00BA4F3A">
        <w:rPr>
          <w:rFonts w:asciiTheme="majorBidi" w:hAnsiTheme="majorBidi" w:cstheme="majorBidi"/>
          <w:bCs/>
          <w:lang w:val="sq-AL"/>
        </w:rPr>
        <w:t xml:space="preserve">, </w:t>
      </w:r>
      <w:r w:rsidR="005D40BF" w:rsidRPr="00BA4F3A">
        <w:rPr>
          <w:bCs/>
          <w:i/>
          <w:iCs/>
          <w:lang w:val="sq-AL"/>
        </w:rPr>
        <w:t>në mijë lekë</w:t>
      </w:r>
      <w:r w:rsidR="00602DFF" w:rsidRPr="00BA4F3A">
        <w:rPr>
          <w:bCs/>
          <w:i/>
          <w:iCs/>
          <w:lang w:val="sq-AL"/>
        </w:rPr>
        <w:t>:</w:t>
      </w:r>
      <w:r w:rsidR="005D40BF" w:rsidRPr="00BA4F3A">
        <w:rPr>
          <w:bCs/>
          <w:i/>
          <w:iCs/>
          <w:lang w:val="sq-AL"/>
        </w:rPr>
        <w:t xml:space="preserve"> </w:t>
      </w:r>
    </w:p>
    <w:p w:rsidR="009F08CF" w:rsidRDefault="009F08CF" w:rsidP="00735747">
      <w:pPr>
        <w:tabs>
          <w:tab w:val="left" w:pos="2160"/>
        </w:tabs>
        <w:spacing w:line="276" w:lineRule="auto"/>
        <w:jc w:val="both"/>
        <w:rPr>
          <w:bCs/>
          <w:i/>
          <w:iCs/>
          <w:lang w:val="sq-AL"/>
        </w:rPr>
      </w:pPr>
    </w:p>
    <w:tbl>
      <w:tblPr>
        <w:tblW w:w="8120" w:type="dxa"/>
        <w:jc w:val="center"/>
        <w:tblInd w:w="85" w:type="dxa"/>
        <w:tblLook w:val="04A0" w:firstRow="1" w:lastRow="0" w:firstColumn="1" w:lastColumn="0" w:noHBand="0" w:noVBand="1"/>
      </w:tblPr>
      <w:tblGrid>
        <w:gridCol w:w="960"/>
        <w:gridCol w:w="3460"/>
        <w:gridCol w:w="1170"/>
        <w:gridCol w:w="990"/>
        <w:gridCol w:w="1540"/>
      </w:tblGrid>
      <w:tr w:rsidR="009F08CF" w:rsidRPr="009F08CF" w:rsidTr="00D66B65">
        <w:trPr>
          <w:trHeight w:val="525"/>
          <w:jc w:val="center"/>
        </w:trPr>
        <w:tc>
          <w:tcPr>
            <w:tcW w:w="960" w:type="dxa"/>
            <w:tcBorders>
              <w:top w:val="double" w:sz="6" w:space="0" w:color="auto"/>
              <w:left w:val="double" w:sz="6" w:space="0" w:color="auto"/>
              <w:bottom w:val="nil"/>
              <w:right w:val="dotted" w:sz="4" w:space="0" w:color="auto"/>
            </w:tcBorders>
            <w:shd w:val="clear" w:color="000000" w:fill="FFFFCC"/>
            <w:vAlign w:val="center"/>
            <w:hideMark/>
          </w:tcPr>
          <w:p w:rsidR="009F08CF" w:rsidRPr="009F08CF" w:rsidRDefault="009F08CF" w:rsidP="009F08CF">
            <w:pPr>
              <w:jc w:val="center"/>
              <w:rPr>
                <w:b/>
                <w:bCs/>
                <w:color w:val="002060"/>
                <w:sz w:val="20"/>
                <w:szCs w:val="20"/>
              </w:rPr>
            </w:pPr>
            <w:r w:rsidRPr="009F08CF">
              <w:rPr>
                <w:b/>
                <w:bCs/>
                <w:color w:val="002060"/>
                <w:sz w:val="20"/>
                <w:szCs w:val="20"/>
              </w:rPr>
              <w:t>NR.</w:t>
            </w:r>
          </w:p>
        </w:tc>
        <w:tc>
          <w:tcPr>
            <w:tcW w:w="3460" w:type="dxa"/>
            <w:tcBorders>
              <w:top w:val="double" w:sz="6" w:space="0" w:color="auto"/>
              <w:left w:val="nil"/>
              <w:bottom w:val="nil"/>
              <w:right w:val="dotted" w:sz="4" w:space="0" w:color="auto"/>
            </w:tcBorders>
            <w:shd w:val="clear" w:color="000000" w:fill="FFFFCC"/>
            <w:vAlign w:val="center"/>
            <w:hideMark/>
          </w:tcPr>
          <w:p w:rsidR="009F08CF" w:rsidRPr="009F08CF" w:rsidRDefault="009F08CF" w:rsidP="009F08CF">
            <w:pPr>
              <w:jc w:val="center"/>
              <w:rPr>
                <w:b/>
                <w:bCs/>
                <w:color w:val="002060"/>
                <w:sz w:val="20"/>
                <w:szCs w:val="20"/>
              </w:rPr>
            </w:pPr>
            <w:proofErr w:type="spellStart"/>
            <w:r w:rsidRPr="009F08CF">
              <w:rPr>
                <w:b/>
                <w:bCs/>
                <w:color w:val="002060"/>
                <w:sz w:val="20"/>
                <w:szCs w:val="20"/>
              </w:rPr>
              <w:t>Emërtimi</w:t>
            </w:r>
            <w:proofErr w:type="spellEnd"/>
          </w:p>
        </w:tc>
        <w:tc>
          <w:tcPr>
            <w:tcW w:w="1170" w:type="dxa"/>
            <w:tcBorders>
              <w:top w:val="double" w:sz="6" w:space="0" w:color="auto"/>
              <w:left w:val="nil"/>
              <w:bottom w:val="nil"/>
              <w:right w:val="dotted" w:sz="4" w:space="0" w:color="auto"/>
            </w:tcBorders>
            <w:shd w:val="clear" w:color="000000" w:fill="FFFFCC"/>
            <w:vAlign w:val="center"/>
            <w:hideMark/>
          </w:tcPr>
          <w:p w:rsidR="009F08CF" w:rsidRPr="009F08CF" w:rsidRDefault="009F08CF" w:rsidP="009F08CF">
            <w:pPr>
              <w:jc w:val="center"/>
              <w:rPr>
                <w:b/>
                <w:bCs/>
                <w:color w:val="002060"/>
                <w:sz w:val="20"/>
                <w:szCs w:val="20"/>
              </w:rPr>
            </w:pPr>
            <w:proofErr w:type="spellStart"/>
            <w:r w:rsidRPr="009F08CF">
              <w:rPr>
                <w:b/>
                <w:bCs/>
                <w:color w:val="002060"/>
                <w:sz w:val="20"/>
                <w:szCs w:val="20"/>
              </w:rPr>
              <w:t>Plani</w:t>
            </w:r>
            <w:proofErr w:type="spellEnd"/>
            <w:r w:rsidRPr="009F08CF">
              <w:rPr>
                <w:b/>
                <w:bCs/>
                <w:color w:val="002060"/>
                <w:sz w:val="20"/>
                <w:szCs w:val="20"/>
              </w:rPr>
              <w:t xml:space="preserve"> </w:t>
            </w:r>
          </w:p>
        </w:tc>
        <w:tc>
          <w:tcPr>
            <w:tcW w:w="990" w:type="dxa"/>
            <w:tcBorders>
              <w:top w:val="double" w:sz="6" w:space="0" w:color="auto"/>
              <w:left w:val="nil"/>
              <w:bottom w:val="nil"/>
              <w:right w:val="dotted" w:sz="4" w:space="0" w:color="auto"/>
            </w:tcBorders>
            <w:shd w:val="clear" w:color="000000" w:fill="FFFFCC"/>
            <w:vAlign w:val="center"/>
            <w:hideMark/>
          </w:tcPr>
          <w:p w:rsidR="009F08CF" w:rsidRPr="009F08CF" w:rsidRDefault="009F08CF" w:rsidP="009F08CF">
            <w:pPr>
              <w:jc w:val="center"/>
              <w:rPr>
                <w:b/>
                <w:bCs/>
                <w:color w:val="002060"/>
                <w:sz w:val="20"/>
                <w:szCs w:val="20"/>
              </w:rPr>
            </w:pPr>
            <w:proofErr w:type="spellStart"/>
            <w:r w:rsidRPr="009F08CF">
              <w:rPr>
                <w:b/>
                <w:bCs/>
                <w:color w:val="002060"/>
                <w:sz w:val="20"/>
                <w:szCs w:val="20"/>
              </w:rPr>
              <w:t>Fakti</w:t>
            </w:r>
            <w:proofErr w:type="spellEnd"/>
            <w:r w:rsidRPr="009F08CF">
              <w:rPr>
                <w:b/>
                <w:bCs/>
                <w:color w:val="002060"/>
                <w:sz w:val="20"/>
                <w:szCs w:val="20"/>
              </w:rPr>
              <w:t xml:space="preserve"> </w:t>
            </w:r>
          </w:p>
        </w:tc>
        <w:tc>
          <w:tcPr>
            <w:tcW w:w="1540" w:type="dxa"/>
            <w:tcBorders>
              <w:top w:val="double" w:sz="6" w:space="0" w:color="auto"/>
              <w:left w:val="nil"/>
              <w:bottom w:val="nil"/>
              <w:right w:val="double" w:sz="6" w:space="0" w:color="auto"/>
            </w:tcBorders>
            <w:shd w:val="clear" w:color="000000" w:fill="FFFFCC"/>
            <w:vAlign w:val="center"/>
            <w:hideMark/>
          </w:tcPr>
          <w:p w:rsidR="009F08CF" w:rsidRPr="009F08CF" w:rsidRDefault="009F08CF" w:rsidP="009F08CF">
            <w:pPr>
              <w:jc w:val="center"/>
              <w:rPr>
                <w:b/>
                <w:bCs/>
                <w:color w:val="002060"/>
                <w:sz w:val="20"/>
                <w:szCs w:val="20"/>
              </w:rPr>
            </w:pPr>
            <w:proofErr w:type="spellStart"/>
            <w:r w:rsidRPr="009F08CF">
              <w:rPr>
                <w:b/>
                <w:bCs/>
                <w:color w:val="002060"/>
                <w:sz w:val="20"/>
                <w:szCs w:val="20"/>
              </w:rPr>
              <w:t>Përqindja</w:t>
            </w:r>
            <w:proofErr w:type="spellEnd"/>
            <w:r w:rsidRPr="009F08CF">
              <w:rPr>
                <w:b/>
                <w:bCs/>
                <w:color w:val="002060"/>
                <w:sz w:val="20"/>
                <w:szCs w:val="20"/>
              </w:rPr>
              <w:t xml:space="preserve">  e </w:t>
            </w:r>
            <w:proofErr w:type="spellStart"/>
            <w:r w:rsidRPr="009F08CF">
              <w:rPr>
                <w:b/>
                <w:bCs/>
                <w:color w:val="002060"/>
                <w:sz w:val="20"/>
                <w:szCs w:val="20"/>
              </w:rPr>
              <w:t>realizimit</w:t>
            </w:r>
            <w:proofErr w:type="spellEnd"/>
          </w:p>
        </w:tc>
      </w:tr>
      <w:tr w:rsidR="009F08CF" w:rsidRPr="009F08CF" w:rsidTr="00D66B65">
        <w:trPr>
          <w:trHeight w:val="315"/>
          <w:jc w:val="center"/>
        </w:trPr>
        <w:tc>
          <w:tcPr>
            <w:tcW w:w="960" w:type="dxa"/>
            <w:tcBorders>
              <w:top w:val="nil"/>
              <w:left w:val="double" w:sz="6" w:space="0" w:color="auto"/>
              <w:bottom w:val="dotted" w:sz="4" w:space="0" w:color="auto"/>
              <w:right w:val="dotted" w:sz="4"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1</w:t>
            </w:r>
          </w:p>
        </w:tc>
        <w:tc>
          <w:tcPr>
            <w:tcW w:w="3460" w:type="dxa"/>
            <w:tcBorders>
              <w:top w:val="nil"/>
              <w:left w:val="nil"/>
              <w:bottom w:val="dotted" w:sz="4" w:space="0" w:color="auto"/>
              <w:right w:val="dotted" w:sz="4" w:space="0" w:color="auto"/>
            </w:tcBorders>
            <w:shd w:val="clear" w:color="auto" w:fill="auto"/>
            <w:vAlign w:val="center"/>
            <w:hideMark/>
          </w:tcPr>
          <w:p w:rsidR="009F08CF" w:rsidRPr="009F08CF" w:rsidRDefault="009F08CF" w:rsidP="009F08CF">
            <w:pPr>
              <w:rPr>
                <w:color w:val="002060"/>
              </w:rPr>
            </w:pPr>
            <w:proofErr w:type="spellStart"/>
            <w:r w:rsidRPr="009F08CF">
              <w:rPr>
                <w:color w:val="002060"/>
              </w:rPr>
              <w:t>Shpenzime</w:t>
            </w:r>
            <w:proofErr w:type="spellEnd"/>
            <w:r w:rsidRPr="009F08CF">
              <w:rPr>
                <w:color w:val="002060"/>
              </w:rPr>
              <w:t xml:space="preserve"> </w:t>
            </w:r>
            <w:proofErr w:type="spellStart"/>
            <w:r w:rsidRPr="009F08CF">
              <w:rPr>
                <w:color w:val="002060"/>
              </w:rPr>
              <w:t>personeli</w:t>
            </w:r>
            <w:proofErr w:type="spellEnd"/>
          </w:p>
        </w:tc>
        <w:tc>
          <w:tcPr>
            <w:tcW w:w="117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172,600</w:t>
            </w:r>
          </w:p>
        </w:tc>
        <w:tc>
          <w:tcPr>
            <w:tcW w:w="99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172,156</w:t>
            </w:r>
          </w:p>
        </w:tc>
        <w:tc>
          <w:tcPr>
            <w:tcW w:w="1540" w:type="dxa"/>
            <w:tcBorders>
              <w:top w:val="nil"/>
              <w:left w:val="nil"/>
              <w:bottom w:val="dotted" w:sz="4" w:space="0" w:color="auto"/>
              <w:right w:val="double" w:sz="6"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99.7%</w:t>
            </w:r>
          </w:p>
        </w:tc>
      </w:tr>
      <w:tr w:rsidR="009F08CF" w:rsidRPr="009F08CF" w:rsidTr="00D66B65">
        <w:trPr>
          <w:trHeight w:val="315"/>
          <w:jc w:val="center"/>
        </w:trPr>
        <w:tc>
          <w:tcPr>
            <w:tcW w:w="960" w:type="dxa"/>
            <w:tcBorders>
              <w:top w:val="nil"/>
              <w:left w:val="double" w:sz="6" w:space="0" w:color="auto"/>
              <w:bottom w:val="dotted" w:sz="4" w:space="0" w:color="auto"/>
              <w:right w:val="dotted" w:sz="4"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2</w:t>
            </w:r>
          </w:p>
        </w:tc>
        <w:tc>
          <w:tcPr>
            <w:tcW w:w="3460" w:type="dxa"/>
            <w:tcBorders>
              <w:top w:val="nil"/>
              <w:left w:val="nil"/>
              <w:bottom w:val="dotted" w:sz="4" w:space="0" w:color="auto"/>
              <w:right w:val="dotted" w:sz="4" w:space="0" w:color="auto"/>
            </w:tcBorders>
            <w:shd w:val="clear" w:color="auto" w:fill="auto"/>
            <w:vAlign w:val="center"/>
            <w:hideMark/>
          </w:tcPr>
          <w:p w:rsidR="009F08CF" w:rsidRPr="009F08CF" w:rsidRDefault="009F08CF" w:rsidP="009F08CF">
            <w:pPr>
              <w:rPr>
                <w:color w:val="002060"/>
              </w:rPr>
            </w:pPr>
            <w:proofErr w:type="spellStart"/>
            <w:r w:rsidRPr="009F08CF">
              <w:rPr>
                <w:color w:val="002060"/>
              </w:rPr>
              <w:t>Shpenzime</w:t>
            </w:r>
            <w:proofErr w:type="spellEnd"/>
            <w:r w:rsidRPr="009F08CF">
              <w:rPr>
                <w:color w:val="002060"/>
              </w:rPr>
              <w:t xml:space="preserve"> </w:t>
            </w:r>
            <w:proofErr w:type="spellStart"/>
            <w:r w:rsidRPr="009F08CF">
              <w:rPr>
                <w:color w:val="002060"/>
              </w:rPr>
              <w:t>të</w:t>
            </w:r>
            <w:proofErr w:type="spellEnd"/>
            <w:r w:rsidRPr="009F08CF">
              <w:rPr>
                <w:color w:val="002060"/>
              </w:rPr>
              <w:t xml:space="preserve"> </w:t>
            </w:r>
            <w:proofErr w:type="spellStart"/>
            <w:r w:rsidRPr="009F08CF">
              <w:rPr>
                <w:color w:val="002060"/>
              </w:rPr>
              <w:t>tjera</w:t>
            </w:r>
            <w:proofErr w:type="spellEnd"/>
            <w:r w:rsidRPr="009F08CF">
              <w:rPr>
                <w:color w:val="002060"/>
              </w:rPr>
              <w:t xml:space="preserve"> </w:t>
            </w:r>
            <w:proofErr w:type="spellStart"/>
            <w:r w:rsidRPr="009F08CF">
              <w:rPr>
                <w:color w:val="002060"/>
              </w:rPr>
              <w:t>korente</w:t>
            </w:r>
            <w:proofErr w:type="spellEnd"/>
          </w:p>
        </w:tc>
        <w:tc>
          <w:tcPr>
            <w:tcW w:w="117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24,223</w:t>
            </w:r>
          </w:p>
        </w:tc>
        <w:tc>
          <w:tcPr>
            <w:tcW w:w="99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22,603</w:t>
            </w:r>
          </w:p>
        </w:tc>
        <w:tc>
          <w:tcPr>
            <w:tcW w:w="1540" w:type="dxa"/>
            <w:tcBorders>
              <w:top w:val="nil"/>
              <w:left w:val="nil"/>
              <w:bottom w:val="dotted" w:sz="4" w:space="0" w:color="auto"/>
              <w:right w:val="double" w:sz="6"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93.3%</w:t>
            </w:r>
          </w:p>
        </w:tc>
      </w:tr>
      <w:tr w:rsidR="009F08CF" w:rsidRPr="009F08CF" w:rsidTr="00D66B65">
        <w:trPr>
          <w:trHeight w:val="315"/>
          <w:jc w:val="center"/>
        </w:trPr>
        <w:tc>
          <w:tcPr>
            <w:tcW w:w="960" w:type="dxa"/>
            <w:tcBorders>
              <w:top w:val="nil"/>
              <w:left w:val="double" w:sz="6" w:space="0" w:color="auto"/>
              <w:bottom w:val="dotted" w:sz="4" w:space="0" w:color="auto"/>
              <w:right w:val="dotted" w:sz="4"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3</w:t>
            </w:r>
          </w:p>
        </w:tc>
        <w:tc>
          <w:tcPr>
            <w:tcW w:w="3460" w:type="dxa"/>
            <w:tcBorders>
              <w:top w:val="nil"/>
              <w:left w:val="nil"/>
              <w:bottom w:val="dotted" w:sz="4" w:space="0" w:color="auto"/>
              <w:right w:val="dotted" w:sz="4" w:space="0" w:color="auto"/>
            </w:tcBorders>
            <w:shd w:val="clear" w:color="auto" w:fill="auto"/>
            <w:vAlign w:val="center"/>
            <w:hideMark/>
          </w:tcPr>
          <w:p w:rsidR="009F08CF" w:rsidRPr="009F08CF" w:rsidRDefault="009F08CF" w:rsidP="009F08CF">
            <w:pPr>
              <w:rPr>
                <w:color w:val="002060"/>
              </w:rPr>
            </w:pPr>
            <w:proofErr w:type="spellStart"/>
            <w:r w:rsidRPr="009F08CF">
              <w:rPr>
                <w:color w:val="002060"/>
              </w:rPr>
              <w:t>Shpenzime</w:t>
            </w:r>
            <w:proofErr w:type="spellEnd"/>
            <w:r w:rsidRPr="009F08CF">
              <w:rPr>
                <w:color w:val="002060"/>
              </w:rPr>
              <w:t xml:space="preserve"> </w:t>
            </w:r>
            <w:proofErr w:type="spellStart"/>
            <w:r w:rsidRPr="009F08CF">
              <w:rPr>
                <w:color w:val="002060"/>
              </w:rPr>
              <w:t>kapitale</w:t>
            </w:r>
            <w:proofErr w:type="spellEnd"/>
          </w:p>
        </w:tc>
        <w:tc>
          <w:tcPr>
            <w:tcW w:w="117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4,000</w:t>
            </w:r>
          </w:p>
        </w:tc>
        <w:tc>
          <w:tcPr>
            <w:tcW w:w="990" w:type="dxa"/>
            <w:tcBorders>
              <w:top w:val="nil"/>
              <w:left w:val="nil"/>
              <w:bottom w:val="dotted" w:sz="4" w:space="0" w:color="auto"/>
              <w:right w:val="dotted" w:sz="4" w:space="0" w:color="auto"/>
            </w:tcBorders>
            <w:shd w:val="clear" w:color="auto" w:fill="auto"/>
            <w:noWrap/>
            <w:vAlign w:val="center"/>
            <w:hideMark/>
          </w:tcPr>
          <w:p w:rsidR="009F08CF" w:rsidRPr="009F08CF" w:rsidRDefault="009F08CF" w:rsidP="009F08CF">
            <w:pPr>
              <w:jc w:val="center"/>
              <w:rPr>
                <w:color w:val="002060"/>
                <w:sz w:val="22"/>
                <w:szCs w:val="22"/>
              </w:rPr>
            </w:pPr>
            <w:r w:rsidRPr="009F08CF">
              <w:rPr>
                <w:color w:val="002060"/>
                <w:sz w:val="22"/>
                <w:szCs w:val="22"/>
              </w:rPr>
              <w:t>2,949</w:t>
            </w:r>
          </w:p>
        </w:tc>
        <w:tc>
          <w:tcPr>
            <w:tcW w:w="1540" w:type="dxa"/>
            <w:tcBorders>
              <w:top w:val="nil"/>
              <w:left w:val="nil"/>
              <w:bottom w:val="dotted" w:sz="4" w:space="0" w:color="auto"/>
              <w:right w:val="double" w:sz="6" w:space="0" w:color="auto"/>
            </w:tcBorders>
            <w:shd w:val="clear" w:color="auto" w:fill="auto"/>
            <w:vAlign w:val="center"/>
            <w:hideMark/>
          </w:tcPr>
          <w:p w:rsidR="009F08CF" w:rsidRPr="009F08CF" w:rsidRDefault="009F08CF" w:rsidP="009F08CF">
            <w:pPr>
              <w:jc w:val="center"/>
              <w:rPr>
                <w:color w:val="002060"/>
                <w:sz w:val="22"/>
                <w:szCs w:val="22"/>
              </w:rPr>
            </w:pPr>
            <w:r w:rsidRPr="009F08CF">
              <w:rPr>
                <w:color w:val="002060"/>
                <w:sz w:val="22"/>
                <w:szCs w:val="22"/>
              </w:rPr>
              <w:t>73.7%</w:t>
            </w:r>
          </w:p>
        </w:tc>
      </w:tr>
      <w:tr w:rsidR="009F08CF" w:rsidRPr="009F08CF" w:rsidTr="00D66B65">
        <w:trPr>
          <w:trHeight w:val="315"/>
          <w:jc w:val="center"/>
        </w:trPr>
        <w:tc>
          <w:tcPr>
            <w:tcW w:w="4420" w:type="dxa"/>
            <w:gridSpan w:val="2"/>
            <w:tcBorders>
              <w:top w:val="dotted" w:sz="4" w:space="0" w:color="auto"/>
              <w:left w:val="double" w:sz="6" w:space="0" w:color="auto"/>
              <w:bottom w:val="double" w:sz="6" w:space="0" w:color="auto"/>
              <w:right w:val="dotted" w:sz="4" w:space="0" w:color="000000"/>
            </w:tcBorders>
            <w:shd w:val="clear" w:color="000000" w:fill="FFFFCC"/>
            <w:vAlign w:val="center"/>
            <w:hideMark/>
          </w:tcPr>
          <w:p w:rsidR="009F08CF" w:rsidRPr="009F08CF" w:rsidRDefault="009F08CF" w:rsidP="009F08CF">
            <w:pPr>
              <w:jc w:val="center"/>
              <w:rPr>
                <w:color w:val="002060"/>
                <w:sz w:val="22"/>
                <w:szCs w:val="22"/>
              </w:rPr>
            </w:pPr>
            <w:r w:rsidRPr="009F08CF">
              <w:rPr>
                <w:color w:val="002060"/>
                <w:sz w:val="22"/>
                <w:szCs w:val="22"/>
              </w:rPr>
              <w:t>TOTALI</w:t>
            </w:r>
          </w:p>
        </w:tc>
        <w:tc>
          <w:tcPr>
            <w:tcW w:w="1170" w:type="dxa"/>
            <w:tcBorders>
              <w:top w:val="nil"/>
              <w:left w:val="nil"/>
              <w:bottom w:val="double" w:sz="6" w:space="0" w:color="auto"/>
              <w:right w:val="dotted" w:sz="4" w:space="0" w:color="auto"/>
            </w:tcBorders>
            <w:shd w:val="clear" w:color="000000" w:fill="FFFFCC"/>
            <w:vAlign w:val="center"/>
            <w:hideMark/>
          </w:tcPr>
          <w:p w:rsidR="009F08CF" w:rsidRPr="009F08CF" w:rsidRDefault="009F08CF" w:rsidP="009F08CF">
            <w:pPr>
              <w:jc w:val="center"/>
              <w:rPr>
                <w:color w:val="002060"/>
                <w:sz w:val="22"/>
                <w:szCs w:val="22"/>
              </w:rPr>
            </w:pPr>
            <w:r w:rsidRPr="009F08CF">
              <w:rPr>
                <w:color w:val="002060"/>
                <w:sz w:val="22"/>
                <w:szCs w:val="22"/>
              </w:rPr>
              <w:t>200,823</w:t>
            </w:r>
          </w:p>
        </w:tc>
        <w:tc>
          <w:tcPr>
            <w:tcW w:w="990" w:type="dxa"/>
            <w:tcBorders>
              <w:top w:val="nil"/>
              <w:left w:val="nil"/>
              <w:bottom w:val="double" w:sz="6" w:space="0" w:color="auto"/>
              <w:right w:val="dotted" w:sz="4" w:space="0" w:color="auto"/>
            </w:tcBorders>
            <w:shd w:val="clear" w:color="000000" w:fill="FFFFCC"/>
            <w:vAlign w:val="center"/>
            <w:hideMark/>
          </w:tcPr>
          <w:p w:rsidR="009F08CF" w:rsidRPr="009F08CF" w:rsidRDefault="009F08CF" w:rsidP="009F08CF">
            <w:pPr>
              <w:jc w:val="center"/>
              <w:rPr>
                <w:color w:val="002060"/>
                <w:sz w:val="22"/>
                <w:szCs w:val="22"/>
              </w:rPr>
            </w:pPr>
            <w:r w:rsidRPr="009F08CF">
              <w:rPr>
                <w:color w:val="002060"/>
                <w:sz w:val="22"/>
                <w:szCs w:val="22"/>
              </w:rPr>
              <w:t>197,709</w:t>
            </w:r>
          </w:p>
        </w:tc>
        <w:tc>
          <w:tcPr>
            <w:tcW w:w="1540" w:type="dxa"/>
            <w:tcBorders>
              <w:top w:val="nil"/>
              <w:left w:val="nil"/>
              <w:bottom w:val="double" w:sz="6" w:space="0" w:color="auto"/>
              <w:right w:val="double" w:sz="6" w:space="0" w:color="auto"/>
            </w:tcBorders>
            <w:shd w:val="clear" w:color="000000" w:fill="FFFFCC"/>
            <w:vAlign w:val="center"/>
            <w:hideMark/>
          </w:tcPr>
          <w:p w:rsidR="009F08CF" w:rsidRPr="009F08CF" w:rsidRDefault="009F08CF" w:rsidP="009F08CF">
            <w:pPr>
              <w:jc w:val="center"/>
              <w:rPr>
                <w:color w:val="002060"/>
                <w:sz w:val="22"/>
                <w:szCs w:val="22"/>
              </w:rPr>
            </w:pPr>
            <w:r w:rsidRPr="009F08CF">
              <w:rPr>
                <w:color w:val="002060"/>
                <w:sz w:val="22"/>
                <w:szCs w:val="22"/>
              </w:rPr>
              <w:t>98.4%</w:t>
            </w:r>
          </w:p>
        </w:tc>
      </w:tr>
    </w:tbl>
    <w:p w:rsidR="009F08CF" w:rsidRPr="00D66B65" w:rsidRDefault="009F08CF" w:rsidP="00676040">
      <w:pPr>
        <w:tabs>
          <w:tab w:val="left" w:pos="2160"/>
        </w:tabs>
        <w:spacing w:after="200" w:line="276" w:lineRule="auto"/>
        <w:jc w:val="both"/>
        <w:rPr>
          <w:rFonts w:asciiTheme="majorBidi" w:hAnsiTheme="majorBidi" w:cstheme="majorBidi"/>
          <w:bCs/>
          <w:sz w:val="12"/>
          <w:szCs w:val="12"/>
          <w:lang w:val="sq-AL"/>
        </w:rPr>
      </w:pPr>
    </w:p>
    <w:p w:rsidR="00CB3CC3" w:rsidRPr="00BA4F3A" w:rsidRDefault="00293AB6" w:rsidP="00676040">
      <w:pPr>
        <w:tabs>
          <w:tab w:val="left" w:pos="2160"/>
        </w:tabs>
        <w:spacing w:after="200" w:line="276" w:lineRule="auto"/>
        <w:jc w:val="both"/>
        <w:rPr>
          <w:rFonts w:asciiTheme="majorBidi" w:hAnsiTheme="majorBidi" w:cstheme="majorBidi"/>
          <w:bCs/>
          <w:lang w:val="sq-AL"/>
        </w:rPr>
      </w:pPr>
      <w:r w:rsidRPr="00BA4F3A">
        <w:rPr>
          <w:rFonts w:asciiTheme="majorBidi" w:hAnsiTheme="majorBidi" w:cstheme="majorBidi"/>
          <w:bCs/>
          <w:lang w:val="sq-AL"/>
        </w:rPr>
        <w:t>S</w:t>
      </w:r>
      <w:r w:rsidR="00CB3CC3" w:rsidRPr="00BA4F3A">
        <w:rPr>
          <w:rFonts w:asciiTheme="majorBidi" w:hAnsiTheme="majorBidi" w:cstheme="majorBidi"/>
          <w:bCs/>
          <w:lang w:val="sq-AL"/>
        </w:rPr>
        <w:t>i</w:t>
      </w:r>
      <w:r w:rsidR="00B61C60" w:rsidRPr="00BA4F3A">
        <w:rPr>
          <w:rFonts w:asciiTheme="majorBidi" w:hAnsiTheme="majorBidi" w:cstheme="majorBidi"/>
          <w:bCs/>
          <w:lang w:val="sq-AL"/>
        </w:rPr>
        <w:t>ç</w:t>
      </w:r>
      <w:r w:rsidR="00CB3CC3" w:rsidRPr="00BA4F3A">
        <w:rPr>
          <w:rFonts w:asciiTheme="majorBidi" w:hAnsiTheme="majorBidi" w:cstheme="majorBidi"/>
          <w:bCs/>
          <w:lang w:val="sq-AL"/>
        </w:rPr>
        <w:t xml:space="preserve"> shikohet nga tabela e mësip</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rme, shpenzimet për </w:t>
      </w:r>
      <w:r w:rsidR="000228E4">
        <w:rPr>
          <w:rFonts w:asciiTheme="majorBidi" w:hAnsiTheme="majorBidi" w:cstheme="majorBidi"/>
          <w:bCs/>
          <w:lang w:val="sq-AL"/>
        </w:rPr>
        <w:t>KPK</w:t>
      </w:r>
      <w:r w:rsidR="008824C7" w:rsidRPr="00BA4F3A">
        <w:rPr>
          <w:rFonts w:asciiTheme="majorBidi" w:hAnsiTheme="majorBidi" w:cstheme="majorBidi"/>
          <w:bCs/>
          <w:lang w:val="sq-AL"/>
        </w:rPr>
        <w:t xml:space="preserve"> </w:t>
      </w:r>
      <w:r w:rsidR="00CB3CC3" w:rsidRPr="00BA4F3A">
        <w:rPr>
          <w:rFonts w:asciiTheme="majorBidi" w:hAnsiTheme="majorBidi" w:cstheme="majorBidi"/>
          <w:bCs/>
          <w:lang w:val="sq-AL"/>
        </w:rPr>
        <w:t xml:space="preserve">janë realizuar në rreth </w:t>
      </w:r>
      <w:r w:rsidR="009F08CF">
        <w:rPr>
          <w:rFonts w:asciiTheme="majorBidi" w:hAnsiTheme="majorBidi" w:cstheme="majorBidi"/>
          <w:bCs/>
          <w:lang w:val="sq-AL"/>
        </w:rPr>
        <w:t>99.7</w:t>
      </w:r>
      <w:r w:rsidR="00CB3CC3" w:rsidRPr="00BA4F3A">
        <w:rPr>
          <w:rFonts w:asciiTheme="majorBidi" w:hAnsiTheme="majorBidi" w:cstheme="majorBidi"/>
          <w:bCs/>
          <w:lang w:val="sq-AL"/>
        </w:rPr>
        <w:t xml:space="preserve"> </w:t>
      </w:r>
      <w:r w:rsidR="00B61C60" w:rsidRPr="00BA4F3A">
        <w:rPr>
          <w:rFonts w:asciiTheme="majorBidi" w:hAnsiTheme="majorBidi" w:cstheme="majorBidi"/>
          <w:bCs/>
          <w:lang w:val="sq-AL"/>
        </w:rPr>
        <w:t>për qind</w:t>
      </w:r>
      <w:r w:rsidR="00CB3CC3" w:rsidRPr="00BA4F3A">
        <w:rPr>
          <w:rFonts w:asciiTheme="majorBidi" w:hAnsiTheme="majorBidi" w:cstheme="majorBidi"/>
          <w:bCs/>
          <w:lang w:val="sq-AL"/>
        </w:rPr>
        <w:t xml:space="preserve"> të planit vjetor</w:t>
      </w:r>
      <w:r w:rsidR="008824C7">
        <w:rPr>
          <w:rFonts w:asciiTheme="majorBidi" w:hAnsiTheme="majorBidi" w:cstheme="majorBidi"/>
          <w:bCs/>
          <w:lang w:val="sq-AL"/>
        </w:rPr>
        <w:t xml:space="preserve"> p</w:t>
      </w:r>
      <w:r w:rsidR="00C35ED5">
        <w:rPr>
          <w:rFonts w:asciiTheme="majorBidi" w:hAnsiTheme="majorBidi" w:cstheme="majorBidi"/>
          <w:bCs/>
          <w:lang w:val="sq-AL"/>
        </w:rPr>
        <w:t>ë</w:t>
      </w:r>
      <w:r w:rsidR="008824C7">
        <w:rPr>
          <w:rFonts w:asciiTheme="majorBidi" w:hAnsiTheme="majorBidi" w:cstheme="majorBidi"/>
          <w:bCs/>
          <w:lang w:val="sq-AL"/>
        </w:rPr>
        <w:t>r shpenzimet e personelit</w:t>
      </w:r>
      <w:r w:rsidR="00CB3CC3" w:rsidRPr="00BA4F3A">
        <w:rPr>
          <w:rFonts w:asciiTheme="majorBidi" w:hAnsiTheme="majorBidi" w:cstheme="majorBidi"/>
          <w:bCs/>
          <w:lang w:val="sq-AL"/>
        </w:rPr>
        <w:t xml:space="preserve">, </w:t>
      </w:r>
      <w:r w:rsidR="009F08CF">
        <w:rPr>
          <w:rFonts w:asciiTheme="majorBidi" w:hAnsiTheme="majorBidi" w:cstheme="majorBidi"/>
          <w:bCs/>
          <w:lang w:val="sq-AL"/>
        </w:rPr>
        <w:t>93.3</w:t>
      </w:r>
      <w:r w:rsidR="008824C7">
        <w:rPr>
          <w:rFonts w:asciiTheme="majorBidi" w:hAnsiTheme="majorBidi" w:cstheme="majorBidi"/>
          <w:bCs/>
          <w:lang w:val="sq-AL"/>
        </w:rPr>
        <w:t xml:space="preserve"> </w:t>
      </w:r>
      <w:r w:rsidR="008824C7" w:rsidRPr="00BA4F3A">
        <w:rPr>
          <w:rFonts w:asciiTheme="majorBidi" w:hAnsiTheme="majorBidi" w:cstheme="majorBidi"/>
          <w:bCs/>
          <w:lang w:val="sq-AL"/>
        </w:rPr>
        <w:t>për qind të planit vjetor</w:t>
      </w:r>
      <w:r w:rsidR="008824C7">
        <w:rPr>
          <w:rFonts w:asciiTheme="majorBidi" w:hAnsiTheme="majorBidi" w:cstheme="majorBidi"/>
          <w:bCs/>
          <w:lang w:val="sq-AL"/>
        </w:rPr>
        <w:t xml:space="preserve"> p</w:t>
      </w:r>
      <w:r w:rsidR="00C35ED5">
        <w:rPr>
          <w:rFonts w:asciiTheme="majorBidi" w:hAnsiTheme="majorBidi" w:cstheme="majorBidi"/>
          <w:bCs/>
          <w:lang w:val="sq-AL"/>
        </w:rPr>
        <w:t>ë</w:t>
      </w:r>
      <w:r w:rsidR="008824C7">
        <w:rPr>
          <w:rFonts w:asciiTheme="majorBidi" w:hAnsiTheme="majorBidi" w:cstheme="majorBidi"/>
          <w:bCs/>
          <w:lang w:val="sq-AL"/>
        </w:rPr>
        <w:t xml:space="preserve">r shpenzimet e tjera korente, </w:t>
      </w:r>
      <w:r w:rsidR="00CB3CC3" w:rsidRPr="00BA4F3A">
        <w:rPr>
          <w:rFonts w:asciiTheme="majorBidi" w:hAnsiTheme="majorBidi" w:cstheme="majorBidi"/>
          <w:bCs/>
          <w:lang w:val="sq-AL"/>
        </w:rPr>
        <w:t xml:space="preserve">ndërsa vërejmë një realizim në nivelin prej </w:t>
      </w:r>
      <w:r w:rsidR="009F08CF">
        <w:rPr>
          <w:rFonts w:asciiTheme="majorBidi" w:hAnsiTheme="majorBidi" w:cstheme="majorBidi"/>
          <w:bCs/>
          <w:lang w:val="sq-AL"/>
        </w:rPr>
        <w:t>73.7</w:t>
      </w:r>
      <w:r w:rsidR="00CB3CC3" w:rsidRPr="00BA4F3A">
        <w:rPr>
          <w:rFonts w:asciiTheme="majorBidi" w:hAnsiTheme="majorBidi" w:cstheme="majorBidi"/>
          <w:bCs/>
          <w:lang w:val="sq-AL"/>
        </w:rPr>
        <w:t xml:space="preserve"> </w:t>
      </w:r>
      <w:r w:rsidR="00B61C60" w:rsidRPr="00BA4F3A">
        <w:rPr>
          <w:rFonts w:asciiTheme="majorBidi" w:hAnsiTheme="majorBidi" w:cstheme="majorBidi"/>
          <w:bCs/>
          <w:lang w:val="sq-AL"/>
        </w:rPr>
        <w:t>për qind</w:t>
      </w:r>
      <w:r w:rsidR="00CB3CC3" w:rsidRPr="00BA4F3A">
        <w:rPr>
          <w:rFonts w:asciiTheme="majorBidi" w:hAnsiTheme="majorBidi" w:cstheme="majorBidi"/>
          <w:bCs/>
          <w:lang w:val="sq-AL"/>
        </w:rPr>
        <w:t xml:space="preserve"> në shpenzimet kapitale. N</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 total </w:t>
      </w:r>
      <w:r w:rsidR="000228E4">
        <w:rPr>
          <w:rFonts w:asciiTheme="majorBidi" w:hAnsiTheme="majorBidi" w:cstheme="majorBidi"/>
          <w:bCs/>
          <w:lang w:val="sq-AL"/>
        </w:rPr>
        <w:t>Komisioni i</w:t>
      </w:r>
      <w:r w:rsidR="000228E4" w:rsidRPr="000228E4">
        <w:rPr>
          <w:rFonts w:asciiTheme="majorBidi" w:hAnsiTheme="majorBidi" w:cstheme="majorBidi"/>
          <w:bCs/>
          <w:lang w:val="sq-AL"/>
        </w:rPr>
        <w:t xml:space="preserve"> Pavarur </w:t>
      </w:r>
      <w:r w:rsidR="000228E4">
        <w:rPr>
          <w:rFonts w:asciiTheme="majorBidi" w:hAnsiTheme="majorBidi" w:cstheme="majorBidi"/>
          <w:bCs/>
          <w:lang w:val="sq-AL"/>
        </w:rPr>
        <w:t>i</w:t>
      </w:r>
      <w:r w:rsidR="000228E4" w:rsidRPr="000228E4">
        <w:rPr>
          <w:rFonts w:asciiTheme="majorBidi" w:hAnsiTheme="majorBidi" w:cstheme="majorBidi"/>
          <w:bCs/>
          <w:lang w:val="sq-AL"/>
        </w:rPr>
        <w:t xml:space="preserve"> Kualifikimit</w:t>
      </w:r>
      <w:r w:rsidR="000228E4">
        <w:rPr>
          <w:rFonts w:asciiTheme="majorBidi" w:hAnsiTheme="majorBidi" w:cstheme="majorBidi"/>
          <w:bCs/>
          <w:lang w:val="sq-AL"/>
        </w:rPr>
        <w:t xml:space="preserve"> </w:t>
      </w:r>
      <w:r w:rsidR="00CB3CC3" w:rsidRPr="00BA4F3A">
        <w:rPr>
          <w:rFonts w:asciiTheme="majorBidi" w:hAnsiTheme="majorBidi" w:cstheme="majorBidi"/>
          <w:bCs/>
          <w:lang w:val="sq-AL"/>
        </w:rPr>
        <w:t>ka nj</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 realizim faktik t</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 shpenzimeve buxhetore n</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 mas</w:t>
      </w:r>
      <w:r w:rsidR="00324143" w:rsidRPr="00BA4F3A">
        <w:rPr>
          <w:rFonts w:asciiTheme="majorBidi" w:hAnsiTheme="majorBidi" w:cstheme="majorBidi"/>
          <w:bCs/>
          <w:lang w:val="sq-AL"/>
        </w:rPr>
        <w:t>ë</w:t>
      </w:r>
      <w:r w:rsidR="00CB3CC3" w:rsidRPr="00BA4F3A">
        <w:rPr>
          <w:rFonts w:asciiTheme="majorBidi" w:hAnsiTheme="majorBidi" w:cstheme="majorBidi"/>
          <w:bCs/>
          <w:lang w:val="sq-AL"/>
        </w:rPr>
        <w:t xml:space="preserve">n </w:t>
      </w:r>
      <w:r w:rsidR="00263154">
        <w:rPr>
          <w:rFonts w:asciiTheme="majorBidi" w:hAnsiTheme="majorBidi" w:cstheme="majorBidi"/>
          <w:bCs/>
          <w:lang w:val="sq-AL"/>
        </w:rPr>
        <w:t xml:space="preserve">reth </w:t>
      </w:r>
      <w:r w:rsidR="009F08CF">
        <w:rPr>
          <w:rFonts w:asciiTheme="majorBidi" w:hAnsiTheme="majorBidi" w:cstheme="majorBidi"/>
          <w:bCs/>
          <w:lang w:val="sq-AL"/>
        </w:rPr>
        <w:t>98.4</w:t>
      </w:r>
      <w:r w:rsidR="00CB3CC3" w:rsidRPr="00BA4F3A">
        <w:rPr>
          <w:rFonts w:asciiTheme="majorBidi" w:hAnsiTheme="majorBidi" w:cstheme="majorBidi"/>
          <w:bCs/>
          <w:lang w:val="sq-AL"/>
        </w:rPr>
        <w:t xml:space="preserve"> </w:t>
      </w:r>
      <w:r w:rsidR="00B61C60" w:rsidRPr="00BA4F3A">
        <w:rPr>
          <w:rFonts w:asciiTheme="majorBidi" w:hAnsiTheme="majorBidi" w:cstheme="majorBidi"/>
          <w:bCs/>
          <w:lang w:val="sq-AL"/>
        </w:rPr>
        <w:t>për qind</w:t>
      </w:r>
      <w:r w:rsidR="00263154">
        <w:rPr>
          <w:rFonts w:asciiTheme="majorBidi" w:hAnsiTheme="majorBidi" w:cstheme="majorBidi"/>
          <w:bCs/>
          <w:lang w:val="sq-AL"/>
        </w:rPr>
        <w:t xml:space="preserve"> p</w:t>
      </w:r>
      <w:r w:rsidR="00651E4D">
        <w:rPr>
          <w:rFonts w:asciiTheme="majorBidi" w:hAnsiTheme="majorBidi" w:cstheme="majorBidi"/>
          <w:bCs/>
          <w:lang w:val="sq-AL"/>
        </w:rPr>
        <w:t>ë</w:t>
      </w:r>
      <w:r w:rsidR="00263154">
        <w:rPr>
          <w:rFonts w:asciiTheme="majorBidi" w:hAnsiTheme="majorBidi" w:cstheme="majorBidi"/>
          <w:bCs/>
          <w:lang w:val="sq-AL"/>
        </w:rPr>
        <w:t xml:space="preserve">r </w:t>
      </w:r>
      <w:r w:rsidR="009F08CF">
        <w:rPr>
          <w:rFonts w:asciiTheme="majorBidi" w:hAnsiTheme="majorBidi" w:cstheme="majorBidi"/>
          <w:bCs/>
          <w:lang w:val="sq-AL"/>
        </w:rPr>
        <w:t>vitin 2019</w:t>
      </w:r>
      <w:r w:rsidR="00CB3CC3" w:rsidRPr="00BA4F3A">
        <w:rPr>
          <w:rFonts w:asciiTheme="majorBidi" w:hAnsiTheme="majorBidi" w:cstheme="majorBidi"/>
          <w:bCs/>
          <w:lang w:val="sq-AL"/>
        </w:rPr>
        <w:t>.</w:t>
      </w:r>
    </w:p>
    <w:p w:rsidR="00410EC1" w:rsidRPr="00BA4F3A" w:rsidRDefault="00410EC1" w:rsidP="00735747">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BA4F3A">
        <w:rPr>
          <w:rFonts w:asciiTheme="majorBidi" w:hAnsiTheme="majorBidi" w:cstheme="majorBidi"/>
          <w:b/>
          <w:color w:val="002060"/>
          <w:lang w:val="sq-AL"/>
        </w:rPr>
        <w:t>Informacion mbi volumin dhe madhësinë e ndryshimit të buxhetit.</w:t>
      </w:r>
    </w:p>
    <w:p w:rsidR="004824E2" w:rsidRPr="00BA4F3A" w:rsidRDefault="00410EC1" w:rsidP="00263154">
      <w:pPr>
        <w:tabs>
          <w:tab w:val="left" w:pos="2160"/>
        </w:tabs>
        <w:spacing w:after="200" w:line="276" w:lineRule="auto"/>
        <w:jc w:val="both"/>
        <w:rPr>
          <w:bCs/>
          <w:lang w:val="sq-AL"/>
        </w:rPr>
      </w:pPr>
      <w:r w:rsidRPr="00BA4F3A">
        <w:rPr>
          <w:rFonts w:asciiTheme="majorBidi" w:hAnsiTheme="majorBidi" w:cstheme="majorBidi"/>
          <w:bCs/>
          <w:lang w:val="sq-AL"/>
        </w:rPr>
        <w:t>Për kë</w:t>
      </w:r>
      <w:r w:rsidR="008824C7" w:rsidRPr="00BA4F3A">
        <w:rPr>
          <w:rFonts w:asciiTheme="majorBidi" w:hAnsiTheme="majorBidi" w:cstheme="majorBidi"/>
          <w:bCs/>
          <w:lang w:val="sq-AL"/>
        </w:rPr>
        <w:t xml:space="preserve">të </w:t>
      </w:r>
      <w:r w:rsidR="004824E2" w:rsidRPr="00BA4F3A">
        <w:rPr>
          <w:rFonts w:asciiTheme="majorBidi" w:hAnsiTheme="majorBidi" w:cstheme="majorBidi"/>
          <w:bCs/>
          <w:lang w:val="sq-AL"/>
        </w:rPr>
        <w:t>institucion</w:t>
      </w:r>
      <w:r w:rsidR="007453BA" w:rsidRPr="00BA4F3A">
        <w:rPr>
          <w:rFonts w:asciiTheme="majorBidi" w:hAnsiTheme="majorBidi" w:cstheme="majorBidi"/>
          <w:bCs/>
          <w:lang w:val="sq-AL"/>
        </w:rPr>
        <w:t>, duke u nisur nga</w:t>
      </w:r>
      <w:r w:rsidRPr="00BA4F3A">
        <w:rPr>
          <w:rFonts w:asciiTheme="majorBidi" w:hAnsiTheme="majorBidi" w:cstheme="majorBidi"/>
          <w:bCs/>
          <w:lang w:val="sq-AL"/>
        </w:rPr>
        <w:t xml:space="preserve"> bu</w:t>
      </w:r>
      <w:r w:rsidR="007453BA" w:rsidRPr="00BA4F3A">
        <w:rPr>
          <w:rFonts w:asciiTheme="majorBidi" w:hAnsiTheme="majorBidi" w:cstheme="majorBidi"/>
          <w:bCs/>
          <w:lang w:val="sq-AL"/>
        </w:rPr>
        <w:t>xheti</w:t>
      </w:r>
      <w:r w:rsidRPr="00BA4F3A">
        <w:rPr>
          <w:rFonts w:asciiTheme="majorBidi" w:hAnsiTheme="majorBidi" w:cstheme="majorBidi"/>
          <w:bCs/>
          <w:lang w:val="sq-AL"/>
        </w:rPr>
        <w:t xml:space="preserve"> fillestar</w:t>
      </w:r>
      <w:r w:rsidR="007453BA" w:rsidRPr="00BA4F3A">
        <w:rPr>
          <w:rFonts w:asciiTheme="majorBidi" w:hAnsiTheme="majorBidi" w:cstheme="majorBidi"/>
          <w:bCs/>
          <w:lang w:val="sq-AL"/>
        </w:rPr>
        <w:t xml:space="preserve"> </w:t>
      </w:r>
      <w:r w:rsidR="008824C7">
        <w:rPr>
          <w:rFonts w:asciiTheme="majorBidi" w:hAnsiTheme="majorBidi" w:cstheme="majorBidi"/>
          <w:bCs/>
          <w:lang w:val="sq-AL"/>
        </w:rPr>
        <w:t>miratuar me</w:t>
      </w:r>
      <w:r w:rsidR="007453BA" w:rsidRPr="00BA4F3A">
        <w:rPr>
          <w:rFonts w:asciiTheme="majorBidi" w:hAnsiTheme="majorBidi" w:cstheme="majorBidi"/>
          <w:bCs/>
          <w:lang w:val="sq-AL"/>
        </w:rPr>
        <w:t xml:space="preserve"> ligji</w:t>
      </w:r>
      <w:r w:rsidR="008824C7">
        <w:rPr>
          <w:rFonts w:asciiTheme="majorBidi" w:hAnsiTheme="majorBidi" w:cstheme="majorBidi"/>
          <w:bCs/>
          <w:lang w:val="sq-AL"/>
        </w:rPr>
        <w:t>n</w:t>
      </w:r>
      <w:r w:rsidR="007453BA" w:rsidRPr="00BA4F3A">
        <w:rPr>
          <w:rFonts w:asciiTheme="majorBidi" w:hAnsiTheme="majorBidi" w:cstheme="majorBidi"/>
          <w:bCs/>
          <w:lang w:val="sq-AL"/>
        </w:rPr>
        <w:t xml:space="preserve"> nr. </w:t>
      </w:r>
      <w:r w:rsidR="00263154">
        <w:rPr>
          <w:rFonts w:asciiTheme="majorBidi" w:hAnsiTheme="majorBidi" w:cstheme="majorBidi"/>
          <w:bCs/>
          <w:lang w:val="sq-AL"/>
        </w:rPr>
        <w:t>99/2018</w:t>
      </w:r>
      <w:r w:rsidR="007453BA" w:rsidRPr="00BA4F3A">
        <w:rPr>
          <w:rFonts w:asciiTheme="majorBidi" w:hAnsiTheme="majorBidi" w:cstheme="majorBidi"/>
          <w:bCs/>
          <w:lang w:val="sq-AL"/>
        </w:rPr>
        <w:t xml:space="preserve"> </w:t>
      </w:r>
      <w:r w:rsidR="008824C7">
        <w:rPr>
          <w:rFonts w:asciiTheme="majorBidi" w:hAnsiTheme="majorBidi" w:cstheme="majorBidi"/>
          <w:bCs/>
          <w:lang w:val="sq-AL"/>
        </w:rPr>
        <w:t>sipas t</w:t>
      </w:r>
      <w:r w:rsidR="00C35ED5">
        <w:rPr>
          <w:rFonts w:asciiTheme="majorBidi" w:hAnsiTheme="majorBidi" w:cstheme="majorBidi"/>
          <w:bCs/>
          <w:lang w:val="sq-AL"/>
        </w:rPr>
        <w:t>ë</w:t>
      </w:r>
      <w:r w:rsidR="008824C7">
        <w:rPr>
          <w:rFonts w:asciiTheme="majorBidi" w:hAnsiTheme="majorBidi" w:cstheme="majorBidi"/>
          <w:bCs/>
          <w:lang w:val="sq-AL"/>
        </w:rPr>
        <w:t xml:space="preserve"> cilit totali i buxhetit ka qen</w:t>
      </w:r>
      <w:r w:rsidR="00C35ED5">
        <w:rPr>
          <w:rFonts w:asciiTheme="majorBidi" w:hAnsiTheme="majorBidi" w:cstheme="majorBidi"/>
          <w:bCs/>
          <w:lang w:val="sq-AL"/>
        </w:rPr>
        <w:t>ë</w:t>
      </w:r>
      <w:r w:rsidR="008824C7">
        <w:rPr>
          <w:rFonts w:asciiTheme="majorBidi" w:hAnsiTheme="majorBidi" w:cstheme="majorBidi"/>
          <w:bCs/>
          <w:lang w:val="sq-AL"/>
        </w:rPr>
        <w:t xml:space="preserve"> </w:t>
      </w:r>
      <w:r w:rsidR="00D66B65">
        <w:rPr>
          <w:rFonts w:asciiTheme="majorBidi" w:hAnsiTheme="majorBidi" w:cstheme="majorBidi"/>
          <w:bCs/>
          <w:lang w:val="sq-AL"/>
        </w:rPr>
        <w:t>191.600</w:t>
      </w:r>
      <w:r w:rsidR="008824C7">
        <w:rPr>
          <w:rFonts w:asciiTheme="majorBidi" w:hAnsiTheme="majorBidi" w:cstheme="majorBidi"/>
          <w:bCs/>
          <w:lang w:val="sq-AL"/>
        </w:rPr>
        <w:t xml:space="preserve"> mij</w:t>
      </w:r>
      <w:r w:rsidR="00C35ED5">
        <w:rPr>
          <w:rFonts w:asciiTheme="majorBidi" w:hAnsiTheme="majorBidi" w:cstheme="majorBidi"/>
          <w:bCs/>
          <w:lang w:val="sq-AL"/>
        </w:rPr>
        <w:t>ë</w:t>
      </w:r>
      <w:r w:rsidR="008824C7">
        <w:rPr>
          <w:rFonts w:asciiTheme="majorBidi" w:hAnsiTheme="majorBidi" w:cstheme="majorBidi"/>
          <w:bCs/>
          <w:lang w:val="sq-AL"/>
        </w:rPr>
        <w:t xml:space="preserve"> lek</w:t>
      </w:r>
      <w:r w:rsidR="00C35ED5">
        <w:rPr>
          <w:rFonts w:asciiTheme="majorBidi" w:hAnsiTheme="majorBidi" w:cstheme="majorBidi"/>
          <w:bCs/>
          <w:lang w:val="sq-AL"/>
        </w:rPr>
        <w:t>ë</w:t>
      </w:r>
      <w:r w:rsidR="008824C7">
        <w:rPr>
          <w:rFonts w:asciiTheme="majorBidi" w:hAnsiTheme="majorBidi" w:cstheme="majorBidi"/>
          <w:bCs/>
          <w:lang w:val="sq-AL"/>
        </w:rPr>
        <w:t xml:space="preserve">, </w:t>
      </w:r>
      <w:r w:rsidR="007453BA" w:rsidRPr="00BA4F3A">
        <w:rPr>
          <w:rFonts w:asciiTheme="majorBidi" w:hAnsiTheme="majorBidi" w:cstheme="majorBidi"/>
          <w:bCs/>
          <w:lang w:val="sq-AL"/>
        </w:rPr>
        <w:t>krahasuar me</w:t>
      </w:r>
      <w:r w:rsidRPr="00BA4F3A">
        <w:rPr>
          <w:rFonts w:asciiTheme="majorBidi" w:hAnsiTheme="majorBidi" w:cstheme="majorBidi"/>
          <w:bCs/>
          <w:lang w:val="sq-AL"/>
        </w:rPr>
        <w:t xml:space="preserve"> buxhetin </w:t>
      </w:r>
      <w:r w:rsidR="00263154">
        <w:rPr>
          <w:rFonts w:asciiTheme="majorBidi" w:hAnsiTheme="majorBidi" w:cstheme="majorBidi"/>
          <w:bCs/>
          <w:lang w:val="sq-AL"/>
        </w:rPr>
        <w:t>me ndryshime n</w:t>
      </w:r>
      <w:r w:rsidR="00651E4D">
        <w:rPr>
          <w:rFonts w:asciiTheme="majorBidi" w:hAnsiTheme="majorBidi" w:cstheme="majorBidi"/>
          <w:bCs/>
          <w:lang w:val="sq-AL"/>
        </w:rPr>
        <w:t>ë</w:t>
      </w:r>
      <w:r w:rsidR="00263154">
        <w:rPr>
          <w:rFonts w:asciiTheme="majorBidi" w:hAnsiTheme="majorBidi" w:cstheme="majorBidi"/>
          <w:bCs/>
          <w:lang w:val="sq-AL"/>
        </w:rPr>
        <w:t xml:space="preserve"> fund t</w:t>
      </w:r>
      <w:r w:rsidR="00651E4D">
        <w:rPr>
          <w:rFonts w:asciiTheme="majorBidi" w:hAnsiTheme="majorBidi" w:cstheme="majorBidi"/>
          <w:bCs/>
          <w:lang w:val="sq-AL"/>
        </w:rPr>
        <w:t>ë</w:t>
      </w:r>
      <w:r w:rsidR="00263154">
        <w:rPr>
          <w:rFonts w:asciiTheme="majorBidi" w:hAnsiTheme="majorBidi" w:cstheme="majorBidi"/>
          <w:bCs/>
          <w:lang w:val="sq-AL"/>
        </w:rPr>
        <w:t xml:space="preserve"> </w:t>
      </w:r>
      <w:r w:rsidR="008F7D3A">
        <w:rPr>
          <w:rFonts w:asciiTheme="majorBidi" w:hAnsiTheme="majorBidi" w:cstheme="majorBidi"/>
          <w:bCs/>
          <w:lang w:val="sq-AL"/>
        </w:rPr>
        <w:t xml:space="preserve">8 </w:t>
      </w:r>
      <w:r w:rsidR="00263154">
        <w:rPr>
          <w:rFonts w:asciiTheme="majorBidi" w:hAnsiTheme="majorBidi" w:cstheme="majorBidi"/>
          <w:bCs/>
          <w:lang w:val="sq-AL"/>
        </w:rPr>
        <w:t>mujorit</w:t>
      </w:r>
      <w:r w:rsidR="008824C7">
        <w:rPr>
          <w:rFonts w:asciiTheme="majorBidi" w:hAnsiTheme="majorBidi" w:cstheme="majorBidi"/>
          <w:bCs/>
          <w:lang w:val="sq-AL"/>
        </w:rPr>
        <w:t xml:space="preserve"> prej </w:t>
      </w:r>
      <w:r w:rsidR="00D66B65">
        <w:rPr>
          <w:rFonts w:asciiTheme="majorBidi" w:hAnsiTheme="majorBidi" w:cstheme="majorBidi"/>
          <w:bCs/>
          <w:lang w:val="sq-AL"/>
        </w:rPr>
        <w:t>200.823</w:t>
      </w:r>
      <w:r w:rsidR="008824C7">
        <w:rPr>
          <w:rFonts w:asciiTheme="majorBidi" w:hAnsiTheme="majorBidi" w:cstheme="majorBidi"/>
          <w:bCs/>
          <w:lang w:val="sq-AL"/>
        </w:rPr>
        <w:t xml:space="preserve"> mij</w:t>
      </w:r>
      <w:r w:rsidR="00C35ED5">
        <w:rPr>
          <w:rFonts w:asciiTheme="majorBidi" w:hAnsiTheme="majorBidi" w:cstheme="majorBidi"/>
          <w:bCs/>
          <w:lang w:val="sq-AL"/>
        </w:rPr>
        <w:t>ë</w:t>
      </w:r>
      <w:r w:rsidR="008824C7">
        <w:rPr>
          <w:rFonts w:asciiTheme="majorBidi" w:hAnsiTheme="majorBidi" w:cstheme="majorBidi"/>
          <w:bCs/>
          <w:lang w:val="sq-AL"/>
        </w:rPr>
        <w:t xml:space="preserve"> lek</w:t>
      </w:r>
      <w:r w:rsidR="00C35ED5">
        <w:rPr>
          <w:rFonts w:asciiTheme="majorBidi" w:hAnsiTheme="majorBidi" w:cstheme="majorBidi"/>
          <w:bCs/>
          <w:lang w:val="sq-AL"/>
        </w:rPr>
        <w:t>ë</w:t>
      </w:r>
      <w:r w:rsidR="007453BA" w:rsidRPr="00BA4F3A">
        <w:rPr>
          <w:rFonts w:asciiTheme="majorBidi" w:hAnsiTheme="majorBidi" w:cstheme="majorBidi"/>
          <w:bCs/>
          <w:lang w:val="sq-AL"/>
        </w:rPr>
        <w:t xml:space="preserve">, </w:t>
      </w:r>
      <w:r w:rsidR="00D66B65" w:rsidRPr="004469A8">
        <w:rPr>
          <w:rFonts w:asciiTheme="majorBidi" w:hAnsiTheme="majorBidi" w:cstheme="majorBidi"/>
          <w:bCs/>
          <w:lang w:val="sq-AL"/>
        </w:rPr>
        <w:t>ndryshimet në madhësinë e buxhetit</w:t>
      </w:r>
      <w:r w:rsidR="00D66B65" w:rsidRPr="004469A8">
        <w:rPr>
          <w:lang w:val="sq-AL"/>
        </w:rPr>
        <w:t xml:space="preserve"> kan</w:t>
      </w:r>
      <w:r w:rsidR="00D66B65">
        <w:rPr>
          <w:lang w:val="sq-AL"/>
        </w:rPr>
        <w:t>ë</w:t>
      </w:r>
      <w:r w:rsidR="00D66B65" w:rsidRPr="004469A8">
        <w:rPr>
          <w:lang w:val="sq-AL"/>
        </w:rPr>
        <w:t xml:space="preserve"> ardhur si pasoj</w:t>
      </w:r>
      <w:r w:rsidR="00D66B65">
        <w:rPr>
          <w:lang w:val="sq-AL"/>
        </w:rPr>
        <w:t>ë</w:t>
      </w:r>
      <w:r w:rsidR="00D66B65" w:rsidRPr="004469A8">
        <w:rPr>
          <w:lang w:val="sq-AL"/>
        </w:rPr>
        <w:t xml:space="preserve"> </w:t>
      </w:r>
      <w:r w:rsidR="00D66B65">
        <w:rPr>
          <w:rFonts w:asciiTheme="majorBidi" w:hAnsiTheme="majorBidi" w:cstheme="majorBidi"/>
          <w:bCs/>
          <w:lang w:val="sq-AL"/>
        </w:rPr>
        <w:t>e</w:t>
      </w:r>
      <w:r w:rsidR="000228E4">
        <w:rPr>
          <w:rFonts w:asciiTheme="majorBidi" w:hAnsiTheme="majorBidi" w:cstheme="majorBidi"/>
          <w:bCs/>
          <w:lang w:val="sq-AL"/>
        </w:rPr>
        <w:t xml:space="preserve"> shtes</w:t>
      </w:r>
      <w:r w:rsidR="00C75730">
        <w:rPr>
          <w:rFonts w:asciiTheme="majorBidi" w:hAnsiTheme="majorBidi" w:cstheme="majorBidi"/>
          <w:bCs/>
          <w:lang w:val="sq-AL"/>
        </w:rPr>
        <w:t>ë</w:t>
      </w:r>
      <w:r w:rsidR="00D66B65">
        <w:rPr>
          <w:rFonts w:asciiTheme="majorBidi" w:hAnsiTheme="majorBidi" w:cstheme="majorBidi"/>
          <w:bCs/>
          <w:lang w:val="sq-AL"/>
        </w:rPr>
        <w:t>s</w:t>
      </w:r>
      <w:r w:rsidR="000228E4">
        <w:rPr>
          <w:rFonts w:asciiTheme="majorBidi" w:hAnsiTheme="majorBidi" w:cstheme="majorBidi"/>
          <w:bCs/>
          <w:lang w:val="sq-AL"/>
        </w:rPr>
        <w:t xml:space="preserve"> nga akordimi i fondit t</w:t>
      </w:r>
      <w:r w:rsidR="00C75730">
        <w:rPr>
          <w:rFonts w:asciiTheme="majorBidi" w:hAnsiTheme="majorBidi" w:cstheme="majorBidi"/>
          <w:bCs/>
          <w:lang w:val="sq-AL"/>
        </w:rPr>
        <w:t>ë</w:t>
      </w:r>
      <w:r w:rsidR="000228E4">
        <w:rPr>
          <w:rFonts w:asciiTheme="majorBidi" w:hAnsiTheme="majorBidi" w:cstheme="majorBidi"/>
          <w:bCs/>
          <w:lang w:val="sq-AL"/>
        </w:rPr>
        <w:t xml:space="preserve"> veçant</w:t>
      </w:r>
      <w:r w:rsidR="00C75730">
        <w:rPr>
          <w:rFonts w:asciiTheme="majorBidi" w:hAnsiTheme="majorBidi" w:cstheme="majorBidi"/>
          <w:bCs/>
          <w:lang w:val="sq-AL"/>
        </w:rPr>
        <w:t>ë</w:t>
      </w:r>
      <w:r w:rsidR="00D66B65">
        <w:rPr>
          <w:rFonts w:asciiTheme="majorBidi" w:hAnsiTheme="majorBidi" w:cstheme="majorBidi"/>
          <w:lang w:val="sq-AL"/>
        </w:rPr>
        <w:t xml:space="preserve"> dhe </w:t>
      </w:r>
      <w:r w:rsidR="00D66B65" w:rsidRPr="004469A8">
        <w:rPr>
          <w:lang w:val="sq-AL"/>
        </w:rPr>
        <w:t>z</w:t>
      </w:r>
      <w:r w:rsidR="00D66B65" w:rsidRPr="004469A8">
        <w:rPr>
          <w:rFonts w:asciiTheme="majorBidi" w:hAnsiTheme="majorBidi" w:cstheme="majorBidi"/>
          <w:bCs/>
          <w:lang w:val="sq-AL"/>
        </w:rPr>
        <w:t xml:space="preserve">batimi </w:t>
      </w:r>
      <w:r w:rsidR="00D66B65">
        <w:rPr>
          <w:rFonts w:asciiTheme="majorBidi" w:hAnsiTheme="majorBidi" w:cstheme="majorBidi"/>
          <w:bCs/>
          <w:lang w:val="sq-AL"/>
        </w:rPr>
        <w:t>i</w:t>
      </w:r>
      <w:r w:rsidR="00D66B65" w:rsidRPr="004469A8">
        <w:rPr>
          <w:rFonts w:asciiTheme="majorBidi" w:hAnsiTheme="majorBidi" w:cstheme="majorBidi"/>
          <w:bCs/>
          <w:lang w:val="sq-AL"/>
        </w:rPr>
        <w:t xml:space="preserve"> VKM nr.730 datë 13.11.2019 "Për një shtesë të fondeve buxhetore në institucionet e Sistemit të Drejtësisë, për vitin 2019"</w:t>
      </w:r>
      <w:r w:rsidR="00D66B65" w:rsidRPr="004469A8">
        <w:rPr>
          <w:rFonts w:asciiTheme="majorBidi" w:hAnsiTheme="majorBidi" w:cstheme="majorBidi"/>
          <w:lang w:val="sq-AL"/>
        </w:rPr>
        <w:t>.</w:t>
      </w:r>
    </w:p>
    <w:p w:rsidR="006E6EF7" w:rsidRPr="00BA4F3A" w:rsidRDefault="004D3401" w:rsidP="00735747">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BA4F3A">
        <w:rPr>
          <w:rFonts w:asciiTheme="majorBidi" w:hAnsiTheme="majorBidi" w:cstheme="majorBidi"/>
          <w:b/>
          <w:color w:val="002060"/>
          <w:lang w:val="sq-AL"/>
        </w:rPr>
        <w:t xml:space="preserve">Krahasimi i të dhënave faktike, të raportit të </w:t>
      </w:r>
      <w:r w:rsidR="00735747">
        <w:rPr>
          <w:rFonts w:asciiTheme="majorBidi" w:hAnsiTheme="majorBidi" w:cstheme="majorBidi"/>
          <w:b/>
          <w:color w:val="002060"/>
          <w:lang w:val="sq-AL"/>
        </w:rPr>
        <w:t>Institucionit</w:t>
      </w:r>
      <w:r w:rsidRPr="00BA4F3A">
        <w:rPr>
          <w:rFonts w:asciiTheme="majorBidi" w:hAnsiTheme="majorBidi" w:cstheme="majorBidi"/>
          <w:b/>
          <w:color w:val="002060"/>
          <w:lang w:val="sq-AL"/>
        </w:rPr>
        <w:t xml:space="preserve"> me të dhënat e thesarit, për të një</w:t>
      </w:r>
      <w:r w:rsidR="006E6EF7" w:rsidRPr="00BA4F3A">
        <w:rPr>
          <w:rFonts w:asciiTheme="majorBidi" w:hAnsiTheme="majorBidi" w:cstheme="majorBidi"/>
          <w:b/>
          <w:color w:val="002060"/>
          <w:lang w:val="sq-AL"/>
        </w:rPr>
        <w:t>jtën periudhë raportuese, n</w:t>
      </w:r>
      <w:r w:rsidR="00324143" w:rsidRPr="00BA4F3A">
        <w:rPr>
          <w:rFonts w:asciiTheme="majorBidi" w:hAnsiTheme="majorBidi" w:cstheme="majorBidi"/>
          <w:b/>
          <w:color w:val="002060"/>
          <w:lang w:val="sq-AL"/>
        </w:rPr>
        <w:t>ë</w:t>
      </w:r>
      <w:r w:rsidR="006E6EF7" w:rsidRPr="00BA4F3A">
        <w:rPr>
          <w:rFonts w:asciiTheme="majorBidi" w:hAnsiTheme="majorBidi" w:cstheme="majorBidi"/>
          <w:b/>
          <w:color w:val="002060"/>
          <w:lang w:val="sq-AL"/>
        </w:rPr>
        <w:t xml:space="preserve"> mij</w:t>
      </w:r>
      <w:r w:rsidR="00324143" w:rsidRPr="00BA4F3A">
        <w:rPr>
          <w:rFonts w:asciiTheme="majorBidi" w:hAnsiTheme="majorBidi" w:cstheme="majorBidi"/>
          <w:b/>
          <w:color w:val="002060"/>
          <w:lang w:val="sq-AL"/>
        </w:rPr>
        <w:t>ë</w:t>
      </w:r>
      <w:r w:rsidR="006E6EF7" w:rsidRPr="00BA4F3A">
        <w:rPr>
          <w:rFonts w:asciiTheme="majorBidi" w:hAnsiTheme="majorBidi" w:cstheme="majorBidi"/>
          <w:b/>
          <w:color w:val="002060"/>
          <w:lang w:val="sq-AL"/>
        </w:rPr>
        <w:t xml:space="preserve"> lek</w:t>
      </w:r>
      <w:r w:rsidR="00324143" w:rsidRPr="00BA4F3A">
        <w:rPr>
          <w:rFonts w:asciiTheme="majorBidi" w:hAnsiTheme="majorBidi" w:cstheme="majorBidi"/>
          <w:b/>
          <w:color w:val="002060"/>
          <w:lang w:val="sq-AL"/>
        </w:rPr>
        <w:t>ë</w:t>
      </w:r>
      <w:r w:rsidR="006E6EF7" w:rsidRPr="00BA4F3A">
        <w:rPr>
          <w:rFonts w:asciiTheme="majorBidi" w:hAnsiTheme="majorBidi" w:cstheme="majorBidi"/>
          <w:b/>
          <w:color w:val="002060"/>
          <w:lang w:val="sq-AL"/>
        </w:rPr>
        <w:t>:</w:t>
      </w:r>
    </w:p>
    <w:tbl>
      <w:tblPr>
        <w:tblW w:w="9563" w:type="dxa"/>
        <w:jc w:val="center"/>
        <w:tblInd w:w="1506" w:type="dxa"/>
        <w:tblBorders>
          <w:top w:val="double" w:sz="6" w:space="0" w:color="auto"/>
          <w:left w:val="double" w:sz="6" w:space="0" w:color="auto"/>
          <w:bottom w:val="double" w:sz="6" w:space="0" w:color="auto"/>
          <w:right w:val="double" w:sz="6" w:space="0" w:color="auto"/>
          <w:insideH w:val="dotted" w:sz="4" w:space="0" w:color="auto"/>
          <w:insideV w:val="dotted" w:sz="4" w:space="0" w:color="auto"/>
        </w:tblBorders>
        <w:tblLook w:val="04A0" w:firstRow="1" w:lastRow="0" w:firstColumn="1" w:lastColumn="0" w:noHBand="0" w:noVBand="1"/>
      </w:tblPr>
      <w:tblGrid>
        <w:gridCol w:w="2686"/>
        <w:gridCol w:w="1206"/>
        <w:gridCol w:w="1247"/>
        <w:gridCol w:w="1049"/>
        <w:gridCol w:w="1230"/>
        <w:gridCol w:w="1096"/>
        <w:gridCol w:w="1049"/>
      </w:tblGrid>
      <w:tr w:rsidR="004F4D2E" w:rsidRPr="00BA4F3A" w:rsidTr="009F08CF">
        <w:trPr>
          <w:trHeight w:val="330"/>
          <w:jc w:val="center"/>
        </w:trPr>
        <w:tc>
          <w:tcPr>
            <w:tcW w:w="2686" w:type="dxa"/>
            <w:vMerge w:val="restart"/>
            <w:shd w:val="clear" w:color="000000" w:fill="FFFFCC"/>
            <w:vAlign w:val="center"/>
            <w:hideMark/>
          </w:tcPr>
          <w:p w:rsidR="00E63E62" w:rsidRPr="00BA4F3A" w:rsidRDefault="00E63E62" w:rsidP="009F08CF">
            <w:pPr>
              <w:spacing w:line="276" w:lineRule="auto"/>
              <w:jc w:val="center"/>
              <w:rPr>
                <w:b/>
                <w:color w:val="002060"/>
                <w:sz w:val="22"/>
                <w:szCs w:val="22"/>
                <w:lang w:val="sq-AL"/>
              </w:rPr>
            </w:pPr>
            <w:r w:rsidRPr="00BA4F3A">
              <w:rPr>
                <w:b/>
                <w:color w:val="002060"/>
                <w:sz w:val="22"/>
                <w:szCs w:val="22"/>
                <w:lang w:val="sq-AL"/>
              </w:rPr>
              <w:t>Programi</w:t>
            </w:r>
          </w:p>
        </w:tc>
        <w:tc>
          <w:tcPr>
            <w:tcW w:w="3502" w:type="dxa"/>
            <w:gridSpan w:val="3"/>
            <w:shd w:val="clear" w:color="000000" w:fill="FFFFCC"/>
            <w:vAlign w:val="center"/>
            <w:hideMark/>
          </w:tcPr>
          <w:p w:rsidR="00E63E62" w:rsidRPr="00BA4F3A" w:rsidRDefault="00E63E62" w:rsidP="009F08CF">
            <w:pPr>
              <w:spacing w:line="276" w:lineRule="auto"/>
              <w:jc w:val="center"/>
              <w:rPr>
                <w:b/>
                <w:color w:val="002060"/>
                <w:sz w:val="20"/>
                <w:szCs w:val="20"/>
                <w:lang w:val="sq-AL"/>
              </w:rPr>
            </w:pPr>
            <w:r w:rsidRPr="00BA4F3A">
              <w:rPr>
                <w:b/>
                <w:color w:val="002060"/>
                <w:sz w:val="20"/>
                <w:szCs w:val="20"/>
                <w:lang w:val="sq-AL"/>
              </w:rPr>
              <w:t>Shpenzime korente</w:t>
            </w:r>
          </w:p>
        </w:tc>
        <w:tc>
          <w:tcPr>
            <w:tcW w:w="3375" w:type="dxa"/>
            <w:gridSpan w:val="3"/>
            <w:shd w:val="clear" w:color="000000" w:fill="FFFFCC"/>
            <w:vAlign w:val="center"/>
            <w:hideMark/>
          </w:tcPr>
          <w:p w:rsidR="00E63E62" w:rsidRPr="00BA4F3A" w:rsidRDefault="00E63E62" w:rsidP="009F08CF">
            <w:pPr>
              <w:spacing w:line="276" w:lineRule="auto"/>
              <w:jc w:val="center"/>
              <w:rPr>
                <w:b/>
                <w:color w:val="002060"/>
                <w:sz w:val="20"/>
                <w:szCs w:val="20"/>
                <w:lang w:val="sq-AL"/>
              </w:rPr>
            </w:pPr>
            <w:r w:rsidRPr="00BA4F3A">
              <w:rPr>
                <w:b/>
                <w:color w:val="002060"/>
                <w:sz w:val="20"/>
                <w:szCs w:val="20"/>
                <w:lang w:val="sq-AL"/>
              </w:rPr>
              <w:t>Shpenzime Kapitale</w:t>
            </w:r>
          </w:p>
        </w:tc>
      </w:tr>
      <w:tr w:rsidR="004824E2" w:rsidRPr="00BA4F3A" w:rsidTr="009F08CF">
        <w:trPr>
          <w:trHeight w:val="300"/>
          <w:jc w:val="center"/>
        </w:trPr>
        <w:tc>
          <w:tcPr>
            <w:tcW w:w="2686" w:type="dxa"/>
            <w:vMerge/>
            <w:vAlign w:val="center"/>
            <w:hideMark/>
          </w:tcPr>
          <w:p w:rsidR="004824E2" w:rsidRPr="00BA4F3A" w:rsidRDefault="004824E2" w:rsidP="009F08CF">
            <w:pPr>
              <w:spacing w:line="276" w:lineRule="auto"/>
              <w:jc w:val="center"/>
              <w:rPr>
                <w:b/>
                <w:color w:val="002060"/>
                <w:sz w:val="22"/>
                <w:szCs w:val="22"/>
                <w:lang w:val="sq-AL"/>
              </w:rPr>
            </w:pPr>
          </w:p>
        </w:tc>
        <w:tc>
          <w:tcPr>
            <w:tcW w:w="1206"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Institucioni</w:t>
            </w:r>
          </w:p>
        </w:tc>
        <w:tc>
          <w:tcPr>
            <w:tcW w:w="1247"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SIFQ</w:t>
            </w:r>
          </w:p>
        </w:tc>
        <w:tc>
          <w:tcPr>
            <w:tcW w:w="1049"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Diferenca</w:t>
            </w:r>
          </w:p>
        </w:tc>
        <w:tc>
          <w:tcPr>
            <w:tcW w:w="1230"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Institucioni</w:t>
            </w:r>
          </w:p>
        </w:tc>
        <w:tc>
          <w:tcPr>
            <w:tcW w:w="1096"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SIFQ</w:t>
            </w:r>
          </w:p>
        </w:tc>
        <w:tc>
          <w:tcPr>
            <w:tcW w:w="1049" w:type="dxa"/>
            <w:shd w:val="clear" w:color="000000" w:fill="FFFFCC"/>
            <w:vAlign w:val="center"/>
            <w:hideMark/>
          </w:tcPr>
          <w:p w:rsidR="004824E2" w:rsidRPr="00BA4F3A" w:rsidRDefault="004824E2" w:rsidP="009F08CF">
            <w:pPr>
              <w:spacing w:line="276" w:lineRule="auto"/>
              <w:jc w:val="center"/>
              <w:rPr>
                <w:b/>
                <w:color w:val="002060"/>
                <w:sz w:val="20"/>
                <w:szCs w:val="20"/>
                <w:lang w:val="sq-AL"/>
              </w:rPr>
            </w:pPr>
            <w:r w:rsidRPr="00BA4F3A">
              <w:rPr>
                <w:b/>
                <w:color w:val="002060"/>
                <w:sz w:val="20"/>
                <w:szCs w:val="20"/>
                <w:lang w:val="sq-AL"/>
              </w:rPr>
              <w:t>Diferenca</w:t>
            </w:r>
          </w:p>
        </w:tc>
      </w:tr>
      <w:tr w:rsidR="009F08CF" w:rsidRPr="00BA4F3A" w:rsidTr="009F08CF">
        <w:trPr>
          <w:trHeight w:val="300"/>
          <w:jc w:val="center"/>
        </w:trPr>
        <w:tc>
          <w:tcPr>
            <w:tcW w:w="2686" w:type="dxa"/>
            <w:shd w:val="clear" w:color="auto" w:fill="auto"/>
            <w:noWrap/>
            <w:vAlign w:val="center"/>
            <w:hideMark/>
          </w:tcPr>
          <w:p w:rsidR="009F08CF" w:rsidRPr="009F08CF" w:rsidRDefault="009F08CF" w:rsidP="009F08CF">
            <w:pPr>
              <w:spacing w:line="276" w:lineRule="auto"/>
              <w:jc w:val="center"/>
              <w:rPr>
                <w:bCs/>
                <w:color w:val="002060"/>
                <w:sz w:val="20"/>
                <w:szCs w:val="20"/>
                <w:lang w:val="sq-AL"/>
              </w:rPr>
            </w:pPr>
            <w:r w:rsidRPr="009F08CF">
              <w:rPr>
                <w:bCs/>
                <w:sz w:val="20"/>
                <w:szCs w:val="20"/>
                <w:lang w:val="sq-AL"/>
              </w:rPr>
              <w:t xml:space="preserve">Veprimtaria e rivlerësimit </w:t>
            </w:r>
            <w:r w:rsidRPr="009F08CF">
              <w:rPr>
                <w:bCs/>
                <w:sz w:val="20"/>
                <w:szCs w:val="20"/>
                <w:lang w:val="sq-AL"/>
              </w:rPr>
              <w:lastRenderedPageBreak/>
              <w:t>kalimtar të magjistratit</w:t>
            </w:r>
          </w:p>
        </w:tc>
        <w:tc>
          <w:tcPr>
            <w:tcW w:w="1206" w:type="dxa"/>
            <w:shd w:val="clear" w:color="auto" w:fill="auto"/>
            <w:noWrap/>
            <w:vAlign w:val="center"/>
            <w:hideMark/>
          </w:tcPr>
          <w:p w:rsidR="009F08CF" w:rsidRPr="00BA4F3A" w:rsidRDefault="009F08CF" w:rsidP="009F08CF">
            <w:pPr>
              <w:spacing w:line="276" w:lineRule="auto"/>
              <w:jc w:val="center"/>
              <w:rPr>
                <w:bCs/>
                <w:color w:val="002060"/>
                <w:sz w:val="22"/>
                <w:szCs w:val="22"/>
                <w:lang w:val="sq-AL"/>
              </w:rPr>
            </w:pPr>
            <w:r>
              <w:rPr>
                <w:bCs/>
                <w:color w:val="002060"/>
                <w:sz w:val="22"/>
                <w:szCs w:val="22"/>
                <w:lang w:val="sq-AL"/>
              </w:rPr>
              <w:lastRenderedPageBreak/>
              <w:t>194 760</w:t>
            </w:r>
          </w:p>
        </w:tc>
        <w:tc>
          <w:tcPr>
            <w:tcW w:w="1247" w:type="dxa"/>
            <w:shd w:val="clear" w:color="auto" w:fill="auto"/>
            <w:noWrap/>
            <w:vAlign w:val="center"/>
            <w:hideMark/>
          </w:tcPr>
          <w:p w:rsidR="009F08CF" w:rsidRPr="00BA4F3A" w:rsidRDefault="009F08CF" w:rsidP="009F08CF">
            <w:pPr>
              <w:spacing w:line="276" w:lineRule="auto"/>
              <w:jc w:val="center"/>
              <w:rPr>
                <w:bCs/>
                <w:color w:val="002060"/>
                <w:sz w:val="22"/>
                <w:szCs w:val="22"/>
                <w:lang w:val="sq-AL"/>
              </w:rPr>
            </w:pPr>
            <w:r>
              <w:rPr>
                <w:bCs/>
                <w:color w:val="002060"/>
                <w:sz w:val="22"/>
                <w:szCs w:val="22"/>
                <w:lang w:val="sq-AL"/>
              </w:rPr>
              <w:t>194 760</w:t>
            </w:r>
          </w:p>
        </w:tc>
        <w:tc>
          <w:tcPr>
            <w:tcW w:w="1049" w:type="dxa"/>
            <w:shd w:val="clear" w:color="auto" w:fill="auto"/>
            <w:noWrap/>
            <w:vAlign w:val="center"/>
            <w:hideMark/>
          </w:tcPr>
          <w:p w:rsidR="009F08CF" w:rsidRPr="00BA4F3A" w:rsidRDefault="009F08CF" w:rsidP="009F08CF">
            <w:pPr>
              <w:spacing w:line="276" w:lineRule="auto"/>
              <w:jc w:val="center"/>
              <w:rPr>
                <w:bCs/>
                <w:color w:val="002060"/>
                <w:sz w:val="22"/>
                <w:szCs w:val="22"/>
                <w:lang w:val="sq-AL"/>
              </w:rPr>
            </w:pPr>
            <w:r w:rsidRPr="00BA4F3A">
              <w:rPr>
                <w:bCs/>
                <w:color w:val="002060"/>
                <w:sz w:val="22"/>
                <w:szCs w:val="22"/>
                <w:lang w:val="sq-AL"/>
              </w:rPr>
              <w:t>0</w:t>
            </w:r>
          </w:p>
        </w:tc>
        <w:tc>
          <w:tcPr>
            <w:tcW w:w="1230" w:type="dxa"/>
            <w:shd w:val="clear" w:color="auto" w:fill="auto"/>
            <w:noWrap/>
            <w:vAlign w:val="center"/>
            <w:hideMark/>
          </w:tcPr>
          <w:p w:rsidR="009F08CF" w:rsidRDefault="009F08CF" w:rsidP="009F08CF">
            <w:pPr>
              <w:jc w:val="center"/>
            </w:pPr>
            <w:r>
              <w:rPr>
                <w:bCs/>
                <w:color w:val="002060"/>
                <w:sz w:val="22"/>
                <w:szCs w:val="22"/>
                <w:lang w:val="sq-AL"/>
              </w:rPr>
              <w:t>2 949</w:t>
            </w:r>
          </w:p>
        </w:tc>
        <w:tc>
          <w:tcPr>
            <w:tcW w:w="1096" w:type="dxa"/>
            <w:shd w:val="clear" w:color="auto" w:fill="auto"/>
            <w:noWrap/>
            <w:vAlign w:val="center"/>
            <w:hideMark/>
          </w:tcPr>
          <w:p w:rsidR="009F08CF" w:rsidRDefault="009F08CF" w:rsidP="009F08CF">
            <w:pPr>
              <w:jc w:val="center"/>
            </w:pPr>
            <w:r>
              <w:rPr>
                <w:bCs/>
                <w:color w:val="002060"/>
                <w:sz w:val="22"/>
                <w:szCs w:val="22"/>
                <w:lang w:val="sq-AL"/>
              </w:rPr>
              <w:t>2 949</w:t>
            </w:r>
          </w:p>
        </w:tc>
        <w:tc>
          <w:tcPr>
            <w:tcW w:w="1049" w:type="dxa"/>
            <w:shd w:val="clear" w:color="auto" w:fill="auto"/>
            <w:noWrap/>
            <w:vAlign w:val="center"/>
            <w:hideMark/>
          </w:tcPr>
          <w:p w:rsidR="009F08CF" w:rsidRPr="00BA4F3A" w:rsidRDefault="009F08CF" w:rsidP="009F08CF">
            <w:pPr>
              <w:spacing w:line="276" w:lineRule="auto"/>
              <w:jc w:val="center"/>
              <w:rPr>
                <w:bCs/>
                <w:color w:val="002060"/>
                <w:sz w:val="22"/>
                <w:szCs w:val="22"/>
                <w:lang w:val="sq-AL"/>
              </w:rPr>
            </w:pPr>
            <w:r w:rsidRPr="00BA4F3A">
              <w:rPr>
                <w:bCs/>
                <w:color w:val="002060"/>
                <w:sz w:val="22"/>
                <w:szCs w:val="22"/>
                <w:lang w:val="sq-AL"/>
              </w:rPr>
              <w:t>0</w:t>
            </w:r>
          </w:p>
        </w:tc>
      </w:tr>
      <w:tr w:rsidR="009F08CF" w:rsidRPr="00BA4F3A" w:rsidTr="009F08CF">
        <w:trPr>
          <w:trHeight w:val="315"/>
          <w:jc w:val="center"/>
        </w:trPr>
        <w:tc>
          <w:tcPr>
            <w:tcW w:w="2686" w:type="dxa"/>
            <w:shd w:val="clear" w:color="000000" w:fill="FFFFCC"/>
            <w:noWrap/>
            <w:vAlign w:val="center"/>
            <w:hideMark/>
          </w:tcPr>
          <w:p w:rsidR="009F08CF" w:rsidRPr="00BA4F3A" w:rsidRDefault="009F08CF" w:rsidP="009F08CF">
            <w:pPr>
              <w:spacing w:line="276" w:lineRule="auto"/>
              <w:jc w:val="center"/>
              <w:rPr>
                <w:b/>
                <w:color w:val="002060"/>
                <w:sz w:val="22"/>
                <w:szCs w:val="22"/>
                <w:lang w:val="sq-AL"/>
              </w:rPr>
            </w:pPr>
            <w:r w:rsidRPr="00BA4F3A">
              <w:rPr>
                <w:b/>
                <w:color w:val="002060"/>
                <w:sz w:val="22"/>
                <w:szCs w:val="22"/>
                <w:lang w:val="sq-AL"/>
              </w:rPr>
              <w:lastRenderedPageBreak/>
              <w:t>Totali</w:t>
            </w:r>
          </w:p>
        </w:tc>
        <w:tc>
          <w:tcPr>
            <w:tcW w:w="1206" w:type="dxa"/>
            <w:shd w:val="clear" w:color="000000" w:fill="FFFFCC"/>
            <w:noWrap/>
            <w:vAlign w:val="center"/>
            <w:hideMark/>
          </w:tcPr>
          <w:p w:rsidR="009F08CF" w:rsidRPr="00BA4F3A" w:rsidRDefault="009F08CF" w:rsidP="009F08CF">
            <w:pPr>
              <w:spacing w:line="276" w:lineRule="auto"/>
              <w:jc w:val="center"/>
              <w:rPr>
                <w:b/>
                <w:color w:val="002060"/>
                <w:sz w:val="22"/>
                <w:szCs w:val="22"/>
                <w:lang w:val="sq-AL"/>
              </w:rPr>
            </w:pPr>
            <w:r>
              <w:rPr>
                <w:b/>
                <w:color w:val="002060"/>
                <w:sz w:val="22"/>
                <w:szCs w:val="22"/>
                <w:lang w:val="sq-AL"/>
              </w:rPr>
              <w:t>194 760</w:t>
            </w:r>
          </w:p>
        </w:tc>
        <w:tc>
          <w:tcPr>
            <w:tcW w:w="1247" w:type="dxa"/>
            <w:shd w:val="clear" w:color="000000" w:fill="FFFFCC"/>
            <w:noWrap/>
            <w:vAlign w:val="center"/>
            <w:hideMark/>
          </w:tcPr>
          <w:p w:rsidR="009F08CF" w:rsidRPr="00BA4F3A" w:rsidRDefault="009F08CF" w:rsidP="009F08CF">
            <w:pPr>
              <w:spacing w:line="276" w:lineRule="auto"/>
              <w:jc w:val="center"/>
              <w:rPr>
                <w:b/>
                <w:color w:val="002060"/>
                <w:sz w:val="22"/>
                <w:szCs w:val="22"/>
                <w:lang w:val="sq-AL"/>
              </w:rPr>
            </w:pPr>
            <w:r>
              <w:rPr>
                <w:b/>
                <w:color w:val="002060"/>
                <w:sz w:val="22"/>
                <w:szCs w:val="22"/>
                <w:lang w:val="sq-AL"/>
              </w:rPr>
              <w:t>194 760</w:t>
            </w:r>
          </w:p>
        </w:tc>
        <w:tc>
          <w:tcPr>
            <w:tcW w:w="1049" w:type="dxa"/>
            <w:shd w:val="clear" w:color="000000" w:fill="FFFFCC"/>
            <w:noWrap/>
            <w:vAlign w:val="center"/>
            <w:hideMark/>
          </w:tcPr>
          <w:p w:rsidR="009F08CF" w:rsidRPr="00BA4F3A" w:rsidRDefault="009F08CF" w:rsidP="009F08CF">
            <w:pPr>
              <w:spacing w:line="276" w:lineRule="auto"/>
              <w:jc w:val="center"/>
              <w:rPr>
                <w:b/>
                <w:color w:val="002060"/>
                <w:sz w:val="22"/>
                <w:szCs w:val="22"/>
                <w:lang w:val="sq-AL"/>
              </w:rPr>
            </w:pPr>
            <w:r w:rsidRPr="00BA4F3A">
              <w:rPr>
                <w:b/>
                <w:color w:val="002060"/>
                <w:sz w:val="22"/>
                <w:szCs w:val="22"/>
                <w:lang w:val="sq-AL"/>
              </w:rPr>
              <w:t>0</w:t>
            </w:r>
          </w:p>
        </w:tc>
        <w:tc>
          <w:tcPr>
            <w:tcW w:w="1230" w:type="dxa"/>
            <w:shd w:val="clear" w:color="000000" w:fill="FFFFCC"/>
            <w:noWrap/>
            <w:vAlign w:val="center"/>
            <w:hideMark/>
          </w:tcPr>
          <w:p w:rsidR="009F08CF" w:rsidRDefault="009F08CF" w:rsidP="009F08CF">
            <w:pPr>
              <w:jc w:val="center"/>
            </w:pPr>
            <w:r>
              <w:rPr>
                <w:b/>
                <w:color w:val="002060"/>
                <w:sz w:val="22"/>
                <w:szCs w:val="22"/>
                <w:lang w:val="sq-AL"/>
              </w:rPr>
              <w:t>2 949</w:t>
            </w:r>
          </w:p>
        </w:tc>
        <w:tc>
          <w:tcPr>
            <w:tcW w:w="1096" w:type="dxa"/>
            <w:shd w:val="clear" w:color="000000" w:fill="FFFFCC"/>
            <w:noWrap/>
            <w:vAlign w:val="center"/>
            <w:hideMark/>
          </w:tcPr>
          <w:p w:rsidR="009F08CF" w:rsidRDefault="009F08CF" w:rsidP="009F08CF">
            <w:pPr>
              <w:jc w:val="center"/>
            </w:pPr>
            <w:r>
              <w:rPr>
                <w:b/>
                <w:color w:val="002060"/>
                <w:sz w:val="22"/>
                <w:szCs w:val="22"/>
                <w:lang w:val="sq-AL"/>
              </w:rPr>
              <w:t>2 949</w:t>
            </w:r>
          </w:p>
        </w:tc>
        <w:tc>
          <w:tcPr>
            <w:tcW w:w="1049" w:type="dxa"/>
            <w:shd w:val="clear" w:color="000000" w:fill="FFFFCC"/>
            <w:noWrap/>
            <w:vAlign w:val="center"/>
            <w:hideMark/>
          </w:tcPr>
          <w:p w:rsidR="009F08CF" w:rsidRPr="00BA4F3A" w:rsidRDefault="009F08CF" w:rsidP="009F08CF">
            <w:pPr>
              <w:spacing w:line="276" w:lineRule="auto"/>
              <w:jc w:val="center"/>
              <w:rPr>
                <w:b/>
                <w:color w:val="002060"/>
                <w:sz w:val="22"/>
                <w:szCs w:val="22"/>
                <w:lang w:val="sq-AL"/>
              </w:rPr>
            </w:pPr>
            <w:r w:rsidRPr="00BA4F3A">
              <w:rPr>
                <w:b/>
                <w:color w:val="002060"/>
                <w:sz w:val="22"/>
                <w:szCs w:val="22"/>
                <w:lang w:val="sq-AL"/>
              </w:rPr>
              <w:t>0</w:t>
            </w:r>
          </w:p>
        </w:tc>
      </w:tr>
    </w:tbl>
    <w:p w:rsidR="00214B21" w:rsidRPr="00BA4F3A" w:rsidRDefault="00214B21" w:rsidP="00735747">
      <w:pPr>
        <w:tabs>
          <w:tab w:val="left" w:pos="2160"/>
        </w:tabs>
        <w:spacing w:line="276" w:lineRule="auto"/>
        <w:jc w:val="both"/>
        <w:rPr>
          <w:rFonts w:asciiTheme="majorBidi" w:hAnsiTheme="majorBidi" w:cstheme="majorBidi"/>
          <w:bCs/>
          <w:lang w:val="sq-AL"/>
        </w:rPr>
      </w:pPr>
    </w:p>
    <w:p w:rsidR="004D3401" w:rsidRPr="00BA4F3A" w:rsidRDefault="00D66B65" w:rsidP="00735747">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S</w:t>
      </w:r>
      <w:r w:rsidR="004D3401" w:rsidRPr="00BA4F3A">
        <w:rPr>
          <w:rFonts w:asciiTheme="majorBidi" w:hAnsiTheme="majorBidi" w:cstheme="majorBidi"/>
          <w:bCs/>
          <w:lang w:val="sq-AL"/>
        </w:rPr>
        <w:t xml:space="preserve">iç shikohet nga tabela, nuk ka mospërputhje të të dhënave faktike të raportuara nga </w:t>
      </w:r>
      <w:r w:rsidR="00853849" w:rsidRPr="00BA4F3A">
        <w:rPr>
          <w:rFonts w:asciiTheme="majorBidi" w:hAnsiTheme="majorBidi" w:cstheme="majorBidi"/>
          <w:bCs/>
          <w:lang w:val="sq-AL"/>
        </w:rPr>
        <w:t xml:space="preserve">institucioni </w:t>
      </w:r>
      <w:r w:rsidR="004D3401" w:rsidRPr="00BA4F3A">
        <w:rPr>
          <w:rFonts w:asciiTheme="majorBidi" w:hAnsiTheme="majorBidi" w:cstheme="majorBidi"/>
          <w:bCs/>
          <w:lang w:val="sq-AL"/>
        </w:rPr>
        <w:t xml:space="preserve">me të dhënat faktike të siguruara nga e Sistemi Informatik Financiar i Qeverisë </w:t>
      </w:r>
      <w:r w:rsidR="00853849" w:rsidRPr="00BA4F3A">
        <w:rPr>
          <w:rFonts w:asciiTheme="majorBidi" w:hAnsiTheme="majorBidi" w:cstheme="majorBidi"/>
          <w:bCs/>
          <w:lang w:val="sq-AL"/>
        </w:rPr>
        <w:t xml:space="preserve">si </w:t>
      </w:r>
      <w:r w:rsidR="004D3401" w:rsidRPr="00BA4F3A">
        <w:rPr>
          <w:rFonts w:asciiTheme="majorBidi" w:hAnsiTheme="majorBidi" w:cstheme="majorBidi"/>
          <w:bCs/>
          <w:lang w:val="sq-AL"/>
        </w:rPr>
        <w:t xml:space="preserve">për shpenzimet korente </w:t>
      </w:r>
      <w:r w:rsidR="00853849" w:rsidRPr="00BA4F3A">
        <w:rPr>
          <w:rFonts w:asciiTheme="majorBidi" w:hAnsiTheme="majorBidi" w:cstheme="majorBidi"/>
          <w:bCs/>
          <w:lang w:val="sq-AL"/>
        </w:rPr>
        <w:t>edhe p</w:t>
      </w:r>
      <w:r w:rsidR="005F5985" w:rsidRPr="00BA4F3A">
        <w:rPr>
          <w:rFonts w:asciiTheme="majorBidi" w:hAnsiTheme="majorBidi" w:cstheme="majorBidi"/>
          <w:bCs/>
          <w:lang w:val="sq-AL"/>
        </w:rPr>
        <w:t>ë</w:t>
      </w:r>
      <w:r w:rsidR="00853849" w:rsidRPr="00BA4F3A">
        <w:rPr>
          <w:rFonts w:asciiTheme="majorBidi" w:hAnsiTheme="majorBidi" w:cstheme="majorBidi"/>
          <w:bCs/>
          <w:lang w:val="sq-AL"/>
        </w:rPr>
        <w:t>r</w:t>
      </w:r>
      <w:r w:rsidR="004D3401" w:rsidRPr="00BA4F3A">
        <w:rPr>
          <w:rFonts w:asciiTheme="majorBidi" w:hAnsiTheme="majorBidi" w:cstheme="majorBidi"/>
          <w:bCs/>
          <w:lang w:val="sq-AL"/>
        </w:rPr>
        <w:t xml:space="preserve"> ato kapitale. </w:t>
      </w:r>
    </w:p>
    <w:p w:rsidR="004D3401" w:rsidRPr="00BA4F3A" w:rsidRDefault="004D3401" w:rsidP="00735747">
      <w:pPr>
        <w:tabs>
          <w:tab w:val="left" w:pos="2160"/>
        </w:tabs>
        <w:spacing w:line="276" w:lineRule="auto"/>
        <w:jc w:val="both"/>
        <w:rPr>
          <w:rFonts w:asciiTheme="majorBidi" w:hAnsiTheme="majorBidi" w:cstheme="majorBidi"/>
          <w:bCs/>
          <w:lang w:val="sq-AL"/>
        </w:rPr>
      </w:pPr>
    </w:p>
    <w:p w:rsidR="004D3401" w:rsidRDefault="004D3401" w:rsidP="009319ED">
      <w:pPr>
        <w:tabs>
          <w:tab w:val="left" w:pos="2160"/>
        </w:tabs>
        <w:spacing w:line="276" w:lineRule="auto"/>
        <w:jc w:val="both"/>
        <w:rPr>
          <w:rFonts w:asciiTheme="majorBidi" w:hAnsiTheme="majorBidi" w:cstheme="majorBidi"/>
          <w:bCs/>
          <w:lang w:val="sq-AL"/>
        </w:rPr>
      </w:pPr>
      <w:r w:rsidRPr="00BA4F3A">
        <w:rPr>
          <w:rFonts w:asciiTheme="majorBidi" w:hAnsiTheme="majorBidi" w:cstheme="majorBidi"/>
          <w:bCs/>
          <w:lang w:val="sq-AL"/>
        </w:rPr>
        <w:t>Nga të dhënat e Sistemit Informatik Financiar të Qeverisë</w:t>
      </w:r>
      <w:r w:rsidR="00853849" w:rsidRPr="00BA4F3A">
        <w:rPr>
          <w:rFonts w:asciiTheme="majorBidi" w:hAnsiTheme="majorBidi" w:cstheme="majorBidi"/>
          <w:bCs/>
          <w:lang w:val="sq-AL"/>
        </w:rPr>
        <w:t xml:space="preserve">, </w:t>
      </w:r>
      <w:r w:rsidRPr="00BA4F3A">
        <w:rPr>
          <w:rFonts w:asciiTheme="majorBidi" w:hAnsiTheme="majorBidi" w:cstheme="majorBidi"/>
          <w:bCs/>
          <w:lang w:val="sq-AL"/>
        </w:rPr>
        <w:t xml:space="preserve">konstatojmë se </w:t>
      </w:r>
      <w:r w:rsidR="00853849" w:rsidRPr="00BA4F3A">
        <w:rPr>
          <w:rFonts w:asciiTheme="majorBidi" w:hAnsiTheme="majorBidi" w:cstheme="majorBidi"/>
          <w:bCs/>
          <w:lang w:val="sq-AL"/>
        </w:rPr>
        <w:t xml:space="preserve">për </w:t>
      </w:r>
      <w:r w:rsidR="00C75730">
        <w:rPr>
          <w:rFonts w:asciiTheme="majorBidi" w:hAnsiTheme="majorBidi" w:cstheme="majorBidi"/>
          <w:bCs/>
          <w:lang w:val="sq-AL"/>
        </w:rPr>
        <w:t>KP</w:t>
      </w:r>
      <w:r w:rsidR="009319ED">
        <w:rPr>
          <w:rFonts w:asciiTheme="majorBidi" w:hAnsiTheme="majorBidi" w:cstheme="majorBidi"/>
          <w:bCs/>
          <w:lang w:val="sq-AL"/>
        </w:rPr>
        <w:t>K</w:t>
      </w:r>
      <w:r w:rsidR="00F75036" w:rsidRPr="00BA4F3A">
        <w:rPr>
          <w:rFonts w:asciiTheme="majorBidi" w:hAnsiTheme="majorBidi" w:cstheme="majorBidi"/>
          <w:bCs/>
          <w:lang w:val="sq-AL"/>
        </w:rPr>
        <w:t xml:space="preserve"> </w:t>
      </w:r>
      <w:r w:rsidR="00F75036">
        <w:rPr>
          <w:rFonts w:asciiTheme="majorBidi" w:hAnsiTheme="majorBidi" w:cstheme="majorBidi"/>
          <w:bCs/>
          <w:lang w:val="sq-AL"/>
        </w:rPr>
        <w:t xml:space="preserve">nuk </w:t>
      </w:r>
      <w:r w:rsidRPr="00BA4F3A">
        <w:rPr>
          <w:rFonts w:asciiTheme="majorBidi" w:hAnsiTheme="majorBidi" w:cstheme="majorBidi"/>
          <w:bCs/>
          <w:lang w:val="sq-AL"/>
        </w:rPr>
        <w:t>janë realizuar të ardhura jashtë limit</w:t>
      </w:r>
      <w:r w:rsidR="003F1EDA" w:rsidRPr="00BA4F3A">
        <w:rPr>
          <w:rFonts w:asciiTheme="majorBidi" w:hAnsiTheme="majorBidi" w:cstheme="majorBidi"/>
          <w:bCs/>
          <w:lang w:val="sq-AL"/>
        </w:rPr>
        <w:t>it</w:t>
      </w:r>
      <w:r w:rsidR="00853849" w:rsidRPr="00BA4F3A">
        <w:rPr>
          <w:rFonts w:asciiTheme="majorBidi" w:hAnsiTheme="majorBidi" w:cstheme="majorBidi"/>
          <w:bCs/>
          <w:lang w:val="sq-AL"/>
        </w:rPr>
        <w:t>.</w:t>
      </w:r>
    </w:p>
    <w:p w:rsidR="00D66B65" w:rsidRPr="00BA4F3A" w:rsidRDefault="00D66B65" w:rsidP="009319ED">
      <w:pPr>
        <w:tabs>
          <w:tab w:val="left" w:pos="2160"/>
        </w:tabs>
        <w:spacing w:line="276" w:lineRule="auto"/>
        <w:jc w:val="both"/>
        <w:rPr>
          <w:rFonts w:asciiTheme="majorBidi" w:hAnsiTheme="majorBidi" w:cstheme="majorBidi"/>
          <w:bCs/>
          <w:lang w:val="sq-AL"/>
        </w:rPr>
      </w:pPr>
    </w:p>
    <w:p w:rsidR="00D66B65" w:rsidRPr="004469A8" w:rsidRDefault="00D66B65" w:rsidP="00D66B65">
      <w:pPr>
        <w:tabs>
          <w:tab w:val="left" w:pos="2160"/>
        </w:tabs>
        <w:spacing w:line="276" w:lineRule="auto"/>
        <w:jc w:val="both"/>
        <w:rPr>
          <w:rFonts w:asciiTheme="majorBidi" w:hAnsiTheme="majorBidi" w:cstheme="majorBidi"/>
          <w:lang w:val="sq-AL"/>
        </w:rPr>
      </w:pPr>
      <w:r w:rsidRPr="004469A8">
        <w:rPr>
          <w:rFonts w:asciiTheme="majorBidi" w:hAnsiTheme="majorBidi" w:cstheme="majorBidi"/>
          <w:lang w:val="sq-AL"/>
        </w:rPr>
        <w:t>Sipas r</w:t>
      </w:r>
      <w:r w:rsidR="00C83F30">
        <w:rPr>
          <w:rFonts w:asciiTheme="majorBidi" w:hAnsiTheme="majorBidi" w:cstheme="majorBidi"/>
          <w:lang w:val="sq-AL"/>
        </w:rPr>
        <w:t>aportit të paraqitur nga KPK</w:t>
      </w:r>
      <w:r w:rsidRPr="004469A8">
        <w:rPr>
          <w:rFonts w:asciiTheme="majorBidi" w:hAnsiTheme="majorBidi" w:cstheme="majorBidi"/>
          <w:lang w:val="sq-AL"/>
        </w:rPr>
        <w:t xml:space="preserve">, </w:t>
      </w:r>
      <w:r w:rsidR="00C83F30">
        <w:rPr>
          <w:rFonts w:asciiTheme="majorBidi" w:hAnsiTheme="majorBidi" w:cstheme="majorBidi"/>
          <w:lang w:val="sq-AL"/>
        </w:rPr>
        <w:t xml:space="preserve">tregues i performancës është numri i dosjeve të shortuara, numri i dosjeve të shqyruara dhe vendime të marra. Konkretisht raportohet se për vitin 2019, janë shortuar 477 subjekte rivlerësimi, janë marrë në shqyrtim 370 dosje dhe janë marrë 129 vendime. Megjithatë nuk ka të dhëna tabelare ku të reflektohen keto veprimtari në mënyrë sasiore dhe </w:t>
      </w:r>
      <w:r w:rsidRPr="004469A8">
        <w:rPr>
          <w:rFonts w:asciiTheme="majorBidi" w:hAnsiTheme="majorBidi" w:cstheme="majorBidi"/>
          <w:lang w:val="sq-AL"/>
        </w:rPr>
        <w:t>në përqindje</w:t>
      </w:r>
      <w:r w:rsidR="00C83F30">
        <w:rPr>
          <w:rFonts w:asciiTheme="majorBidi" w:hAnsiTheme="majorBidi" w:cstheme="majorBidi"/>
          <w:lang w:val="sq-AL"/>
        </w:rPr>
        <w:t xml:space="preserve"> kundrejt fondeve buxhetore.</w:t>
      </w:r>
    </w:p>
    <w:p w:rsidR="009319ED" w:rsidRPr="00BA4F3A" w:rsidRDefault="009319ED" w:rsidP="009319ED">
      <w:pPr>
        <w:tabs>
          <w:tab w:val="left" w:pos="2160"/>
        </w:tabs>
        <w:spacing w:line="276" w:lineRule="auto"/>
        <w:jc w:val="both"/>
        <w:rPr>
          <w:rFonts w:asciiTheme="majorBidi" w:hAnsiTheme="majorBidi" w:cstheme="majorBidi"/>
          <w:b/>
          <w:lang w:val="sq-AL"/>
        </w:rPr>
      </w:pPr>
    </w:p>
    <w:p w:rsidR="009319ED" w:rsidRPr="00BA4F3A" w:rsidRDefault="009319ED" w:rsidP="009319ED">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BA4F3A">
        <w:rPr>
          <w:rFonts w:asciiTheme="majorBidi" w:hAnsiTheme="majorBidi" w:cstheme="majorBidi"/>
          <w:b/>
          <w:color w:val="002060"/>
          <w:lang w:val="sq-AL"/>
        </w:rPr>
        <w:t xml:space="preserve">Komente dhe rekomandime </w:t>
      </w:r>
    </w:p>
    <w:p w:rsidR="00C75730" w:rsidRPr="00C75730" w:rsidRDefault="009319ED" w:rsidP="009319ED">
      <w:pPr>
        <w:pStyle w:val="ListParagraph"/>
        <w:numPr>
          <w:ilvl w:val="0"/>
          <w:numId w:val="5"/>
        </w:numPr>
        <w:tabs>
          <w:tab w:val="left" w:pos="2160"/>
        </w:tabs>
        <w:spacing w:line="276" w:lineRule="auto"/>
        <w:ind w:left="540" w:hanging="180"/>
        <w:jc w:val="both"/>
        <w:rPr>
          <w:rFonts w:asciiTheme="majorBidi" w:hAnsiTheme="majorBidi" w:cstheme="majorBidi"/>
          <w:bCs/>
          <w:sz w:val="24"/>
          <w:szCs w:val="24"/>
          <w:lang w:val="sq-AL"/>
        </w:rPr>
      </w:pPr>
      <w:r w:rsidRPr="00BA4F3A">
        <w:rPr>
          <w:bCs/>
          <w:sz w:val="24"/>
          <w:szCs w:val="24"/>
          <w:lang w:val="sq-AL"/>
        </w:rPr>
        <w:t>Theksojmë se paraqitja</w:t>
      </w:r>
      <w:r w:rsidRPr="00BA4F3A">
        <w:rPr>
          <w:rFonts w:asciiTheme="majorBidi" w:hAnsiTheme="majorBidi" w:cstheme="majorBidi"/>
          <w:bCs/>
          <w:sz w:val="24"/>
          <w:szCs w:val="24"/>
          <w:lang w:val="sq-AL"/>
        </w:rPr>
        <w:t xml:space="preserve"> e </w:t>
      </w:r>
      <w:r w:rsidRPr="00BA4F3A">
        <w:rPr>
          <w:bCs/>
          <w:sz w:val="24"/>
          <w:szCs w:val="24"/>
          <w:lang w:val="sq-AL"/>
        </w:rPr>
        <w:t>informacionit</w:t>
      </w:r>
      <w:r w:rsidRPr="00BA4F3A">
        <w:rPr>
          <w:rFonts w:asciiTheme="majorBidi" w:hAnsiTheme="majorBidi" w:cstheme="majorBidi"/>
          <w:bCs/>
          <w:sz w:val="24"/>
          <w:szCs w:val="24"/>
          <w:lang w:val="sq-AL"/>
        </w:rPr>
        <w:t xml:space="preserve"> </w:t>
      </w:r>
      <w:r w:rsidRPr="00BA4F3A">
        <w:rPr>
          <w:bCs/>
          <w:sz w:val="24"/>
          <w:szCs w:val="24"/>
          <w:lang w:val="sq-AL"/>
        </w:rPr>
        <w:t xml:space="preserve">si dhe të dhënat e raportuara në raportin e monitorimit </w:t>
      </w:r>
      <w:r w:rsidRPr="00BA4F3A">
        <w:rPr>
          <w:rFonts w:asciiTheme="majorBidi" w:hAnsiTheme="majorBidi" w:cstheme="majorBidi"/>
          <w:bCs/>
          <w:sz w:val="24"/>
          <w:szCs w:val="24"/>
          <w:lang w:val="sq-AL"/>
        </w:rPr>
        <w:t>duhet të jetë në përputhje me përcaktimet e bëra në Udhëzimin nr. 22, datë 17.11.2016 “Për procedurat standarde të monitorimit të buxhetit në njësitë e Qeverisjes Qendrore”, specifikisht</w:t>
      </w:r>
      <w:r w:rsidRPr="00BA4F3A">
        <w:rPr>
          <w:bCs/>
          <w:sz w:val="24"/>
          <w:szCs w:val="24"/>
          <w:lang w:val="sq-AL"/>
        </w:rPr>
        <w:t xml:space="preserve"> sipas formateve të përcaktuara në paragrafin 49, të  këtij udhëzimi. </w:t>
      </w:r>
    </w:p>
    <w:p w:rsidR="009319ED" w:rsidRPr="00BA4F3A" w:rsidRDefault="009319ED" w:rsidP="009319ED">
      <w:pPr>
        <w:pStyle w:val="ListParagraph"/>
        <w:numPr>
          <w:ilvl w:val="0"/>
          <w:numId w:val="5"/>
        </w:numPr>
        <w:tabs>
          <w:tab w:val="left" w:pos="2160"/>
        </w:tabs>
        <w:spacing w:line="276" w:lineRule="auto"/>
        <w:ind w:left="540" w:hanging="180"/>
        <w:jc w:val="both"/>
        <w:rPr>
          <w:rFonts w:asciiTheme="majorBidi" w:hAnsiTheme="majorBidi" w:cstheme="majorBidi"/>
          <w:bCs/>
          <w:sz w:val="24"/>
          <w:szCs w:val="24"/>
          <w:lang w:val="sq-AL"/>
        </w:rPr>
      </w:pPr>
      <w:r w:rsidRPr="00BA4F3A">
        <w:rPr>
          <w:rFonts w:asciiTheme="majorBidi" w:hAnsiTheme="majorBidi" w:cstheme="majorBidi"/>
          <w:bCs/>
          <w:sz w:val="24"/>
          <w:szCs w:val="24"/>
          <w:lang w:val="sq-AL"/>
        </w:rPr>
        <w:t xml:space="preserve">Vërejmë që të dhënat e raportuara në raportin e monitorimit të </w:t>
      </w:r>
      <w:r w:rsidR="00C75730">
        <w:rPr>
          <w:rFonts w:asciiTheme="majorBidi" w:hAnsiTheme="majorBidi" w:cstheme="majorBidi"/>
          <w:bCs/>
          <w:sz w:val="24"/>
          <w:szCs w:val="24"/>
          <w:lang w:val="sq-AL"/>
        </w:rPr>
        <w:t>KPK</w:t>
      </w:r>
      <w:r w:rsidRPr="00BA4F3A">
        <w:rPr>
          <w:rFonts w:asciiTheme="majorBidi" w:hAnsiTheme="majorBidi" w:cstheme="majorBidi"/>
          <w:bCs/>
          <w:sz w:val="24"/>
          <w:szCs w:val="24"/>
          <w:lang w:val="sq-AL"/>
        </w:rPr>
        <w:t xml:space="preserve">, </w:t>
      </w:r>
      <w:r w:rsidR="00C75730">
        <w:rPr>
          <w:rFonts w:asciiTheme="majorBidi" w:hAnsiTheme="majorBidi" w:cstheme="majorBidi"/>
          <w:bCs/>
          <w:sz w:val="24"/>
          <w:szCs w:val="24"/>
          <w:lang w:val="sq-AL"/>
        </w:rPr>
        <w:t xml:space="preserve">nuk </w:t>
      </w:r>
      <w:r w:rsidRPr="00BA4F3A">
        <w:rPr>
          <w:rFonts w:asciiTheme="majorBidi" w:hAnsiTheme="majorBidi" w:cstheme="majorBidi"/>
          <w:bCs/>
          <w:sz w:val="24"/>
          <w:szCs w:val="24"/>
          <w:lang w:val="sq-AL"/>
        </w:rPr>
        <w:t xml:space="preserve">janë sipas formateve të përcaktuara në këtë udhëzim në anekset përkatëse, konkretisht Aneksi nr 1, Aneksi nr 2, Aneksi nr 3, Aneksi nr 4 dhe Aneksi nr </w:t>
      </w:r>
      <w:r>
        <w:rPr>
          <w:rFonts w:asciiTheme="majorBidi" w:hAnsiTheme="majorBidi" w:cstheme="majorBidi"/>
          <w:bCs/>
          <w:sz w:val="24"/>
          <w:szCs w:val="24"/>
          <w:lang w:val="sq-AL"/>
        </w:rPr>
        <w:t>5.</w:t>
      </w:r>
      <w:r w:rsidRPr="00BA4F3A">
        <w:rPr>
          <w:rFonts w:asciiTheme="majorBidi" w:hAnsiTheme="majorBidi" w:cstheme="majorBidi"/>
          <w:bCs/>
          <w:sz w:val="24"/>
          <w:szCs w:val="24"/>
          <w:lang w:val="sq-AL"/>
        </w:rPr>
        <w:t xml:space="preserve"> </w:t>
      </w:r>
    </w:p>
    <w:p w:rsidR="009319ED" w:rsidRPr="00BA4F3A" w:rsidRDefault="009319ED" w:rsidP="009319ED">
      <w:pPr>
        <w:pStyle w:val="ListParagraph"/>
        <w:tabs>
          <w:tab w:val="left" w:pos="2160"/>
        </w:tabs>
        <w:spacing w:line="276" w:lineRule="auto"/>
        <w:ind w:left="540"/>
        <w:jc w:val="both"/>
        <w:rPr>
          <w:rFonts w:asciiTheme="majorBidi" w:hAnsiTheme="majorBidi" w:cstheme="majorBidi"/>
          <w:bCs/>
          <w:sz w:val="24"/>
          <w:szCs w:val="24"/>
          <w:lang w:val="sq-AL"/>
        </w:rPr>
      </w:pPr>
    </w:p>
    <w:p w:rsidR="009319ED" w:rsidRPr="00651E4D" w:rsidRDefault="009319ED" w:rsidP="009319ED">
      <w:pPr>
        <w:pStyle w:val="ListParagraph"/>
        <w:numPr>
          <w:ilvl w:val="0"/>
          <w:numId w:val="5"/>
        </w:numPr>
        <w:tabs>
          <w:tab w:val="left" w:pos="2160"/>
        </w:tabs>
        <w:spacing w:line="276" w:lineRule="auto"/>
        <w:ind w:left="540" w:hanging="180"/>
        <w:jc w:val="both"/>
        <w:rPr>
          <w:rFonts w:asciiTheme="majorBidi" w:hAnsiTheme="majorBidi" w:cstheme="majorBidi"/>
          <w:bCs/>
          <w:lang w:val="sq-AL"/>
        </w:rPr>
      </w:pPr>
      <w:r w:rsidRPr="00651E4D">
        <w:rPr>
          <w:rFonts w:asciiTheme="majorBidi" w:hAnsiTheme="majorBidi" w:cstheme="majorBidi"/>
          <w:bCs/>
          <w:sz w:val="24"/>
          <w:szCs w:val="24"/>
          <w:lang w:val="sq-AL"/>
        </w:rPr>
        <w:t xml:space="preserve">Raporti i monitorimit të </w:t>
      </w:r>
      <w:r w:rsidR="00C75730">
        <w:rPr>
          <w:rFonts w:asciiTheme="majorBidi" w:hAnsiTheme="majorBidi" w:cstheme="majorBidi"/>
          <w:bCs/>
          <w:sz w:val="24"/>
          <w:szCs w:val="24"/>
          <w:lang w:val="sq-AL"/>
        </w:rPr>
        <w:t>KP</w:t>
      </w:r>
      <w:r w:rsidRPr="00651E4D">
        <w:rPr>
          <w:rFonts w:asciiTheme="majorBidi" w:hAnsiTheme="majorBidi" w:cstheme="majorBidi"/>
          <w:bCs/>
          <w:sz w:val="24"/>
          <w:szCs w:val="24"/>
          <w:lang w:val="sq-AL"/>
        </w:rPr>
        <w:t>K ka të plotësuar</w:t>
      </w:r>
      <w:r w:rsidR="00C75730">
        <w:rPr>
          <w:rFonts w:asciiTheme="majorBidi" w:hAnsiTheme="majorBidi" w:cstheme="majorBidi"/>
          <w:bCs/>
          <w:sz w:val="24"/>
          <w:szCs w:val="24"/>
          <w:lang w:val="sq-AL"/>
        </w:rPr>
        <w:t xml:space="preserve"> vetëm një përmbledhje të realizimit të fondeve buxhetore por nuk ka të dhëna për </w:t>
      </w:r>
      <w:r w:rsidR="00C83F30">
        <w:rPr>
          <w:rFonts w:asciiTheme="majorBidi" w:hAnsiTheme="majorBidi" w:cstheme="majorBidi"/>
          <w:bCs/>
          <w:sz w:val="24"/>
          <w:szCs w:val="24"/>
          <w:lang w:val="sq-AL"/>
        </w:rPr>
        <w:t>objektivat/</w:t>
      </w:r>
      <w:r w:rsidR="00C75730">
        <w:rPr>
          <w:rFonts w:asciiTheme="majorBidi" w:hAnsiTheme="majorBidi" w:cstheme="majorBidi"/>
          <w:bCs/>
          <w:sz w:val="24"/>
          <w:szCs w:val="24"/>
          <w:lang w:val="sq-AL"/>
        </w:rPr>
        <w:t>produktet apo</w:t>
      </w:r>
      <w:r w:rsidRPr="00651E4D">
        <w:rPr>
          <w:rFonts w:asciiTheme="majorBidi" w:hAnsiTheme="majorBidi" w:cstheme="majorBidi"/>
          <w:bCs/>
          <w:sz w:val="24"/>
          <w:szCs w:val="24"/>
          <w:lang w:val="sq-AL"/>
        </w:rPr>
        <w:t xml:space="preserve"> një analizë të produkteve. </w:t>
      </w:r>
    </w:p>
    <w:p w:rsidR="00651E4D" w:rsidRPr="00651E4D" w:rsidRDefault="00651E4D" w:rsidP="00651E4D">
      <w:pPr>
        <w:tabs>
          <w:tab w:val="left" w:pos="2160"/>
        </w:tabs>
        <w:spacing w:line="276" w:lineRule="auto"/>
        <w:jc w:val="both"/>
        <w:rPr>
          <w:rFonts w:asciiTheme="majorBidi" w:hAnsiTheme="majorBidi" w:cstheme="majorBidi"/>
          <w:bCs/>
          <w:lang w:val="sq-AL"/>
        </w:rPr>
      </w:pPr>
    </w:p>
    <w:p w:rsidR="009319ED" w:rsidRDefault="009319ED" w:rsidP="009319ED">
      <w:pPr>
        <w:pStyle w:val="ListParagraph"/>
        <w:numPr>
          <w:ilvl w:val="0"/>
          <w:numId w:val="5"/>
        </w:numPr>
        <w:tabs>
          <w:tab w:val="left" w:pos="2160"/>
        </w:tabs>
        <w:spacing w:line="276" w:lineRule="auto"/>
        <w:ind w:left="540" w:hanging="180"/>
        <w:jc w:val="both"/>
        <w:rPr>
          <w:rFonts w:asciiTheme="majorBidi" w:hAnsiTheme="majorBidi" w:cstheme="majorBidi"/>
          <w:bCs/>
          <w:sz w:val="24"/>
          <w:szCs w:val="24"/>
          <w:lang w:val="sq-AL"/>
        </w:rPr>
      </w:pPr>
      <w:r w:rsidRPr="00BA4F3A">
        <w:rPr>
          <w:rFonts w:asciiTheme="majorBidi" w:hAnsiTheme="majorBidi" w:cstheme="majorBidi"/>
          <w:bCs/>
          <w:sz w:val="24"/>
          <w:szCs w:val="24"/>
          <w:lang w:val="sq-AL"/>
        </w:rPr>
        <w:t xml:space="preserve">Të  dhënat faktike të raportuara nga </w:t>
      </w:r>
      <w:r>
        <w:rPr>
          <w:rFonts w:asciiTheme="majorBidi" w:hAnsiTheme="majorBidi" w:cstheme="majorBidi"/>
          <w:bCs/>
          <w:sz w:val="24"/>
          <w:szCs w:val="24"/>
          <w:lang w:val="sq-AL"/>
        </w:rPr>
        <w:t>institucioni</w:t>
      </w:r>
      <w:r w:rsidRPr="00BA4F3A">
        <w:rPr>
          <w:rFonts w:asciiTheme="majorBidi" w:hAnsiTheme="majorBidi" w:cstheme="majorBidi"/>
          <w:bCs/>
          <w:sz w:val="24"/>
          <w:szCs w:val="24"/>
          <w:lang w:val="sq-AL"/>
        </w:rPr>
        <w:t xml:space="preserve"> duhet të jenë të rakorduara me të dhënat faktike të Sistemit Informatik Financiar i Qeverisë (SIFQ). Për këtë pikë vërejmë që të dhënat e raportuara në raportin e monitorimit nga</w:t>
      </w:r>
      <w:r w:rsidRPr="00C35ED5">
        <w:rPr>
          <w:rFonts w:asciiTheme="majorBidi" w:hAnsiTheme="majorBidi" w:cstheme="majorBidi"/>
          <w:bCs/>
          <w:sz w:val="24"/>
          <w:szCs w:val="24"/>
          <w:lang w:val="sq-AL"/>
        </w:rPr>
        <w:t xml:space="preserve"> </w:t>
      </w:r>
      <w:r w:rsidR="00C75730">
        <w:rPr>
          <w:rFonts w:asciiTheme="majorBidi" w:hAnsiTheme="majorBidi" w:cstheme="majorBidi"/>
          <w:bCs/>
          <w:sz w:val="24"/>
          <w:szCs w:val="24"/>
          <w:lang w:val="sq-AL"/>
        </w:rPr>
        <w:t>KPK</w:t>
      </w:r>
      <w:r w:rsidRPr="00BA4F3A">
        <w:rPr>
          <w:rFonts w:asciiTheme="majorBidi" w:hAnsiTheme="majorBidi" w:cstheme="majorBidi"/>
          <w:bCs/>
          <w:sz w:val="24"/>
          <w:szCs w:val="24"/>
          <w:lang w:val="sq-AL"/>
        </w:rPr>
        <w:t xml:space="preserve"> janë të njëjta me të dhënat faktike të siguruara nga SIFQ, si për shpenzimet korente edhe për shpenzimet kapitale.</w:t>
      </w:r>
    </w:p>
    <w:p w:rsidR="009319ED" w:rsidRPr="009319ED" w:rsidRDefault="009319ED" w:rsidP="009319ED">
      <w:pPr>
        <w:pStyle w:val="ListParagraph"/>
        <w:rPr>
          <w:rFonts w:asciiTheme="majorBidi" w:hAnsiTheme="majorBidi" w:cstheme="majorBidi"/>
          <w:bCs/>
          <w:sz w:val="24"/>
          <w:szCs w:val="24"/>
          <w:lang w:val="sq-AL"/>
        </w:rPr>
      </w:pPr>
    </w:p>
    <w:p w:rsidR="009319ED" w:rsidRDefault="009319ED" w:rsidP="009319ED">
      <w:pPr>
        <w:pStyle w:val="ListParagraph"/>
        <w:numPr>
          <w:ilvl w:val="0"/>
          <w:numId w:val="5"/>
        </w:numPr>
        <w:tabs>
          <w:tab w:val="left" w:pos="2160"/>
        </w:tabs>
        <w:spacing w:line="276" w:lineRule="auto"/>
        <w:ind w:left="540" w:hanging="180"/>
        <w:jc w:val="both"/>
        <w:rPr>
          <w:rFonts w:asciiTheme="majorBidi" w:hAnsiTheme="majorBidi" w:cstheme="majorBidi"/>
          <w:bCs/>
          <w:sz w:val="24"/>
          <w:szCs w:val="24"/>
          <w:lang w:val="sq-AL"/>
        </w:rPr>
      </w:pPr>
      <w:r w:rsidRPr="00BA4F3A">
        <w:rPr>
          <w:rFonts w:asciiTheme="majorBidi" w:hAnsiTheme="majorBidi" w:cstheme="majorBidi"/>
          <w:bCs/>
          <w:sz w:val="24"/>
          <w:szCs w:val="24"/>
          <w:lang w:val="sq-AL"/>
        </w:rPr>
        <w:t>Analiza e treguesve të performancës/produkteve duhet të bëhet duke plotësuar dhe paraqitur të dhënat sipas aneksit nr. 3 “Raporti përmbledhës i realizimit të treguesve të performancës/produkteve të programit”. Nga krahasimi i luhatjeve të kostos për njësi mund të evidentohen problematika të cilat duhet të paraqiten në kolonën “komente”.</w:t>
      </w:r>
      <w:r w:rsidR="00651E4D">
        <w:rPr>
          <w:rFonts w:asciiTheme="majorBidi" w:hAnsiTheme="majorBidi" w:cstheme="majorBidi"/>
          <w:bCs/>
          <w:sz w:val="24"/>
          <w:szCs w:val="24"/>
          <w:lang w:val="sq-AL"/>
        </w:rPr>
        <w:t xml:space="preserve"> Kjo pjesë rezulton e </w:t>
      </w:r>
      <w:r w:rsidR="00C75730">
        <w:rPr>
          <w:rFonts w:asciiTheme="majorBidi" w:hAnsiTheme="majorBidi" w:cstheme="majorBidi"/>
          <w:bCs/>
          <w:sz w:val="24"/>
          <w:szCs w:val="24"/>
          <w:lang w:val="sq-AL"/>
        </w:rPr>
        <w:t>pa</w:t>
      </w:r>
      <w:r w:rsidR="00651E4D">
        <w:rPr>
          <w:rFonts w:asciiTheme="majorBidi" w:hAnsiTheme="majorBidi" w:cstheme="majorBidi"/>
          <w:bCs/>
          <w:sz w:val="24"/>
          <w:szCs w:val="24"/>
          <w:lang w:val="sq-AL"/>
        </w:rPr>
        <w:t xml:space="preserve">plotësuar nga </w:t>
      </w:r>
      <w:r w:rsidR="006849C6">
        <w:rPr>
          <w:rFonts w:asciiTheme="majorBidi" w:hAnsiTheme="majorBidi" w:cstheme="majorBidi"/>
          <w:bCs/>
          <w:sz w:val="24"/>
          <w:szCs w:val="24"/>
          <w:lang w:val="sq-AL"/>
        </w:rPr>
        <w:t>KP</w:t>
      </w:r>
      <w:r w:rsidR="00651E4D">
        <w:rPr>
          <w:rFonts w:asciiTheme="majorBidi" w:hAnsiTheme="majorBidi" w:cstheme="majorBidi"/>
          <w:bCs/>
          <w:sz w:val="24"/>
          <w:szCs w:val="24"/>
          <w:lang w:val="sq-AL"/>
        </w:rPr>
        <w:t>K në raportin e paraqitur.</w:t>
      </w:r>
    </w:p>
    <w:p w:rsidR="00D66B65" w:rsidRDefault="00D66B65" w:rsidP="00D66B65">
      <w:pPr>
        <w:tabs>
          <w:tab w:val="left" w:pos="2160"/>
        </w:tabs>
        <w:spacing w:line="276" w:lineRule="auto"/>
        <w:jc w:val="both"/>
        <w:rPr>
          <w:rFonts w:asciiTheme="majorBidi" w:eastAsia="MS Mincho" w:hAnsiTheme="majorBidi" w:cstheme="majorBidi"/>
          <w:bCs/>
          <w:lang w:val="sq-AL"/>
        </w:rPr>
      </w:pPr>
    </w:p>
    <w:p w:rsidR="00D66B65" w:rsidRDefault="00D66B65" w:rsidP="00D66B65">
      <w:pPr>
        <w:spacing w:after="120" w:line="276" w:lineRule="auto"/>
        <w:contextualSpacing/>
        <w:jc w:val="both"/>
        <w:rPr>
          <w:rFonts w:asciiTheme="majorBidi" w:hAnsiTheme="majorBidi" w:cstheme="majorBidi"/>
          <w:bCs/>
          <w:lang w:val="sq-AL"/>
        </w:rPr>
      </w:pPr>
      <w:r w:rsidRPr="0005199F">
        <w:rPr>
          <w:rFonts w:asciiTheme="majorBidi" w:hAnsiTheme="majorBidi" w:cstheme="majorBidi"/>
          <w:bCs/>
          <w:lang w:val="sq-AL"/>
        </w:rPr>
        <w:lastRenderedPageBreak/>
        <w:t>Duke ju referuar konstatimeve të mësipërme, për përmirësimin e cilësisë së përmbajtjes së raportit të monitorimit rekomandojmë:</w:t>
      </w:r>
    </w:p>
    <w:p w:rsidR="00C83F30" w:rsidRPr="0005199F" w:rsidRDefault="00C83F30" w:rsidP="00D66B65">
      <w:pPr>
        <w:spacing w:after="120" w:line="276" w:lineRule="auto"/>
        <w:contextualSpacing/>
        <w:jc w:val="both"/>
        <w:rPr>
          <w:rFonts w:asciiTheme="majorBidi" w:hAnsiTheme="majorBidi" w:cstheme="majorBidi"/>
          <w:bCs/>
          <w:lang w:val="sq-AL"/>
        </w:rPr>
      </w:pPr>
    </w:p>
    <w:p w:rsidR="00D66B65" w:rsidRPr="0005199F" w:rsidRDefault="00D66B65" w:rsidP="00D66B65">
      <w:pPr>
        <w:pStyle w:val="ListParagraph"/>
        <w:numPr>
          <w:ilvl w:val="0"/>
          <w:numId w:val="5"/>
        </w:numPr>
        <w:tabs>
          <w:tab w:val="left" w:pos="2160"/>
        </w:tabs>
        <w:spacing w:after="120" w:line="276" w:lineRule="auto"/>
        <w:ind w:left="720"/>
        <w:jc w:val="both"/>
        <w:rPr>
          <w:rFonts w:asciiTheme="majorBidi" w:hAnsiTheme="majorBidi" w:cstheme="majorBidi"/>
          <w:sz w:val="24"/>
          <w:szCs w:val="24"/>
          <w:lang w:val="sq-AL"/>
        </w:rPr>
      </w:pPr>
      <w:r w:rsidRPr="0005199F">
        <w:rPr>
          <w:rFonts w:asciiTheme="majorBidi" w:hAnsiTheme="majorBidi" w:cstheme="majorBidi"/>
          <w:sz w:val="24"/>
          <w:szCs w:val="24"/>
          <w:lang w:val="sq-AL"/>
        </w:rPr>
        <w:t xml:space="preserve">Për shpenzimet buxhetore paraqitja e tyre duhet të bëhet sipas anekseve nr. 1 “Raporti i shpenzimeve sipas Programeve” dhe aneksi 2 “Raporti i shpenzimeve të Programit sipas Artikujve buxhetorë”. Këto të dhëna duhet të shoqërohen me një analizë të lidhur me të gjithë faktorët që kanë ndikuar në nivelin e realizimit të tyre. </w:t>
      </w:r>
    </w:p>
    <w:p w:rsidR="00D66B65" w:rsidRPr="0005199F" w:rsidRDefault="00D66B65" w:rsidP="00D66B65">
      <w:pPr>
        <w:pStyle w:val="ListParagraph"/>
        <w:tabs>
          <w:tab w:val="left" w:pos="2160"/>
        </w:tabs>
        <w:spacing w:after="120" w:line="276" w:lineRule="auto"/>
        <w:ind w:hanging="360"/>
        <w:jc w:val="both"/>
        <w:rPr>
          <w:rFonts w:asciiTheme="majorBidi" w:hAnsiTheme="majorBidi" w:cstheme="majorBidi"/>
          <w:sz w:val="12"/>
          <w:szCs w:val="12"/>
          <w:lang w:val="sq-AL"/>
        </w:rPr>
      </w:pPr>
    </w:p>
    <w:p w:rsidR="00D66B65" w:rsidRPr="0005199F" w:rsidRDefault="00D66B65" w:rsidP="00D66B65">
      <w:pPr>
        <w:pStyle w:val="ListParagraph"/>
        <w:numPr>
          <w:ilvl w:val="0"/>
          <w:numId w:val="5"/>
        </w:numPr>
        <w:tabs>
          <w:tab w:val="left" w:pos="2160"/>
        </w:tabs>
        <w:spacing w:after="120" w:line="276" w:lineRule="auto"/>
        <w:ind w:left="720"/>
        <w:jc w:val="both"/>
        <w:rPr>
          <w:rFonts w:asciiTheme="majorBidi" w:hAnsiTheme="majorBidi" w:cstheme="majorBidi"/>
          <w:sz w:val="24"/>
          <w:szCs w:val="24"/>
          <w:lang w:val="sq-AL"/>
        </w:rPr>
      </w:pPr>
      <w:r w:rsidRPr="0005199F">
        <w:rPr>
          <w:rFonts w:asciiTheme="majorBidi" w:hAnsiTheme="majorBidi" w:cstheme="majorBidi"/>
          <w:sz w:val="24"/>
          <w:szCs w:val="24"/>
          <w:lang w:val="sq-AL"/>
        </w:rPr>
        <w:t>Për të siguruar paraqitjen sa më mirë të lidhjes midis realizimit të objektivave të politikës së programit me realizimin e treguesve të performancës/produkteve, të dhënat mbi 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w:t>
      </w:r>
    </w:p>
    <w:p w:rsidR="00D66B65" w:rsidRPr="0005199F" w:rsidRDefault="00D66B65" w:rsidP="00D66B65">
      <w:pPr>
        <w:pStyle w:val="ListParagraph"/>
        <w:spacing w:line="276" w:lineRule="auto"/>
        <w:ind w:hanging="360"/>
        <w:rPr>
          <w:rFonts w:asciiTheme="majorBidi" w:hAnsiTheme="majorBidi" w:cstheme="majorBidi"/>
          <w:sz w:val="12"/>
          <w:szCs w:val="12"/>
          <w:lang w:val="sq-AL"/>
        </w:rPr>
      </w:pPr>
    </w:p>
    <w:p w:rsidR="00D66B65" w:rsidRPr="0005199F" w:rsidRDefault="00D66B65" w:rsidP="00D66B65">
      <w:pPr>
        <w:pStyle w:val="ListParagraph"/>
        <w:numPr>
          <w:ilvl w:val="0"/>
          <w:numId w:val="5"/>
        </w:numPr>
        <w:tabs>
          <w:tab w:val="left" w:pos="2160"/>
        </w:tabs>
        <w:spacing w:after="120" w:line="276" w:lineRule="auto"/>
        <w:ind w:left="720"/>
        <w:jc w:val="both"/>
        <w:rPr>
          <w:rFonts w:asciiTheme="majorBidi" w:hAnsiTheme="majorBidi" w:cstheme="majorBidi"/>
          <w:sz w:val="24"/>
          <w:szCs w:val="24"/>
          <w:lang w:val="sq-AL"/>
        </w:rPr>
      </w:pPr>
      <w:r w:rsidRPr="0005199F">
        <w:rPr>
          <w:rFonts w:asciiTheme="majorBidi" w:hAnsiTheme="majorBidi" w:cstheme="majorBidi"/>
          <w:sz w:val="24"/>
          <w:szCs w:val="24"/>
          <w:lang w:val="sq-AL"/>
        </w:rPr>
        <w:t>Analiza e treguesve të performancës/produkteve duhet të bëhet duke plotësuar dhe paraqitur të dhënat sipas aneksit nr. 3 “Raporti përmbledhës i realizimit të treguesve të performancës/produkteve të programit”. Nga krahasimi i luhatjeve të kostos për njësi mund të evidentohen problematika të cilat duhet të paraqiten në kolonën “komente”.</w:t>
      </w:r>
    </w:p>
    <w:p w:rsidR="00D66B65" w:rsidRPr="0005199F" w:rsidRDefault="00D66B65" w:rsidP="00D66B65">
      <w:pPr>
        <w:pStyle w:val="ListParagraph"/>
        <w:spacing w:line="276" w:lineRule="auto"/>
        <w:ind w:hanging="360"/>
        <w:rPr>
          <w:rFonts w:asciiTheme="majorBidi" w:hAnsiTheme="majorBidi" w:cstheme="majorBidi"/>
          <w:sz w:val="12"/>
          <w:szCs w:val="12"/>
          <w:lang w:val="sq-AL"/>
        </w:rPr>
      </w:pPr>
    </w:p>
    <w:sectPr w:rsidR="00D66B65" w:rsidRPr="0005199F" w:rsidSect="009F08CF">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6CCC"/>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3F64BE6"/>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nsid w:val="59F60855"/>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421FF7"/>
    <w:multiLevelType w:val="hybridMultilevel"/>
    <w:tmpl w:val="92463010"/>
    <w:lvl w:ilvl="0" w:tplc="5D888B80">
      <w:start w:val="1"/>
      <w:numFmt w:val="upperRoman"/>
      <w:lvlText w:val="%1."/>
      <w:lvlJc w:val="left"/>
      <w:pPr>
        <w:ind w:left="720" w:hanging="720"/>
      </w:pPr>
      <w:rPr>
        <w:rFonts w:hint="default"/>
        <w:b/>
        <w:bCs/>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8"/>
  </w:num>
  <w:num w:numId="3">
    <w:abstractNumId w:val="7"/>
  </w:num>
  <w:num w:numId="4">
    <w:abstractNumId w:val="0"/>
  </w:num>
  <w:num w:numId="5">
    <w:abstractNumId w:val="2"/>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8E4"/>
    <w:rsid w:val="000C0267"/>
    <w:rsid w:val="000D6865"/>
    <w:rsid w:val="00214B21"/>
    <w:rsid w:val="00263154"/>
    <w:rsid w:val="002636ED"/>
    <w:rsid w:val="00267899"/>
    <w:rsid w:val="0029364F"/>
    <w:rsid w:val="00293AB6"/>
    <w:rsid w:val="00324143"/>
    <w:rsid w:val="0037703F"/>
    <w:rsid w:val="003B79C1"/>
    <w:rsid w:val="003F1EDA"/>
    <w:rsid w:val="00410EC1"/>
    <w:rsid w:val="004223EC"/>
    <w:rsid w:val="004667AC"/>
    <w:rsid w:val="004824E2"/>
    <w:rsid w:val="004B1112"/>
    <w:rsid w:val="004D3401"/>
    <w:rsid w:val="004F4D2E"/>
    <w:rsid w:val="005D134C"/>
    <w:rsid w:val="005D40BF"/>
    <w:rsid w:val="005D63E6"/>
    <w:rsid w:val="005F5985"/>
    <w:rsid w:val="00602DFF"/>
    <w:rsid w:val="006372F5"/>
    <w:rsid w:val="00651E4D"/>
    <w:rsid w:val="006532FE"/>
    <w:rsid w:val="00661845"/>
    <w:rsid w:val="00676040"/>
    <w:rsid w:val="006849C6"/>
    <w:rsid w:val="006B6C9F"/>
    <w:rsid w:val="006E6EF7"/>
    <w:rsid w:val="006F660C"/>
    <w:rsid w:val="00733808"/>
    <w:rsid w:val="00735747"/>
    <w:rsid w:val="007453BA"/>
    <w:rsid w:val="00782453"/>
    <w:rsid w:val="00786E94"/>
    <w:rsid w:val="007E3096"/>
    <w:rsid w:val="00853849"/>
    <w:rsid w:val="008824C7"/>
    <w:rsid w:val="0088475B"/>
    <w:rsid w:val="008D3665"/>
    <w:rsid w:val="008E71D5"/>
    <w:rsid w:val="008F7D3A"/>
    <w:rsid w:val="00912624"/>
    <w:rsid w:val="009319ED"/>
    <w:rsid w:val="009F011E"/>
    <w:rsid w:val="009F08CF"/>
    <w:rsid w:val="00AC7B0D"/>
    <w:rsid w:val="00B0027F"/>
    <w:rsid w:val="00B25EEF"/>
    <w:rsid w:val="00B3433C"/>
    <w:rsid w:val="00B61C60"/>
    <w:rsid w:val="00B62624"/>
    <w:rsid w:val="00B80387"/>
    <w:rsid w:val="00BA4F3A"/>
    <w:rsid w:val="00BE5668"/>
    <w:rsid w:val="00C3000A"/>
    <w:rsid w:val="00C35ED5"/>
    <w:rsid w:val="00C71079"/>
    <w:rsid w:val="00C75730"/>
    <w:rsid w:val="00C83F30"/>
    <w:rsid w:val="00CA669B"/>
    <w:rsid w:val="00CB2BDC"/>
    <w:rsid w:val="00CB3CC3"/>
    <w:rsid w:val="00D62933"/>
    <w:rsid w:val="00D66B65"/>
    <w:rsid w:val="00D77138"/>
    <w:rsid w:val="00D868FE"/>
    <w:rsid w:val="00DD1B55"/>
    <w:rsid w:val="00E16744"/>
    <w:rsid w:val="00E2503B"/>
    <w:rsid w:val="00E53333"/>
    <w:rsid w:val="00E63E62"/>
    <w:rsid w:val="00E91C5C"/>
    <w:rsid w:val="00EB45AE"/>
    <w:rsid w:val="00ED17CA"/>
    <w:rsid w:val="00F04951"/>
    <w:rsid w:val="00F31F4D"/>
    <w:rsid w:val="00F478C1"/>
    <w:rsid w:val="00F75036"/>
    <w:rsid w:val="00FC6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 w:type="character" w:styleId="Hyperlink">
    <w:name w:val="Hyperlink"/>
    <w:basedOn w:val="DefaultParagraphFont"/>
    <w:uiPriority w:val="99"/>
    <w:unhideWhenUsed/>
    <w:rsid w:val="00735747"/>
    <w:rPr>
      <w:color w:val="0000FF" w:themeColor="hyperlink"/>
      <w:u w:val="single"/>
    </w:rPr>
  </w:style>
  <w:style w:type="paragraph" w:styleId="BalloonText">
    <w:name w:val="Balloon Text"/>
    <w:basedOn w:val="Normal"/>
    <w:link w:val="BalloonTextChar"/>
    <w:uiPriority w:val="99"/>
    <w:semiHidden/>
    <w:unhideWhenUsed/>
    <w:rsid w:val="00267899"/>
    <w:rPr>
      <w:rFonts w:ascii="Tahoma" w:hAnsi="Tahoma" w:cs="Tahoma"/>
      <w:sz w:val="16"/>
      <w:szCs w:val="16"/>
    </w:rPr>
  </w:style>
  <w:style w:type="character" w:customStyle="1" w:styleId="BalloonTextChar">
    <w:name w:val="Balloon Text Char"/>
    <w:basedOn w:val="DefaultParagraphFont"/>
    <w:link w:val="BalloonText"/>
    <w:uiPriority w:val="99"/>
    <w:semiHidden/>
    <w:rsid w:val="00267899"/>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771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 w:type="character" w:styleId="Hyperlink">
    <w:name w:val="Hyperlink"/>
    <w:basedOn w:val="DefaultParagraphFont"/>
    <w:uiPriority w:val="99"/>
    <w:unhideWhenUsed/>
    <w:rsid w:val="00735747"/>
    <w:rPr>
      <w:color w:val="0000FF" w:themeColor="hyperlink"/>
      <w:u w:val="single"/>
    </w:rPr>
  </w:style>
  <w:style w:type="paragraph" w:styleId="BalloonText">
    <w:name w:val="Balloon Text"/>
    <w:basedOn w:val="Normal"/>
    <w:link w:val="BalloonTextChar"/>
    <w:uiPriority w:val="99"/>
    <w:semiHidden/>
    <w:unhideWhenUsed/>
    <w:rsid w:val="00267899"/>
    <w:rPr>
      <w:rFonts w:ascii="Tahoma" w:hAnsi="Tahoma" w:cs="Tahoma"/>
      <w:sz w:val="16"/>
      <w:szCs w:val="16"/>
    </w:rPr>
  </w:style>
  <w:style w:type="character" w:customStyle="1" w:styleId="BalloonTextChar">
    <w:name w:val="Balloon Text Char"/>
    <w:basedOn w:val="DefaultParagraphFont"/>
    <w:link w:val="BalloonText"/>
    <w:uiPriority w:val="99"/>
    <w:semiHidden/>
    <w:rsid w:val="00267899"/>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77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0781">
      <w:bodyDiv w:val="1"/>
      <w:marLeft w:val="0"/>
      <w:marRight w:val="0"/>
      <w:marTop w:val="0"/>
      <w:marBottom w:val="0"/>
      <w:divBdr>
        <w:top w:val="none" w:sz="0" w:space="0" w:color="auto"/>
        <w:left w:val="none" w:sz="0" w:space="0" w:color="auto"/>
        <w:bottom w:val="none" w:sz="0" w:space="0" w:color="auto"/>
        <w:right w:val="none" w:sz="0" w:space="0" w:color="auto"/>
      </w:divBdr>
    </w:div>
    <w:div w:id="86580200">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4005173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01449489">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1547554">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66846845">
      <w:bodyDiv w:val="1"/>
      <w:marLeft w:val="0"/>
      <w:marRight w:val="0"/>
      <w:marTop w:val="0"/>
      <w:marBottom w:val="0"/>
      <w:divBdr>
        <w:top w:val="none" w:sz="0" w:space="0" w:color="auto"/>
        <w:left w:val="none" w:sz="0" w:space="0" w:color="auto"/>
        <w:bottom w:val="none" w:sz="0" w:space="0" w:color="auto"/>
        <w:right w:val="none" w:sz="0" w:space="0" w:color="auto"/>
      </w:divBdr>
    </w:div>
    <w:div w:id="860321835">
      <w:bodyDiv w:val="1"/>
      <w:marLeft w:val="0"/>
      <w:marRight w:val="0"/>
      <w:marTop w:val="0"/>
      <w:marBottom w:val="0"/>
      <w:divBdr>
        <w:top w:val="none" w:sz="0" w:space="0" w:color="auto"/>
        <w:left w:val="none" w:sz="0" w:space="0" w:color="auto"/>
        <w:bottom w:val="none" w:sz="0" w:space="0" w:color="auto"/>
        <w:right w:val="none" w:sz="0" w:space="0" w:color="auto"/>
      </w:divBdr>
    </w:div>
    <w:div w:id="1032418746">
      <w:bodyDiv w:val="1"/>
      <w:marLeft w:val="0"/>
      <w:marRight w:val="0"/>
      <w:marTop w:val="0"/>
      <w:marBottom w:val="0"/>
      <w:divBdr>
        <w:top w:val="none" w:sz="0" w:space="0" w:color="auto"/>
        <w:left w:val="none" w:sz="0" w:space="0" w:color="auto"/>
        <w:bottom w:val="none" w:sz="0" w:space="0" w:color="auto"/>
        <w:right w:val="none" w:sz="0" w:space="0" w:color="auto"/>
      </w:divBdr>
    </w:div>
    <w:div w:id="1090008913">
      <w:bodyDiv w:val="1"/>
      <w:marLeft w:val="0"/>
      <w:marRight w:val="0"/>
      <w:marTop w:val="0"/>
      <w:marBottom w:val="0"/>
      <w:divBdr>
        <w:top w:val="none" w:sz="0" w:space="0" w:color="auto"/>
        <w:left w:val="none" w:sz="0" w:space="0" w:color="auto"/>
        <w:bottom w:val="none" w:sz="0" w:space="0" w:color="auto"/>
        <w:right w:val="none" w:sz="0" w:space="0" w:color="auto"/>
      </w:divBdr>
    </w:div>
    <w:div w:id="1178500647">
      <w:bodyDiv w:val="1"/>
      <w:marLeft w:val="0"/>
      <w:marRight w:val="0"/>
      <w:marTop w:val="0"/>
      <w:marBottom w:val="0"/>
      <w:divBdr>
        <w:top w:val="none" w:sz="0" w:space="0" w:color="auto"/>
        <w:left w:val="none" w:sz="0" w:space="0" w:color="auto"/>
        <w:bottom w:val="none" w:sz="0" w:space="0" w:color="auto"/>
        <w:right w:val="none" w:sz="0" w:space="0" w:color="auto"/>
      </w:divBdr>
    </w:div>
    <w:div w:id="1180192654">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688872907">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785031026">
      <w:bodyDiv w:val="1"/>
      <w:marLeft w:val="0"/>
      <w:marRight w:val="0"/>
      <w:marTop w:val="0"/>
      <w:marBottom w:val="0"/>
      <w:divBdr>
        <w:top w:val="none" w:sz="0" w:space="0" w:color="auto"/>
        <w:left w:val="none" w:sz="0" w:space="0" w:color="auto"/>
        <w:bottom w:val="none" w:sz="0" w:space="0" w:color="auto"/>
        <w:right w:val="none" w:sz="0" w:space="0" w:color="auto"/>
      </w:divBdr>
    </w:div>
    <w:div w:id="1808619102">
      <w:bodyDiv w:val="1"/>
      <w:marLeft w:val="0"/>
      <w:marRight w:val="0"/>
      <w:marTop w:val="0"/>
      <w:marBottom w:val="0"/>
      <w:divBdr>
        <w:top w:val="none" w:sz="0" w:space="0" w:color="auto"/>
        <w:left w:val="none" w:sz="0" w:space="0" w:color="auto"/>
        <w:bottom w:val="none" w:sz="0" w:space="0" w:color="auto"/>
        <w:right w:val="none" w:sz="0" w:space="0" w:color="auto"/>
      </w:divBdr>
    </w:div>
    <w:div w:id="1847557104">
      <w:bodyDiv w:val="1"/>
      <w:marLeft w:val="0"/>
      <w:marRight w:val="0"/>
      <w:marTop w:val="0"/>
      <w:marBottom w:val="0"/>
      <w:divBdr>
        <w:top w:val="none" w:sz="0" w:space="0" w:color="auto"/>
        <w:left w:val="none" w:sz="0" w:space="0" w:color="auto"/>
        <w:bottom w:val="none" w:sz="0" w:space="0" w:color="auto"/>
        <w:right w:val="none" w:sz="0" w:space="0" w:color="auto"/>
      </w:divBdr>
    </w:div>
    <w:div w:id="1888294335">
      <w:bodyDiv w:val="1"/>
      <w:marLeft w:val="0"/>
      <w:marRight w:val="0"/>
      <w:marTop w:val="0"/>
      <w:marBottom w:val="0"/>
      <w:divBdr>
        <w:top w:val="none" w:sz="0" w:space="0" w:color="auto"/>
        <w:left w:val="none" w:sz="0" w:space="0" w:color="auto"/>
        <w:bottom w:val="none" w:sz="0" w:space="0" w:color="auto"/>
        <w:right w:val="none" w:sz="0" w:space="0" w:color="auto"/>
      </w:divBdr>
    </w:div>
    <w:div w:id="207693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5574C-BCE0-4E28-8608-581D67EE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Ardita Xhyheri</cp:lastModifiedBy>
  <cp:revision>3</cp:revision>
  <cp:lastPrinted>2020-02-03T11:34:00Z</cp:lastPrinted>
  <dcterms:created xsi:type="dcterms:W3CDTF">2020-04-27T10:23:00Z</dcterms:created>
  <dcterms:modified xsi:type="dcterms:W3CDTF">2020-04-27T10:40:00Z</dcterms:modified>
</cp:coreProperties>
</file>